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220CBB68"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6C2AA4">
        <w:rPr>
          <w:rFonts w:ascii="楷体" w:eastAsia="楷体" w:hAnsi="楷体" w:hint="eastAsia"/>
          <w:sz w:val="28"/>
          <w:szCs w:val="28"/>
        </w:rPr>
        <w:t>权益情绪边际走弱</w:t>
      </w:r>
      <w:r w:rsidR="00854190">
        <w:rPr>
          <w:rFonts w:ascii="楷体" w:eastAsia="楷体" w:hAnsi="楷体" w:hint="eastAsia"/>
          <w:sz w:val="28"/>
          <w:szCs w:val="28"/>
        </w:rPr>
        <w:t>,</w:t>
      </w:r>
      <w:r w:rsidR="006C2AA4">
        <w:rPr>
          <w:rFonts w:ascii="楷体" w:eastAsia="楷体" w:hAnsi="楷体" w:hint="eastAsia"/>
          <w:sz w:val="28"/>
          <w:szCs w:val="28"/>
        </w:rPr>
        <w:t>债市配置价值显现</w:t>
      </w:r>
    </w:p>
    <w:p w14:paraId="0A7A9383" w14:textId="540059AA"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E23AF9">
        <w:rPr>
          <w:rFonts w:ascii="楷体" w:eastAsia="楷体" w:hAnsi="楷体" w:hint="eastAsia"/>
          <w:sz w:val="28"/>
          <w:szCs w:val="28"/>
        </w:rPr>
        <w:t>10</w:t>
      </w:r>
      <w:r w:rsidR="009C30E2" w:rsidRPr="00FA6C01">
        <w:rPr>
          <w:rFonts w:ascii="楷体" w:eastAsia="楷体" w:hAnsi="楷体"/>
          <w:sz w:val="28"/>
          <w:szCs w:val="28"/>
        </w:rPr>
        <w:t>月</w:t>
      </w:r>
      <w:r w:rsidR="006C2AA4">
        <w:rPr>
          <w:rFonts w:ascii="楷体" w:eastAsia="楷体" w:hAnsi="楷体" w:hint="eastAsia"/>
          <w:sz w:val="28"/>
          <w:szCs w:val="28"/>
        </w:rPr>
        <w:t>25</w:t>
      </w:r>
      <w:r w:rsidR="00F82A54">
        <w:rPr>
          <w:rFonts w:ascii="楷体" w:eastAsia="楷体" w:hAnsi="楷体" w:hint="eastAsia"/>
          <w:sz w:val="28"/>
          <w:szCs w:val="28"/>
        </w:rPr>
        <w:t>日</w:t>
      </w:r>
    </w:p>
    <w:p w14:paraId="1B2C4A22" w14:textId="0BA85F85" w:rsidR="005E5CB1" w:rsidRDefault="005E5CB1" w:rsidP="005E5CB1">
      <w:pPr>
        <w:pStyle w:val="Header1"/>
        <w:spacing w:before="240"/>
        <w:rPr>
          <w:color w:val="C45911" w:themeColor="accent2" w:themeShade="BF"/>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195A5EB8" w14:textId="755F57E6" w:rsidR="0075069E" w:rsidRDefault="0075069E" w:rsidP="0075069E">
      <w:pPr>
        <w:pStyle w:val="Body-text"/>
        <w:spacing w:after="240"/>
        <w:ind w:firstLineChars="200" w:firstLine="480"/>
        <w:rPr>
          <w:rFonts w:ascii="华文楷体" w:hAnsi="华文楷体"/>
          <w:sz w:val="24"/>
          <w:szCs w:val="24"/>
          <w:lang w:eastAsia="zh-CN"/>
        </w:rPr>
      </w:pPr>
      <w:r w:rsidRPr="003413B0">
        <w:rPr>
          <w:rFonts w:ascii="华文楷体" w:hAnsi="华文楷体" w:hint="eastAsia"/>
          <w:sz w:val="24"/>
          <w:szCs w:val="24"/>
          <w:lang w:eastAsia="zh-CN"/>
        </w:rPr>
        <w:t>10月21日，2020金融街论坛年会在京召开。央行行长易纲表示，</w:t>
      </w:r>
      <w:r w:rsidRPr="0075069E">
        <w:rPr>
          <w:rFonts w:ascii="华文楷体" w:hAnsi="华文楷体" w:hint="eastAsia"/>
          <w:sz w:val="24"/>
          <w:szCs w:val="24"/>
          <w:lang w:eastAsia="zh-CN"/>
        </w:rPr>
        <w:t>中国货币政策响应及时有力，总量合理适度，为保市场主体</w:t>
      </w:r>
      <w:proofErr w:type="gramStart"/>
      <w:r w:rsidRPr="0075069E">
        <w:rPr>
          <w:rFonts w:ascii="华文楷体" w:hAnsi="华文楷体" w:hint="eastAsia"/>
          <w:sz w:val="24"/>
          <w:szCs w:val="24"/>
          <w:lang w:eastAsia="zh-CN"/>
        </w:rPr>
        <w:t>稳就业</w:t>
      </w:r>
      <w:proofErr w:type="gramEnd"/>
      <w:r w:rsidRPr="0075069E">
        <w:rPr>
          <w:rFonts w:ascii="华文楷体" w:hAnsi="华文楷体" w:hint="eastAsia"/>
          <w:sz w:val="24"/>
          <w:szCs w:val="24"/>
          <w:lang w:eastAsia="zh-CN"/>
        </w:rPr>
        <w:t>营造了适宜的货币金融环境</w:t>
      </w:r>
      <w:r>
        <w:rPr>
          <w:rFonts w:ascii="华文楷体" w:hAnsi="华文楷体" w:hint="eastAsia"/>
          <w:sz w:val="24"/>
          <w:szCs w:val="24"/>
          <w:lang w:eastAsia="zh-CN"/>
        </w:rPr>
        <w:t>；</w:t>
      </w:r>
      <w:r w:rsidRPr="0075069E">
        <w:rPr>
          <w:rFonts w:ascii="华文楷体" w:hAnsi="华文楷体" w:hint="eastAsia"/>
          <w:sz w:val="24"/>
          <w:szCs w:val="24"/>
          <w:lang w:eastAsia="zh-CN"/>
        </w:rPr>
        <w:t>坚持稳健的货币政策，坚持和完善应对疫情中一些行之有效的结构性金融政策，助力完成全年发展目标任务</w:t>
      </w:r>
      <w:r>
        <w:rPr>
          <w:rFonts w:ascii="华文楷体" w:hAnsi="华文楷体" w:hint="eastAsia"/>
          <w:sz w:val="24"/>
          <w:szCs w:val="24"/>
          <w:lang w:eastAsia="zh-CN"/>
        </w:rPr>
        <w:t>。</w:t>
      </w:r>
    </w:p>
    <w:p w14:paraId="797661AC" w14:textId="25A53C57" w:rsidR="0075069E" w:rsidRDefault="0075069E" w:rsidP="0075069E">
      <w:pPr>
        <w:pStyle w:val="Body-text"/>
        <w:spacing w:after="240"/>
        <w:ind w:firstLineChars="200" w:firstLine="480"/>
        <w:rPr>
          <w:rFonts w:ascii="华文楷体" w:hAnsi="华文楷体"/>
          <w:sz w:val="24"/>
          <w:szCs w:val="24"/>
          <w:lang w:eastAsia="zh-CN"/>
        </w:rPr>
      </w:pPr>
      <w:r w:rsidRPr="0075069E">
        <w:rPr>
          <w:rFonts w:ascii="华文楷体" w:hAnsi="华文楷体" w:hint="eastAsia"/>
          <w:sz w:val="24"/>
          <w:szCs w:val="24"/>
          <w:lang w:eastAsia="zh-CN"/>
        </w:rPr>
        <w:t>今年以来，人民银行通过降低存款准备金率、再贷款再贴现、创新直达实体经济的货币政策工具等方式，出台了规模可观的宏观对冲措施。2020年以来人民银行3次降准，加权平均存款准备金率下降约1个百分点，</w:t>
      </w:r>
      <w:proofErr w:type="gramStart"/>
      <w:r w:rsidRPr="0075069E">
        <w:rPr>
          <w:rFonts w:ascii="华文楷体" w:hAnsi="华文楷体" w:hint="eastAsia"/>
          <w:sz w:val="24"/>
          <w:szCs w:val="24"/>
          <w:lang w:eastAsia="zh-CN"/>
        </w:rPr>
        <w:t>降准释放</w:t>
      </w:r>
      <w:proofErr w:type="gramEnd"/>
      <w:r w:rsidRPr="0075069E">
        <w:rPr>
          <w:rFonts w:ascii="华文楷体" w:hAnsi="华文楷体" w:hint="eastAsia"/>
          <w:sz w:val="24"/>
          <w:szCs w:val="24"/>
          <w:lang w:eastAsia="zh-CN"/>
        </w:rPr>
        <w:t>流动性1.75</w:t>
      </w:r>
      <w:proofErr w:type="gramStart"/>
      <w:r w:rsidRPr="0075069E">
        <w:rPr>
          <w:rFonts w:ascii="华文楷体" w:hAnsi="华文楷体" w:hint="eastAsia"/>
          <w:sz w:val="24"/>
          <w:szCs w:val="24"/>
          <w:lang w:eastAsia="zh-CN"/>
        </w:rPr>
        <w:t>万亿</w:t>
      </w:r>
      <w:proofErr w:type="gramEnd"/>
      <w:r w:rsidRPr="0075069E">
        <w:rPr>
          <w:rFonts w:ascii="华文楷体" w:hAnsi="华文楷体" w:hint="eastAsia"/>
          <w:sz w:val="24"/>
          <w:szCs w:val="24"/>
          <w:lang w:eastAsia="zh-CN"/>
        </w:rPr>
        <w:t>元。2018年以来，人民银行10次降准，加权平均存款准备金率下降约5.5个百分点，累计释放流动性8.1</w:t>
      </w:r>
      <w:proofErr w:type="gramStart"/>
      <w:r w:rsidRPr="0075069E">
        <w:rPr>
          <w:rFonts w:ascii="华文楷体" w:hAnsi="华文楷体" w:hint="eastAsia"/>
          <w:sz w:val="24"/>
          <w:szCs w:val="24"/>
          <w:lang w:eastAsia="zh-CN"/>
        </w:rPr>
        <w:t>万亿</w:t>
      </w:r>
      <w:proofErr w:type="gramEnd"/>
      <w:r w:rsidRPr="0075069E">
        <w:rPr>
          <w:rFonts w:ascii="华文楷体" w:hAnsi="华文楷体" w:hint="eastAsia"/>
          <w:sz w:val="24"/>
          <w:szCs w:val="24"/>
          <w:lang w:eastAsia="zh-CN"/>
        </w:rPr>
        <w:t>元。</w:t>
      </w:r>
      <w:r>
        <w:rPr>
          <w:rFonts w:ascii="华文楷体" w:hAnsi="华文楷体" w:hint="eastAsia"/>
          <w:sz w:val="24"/>
          <w:szCs w:val="24"/>
          <w:lang w:eastAsia="zh-CN"/>
        </w:rPr>
        <w:t>货币政策实施的重点除了总量平稳对冲外，今年以来政策更加注重</w:t>
      </w:r>
      <w:r w:rsidRPr="0075069E">
        <w:rPr>
          <w:rFonts w:ascii="华文楷体" w:hAnsi="华文楷体" w:hint="eastAsia"/>
          <w:sz w:val="24"/>
          <w:szCs w:val="24"/>
          <w:lang w:eastAsia="zh-CN"/>
        </w:rPr>
        <w:t>直达性和精准性。</w:t>
      </w:r>
    </w:p>
    <w:p w14:paraId="4F0891EC" w14:textId="76E1C50C" w:rsidR="0075069E" w:rsidRDefault="0075069E" w:rsidP="0075069E">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对于近期比较关注的宏观杠杆率问题，易纲行长表示</w:t>
      </w:r>
      <w:r w:rsidRPr="0075069E">
        <w:rPr>
          <w:rFonts w:ascii="华文楷体" w:hAnsi="华文楷体" w:hint="eastAsia"/>
          <w:sz w:val="24"/>
          <w:szCs w:val="24"/>
          <w:lang w:eastAsia="zh-CN"/>
        </w:rPr>
        <w:t>在今年抗</w:t>
      </w:r>
      <w:proofErr w:type="gramStart"/>
      <w:r w:rsidRPr="0075069E">
        <w:rPr>
          <w:rFonts w:ascii="华文楷体" w:hAnsi="华文楷体" w:hint="eastAsia"/>
          <w:sz w:val="24"/>
          <w:szCs w:val="24"/>
          <w:lang w:eastAsia="zh-CN"/>
        </w:rPr>
        <w:t>疫</w:t>
      </w:r>
      <w:proofErr w:type="gramEnd"/>
      <w:r w:rsidRPr="0075069E">
        <w:rPr>
          <w:rFonts w:ascii="华文楷体" w:hAnsi="华文楷体" w:hint="eastAsia"/>
          <w:sz w:val="24"/>
          <w:szCs w:val="24"/>
          <w:lang w:eastAsia="zh-CN"/>
        </w:rPr>
        <w:t>的特殊时期，宏观杠杆率有所上升，明年GDP增速回升后，宏观杠杆率将会更稳一些。货币政策需把好货币</w:t>
      </w:r>
      <w:proofErr w:type="gramStart"/>
      <w:r w:rsidRPr="0075069E">
        <w:rPr>
          <w:rFonts w:ascii="华文楷体" w:hAnsi="华文楷体" w:hint="eastAsia"/>
          <w:sz w:val="24"/>
          <w:szCs w:val="24"/>
          <w:lang w:eastAsia="zh-CN"/>
        </w:rPr>
        <w:t>供应总</w:t>
      </w:r>
      <w:proofErr w:type="gramEnd"/>
      <w:r w:rsidRPr="0075069E">
        <w:rPr>
          <w:rFonts w:ascii="华文楷体" w:hAnsi="华文楷体" w:hint="eastAsia"/>
          <w:sz w:val="24"/>
          <w:szCs w:val="24"/>
          <w:lang w:eastAsia="zh-CN"/>
        </w:rPr>
        <w:t>闸门，适当平滑宏观杠杆率波动，使之在长期维持在一个合理的轨道上。</w:t>
      </w:r>
    </w:p>
    <w:p w14:paraId="1BDB38FC" w14:textId="7DBC32D3" w:rsidR="00C1352D" w:rsidRDefault="00C1352D" w:rsidP="00C1352D">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根据本周召开的金融街论坛中政策层的表态看,货币政策未来一段时间仍</w:t>
      </w:r>
      <w:r w:rsidR="00F62CF9">
        <w:rPr>
          <w:rFonts w:ascii="华文楷体" w:hAnsi="华文楷体" w:hint="eastAsia"/>
          <w:sz w:val="24"/>
          <w:szCs w:val="24"/>
          <w:lang w:eastAsia="zh-CN"/>
        </w:rPr>
        <w:t>将</w:t>
      </w:r>
      <w:r>
        <w:rPr>
          <w:rFonts w:ascii="华文楷体" w:hAnsi="华文楷体" w:hint="eastAsia"/>
          <w:sz w:val="24"/>
          <w:szCs w:val="24"/>
          <w:lang w:eastAsia="zh-CN"/>
        </w:rPr>
        <w:t>维持常态化操作</w:t>
      </w:r>
      <w:r w:rsidR="00F62CF9">
        <w:rPr>
          <w:rFonts w:ascii="华文楷体" w:hAnsi="华文楷体" w:hint="eastAsia"/>
          <w:sz w:val="24"/>
          <w:szCs w:val="24"/>
          <w:lang w:eastAsia="zh-CN"/>
        </w:rPr>
        <w:t>为主</w:t>
      </w:r>
      <w:r>
        <w:rPr>
          <w:rFonts w:ascii="华文楷体" w:hAnsi="华文楷体" w:hint="eastAsia"/>
          <w:sz w:val="24"/>
          <w:szCs w:val="24"/>
          <w:lang w:eastAsia="zh-CN"/>
        </w:rPr>
        <w:t>。伴随经济修复的节奏，货币政策边际有所收敛但方向不变，仍维持当前流动性合理充裕的</w:t>
      </w:r>
      <w:r w:rsidR="003B3167">
        <w:rPr>
          <w:rFonts w:ascii="华文楷体" w:hAnsi="华文楷体" w:hint="eastAsia"/>
          <w:sz w:val="24"/>
          <w:szCs w:val="24"/>
          <w:lang w:eastAsia="zh-CN"/>
        </w:rPr>
        <w:t>大体</w:t>
      </w:r>
      <w:r>
        <w:rPr>
          <w:rFonts w:ascii="华文楷体" w:hAnsi="华文楷体" w:hint="eastAsia"/>
          <w:sz w:val="24"/>
          <w:szCs w:val="24"/>
          <w:lang w:eastAsia="zh-CN"/>
        </w:rPr>
        <w:t>基调，暂未</w:t>
      </w:r>
      <w:r w:rsidR="00760550">
        <w:rPr>
          <w:rFonts w:ascii="华文楷体" w:hAnsi="华文楷体" w:hint="eastAsia"/>
          <w:sz w:val="24"/>
          <w:szCs w:val="24"/>
          <w:lang w:eastAsia="zh-CN"/>
        </w:rPr>
        <w:t>到</w:t>
      </w:r>
      <w:r>
        <w:rPr>
          <w:rFonts w:ascii="华文楷体" w:hAnsi="华文楷体" w:hint="eastAsia"/>
          <w:sz w:val="24"/>
          <w:szCs w:val="24"/>
          <w:lang w:eastAsia="zh-CN"/>
        </w:rPr>
        <w:t>大幅收紧的</w:t>
      </w:r>
      <w:r w:rsidR="00DE7F9A">
        <w:rPr>
          <w:rFonts w:ascii="华文楷体" w:hAnsi="华文楷体" w:hint="eastAsia"/>
          <w:sz w:val="24"/>
          <w:szCs w:val="24"/>
          <w:lang w:eastAsia="zh-CN"/>
        </w:rPr>
        <w:t>阶段</w:t>
      </w:r>
      <w:r>
        <w:rPr>
          <w:rFonts w:ascii="华文楷体" w:hAnsi="华文楷体" w:hint="eastAsia"/>
          <w:sz w:val="24"/>
          <w:szCs w:val="24"/>
          <w:lang w:eastAsia="zh-CN"/>
        </w:rPr>
        <w:t>。从央行</w:t>
      </w:r>
      <w:r w:rsidR="00DE7F9A">
        <w:rPr>
          <w:rFonts w:ascii="华文楷体" w:hAnsi="华文楷体" w:hint="eastAsia"/>
          <w:sz w:val="24"/>
          <w:szCs w:val="24"/>
          <w:lang w:eastAsia="zh-CN"/>
        </w:rPr>
        <w:t>近两月的</w:t>
      </w:r>
      <w:r>
        <w:rPr>
          <w:rFonts w:ascii="华文楷体" w:hAnsi="华文楷体" w:hint="eastAsia"/>
          <w:sz w:val="24"/>
          <w:szCs w:val="24"/>
          <w:lang w:eastAsia="zh-CN"/>
        </w:rPr>
        <w:t>货币政策操作情况来看，也与其</w:t>
      </w:r>
      <w:r w:rsidR="00FF0D40">
        <w:rPr>
          <w:rFonts w:ascii="华文楷体" w:hAnsi="华文楷体" w:hint="eastAsia"/>
          <w:sz w:val="24"/>
          <w:szCs w:val="24"/>
          <w:lang w:eastAsia="zh-CN"/>
        </w:rPr>
        <w:t>政策</w:t>
      </w:r>
      <w:r>
        <w:rPr>
          <w:rFonts w:ascii="华文楷体" w:hAnsi="华文楷体" w:hint="eastAsia"/>
          <w:sz w:val="24"/>
          <w:szCs w:val="24"/>
          <w:lang w:eastAsia="zh-CN"/>
        </w:rPr>
        <w:t>表态一致，尤其是9月底央行公开市场操作对市场预期有一定纠偏</w:t>
      </w:r>
      <w:r w:rsidR="00FF0D40">
        <w:rPr>
          <w:rFonts w:ascii="华文楷体" w:hAnsi="华文楷体" w:hint="eastAsia"/>
          <w:sz w:val="24"/>
          <w:szCs w:val="24"/>
          <w:lang w:eastAsia="zh-CN"/>
        </w:rPr>
        <w:t>作用</w:t>
      </w:r>
      <w:r>
        <w:rPr>
          <w:rFonts w:ascii="华文楷体" w:hAnsi="华文楷体" w:hint="eastAsia"/>
          <w:sz w:val="24"/>
          <w:szCs w:val="24"/>
          <w:lang w:eastAsia="zh-CN"/>
        </w:rPr>
        <w:t>，操作</w:t>
      </w:r>
      <w:r w:rsidR="00FF0D40">
        <w:rPr>
          <w:rFonts w:ascii="华文楷体" w:hAnsi="华文楷体" w:hint="eastAsia"/>
          <w:sz w:val="24"/>
          <w:szCs w:val="24"/>
          <w:lang w:eastAsia="zh-CN"/>
        </w:rPr>
        <w:t>上</w:t>
      </w:r>
      <w:r>
        <w:rPr>
          <w:rFonts w:ascii="华文楷体" w:hAnsi="华文楷体" w:hint="eastAsia"/>
          <w:sz w:val="24"/>
          <w:szCs w:val="24"/>
          <w:lang w:eastAsia="zh-CN"/>
        </w:rPr>
        <w:t>与</w:t>
      </w:r>
      <w:r w:rsidR="00FF0D40">
        <w:rPr>
          <w:rFonts w:ascii="华文楷体" w:hAnsi="华文楷体" w:hint="eastAsia"/>
          <w:sz w:val="24"/>
          <w:szCs w:val="24"/>
          <w:lang w:eastAsia="zh-CN"/>
        </w:rPr>
        <w:t>二季度</w:t>
      </w:r>
      <w:r>
        <w:rPr>
          <w:rFonts w:ascii="华文楷体" w:hAnsi="华文楷体" w:hint="eastAsia"/>
          <w:sz w:val="24"/>
          <w:szCs w:val="24"/>
          <w:lang w:eastAsia="zh-CN"/>
        </w:rPr>
        <w:t>货币政策报告</w:t>
      </w:r>
      <w:r w:rsidR="00FF0D40">
        <w:rPr>
          <w:rFonts w:ascii="华文楷体" w:hAnsi="华文楷体" w:hint="eastAsia"/>
          <w:sz w:val="24"/>
          <w:szCs w:val="24"/>
          <w:lang w:eastAsia="zh-CN"/>
        </w:rPr>
        <w:t>表述</w:t>
      </w:r>
      <w:r>
        <w:rPr>
          <w:rFonts w:ascii="华文楷体" w:hAnsi="华文楷体" w:hint="eastAsia"/>
          <w:sz w:val="24"/>
          <w:szCs w:val="24"/>
          <w:lang w:eastAsia="zh-CN"/>
        </w:rPr>
        <w:t>一致，坚持市场利率围绕基准利率波动为主。</w:t>
      </w:r>
    </w:p>
    <w:p w14:paraId="395C0A5F" w14:textId="77777777" w:rsidR="001269D9" w:rsidRDefault="00790075" w:rsidP="00C1352D">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针对会议中</w:t>
      </w:r>
      <w:r w:rsidR="00C1352D">
        <w:rPr>
          <w:rFonts w:ascii="华文楷体" w:hAnsi="华文楷体" w:hint="eastAsia"/>
          <w:sz w:val="24"/>
          <w:szCs w:val="24"/>
          <w:lang w:eastAsia="zh-CN"/>
        </w:rPr>
        <w:t>提到的“明年杠杆率更稳一些”，</w:t>
      </w:r>
      <w:r>
        <w:rPr>
          <w:rFonts w:ascii="华文楷体" w:hAnsi="华文楷体" w:hint="eastAsia"/>
          <w:sz w:val="24"/>
          <w:szCs w:val="24"/>
          <w:lang w:eastAsia="zh-CN"/>
        </w:rPr>
        <w:t>部分体现</w:t>
      </w:r>
      <w:r w:rsidR="00C1352D">
        <w:rPr>
          <w:rFonts w:ascii="华文楷体" w:hAnsi="华文楷体" w:hint="eastAsia"/>
          <w:sz w:val="24"/>
          <w:szCs w:val="24"/>
          <w:lang w:eastAsia="zh-CN"/>
        </w:rPr>
        <w:t>了政策层对杠杆率</w:t>
      </w:r>
      <w:r>
        <w:rPr>
          <w:rFonts w:ascii="华文楷体" w:hAnsi="华文楷体" w:hint="eastAsia"/>
          <w:sz w:val="24"/>
          <w:szCs w:val="24"/>
          <w:lang w:eastAsia="zh-CN"/>
        </w:rPr>
        <w:t>是</w:t>
      </w:r>
      <w:r w:rsidR="00C1352D">
        <w:rPr>
          <w:rFonts w:ascii="华文楷体" w:hAnsi="华文楷体" w:hint="eastAsia"/>
          <w:sz w:val="24"/>
          <w:szCs w:val="24"/>
          <w:lang w:eastAsia="zh-CN"/>
        </w:rPr>
        <w:t>具有</w:t>
      </w:r>
      <w:r>
        <w:rPr>
          <w:rFonts w:ascii="华文楷体" w:hAnsi="华文楷体" w:hint="eastAsia"/>
          <w:sz w:val="24"/>
          <w:szCs w:val="24"/>
          <w:lang w:eastAsia="zh-CN"/>
        </w:rPr>
        <w:t>一定</w:t>
      </w:r>
      <w:r w:rsidR="00C1352D">
        <w:rPr>
          <w:rFonts w:ascii="华文楷体" w:hAnsi="华文楷体" w:hint="eastAsia"/>
          <w:sz w:val="24"/>
          <w:szCs w:val="24"/>
          <w:lang w:eastAsia="zh-CN"/>
        </w:rPr>
        <w:t>容忍度，</w:t>
      </w:r>
      <w:r>
        <w:rPr>
          <w:rFonts w:ascii="华文楷体" w:hAnsi="华文楷体" w:hint="eastAsia"/>
          <w:sz w:val="24"/>
          <w:szCs w:val="24"/>
          <w:lang w:eastAsia="zh-CN"/>
        </w:rPr>
        <w:t>货币政策</w:t>
      </w:r>
      <w:r w:rsidR="00C1352D">
        <w:rPr>
          <w:rFonts w:ascii="华文楷体" w:hAnsi="华文楷体" w:hint="eastAsia"/>
          <w:sz w:val="24"/>
          <w:szCs w:val="24"/>
          <w:lang w:eastAsia="zh-CN"/>
        </w:rPr>
        <w:t>更多</w:t>
      </w:r>
      <w:r>
        <w:rPr>
          <w:rFonts w:ascii="华文楷体" w:hAnsi="华文楷体" w:hint="eastAsia"/>
          <w:sz w:val="24"/>
          <w:szCs w:val="24"/>
          <w:lang w:eastAsia="zh-CN"/>
        </w:rPr>
        <w:t>倾向于</w:t>
      </w:r>
      <w:r w:rsidR="00C1352D">
        <w:rPr>
          <w:rFonts w:ascii="华文楷体" w:hAnsi="华文楷体" w:hint="eastAsia"/>
          <w:sz w:val="24"/>
          <w:szCs w:val="24"/>
          <w:lang w:eastAsia="zh-CN"/>
        </w:rPr>
        <w:t>根据经济恢复情况相机抉择。</w:t>
      </w:r>
      <w:r w:rsidR="001269D9">
        <w:rPr>
          <w:rFonts w:ascii="华文楷体" w:hAnsi="华文楷体" w:hint="eastAsia"/>
          <w:sz w:val="24"/>
          <w:szCs w:val="24"/>
          <w:lang w:eastAsia="zh-CN"/>
        </w:rPr>
        <w:t>本周公布的三季度经济数据显示</w:t>
      </w:r>
      <w:r w:rsidR="001269D9" w:rsidRPr="003413B0">
        <w:rPr>
          <w:rFonts w:ascii="华文楷体" w:hAnsi="华文楷体" w:hint="eastAsia"/>
          <w:sz w:val="24"/>
          <w:szCs w:val="24"/>
          <w:lang w:eastAsia="zh-CN"/>
        </w:rPr>
        <w:t>多数超预期，消费、出口、制造业等内</w:t>
      </w:r>
      <w:proofErr w:type="gramStart"/>
      <w:r w:rsidR="001269D9" w:rsidRPr="003413B0">
        <w:rPr>
          <w:rFonts w:ascii="华文楷体" w:hAnsi="华文楷体" w:hint="eastAsia"/>
          <w:sz w:val="24"/>
          <w:szCs w:val="24"/>
          <w:lang w:eastAsia="zh-CN"/>
        </w:rPr>
        <w:t>生</w:t>
      </w:r>
      <w:r w:rsidR="001269D9">
        <w:rPr>
          <w:rFonts w:ascii="华文楷体" w:hAnsi="华文楷体" w:hint="eastAsia"/>
          <w:sz w:val="24"/>
          <w:szCs w:val="24"/>
          <w:lang w:eastAsia="zh-CN"/>
        </w:rPr>
        <w:t>需求</w:t>
      </w:r>
      <w:proofErr w:type="gramEnd"/>
      <w:r w:rsidR="001269D9">
        <w:rPr>
          <w:rFonts w:ascii="华文楷体" w:hAnsi="华文楷体" w:hint="eastAsia"/>
          <w:sz w:val="24"/>
          <w:szCs w:val="24"/>
          <w:lang w:eastAsia="zh-CN"/>
        </w:rPr>
        <w:t>表现仍相对</w:t>
      </w:r>
      <w:r w:rsidR="001269D9" w:rsidRPr="003413B0">
        <w:rPr>
          <w:rFonts w:ascii="华文楷体" w:hAnsi="华文楷体" w:hint="eastAsia"/>
          <w:sz w:val="24"/>
          <w:szCs w:val="24"/>
          <w:lang w:eastAsia="zh-CN"/>
        </w:rPr>
        <w:t>强势，9月</w:t>
      </w:r>
      <w:proofErr w:type="gramStart"/>
      <w:r w:rsidR="001269D9" w:rsidRPr="003413B0">
        <w:rPr>
          <w:rFonts w:ascii="华文楷体" w:hAnsi="华文楷体" w:hint="eastAsia"/>
          <w:sz w:val="24"/>
          <w:szCs w:val="24"/>
          <w:lang w:eastAsia="zh-CN"/>
        </w:rPr>
        <w:t>社零当月</w:t>
      </w:r>
      <w:proofErr w:type="gramEnd"/>
      <w:r w:rsidR="001269D9" w:rsidRPr="003413B0">
        <w:rPr>
          <w:rFonts w:ascii="华文楷体" w:hAnsi="华文楷体" w:hint="eastAsia"/>
          <w:sz w:val="24"/>
          <w:szCs w:val="24"/>
          <w:lang w:eastAsia="zh-CN"/>
        </w:rPr>
        <w:t>同比加速上行至3.3%，劳动密集型商品出口三季度持续改善，制造业投资当月同比加快修复至7.6%。</w:t>
      </w:r>
      <w:r w:rsidR="001269D9">
        <w:rPr>
          <w:rFonts w:ascii="华文楷体" w:hAnsi="华文楷体" w:hint="eastAsia"/>
          <w:sz w:val="24"/>
          <w:szCs w:val="24"/>
          <w:lang w:eastAsia="zh-CN"/>
        </w:rPr>
        <w:t>当前数据看，</w:t>
      </w:r>
      <w:r w:rsidR="00C1352D" w:rsidRPr="00C1352D">
        <w:rPr>
          <w:rFonts w:ascii="华文楷体" w:hAnsi="华文楷体" w:hint="eastAsia"/>
          <w:sz w:val="24"/>
          <w:szCs w:val="24"/>
          <w:lang w:eastAsia="zh-CN"/>
        </w:rPr>
        <w:t>2020年上半年杠杆率抬升21个百分点，今年全年杠杆率或提升近26</w:t>
      </w:r>
      <w:r w:rsidR="00496688">
        <w:rPr>
          <w:rFonts w:ascii="华文楷体" w:hAnsi="华文楷体" w:hint="eastAsia"/>
          <w:sz w:val="24"/>
          <w:szCs w:val="24"/>
          <w:lang w:eastAsia="zh-CN"/>
        </w:rPr>
        <w:t>个百分点。</w:t>
      </w:r>
    </w:p>
    <w:p w14:paraId="317FB599" w14:textId="60B25E59" w:rsidR="00C1352D" w:rsidRPr="00C1352D" w:rsidRDefault="001269D9" w:rsidP="00C1352D">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根据易纲行长此次发言来看，未来一段时间内货币政策仍将维持</w:t>
      </w:r>
      <w:proofErr w:type="gramStart"/>
      <w:r>
        <w:rPr>
          <w:rFonts w:ascii="华文楷体" w:hAnsi="华文楷体" w:hint="eastAsia"/>
          <w:sz w:val="24"/>
          <w:szCs w:val="24"/>
          <w:lang w:eastAsia="zh-CN"/>
        </w:rPr>
        <w:t>稳增长</w:t>
      </w:r>
      <w:proofErr w:type="gramEnd"/>
      <w:r>
        <w:rPr>
          <w:rFonts w:ascii="华文楷体" w:hAnsi="华文楷体" w:hint="eastAsia"/>
          <w:sz w:val="24"/>
          <w:szCs w:val="24"/>
          <w:lang w:eastAsia="zh-CN"/>
        </w:rPr>
        <w:t>和防风险两相平衡，保持</w:t>
      </w:r>
      <w:r w:rsidRPr="001269D9">
        <w:rPr>
          <w:rFonts w:ascii="华文楷体" w:hAnsi="华文楷体" w:hint="eastAsia"/>
          <w:sz w:val="24"/>
          <w:szCs w:val="24"/>
          <w:lang w:eastAsia="zh-CN"/>
        </w:rPr>
        <w:t>货币供应与反映潜在产出的名义国内生产总值增速基本匹配</w:t>
      </w:r>
      <w:r>
        <w:rPr>
          <w:rFonts w:ascii="华文楷体" w:hAnsi="华文楷体" w:hint="eastAsia"/>
          <w:sz w:val="24"/>
          <w:szCs w:val="24"/>
          <w:lang w:eastAsia="zh-CN"/>
        </w:rPr>
        <w:t>，对货币</w:t>
      </w:r>
      <w:proofErr w:type="gramStart"/>
      <w:r>
        <w:rPr>
          <w:rFonts w:ascii="华文楷体" w:hAnsi="华文楷体" w:hint="eastAsia"/>
          <w:sz w:val="24"/>
          <w:szCs w:val="24"/>
          <w:lang w:eastAsia="zh-CN"/>
        </w:rPr>
        <w:t>供应总</w:t>
      </w:r>
      <w:proofErr w:type="gramEnd"/>
      <w:r>
        <w:rPr>
          <w:rFonts w:ascii="华文楷体" w:hAnsi="华文楷体" w:hint="eastAsia"/>
          <w:sz w:val="24"/>
          <w:szCs w:val="24"/>
          <w:lang w:eastAsia="zh-CN"/>
        </w:rPr>
        <w:t>闸门的调控会更趋平稳审慎。</w:t>
      </w:r>
    </w:p>
    <w:p w14:paraId="0E3B236C" w14:textId="0E8AF3B7" w:rsidR="00284F16" w:rsidRDefault="00496688" w:rsidP="009E3C2E">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对债市</w:t>
      </w:r>
      <w:r w:rsidR="001269D9">
        <w:rPr>
          <w:rFonts w:ascii="华文楷体" w:hAnsi="华文楷体" w:hint="eastAsia"/>
          <w:sz w:val="24"/>
          <w:szCs w:val="24"/>
          <w:lang w:eastAsia="zh-CN"/>
        </w:rPr>
        <w:t>而言</w:t>
      </w:r>
      <w:r>
        <w:rPr>
          <w:rFonts w:ascii="华文楷体" w:hAnsi="华文楷体" w:hint="eastAsia"/>
          <w:sz w:val="24"/>
          <w:szCs w:val="24"/>
          <w:lang w:eastAsia="zh-CN"/>
        </w:rPr>
        <w:t>，自二季度以来债券市场</w:t>
      </w:r>
      <w:r w:rsidR="001269D9">
        <w:rPr>
          <w:rFonts w:ascii="华文楷体" w:hAnsi="华文楷体" w:hint="eastAsia"/>
          <w:sz w:val="24"/>
          <w:szCs w:val="24"/>
          <w:lang w:eastAsia="zh-CN"/>
        </w:rPr>
        <w:t>收益率</w:t>
      </w:r>
      <w:r>
        <w:rPr>
          <w:rFonts w:ascii="华文楷体" w:hAnsi="华文楷体" w:hint="eastAsia"/>
          <w:sz w:val="24"/>
          <w:szCs w:val="24"/>
          <w:lang w:eastAsia="zh-CN"/>
        </w:rPr>
        <w:t>持续上行，当前利空因素市场已预期相对充分，基本面数据持续改善，但结构性如地产和基建数据预计未来1-2个季度可能出现一定边际收敛。</w:t>
      </w:r>
      <w:proofErr w:type="gramStart"/>
      <w:r>
        <w:rPr>
          <w:rFonts w:ascii="华文楷体" w:hAnsi="华文楷体" w:hint="eastAsia"/>
          <w:sz w:val="24"/>
          <w:szCs w:val="24"/>
          <w:lang w:eastAsia="zh-CN"/>
        </w:rPr>
        <w:t>稳经济</w:t>
      </w:r>
      <w:proofErr w:type="gramEnd"/>
      <w:r>
        <w:rPr>
          <w:rFonts w:ascii="华文楷体" w:hAnsi="华文楷体" w:hint="eastAsia"/>
          <w:sz w:val="24"/>
          <w:szCs w:val="24"/>
          <w:lang w:eastAsia="zh-CN"/>
        </w:rPr>
        <w:t>政策仍将延续，但强刺激政策预计边际收敛</w:t>
      </w:r>
      <w:r w:rsidR="009E3C2E">
        <w:rPr>
          <w:rFonts w:ascii="华文楷体" w:hAnsi="华文楷体" w:hint="eastAsia"/>
          <w:sz w:val="24"/>
          <w:szCs w:val="24"/>
          <w:lang w:eastAsia="zh-CN"/>
        </w:rPr>
        <w:t>。但综合</w:t>
      </w:r>
      <w:r>
        <w:rPr>
          <w:rFonts w:ascii="华文楷体" w:hAnsi="华文楷体" w:hint="eastAsia"/>
          <w:sz w:val="24"/>
          <w:szCs w:val="24"/>
          <w:lang w:eastAsia="zh-CN"/>
        </w:rPr>
        <w:t>考虑</w:t>
      </w:r>
      <w:r w:rsidR="009E3C2E">
        <w:rPr>
          <w:rFonts w:ascii="华文楷体" w:hAnsi="华文楷体" w:hint="eastAsia"/>
          <w:sz w:val="24"/>
          <w:szCs w:val="24"/>
          <w:lang w:eastAsia="zh-CN"/>
        </w:rPr>
        <w:t>，</w:t>
      </w:r>
      <w:r>
        <w:rPr>
          <w:rFonts w:ascii="华文楷体" w:hAnsi="华文楷体" w:hint="eastAsia"/>
          <w:sz w:val="24"/>
          <w:szCs w:val="24"/>
          <w:lang w:eastAsia="zh-CN"/>
        </w:rPr>
        <w:t>当前内外环境的不确定性持续走强，经济修复的过程中，</w:t>
      </w:r>
      <w:proofErr w:type="gramStart"/>
      <w:r>
        <w:rPr>
          <w:rFonts w:ascii="华文楷体" w:hAnsi="华文楷体" w:hint="eastAsia"/>
          <w:sz w:val="24"/>
          <w:szCs w:val="24"/>
          <w:lang w:eastAsia="zh-CN"/>
        </w:rPr>
        <w:t>稳经济保</w:t>
      </w:r>
      <w:proofErr w:type="gramEnd"/>
      <w:r>
        <w:rPr>
          <w:rFonts w:ascii="华文楷体" w:hAnsi="华文楷体" w:hint="eastAsia"/>
          <w:sz w:val="24"/>
          <w:szCs w:val="24"/>
          <w:lang w:eastAsia="zh-CN"/>
        </w:rPr>
        <w:t>经济仍是优先项。债券市场短期存在一定博弈机会，但</w:t>
      </w:r>
      <w:r>
        <w:rPr>
          <w:rFonts w:ascii="华文楷体" w:hAnsi="华文楷体" w:hint="eastAsia"/>
          <w:sz w:val="24"/>
          <w:szCs w:val="24"/>
          <w:lang w:eastAsia="zh-CN"/>
        </w:rPr>
        <w:lastRenderedPageBreak/>
        <w:t>是趋势性机会仍有待观察，</w:t>
      </w:r>
      <w:r w:rsidR="00034037">
        <w:rPr>
          <w:rFonts w:ascii="华文楷体" w:hAnsi="华文楷体" w:hint="eastAsia"/>
          <w:sz w:val="24"/>
          <w:szCs w:val="24"/>
          <w:lang w:eastAsia="zh-CN"/>
        </w:rPr>
        <w:t>近</w:t>
      </w:r>
      <w:r>
        <w:rPr>
          <w:rFonts w:ascii="华文楷体" w:hAnsi="华文楷体" w:hint="eastAsia"/>
          <w:sz w:val="24"/>
          <w:szCs w:val="24"/>
          <w:lang w:eastAsia="zh-CN"/>
        </w:rPr>
        <w:t>期主要关注点在于市场风险偏好调整以及债券市场配置力量</w:t>
      </w:r>
      <w:r w:rsidR="003D09B8">
        <w:rPr>
          <w:rFonts w:ascii="华文楷体" w:hAnsi="华文楷体" w:hint="eastAsia"/>
          <w:sz w:val="24"/>
          <w:szCs w:val="24"/>
          <w:lang w:eastAsia="zh-CN"/>
        </w:rPr>
        <w:t>能否有所</w:t>
      </w:r>
      <w:r>
        <w:rPr>
          <w:rFonts w:ascii="华文楷体" w:hAnsi="华文楷体" w:hint="eastAsia"/>
          <w:sz w:val="24"/>
          <w:szCs w:val="24"/>
          <w:lang w:eastAsia="zh-CN"/>
        </w:rPr>
        <w:t>显现。</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70AD7AB6"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3C6AC1">
        <w:rPr>
          <w:rFonts w:ascii="华文楷体" w:hAnsi="华文楷体" w:hint="eastAsia"/>
          <w:sz w:val="24"/>
          <w:szCs w:val="24"/>
          <w:lang w:eastAsia="zh-CN"/>
        </w:rPr>
        <w:t>净投放</w:t>
      </w:r>
      <w:r w:rsidR="00A77E3C">
        <w:rPr>
          <w:rFonts w:ascii="华文楷体" w:hAnsi="华文楷体" w:hint="eastAsia"/>
          <w:sz w:val="24"/>
          <w:szCs w:val="24"/>
          <w:lang w:eastAsia="zh-CN"/>
        </w:rPr>
        <w:t>22</w:t>
      </w:r>
      <w:r w:rsidR="003C6AC1">
        <w:rPr>
          <w:rFonts w:ascii="华文楷体" w:hAnsi="华文楷体" w:hint="eastAsia"/>
          <w:sz w:val="24"/>
          <w:szCs w:val="24"/>
          <w:lang w:eastAsia="zh-CN"/>
        </w:rPr>
        <w:t>00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A77E3C">
        <w:rPr>
          <w:rFonts w:ascii="华文楷体" w:hAnsi="华文楷体" w:hint="eastAsia"/>
          <w:sz w:val="24"/>
          <w:szCs w:val="24"/>
          <w:lang w:eastAsia="zh-CN"/>
        </w:rPr>
        <w:t>货币投放3200亿,到期1000亿</w:t>
      </w:r>
      <w:r w:rsidR="005671F6">
        <w:rPr>
          <w:rFonts w:ascii="华文楷体" w:hAnsi="华文楷体" w:hint="eastAsia"/>
          <w:sz w:val="24"/>
          <w:szCs w:val="24"/>
          <w:lang w:eastAsia="zh-CN"/>
        </w:rPr>
        <w:t>。</w:t>
      </w:r>
      <w:r w:rsidR="00DC4A12">
        <w:rPr>
          <w:rFonts w:ascii="华文楷体" w:hAnsi="华文楷体" w:hint="eastAsia"/>
          <w:sz w:val="24"/>
          <w:szCs w:val="24"/>
          <w:lang w:eastAsia="zh-CN"/>
        </w:rPr>
        <w:t>资金利率</w:t>
      </w:r>
      <w:r w:rsidR="00854190">
        <w:rPr>
          <w:rFonts w:ascii="华文楷体" w:hAnsi="华文楷体" w:hint="eastAsia"/>
          <w:sz w:val="24"/>
          <w:szCs w:val="24"/>
          <w:lang w:eastAsia="zh-CN"/>
        </w:rPr>
        <w:t>震荡为主</w:t>
      </w:r>
      <w:r w:rsidR="00DC4A12">
        <w:rPr>
          <w:rFonts w:ascii="华文楷体" w:hAnsi="华文楷体" w:hint="eastAsia"/>
          <w:sz w:val="24"/>
          <w:szCs w:val="24"/>
          <w:lang w:eastAsia="zh-CN"/>
        </w:rPr>
        <w:t>,</w:t>
      </w:r>
      <w:r w:rsidR="003C6AC1">
        <w:rPr>
          <w:rFonts w:ascii="华文楷体" w:hAnsi="华文楷体" w:hint="eastAsia"/>
          <w:sz w:val="24"/>
          <w:szCs w:val="24"/>
          <w:lang w:eastAsia="zh-CN"/>
        </w:rPr>
        <w:t>整体</w:t>
      </w:r>
      <w:r w:rsidR="00A77E3C">
        <w:rPr>
          <w:rFonts w:ascii="华文楷体" w:hAnsi="华文楷体" w:hint="eastAsia"/>
          <w:sz w:val="24"/>
          <w:szCs w:val="24"/>
          <w:lang w:eastAsia="zh-CN"/>
        </w:rPr>
        <w:t>持续</w:t>
      </w:r>
      <w:r w:rsidR="003C6AC1">
        <w:rPr>
          <w:rFonts w:ascii="华文楷体" w:hAnsi="华文楷体" w:hint="eastAsia"/>
          <w:sz w:val="24"/>
          <w:szCs w:val="24"/>
          <w:lang w:eastAsia="zh-CN"/>
        </w:rPr>
        <w:t>平稳</w:t>
      </w:r>
      <w:r w:rsidR="00D9413F">
        <w:rPr>
          <w:rFonts w:ascii="华文楷体" w:hAnsi="华文楷体" w:hint="eastAsia"/>
          <w:sz w:val="24"/>
          <w:szCs w:val="24"/>
          <w:lang w:eastAsia="zh-CN"/>
        </w:rPr>
        <w:t>。</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854190">
        <w:rPr>
          <w:rFonts w:ascii="华文楷体" w:hAnsi="华文楷体" w:hint="eastAsia"/>
          <w:sz w:val="24"/>
          <w:szCs w:val="24"/>
          <w:lang w:eastAsia="zh-CN"/>
        </w:rPr>
        <w:t>五</w:t>
      </w:r>
      <w:r w:rsidR="00F62F43">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A77E3C">
        <w:rPr>
          <w:rFonts w:ascii="华文楷体" w:hAnsi="华文楷体" w:hint="eastAsia"/>
          <w:sz w:val="24"/>
          <w:szCs w:val="24"/>
          <w:lang w:eastAsia="zh-CN"/>
        </w:rPr>
        <w:t>16</w:t>
      </w:r>
      <w:r w:rsidR="00D9413F">
        <w:rPr>
          <w:rFonts w:ascii="华文楷体" w:hAnsi="华文楷体" w:hint="eastAsia"/>
          <w:sz w:val="24"/>
          <w:szCs w:val="24"/>
          <w:lang w:eastAsia="zh-CN"/>
        </w:rPr>
        <w:t>BP至</w:t>
      </w:r>
      <w:r w:rsidR="00F62F43">
        <w:rPr>
          <w:rFonts w:ascii="华文楷体" w:hAnsi="华文楷体" w:hint="eastAsia"/>
          <w:sz w:val="24"/>
          <w:szCs w:val="24"/>
          <w:lang w:eastAsia="zh-CN"/>
        </w:rPr>
        <w:t>2.</w:t>
      </w:r>
      <w:r w:rsidR="00A77E3C">
        <w:rPr>
          <w:rFonts w:ascii="华文楷体" w:hAnsi="华文楷体" w:hint="eastAsia"/>
          <w:sz w:val="24"/>
          <w:szCs w:val="24"/>
          <w:lang w:eastAsia="zh-CN"/>
        </w:rPr>
        <w:t>22</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F62F43">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A77E3C">
        <w:rPr>
          <w:rFonts w:ascii="华文楷体" w:hAnsi="华文楷体" w:hint="eastAsia"/>
          <w:sz w:val="24"/>
          <w:szCs w:val="24"/>
          <w:lang w:eastAsia="zh-CN"/>
        </w:rPr>
        <w:t>5</w:t>
      </w:r>
      <w:r w:rsidR="00D9413F">
        <w:rPr>
          <w:rFonts w:ascii="华文楷体" w:hAnsi="华文楷体" w:hint="eastAsia"/>
          <w:sz w:val="24"/>
          <w:szCs w:val="24"/>
          <w:lang w:eastAsia="zh-CN"/>
        </w:rPr>
        <w:t>BP至</w:t>
      </w:r>
      <w:r w:rsidR="00F62F43">
        <w:rPr>
          <w:rFonts w:ascii="华文楷体" w:hAnsi="华文楷体" w:hint="eastAsia"/>
          <w:sz w:val="24"/>
          <w:szCs w:val="24"/>
          <w:lang w:eastAsia="zh-CN"/>
        </w:rPr>
        <w:t>2</w:t>
      </w:r>
      <w:r w:rsidR="00A77E3C">
        <w:rPr>
          <w:rFonts w:ascii="华文楷体" w:hAnsi="华文楷体" w:hint="eastAsia"/>
          <w:sz w:val="24"/>
          <w:szCs w:val="24"/>
          <w:lang w:eastAsia="zh-CN"/>
        </w:rPr>
        <w:t>.36</w:t>
      </w:r>
      <w:r w:rsidR="00EC3415">
        <w:rPr>
          <w:rFonts w:ascii="华文楷体" w:hAnsi="华文楷体" w:hint="eastAsia"/>
          <w:sz w:val="24"/>
          <w:szCs w:val="24"/>
          <w:lang w:eastAsia="zh-CN"/>
        </w:rPr>
        <w:t>%</w:t>
      </w:r>
      <w:r w:rsidR="0037137A">
        <w:rPr>
          <w:rFonts w:ascii="华文楷体" w:hAnsi="华文楷体" w:hint="eastAsia"/>
          <w:sz w:val="24"/>
          <w:szCs w:val="24"/>
          <w:lang w:eastAsia="zh-CN"/>
        </w:rPr>
        <w:t>，</w:t>
      </w:r>
      <w:r w:rsidR="005671F6">
        <w:rPr>
          <w:rFonts w:ascii="华文楷体" w:hAnsi="华文楷体" w:hint="eastAsia"/>
          <w:sz w:val="24"/>
          <w:szCs w:val="24"/>
          <w:lang w:eastAsia="zh-CN"/>
        </w:rPr>
        <w:t>下周公开市场</w:t>
      </w:r>
      <w:r w:rsidR="00854190">
        <w:rPr>
          <w:rFonts w:ascii="华文楷体" w:hAnsi="华文楷体" w:hint="eastAsia"/>
          <w:sz w:val="24"/>
          <w:szCs w:val="24"/>
          <w:lang w:eastAsia="zh-CN"/>
        </w:rPr>
        <w:t>操作与</w:t>
      </w:r>
      <w:r w:rsidR="003C6AC1">
        <w:rPr>
          <w:rFonts w:ascii="华文楷体" w:hAnsi="华文楷体" w:hint="eastAsia"/>
          <w:sz w:val="24"/>
          <w:szCs w:val="24"/>
          <w:lang w:eastAsia="zh-CN"/>
        </w:rPr>
        <w:t>国库现金定存</w:t>
      </w:r>
      <w:r w:rsidR="00854190">
        <w:rPr>
          <w:rFonts w:ascii="华文楷体" w:hAnsi="华文楷体" w:hint="eastAsia"/>
          <w:sz w:val="24"/>
          <w:szCs w:val="24"/>
          <w:lang w:eastAsia="zh-CN"/>
        </w:rPr>
        <w:t>合计到期</w:t>
      </w:r>
      <w:r w:rsidR="00A77E3C">
        <w:rPr>
          <w:rFonts w:ascii="华文楷体" w:hAnsi="华文楷体" w:hint="eastAsia"/>
          <w:sz w:val="24"/>
          <w:szCs w:val="24"/>
          <w:lang w:eastAsia="zh-CN"/>
        </w:rPr>
        <w:t>32</w:t>
      </w:r>
      <w:r w:rsidR="00222198">
        <w:rPr>
          <w:rFonts w:ascii="华文楷体" w:hAnsi="华文楷体" w:hint="eastAsia"/>
          <w:sz w:val="24"/>
          <w:szCs w:val="24"/>
          <w:lang w:eastAsia="zh-CN"/>
        </w:rPr>
        <w:t>00</w:t>
      </w:r>
      <w:r w:rsidR="00854190">
        <w:rPr>
          <w:rFonts w:ascii="华文楷体" w:hAnsi="华文楷体" w:hint="eastAsia"/>
          <w:sz w:val="24"/>
          <w:szCs w:val="24"/>
          <w:lang w:eastAsia="zh-CN"/>
        </w:rPr>
        <w:t>亿</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A77E3C">
        <w:tblPrEx>
          <w:tblCellMar>
            <w:left w:w="108" w:type="dxa"/>
            <w:right w:w="108" w:type="dxa"/>
          </w:tblCellMar>
        </w:tblPrEx>
        <w:trPr>
          <w:jc w:val="center"/>
        </w:trPr>
        <w:tc>
          <w:tcPr>
            <w:tcW w:w="4939" w:type="dxa"/>
            <w:vAlign w:val="center"/>
          </w:tcPr>
          <w:p w14:paraId="60AEAEDC" w14:textId="47FF421F" w:rsidR="00E0626C" w:rsidRPr="003C6AC1" w:rsidRDefault="00A77E3C" w:rsidP="009A2BA0">
            <w:pPr>
              <w:jc w:val="center"/>
              <w:rPr>
                <w:noProof/>
                <w:sz w:val="20"/>
              </w:rPr>
            </w:pPr>
            <w:r>
              <w:rPr>
                <w:noProof/>
              </w:rPr>
              <w:drawing>
                <wp:inline distT="0" distB="0" distL="0" distR="0" wp14:anchorId="26986B17" wp14:editId="1D7123AE">
                  <wp:extent cx="2999105" cy="1670133"/>
                  <wp:effectExtent l="0" t="0" r="0" b="6350"/>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78AE1780" w:rsidR="00E0626C" w:rsidRPr="00F62F43" w:rsidRDefault="00A77E3C" w:rsidP="009A2BA0">
            <w:pPr>
              <w:jc w:val="center"/>
              <w:rPr>
                <w:noProof/>
                <w:sz w:val="16"/>
                <w:szCs w:val="18"/>
              </w:rPr>
            </w:pPr>
            <w:r>
              <w:rPr>
                <w:noProof/>
              </w:rPr>
              <w:drawing>
                <wp:inline distT="0" distB="0" distL="0" distR="0" wp14:anchorId="49C88A00" wp14:editId="0F3272F7">
                  <wp:extent cx="3132814" cy="1749287"/>
                  <wp:effectExtent l="0" t="0" r="0" b="3810"/>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63756FB8"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w:t>
      </w:r>
      <w:r w:rsidR="005A2EBC">
        <w:rPr>
          <w:rFonts w:ascii="华文楷体" w:hAnsi="华文楷体" w:hint="eastAsia"/>
          <w:sz w:val="24"/>
          <w:szCs w:val="24"/>
          <w:lang w:eastAsia="zh-CN"/>
        </w:rPr>
        <w:t>利率</w:t>
      </w:r>
      <w:proofErr w:type="gramStart"/>
      <w:r w:rsidR="005A2EBC">
        <w:rPr>
          <w:rFonts w:ascii="华文楷体" w:hAnsi="华文楷体"/>
          <w:sz w:val="24"/>
          <w:szCs w:val="24"/>
          <w:lang w:eastAsia="zh-CN"/>
        </w:rPr>
        <w:t>债</w:t>
      </w:r>
      <w:r w:rsidR="00807490">
        <w:rPr>
          <w:rFonts w:ascii="华文楷体" w:hAnsi="华文楷体" w:hint="eastAsia"/>
          <w:sz w:val="24"/>
          <w:szCs w:val="24"/>
          <w:lang w:eastAsia="zh-CN"/>
        </w:rPr>
        <w:t>情绪</w:t>
      </w:r>
      <w:proofErr w:type="gramEnd"/>
      <w:r w:rsidR="00ED1FBC">
        <w:rPr>
          <w:rFonts w:ascii="华文楷体" w:hAnsi="华文楷体" w:hint="eastAsia"/>
          <w:sz w:val="24"/>
          <w:szCs w:val="24"/>
          <w:lang w:eastAsia="zh-CN"/>
        </w:rPr>
        <w:t>较上周转好</w:t>
      </w:r>
      <w:r w:rsidR="00A327C0">
        <w:rPr>
          <w:rFonts w:ascii="华文楷体" w:hAnsi="华文楷体" w:hint="eastAsia"/>
          <w:sz w:val="24"/>
          <w:szCs w:val="24"/>
          <w:lang w:eastAsia="zh-CN"/>
        </w:rPr>
        <w:t>，</w:t>
      </w:r>
      <w:r w:rsidR="00ED1FBC">
        <w:rPr>
          <w:rFonts w:ascii="华文楷体" w:hAnsi="华文楷体" w:hint="eastAsia"/>
          <w:sz w:val="24"/>
          <w:szCs w:val="24"/>
          <w:lang w:eastAsia="zh-CN"/>
        </w:rPr>
        <w:t>在前期</w:t>
      </w:r>
      <w:r w:rsidR="00F62F43">
        <w:rPr>
          <w:rFonts w:ascii="华文楷体" w:hAnsi="华文楷体" w:hint="eastAsia"/>
          <w:sz w:val="24"/>
          <w:szCs w:val="24"/>
          <w:lang w:eastAsia="zh-CN"/>
        </w:rPr>
        <w:t>基本面预期及资金预期影响</w:t>
      </w:r>
      <w:r w:rsidR="00ED1FBC">
        <w:rPr>
          <w:rFonts w:ascii="华文楷体" w:hAnsi="华文楷体" w:hint="eastAsia"/>
          <w:sz w:val="24"/>
          <w:szCs w:val="24"/>
          <w:lang w:eastAsia="zh-CN"/>
        </w:rPr>
        <w:t>外,本周一级市场情绪明显较强带动二级市场跟随</w:t>
      </w:r>
      <w:r w:rsidR="00F62F43">
        <w:rPr>
          <w:rFonts w:ascii="华文楷体" w:hAnsi="华文楷体" w:hint="eastAsia"/>
          <w:sz w:val="24"/>
          <w:szCs w:val="24"/>
          <w:lang w:eastAsia="zh-CN"/>
        </w:rPr>
        <w:t>，国债曲线整体小幅</w:t>
      </w:r>
      <w:r w:rsidR="00575E0D">
        <w:rPr>
          <w:rFonts w:ascii="华文楷体" w:hAnsi="华文楷体" w:hint="eastAsia"/>
          <w:sz w:val="24"/>
          <w:szCs w:val="24"/>
          <w:lang w:eastAsia="zh-CN"/>
        </w:rPr>
        <w:t>震荡下行</w:t>
      </w:r>
      <w:r w:rsidR="00807490">
        <w:rPr>
          <w:rFonts w:ascii="华文楷体" w:hAnsi="华文楷体" w:hint="eastAsia"/>
          <w:sz w:val="24"/>
          <w:szCs w:val="24"/>
          <w:lang w:eastAsia="zh-CN"/>
        </w:rPr>
        <w:t>。</w:t>
      </w:r>
      <w:r w:rsidR="00A327C0">
        <w:rPr>
          <w:rFonts w:ascii="华文楷体" w:hAnsi="华文楷体" w:hint="eastAsia"/>
          <w:sz w:val="24"/>
          <w:szCs w:val="24"/>
          <w:lang w:eastAsia="zh-CN"/>
        </w:rPr>
        <w:t>期限利差</w:t>
      </w:r>
      <w:r w:rsidR="00807490">
        <w:rPr>
          <w:rFonts w:ascii="华文楷体" w:hAnsi="华文楷体" w:hint="eastAsia"/>
          <w:sz w:val="24"/>
          <w:szCs w:val="24"/>
          <w:lang w:eastAsia="zh-CN"/>
        </w:rPr>
        <w:t>仍持续</w:t>
      </w:r>
      <w:r w:rsidR="00F62F43">
        <w:rPr>
          <w:rFonts w:ascii="华文楷体" w:hAnsi="华文楷体" w:hint="eastAsia"/>
          <w:sz w:val="24"/>
          <w:szCs w:val="24"/>
          <w:lang w:eastAsia="zh-CN"/>
        </w:rPr>
        <w:t>低位震荡，</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在5</w:t>
      </w:r>
      <w:r w:rsidR="00575E0D">
        <w:rPr>
          <w:rFonts w:ascii="华文楷体" w:hAnsi="华文楷体" w:hint="eastAsia"/>
          <w:sz w:val="24"/>
          <w:szCs w:val="24"/>
          <w:lang w:eastAsia="zh-CN"/>
        </w:rPr>
        <w:t>1</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575E0D">
        <w:rPr>
          <w:rFonts w:ascii="华文楷体" w:hAnsi="华文楷体" w:hint="eastAsia"/>
          <w:sz w:val="24"/>
          <w:szCs w:val="24"/>
          <w:lang w:eastAsia="zh-CN"/>
        </w:rPr>
        <w:t>88</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575E0D">
        <w:rPr>
          <w:rFonts w:ascii="华文楷体" w:hAnsi="华文楷体" w:hint="eastAsia"/>
          <w:sz w:val="24"/>
          <w:szCs w:val="24"/>
          <w:lang w:eastAsia="zh-CN"/>
        </w:rPr>
        <w:t>下行2.5</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575E0D">
        <w:rPr>
          <w:rFonts w:ascii="华文楷体" w:hAnsi="华文楷体" w:hint="eastAsia"/>
          <w:sz w:val="24"/>
          <w:szCs w:val="24"/>
          <w:lang w:eastAsia="zh-CN"/>
        </w:rPr>
        <w:t>下行4.7</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，期限</w:t>
      </w:r>
      <w:r w:rsidR="006C1830">
        <w:rPr>
          <w:rFonts w:ascii="华文楷体" w:hAnsi="华文楷体"/>
          <w:sz w:val="24"/>
          <w:szCs w:val="24"/>
          <w:lang w:eastAsia="zh-CN"/>
        </w:rPr>
        <w:t>利差</w:t>
      </w:r>
      <w:r w:rsidR="00F62F43">
        <w:rPr>
          <w:rFonts w:ascii="华文楷体" w:hAnsi="华文楷体" w:hint="eastAsia"/>
          <w:sz w:val="24"/>
          <w:szCs w:val="24"/>
          <w:lang w:eastAsia="zh-CN"/>
        </w:rPr>
        <w:t>基本维持在相对低位</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575E0D">
        <w:tblPrEx>
          <w:tblCellMar>
            <w:left w:w="108" w:type="dxa"/>
            <w:right w:w="108" w:type="dxa"/>
          </w:tblCellMar>
        </w:tblPrEx>
        <w:trPr>
          <w:jc w:val="center"/>
        </w:trPr>
        <w:tc>
          <w:tcPr>
            <w:tcW w:w="4939" w:type="dxa"/>
            <w:vAlign w:val="center"/>
          </w:tcPr>
          <w:p w14:paraId="678C97B0" w14:textId="541F6484" w:rsidR="00E0626C" w:rsidRPr="007E0340" w:rsidRDefault="00575E0D" w:rsidP="002104B2">
            <w:pPr>
              <w:rPr>
                <w:noProof/>
              </w:rPr>
            </w:pPr>
            <w:r>
              <w:rPr>
                <w:noProof/>
              </w:rPr>
              <w:drawing>
                <wp:inline distT="0" distB="0" distL="0" distR="0" wp14:anchorId="53600035" wp14:editId="18729BA9">
                  <wp:extent cx="2999105" cy="1750695"/>
                  <wp:effectExtent l="0" t="0" r="0" b="1905"/>
                  <wp:docPr id="3" name="图表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2ED1ED97" w:rsidR="00E0626C" w:rsidRPr="007E0340" w:rsidRDefault="00575E0D" w:rsidP="009A2BA0">
            <w:pPr>
              <w:jc w:val="center"/>
              <w:rPr>
                <w:noProof/>
                <w:szCs w:val="18"/>
              </w:rPr>
            </w:pPr>
            <w:r>
              <w:rPr>
                <w:noProof/>
              </w:rPr>
              <w:drawing>
                <wp:inline distT="0" distB="0" distL="0" distR="0" wp14:anchorId="46947B31" wp14:editId="7FCA66E0">
                  <wp:extent cx="2998470" cy="1713700"/>
                  <wp:effectExtent l="0" t="0" r="0" b="1270"/>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249102A7" w:rsidR="007A3F0D" w:rsidRPr="00AC2976" w:rsidRDefault="004C6CBF" w:rsidP="00305223">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信用债</w:t>
      </w:r>
      <w:r>
        <w:rPr>
          <w:rFonts w:ascii="华文楷体" w:hAnsi="华文楷体" w:hint="eastAsia"/>
          <w:sz w:val="24"/>
          <w:szCs w:val="24"/>
          <w:lang w:eastAsia="zh-CN"/>
        </w:rPr>
        <w:t>表现</w:t>
      </w:r>
      <w:r w:rsidR="00305223" w:rsidRPr="00305223">
        <w:rPr>
          <w:rFonts w:ascii="华文楷体" w:hAnsi="华文楷体" w:hint="eastAsia"/>
          <w:sz w:val="24"/>
          <w:szCs w:val="24"/>
          <w:lang w:eastAsia="zh-CN"/>
        </w:rPr>
        <w:t>，</w:t>
      </w:r>
      <w:r w:rsidR="00F62F43">
        <w:rPr>
          <w:rFonts w:ascii="华文楷体" w:hAnsi="华文楷体" w:hint="eastAsia"/>
          <w:sz w:val="24"/>
          <w:szCs w:val="24"/>
          <w:lang w:eastAsia="zh-CN"/>
        </w:rPr>
        <w:t>本周信用债表现</w:t>
      </w:r>
      <w:r w:rsidR="003222EA">
        <w:rPr>
          <w:rFonts w:ascii="华文楷体" w:hAnsi="华文楷体" w:hint="eastAsia"/>
          <w:sz w:val="24"/>
          <w:szCs w:val="24"/>
          <w:lang w:eastAsia="zh-CN"/>
        </w:rPr>
        <w:t>延续节后行情</w:t>
      </w:r>
      <w:r w:rsidR="00F62F43">
        <w:rPr>
          <w:rFonts w:ascii="华文楷体" w:hAnsi="华文楷体" w:hint="eastAsia"/>
          <w:sz w:val="24"/>
          <w:szCs w:val="24"/>
          <w:lang w:eastAsia="zh-CN"/>
        </w:rPr>
        <w:t>，</w:t>
      </w:r>
      <w:r w:rsidR="003222EA">
        <w:rPr>
          <w:rFonts w:ascii="华文楷体" w:hAnsi="华文楷体" w:hint="eastAsia"/>
          <w:sz w:val="24"/>
          <w:szCs w:val="24"/>
          <w:lang w:eastAsia="zh-CN"/>
        </w:rPr>
        <w:t>3年中高等级品种表现持续亮眼</w:t>
      </w:r>
      <w:r w:rsidR="00115834">
        <w:rPr>
          <w:rFonts w:ascii="华文楷体" w:hAnsi="华文楷体" w:hint="eastAsia"/>
          <w:sz w:val="24"/>
          <w:szCs w:val="24"/>
          <w:lang w:eastAsia="zh-CN"/>
        </w:rPr>
        <w:t>。</w:t>
      </w:r>
      <w:r w:rsidR="00E817DF">
        <w:rPr>
          <w:rFonts w:ascii="华文楷体" w:hAnsi="华文楷体" w:hint="eastAsia"/>
          <w:sz w:val="24"/>
          <w:szCs w:val="24"/>
          <w:lang w:eastAsia="zh-CN"/>
        </w:rPr>
        <w:t>具体</w:t>
      </w:r>
      <w:r w:rsidR="00E817DF">
        <w:rPr>
          <w:rFonts w:ascii="华文楷体" w:hAnsi="华文楷体"/>
          <w:sz w:val="24"/>
          <w:szCs w:val="24"/>
          <w:lang w:eastAsia="zh-CN"/>
        </w:rPr>
        <w:t>来看，</w:t>
      </w:r>
      <w:r w:rsidR="00E817DF">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中短期票据，</w:t>
      </w:r>
      <w:r w:rsidR="00853AFB">
        <w:rPr>
          <w:rFonts w:ascii="华文楷体" w:hAnsi="华文楷体" w:hint="eastAsia"/>
          <w:sz w:val="24"/>
          <w:szCs w:val="24"/>
          <w:lang w:eastAsia="zh-CN"/>
        </w:rPr>
        <w:t>3</w:t>
      </w:r>
      <w:r w:rsidR="00305223" w:rsidRPr="00305223">
        <w:rPr>
          <w:rFonts w:ascii="华文楷体" w:hAnsi="华文楷体" w:hint="eastAsia"/>
          <w:sz w:val="24"/>
          <w:szCs w:val="24"/>
          <w:lang w:eastAsia="zh-CN"/>
        </w:rPr>
        <w:t>Y</w:t>
      </w:r>
      <w:r w:rsidR="007734CD">
        <w:rPr>
          <w:rFonts w:ascii="华文楷体" w:hAnsi="华文楷体" w:hint="eastAsia"/>
          <w:sz w:val="24"/>
          <w:szCs w:val="24"/>
          <w:lang w:eastAsia="zh-CN"/>
        </w:rPr>
        <w:t>中票企业债</w:t>
      </w:r>
      <w:r w:rsidR="008D33AB">
        <w:rPr>
          <w:rFonts w:ascii="华文楷体" w:hAnsi="华文楷体" w:hint="eastAsia"/>
          <w:sz w:val="24"/>
          <w:szCs w:val="24"/>
          <w:lang w:eastAsia="zh-CN"/>
        </w:rPr>
        <w:t>收益率下行</w:t>
      </w:r>
      <w:r w:rsidR="003222EA">
        <w:rPr>
          <w:rFonts w:ascii="华文楷体" w:hAnsi="华文楷体" w:hint="eastAsia"/>
          <w:sz w:val="24"/>
          <w:szCs w:val="24"/>
          <w:lang w:eastAsia="zh-CN"/>
        </w:rPr>
        <w:t>6</w:t>
      </w:r>
      <w:r w:rsidR="008D33AB">
        <w:rPr>
          <w:rFonts w:ascii="华文楷体" w:hAnsi="华文楷体" w:hint="eastAsia"/>
          <w:sz w:val="24"/>
          <w:szCs w:val="24"/>
          <w:lang w:eastAsia="zh-CN"/>
        </w:rPr>
        <w:t>BP</w:t>
      </w:r>
      <w:r w:rsidR="006B343C">
        <w:rPr>
          <w:rFonts w:ascii="华文楷体" w:hAnsi="华文楷体" w:hint="eastAsia"/>
          <w:sz w:val="24"/>
          <w:szCs w:val="24"/>
          <w:lang w:eastAsia="zh-CN"/>
        </w:rPr>
        <w:t>，</w:t>
      </w:r>
      <w:r w:rsidR="003222EA">
        <w:rPr>
          <w:rFonts w:ascii="华文楷体" w:hAnsi="华文楷体" w:hint="eastAsia"/>
          <w:sz w:val="24"/>
          <w:szCs w:val="24"/>
          <w:lang w:eastAsia="zh-CN"/>
        </w:rPr>
        <w:t>3Y</w:t>
      </w:r>
      <w:proofErr w:type="gramStart"/>
      <w:r w:rsidR="003222EA">
        <w:rPr>
          <w:rFonts w:ascii="华文楷体" w:hAnsi="华文楷体" w:hint="eastAsia"/>
          <w:sz w:val="24"/>
          <w:szCs w:val="24"/>
          <w:lang w:eastAsia="zh-CN"/>
        </w:rPr>
        <w:t>城投债收益率</w:t>
      </w:r>
      <w:proofErr w:type="gramEnd"/>
      <w:r w:rsidR="003222EA">
        <w:rPr>
          <w:rFonts w:ascii="华文楷体" w:hAnsi="华文楷体" w:hint="eastAsia"/>
          <w:sz w:val="24"/>
          <w:szCs w:val="24"/>
          <w:lang w:eastAsia="zh-CN"/>
        </w:rPr>
        <w:t>下行4.5-6BP</w:t>
      </w:r>
      <w:r w:rsidR="006B343C">
        <w:rPr>
          <w:rFonts w:ascii="华文楷体" w:hAnsi="华文楷体" w:hint="eastAsia"/>
          <w:sz w:val="24"/>
          <w:szCs w:val="24"/>
          <w:lang w:eastAsia="zh-CN"/>
        </w:rPr>
        <w:t>，调整</w:t>
      </w:r>
      <w:r w:rsidR="006B343C">
        <w:rPr>
          <w:rFonts w:ascii="华文楷体" w:hAnsi="华文楷体" w:hint="eastAsia"/>
          <w:sz w:val="24"/>
          <w:szCs w:val="24"/>
          <w:lang w:eastAsia="zh-CN"/>
        </w:rPr>
        <w:lastRenderedPageBreak/>
        <w:t>幅度</w:t>
      </w:r>
      <w:r w:rsidR="003222EA">
        <w:rPr>
          <w:rFonts w:ascii="华文楷体" w:hAnsi="华文楷体" w:hint="eastAsia"/>
          <w:sz w:val="24"/>
          <w:szCs w:val="24"/>
          <w:lang w:eastAsia="zh-CN"/>
        </w:rPr>
        <w:t>较其它品种略好</w:t>
      </w:r>
      <w:r w:rsidR="007275B2">
        <w:rPr>
          <w:rFonts w:ascii="华文楷体" w:hAnsi="华文楷体" w:hint="eastAsia"/>
          <w:sz w:val="24"/>
          <w:szCs w:val="24"/>
          <w:lang w:eastAsia="zh-CN"/>
        </w:rPr>
        <w:t>。收益率绝对水平来看，本周各期限品种</w:t>
      </w:r>
      <w:r w:rsidR="008D33AB">
        <w:rPr>
          <w:rFonts w:ascii="华文楷体" w:hAnsi="华文楷体" w:hint="eastAsia"/>
          <w:sz w:val="24"/>
          <w:szCs w:val="24"/>
          <w:lang w:eastAsia="zh-CN"/>
        </w:rPr>
        <w:t>仍大体维持在</w:t>
      </w:r>
      <w:r w:rsidR="006B343C">
        <w:rPr>
          <w:rFonts w:ascii="华文楷体" w:hAnsi="华文楷体" w:hint="eastAsia"/>
          <w:sz w:val="24"/>
          <w:szCs w:val="24"/>
          <w:lang w:eastAsia="zh-CN"/>
        </w:rPr>
        <w:t>30</w:t>
      </w:r>
      <w:r w:rsidR="003222EA">
        <w:rPr>
          <w:rFonts w:ascii="华文楷体" w:hAnsi="华文楷体" w:hint="eastAsia"/>
          <w:sz w:val="24"/>
          <w:szCs w:val="24"/>
          <w:lang w:eastAsia="zh-CN"/>
        </w:rPr>
        <w:t>至</w:t>
      </w:r>
      <w:r w:rsidR="006B343C">
        <w:rPr>
          <w:rFonts w:ascii="华文楷体" w:hAnsi="华文楷体" w:hint="eastAsia"/>
          <w:sz w:val="24"/>
          <w:szCs w:val="24"/>
          <w:lang w:eastAsia="zh-CN"/>
        </w:rPr>
        <w:t>40分位数，信用品种本周表现稳定，</w:t>
      </w:r>
      <w:r w:rsidR="003222EA">
        <w:rPr>
          <w:rFonts w:ascii="华文楷体" w:hAnsi="华文楷体" w:hint="eastAsia"/>
          <w:sz w:val="24"/>
          <w:szCs w:val="24"/>
          <w:lang w:eastAsia="zh-CN"/>
        </w:rPr>
        <w:t>持续</w:t>
      </w:r>
      <w:r w:rsidR="006B343C">
        <w:rPr>
          <w:rFonts w:ascii="华文楷体" w:hAnsi="华文楷体" w:hint="eastAsia"/>
          <w:sz w:val="24"/>
          <w:szCs w:val="24"/>
          <w:lang w:eastAsia="zh-CN"/>
        </w:rPr>
        <w:t>受到跨季后资金需求释放影响，</w:t>
      </w:r>
      <w:r w:rsidR="008D33AB">
        <w:rPr>
          <w:rFonts w:ascii="华文楷体" w:hAnsi="华文楷体" w:hint="eastAsia"/>
          <w:sz w:val="24"/>
          <w:szCs w:val="24"/>
          <w:lang w:eastAsia="zh-CN"/>
        </w:rPr>
        <w:t>预计短期内</w:t>
      </w:r>
      <w:r w:rsidR="006B343C">
        <w:rPr>
          <w:rFonts w:ascii="华文楷体" w:hAnsi="华文楷体" w:hint="eastAsia"/>
          <w:sz w:val="24"/>
          <w:szCs w:val="24"/>
          <w:lang w:eastAsia="zh-CN"/>
        </w:rPr>
        <w:t>仍</w:t>
      </w:r>
      <w:r w:rsidR="008D33AB">
        <w:rPr>
          <w:rFonts w:ascii="华文楷体" w:hAnsi="华文楷体" w:hint="eastAsia"/>
          <w:sz w:val="24"/>
          <w:szCs w:val="24"/>
          <w:lang w:eastAsia="zh-CN"/>
        </w:rPr>
        <w:t>维持震荡调整</w:t>
      </w:r>
      <w:r w:rsidR="003222EA">
        <w:rPr>
          <w:rFonts w:ascii="华文楷体" w:hAnsi="华文楷体" w:hint="eastAsia"/>
          <w:sz w:val="24"/>
          <w:szCs w:val="24"/>
          <w:lang w:eastAsia="zh-CN"/>
        </w:rPr>
        <w:t>小幅下行</w:t>
      </w:r>
      <w:r w:rsidR="008D33AB">
        <w:rPr>
          <w:rFonts w:ascii="华文楷体" w:hAnsi="华文楷体" w:hint="eastAsia"/>
          <w:sz w:val="24"/>
          <w:szCs w:val="24"/>
          <w:lang w:eastAsia="zh-CN"/>
        </w:rPr>
        <w:t>为主</w:t>
      </w:r>
      <w:r w:rsidR="00DF5675">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638"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3222EA" w:rsidRPr="003222EA" w14:paraId="3C2FA400" w14:textId="77777777" w:rsidTr="003222EA">
              <w:trPr>
                <w:trHeight w:val="285"/>
              </w:trPr>
              <w:tc>
                <w:tcPr>
                  <w:tcW w:w="1316" w:type="dxa"/>
                  <w:tcBorders>
                    <w:top w:val="nil"/>
                    <w:left w:val="nil"/>
                    <w:bottom w:val="single" w:sz="12" w:space="0" w:color="FFFFFF"/>
                    <w:right w:val="single" w:sz="8" w:space="0" w:color="FFFFFF"/>
                  </w:tcBorders>
                  <w:shd w:val="clear" w:color="000000" w:fill="F79646"/>
                  <w:noWrap/>
                  <w:vAlign w:val="center"/>
                  <w:hideMark/>
                </w:tcPr>
                <w:p w14:paraId="07DD78BF"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收益率(%)</w:t>
                  </w:r>
                </w:p>
              </w:tc>
              <w:tc>
                <w:tcPr>
                  <w:tcW w:w="899" w:type="dxa"/>
                  <w:tcBorders>
                    <w:top w:val="nil"/>
                    <w:left w:val="nil"/>
                    <w:bottom w:val="single" w:sz="12" w:space="0" w:color="FFFFFF"/>
                    <w:right w:val="single" w:sz="8" w:space="0" w:color="FFFFFF"/>
                  </w:tcBorders>
                  <w:shd w:val="clear" w:color="000000" w:fill="F79646"/>
                  <w:noWrap/>
                  <w:vAlign w:val="center"/>
                  <w:hideMark/>
                </w:tcPr>
                <w:p w14:paraId="566DFCD8"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5489D2EB"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466D6327"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6D81AA94"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14:paraId="2279E0AF"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38AD6939"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6FAA8CC4"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7CE72BF8"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B8EB12B"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r>
            <w:tr w:rsidR="003222EA" w:rsidRPr="003222EA" w14:paraId="594A1445" w14:textId="77777777" w:rsidTr="003222EA">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14:paraId="0AB364A0"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1F2812B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3.17 </w:t>
                  </w:r>
                </w:p>
              </w:tc>
              <w:tc>
                <w:tcPr>
                  <w:tcW w:w="900" w:type="dxa"/>
                  <w:tcBorders>
                    <w:top w:val="nil"/>
                    <w:left w:val="nil"/>
                    <w:bottom w:val="single" w:sz="8" w:space="0" w:color="FFFFFF"/>
                    <w:right w:val="single" w:sz="8" w:space="0" w:color="FFFFFF"/>
                  </w:tcBorders>
                  <w:shd w:val="clear" w:color="000000" w:fill="FCD5B4"/>
                  <w:noWrap/>
                  <w:vAlign w:val="center"/>
                  <w:hideMark/>
                </w:tcPr>
                <w:p w14:paraId="5F61A52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3.33 </w:t>
                  </w:r>
                </w:p>
              </w:tc>
              <w:tc>
                <w:tcPr>
                  <w:tcW w:w="900" w:type="dxa"/>
                  <w:tcBorders>
                    <w:top w:val="nil"/>
                    <w:left w:val="nil"/>
                    <w:bottom w:val="single" w:sz="8" w:space="0" w:color="FFFFFF"/>
                    <w:right w:val="single" w:sz="8" w:space="0" w:color="FFFFFF"/>
                  </w:tcBorders>
                  <w:shd w:val="clear" w:color="000000" w:fill="FCD5B4"/>
                  <w:noWrap/>
                  <w:vAlign w:val="center"/>
                  <w:hideMark/>
                </w:tcPr>
                <w:p w14:paraId="4008CFD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3.47 </w:t>
                  </w:r>
                </w:p>
              </w:tc>
              <w:tc>
                <w:tcPr>
                  <w:tcW w:w="899" w:type="dxa"/>
                  <w:tcBorders>
                    <w:top w:val="nil"/>
                    <w:left w:val="nil"/>
                    <w:bottom w:val="single" w:sz="8" w:space="0" w:color="FFFFFF"/>
                    <w:right w:val="single" w:sz="8" w:space="0" w:color="FFFFFF"/>
                  </w:tcBorders>
                  <w:shd w:val="clear" w:color="000000" w:fill="FCD5B4"/>
                  <w:noWrap/>
                  <w:vAlign w:val="center"/>
                  <w:hideMark/>
                </w:tcPr>
                <w:p w14:paraId="2D1B01D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5.55 </w:t>
                  </w:r>
                </w:p>
              </w:tc>
              <w:tc>
                <w:tcPr>
                  <w:tcW w:w="1128" w:type="dxa"/>
                  <w:tcBorders>
                    <w:top w:val="nil"/>
                    <w:left w:val="nil"/>
                    <w:bottom w:val="single" w:sz="8" w:space="0" w:color="FFFFFF"/>
                    <w:right w:val="single" w:sz="8" w:space="0" w:color="FFFFFF"/>
                  </w:tcBorders>
                  <w:shd w:val="clear" w:color="000000" w:fill="FCD5B4"/>
                  <w:noWrap/>
                  <w:vAlign w:val="center"/>
                  <w:hideMark/>
                </w:tcPr>
                <w:p w14:paraId="0022638F"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42521F3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0.48 </w:t>
                  </w:r>
                </w:p>
              </w:tc>
              <w:tc>
                <w:tcPr>
                  <w:tcW w:w="899" w:type="dxa"/>
                  <w:tcBorders>
                    <w:top w:val="nil"/>
                    <w:left w:val="nil"/>
                    <w:bottom w:val="single" w:sz="8" w:space="0" w:color="FFFFFF"/>
                    <w:right w:val="single" w:sz="8" w:space="0" w:color="FFFFFF"/>
                  </w:tcBorders>
                  <w:shd w:val="clear" w:color="000000" w:fill="FCD5B4"/>
                  <w:noWrap/>
                  <w:vAlign w:val="center"/>
                  <w:hideMark/>
                </w:tcPr>
                <w:p w14:paraId="6385738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0.64 </w:t>
                  </w:r>
                </w:p>
              </w:tc>
              <w:tc>
                <w:tcPr>
                  <w:tcW w:w="899" w:type="dxa"/>
                  <w:tcBorders>
                    <w:top w:val="nil"/>
                    <w:left w:val="nil"/>
                    <w:bottom w:val="single" w:sz="8" w:space="0" w:color="FFFFFF"/>
                    <w:right w:val="single" w:sz="8" w:space="0" w:color="FFFFFF"/>
                  </w:tcBorders>
                  <w:shd w:val="clear" w:color="000000" w:fill="FCD5B4"/>
                  <w:noWrap/>
                  <w:vAlign w:val="center"/>
                  <w:hideMark/>
                </w:tcPr>
                <w:p w14:paraId="11ACE5E5"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0.78 </w:t>
                  </w:r>
                </w:p>
              </w:tc>
              <w:tc>
                <w:tcPr>
                  <w:tcW w:w="899" w:type="dxa"/>
                  <w:tcBorders>
                    <w:top w:val="nil"/>
                    <w:left w:val="nil"/>
                    <w:bottom w:val="single" w:sz="8" w:space="0" w:color="FFFFFF"/>
                    <w:right w:val="single" w:sz="8" w:space="0" w:color="FFFFFF"/>
                  </w:tcBorders>
                  <w:shd w:val="clear" w:color="000000" w:fill="FCD5B4"/>
                  <w:noWrap/>
                  <w:vAlign w:val="center"/>
                  <w:hideMark/>
                </w:tcPr>
                <w:p w14:paraId="30FC475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2.86 </w:t>
                  </w:r>
                </w:p>
              </w:tc>
            </w:tr>
            <w:tr w:rsidR="003222EA" w:rsidRPr="003222EA" w14:paraId="77A6CDFE"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09F88D56"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1F52CFC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3.65 </w:t>
                  </w:r>
                </w:p>
              </w:tc>
              <w:tc>
                <w:tcPr>
                  <w:tcW w:w="900" w:type="dxa"/>
                  <w:tcBorders>
                    <w:top w:val="nil"/>
                    <w:left w:val="nil"/>
                    <w:bottom w:val="single" w:sz="8" w:space="0" w:color="FFFFFF"/>
                    <w:right w:val="single" w:sz="8" w:space="0" w:color="FFFFFF"/>
                  </w:tcBorders>
                  <w:shd w:val="clear" w:color="000000" w:fill="FDE9D9"/>
                  <w:noWrap/>
                  <w:vAlign w:val="center"/>
                  <w:hideMark/>
                </w:tcPr>
                <w:p w14:paraId="46FA776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3.82 </w:t>
                  </w:r>
                </w:p>
              </w:tc>
              <w:tc>
                <w:tcPr>
                  <w:tcW w:w="900" w:type="dxa"/>
                  <w:tcBorders>
                    <w:top w:val="nil"/>
                    <w:left w:val="nil"/>
                    <w:bottom w:val="single" w:sz="8" w:space="0" w:color="FFFFFF"/>
                    <w:right w:val="single" w:sz="8" w:space="0" w:color="FFFFFF"/>
                  </w:tcBorders>
                  <w:shd w:val="clear" w:color="000000" w:fill="FDE9D9"/>
                  <w:noWrap/>
                  <w:vAlign w:val="center"/>
                  <w:hideMark/>
                </w:tcPr>
                <w:p w14:paraId="11C2E63D"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4.03 </w:t>
                  </w:r>
                </w:p>
              </w:tc>
              <w:tc>
                <w:tcPr>
                  <w:tcW w:w="899" w:type="dxa"/>
                  <w:tcBorders>
                    <w:top w:val="nil"/>
                    <w:left w:val="nil"/>
                    <w:bottom w:val="single" w:sz="8" w:space="0" w:color="FFFFFF"/>
                    <w:right w:val="single" w:sz="8" w:space="0" w:color="FFFFFF"/>
                  </w:tcBorders>
                  <w:shd w:val="clear" w:color="000000" w:fill="FDE9D9"/>
                  <w:noWrap/>
                  <w:vAlign w:val="center"/>
                  <w:hideMark/>
                </w:tcPr>
                <w:p w14:paraId="7D075A65"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6.12 </w:t>
                  </w:r>
                </w:p>
              </w:tc>
              <w:tc>
                <w:tcPr>
                  <w:tcW w:w="1128" w:type="dxa"/>
                  <w:tcBorders>
                    <w:top w:val="nil"/>
                    <w:left w:val="nil"/>
                    <w:bottom w:val="single" w:sz="8" w:space="0" w:color="FFFFFF"/>
                    <w:right w:val="single" w:sz="8" w:space="0" w:color="FFFFFF"/>
                  </w:tcBorders>
                  <w:shd w:val="clear" w:color="000000" w:fill="FDE9D9"/>
                  <w:noWrap/>
                  <w:vAlign w:val="center"/>
                  <w:hideMark/>
                </w:tcPr>
                <w:p w14:paraId="1E23C34A"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5D07A54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0.69 </w:t>
                  </w:r>
                </w:p>
              </w:tc>
              <w:tc>
                <w:tcPr>
                  <w:tcW w:w="899" w:type="dxa"/>
                  <w:tcBorders>
                    <w:top w:val="nil"/>
                    <w:left w:val="nil"/>
                    <w:bottom w:val="single" w:sz="8" w:space="0" w:color="FFFFFF"/>
                    <w:right w:val="single" w:sz="8" w:space="0" w:color="FFFFFF"/>
                  </w:tcBorders>
                  <w:shd w:val="clear" w:color="000000" w:fill="FDE9D9"/>
                  <w:noWrap/>
                  <w:vAlign w:val="center"/>
                  <w:hideMark/>
                </w:tcPr>
                <w:p w14:paraId="095B915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0.86 </w:t>
                  </w:r>
                </w:p>
              </w:tc>
              <w:tc>
                <w:tcPr>
                  <w:tcW w:w="899" w:type="dxa"/>
                  <w:tcBorders>
                    <w:top w:val="nil"/>
                    <w:left w:val="nil"/>
                    <w:bottom w:val="single" w:sz="8" w:space="0" w:color="FFFFFF"/>
                    <w:right w:val="single" w:sz="8" w:space="0" w:color="FFFFFF"/>
                  </w:tcBorders>
                  <w:shd w:val="clear" w:color="000000" w:fill="FDE9D9"/>
                  <w:noWrap/>
                  <w:vAlign w:val="center"/>
                  <w:hideMark/>
                </w:tcPr>
                <w:p w14:paraId="18E4AC6D"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1.07 </w:t>
                  </w:r>
                </w:p>
              </w:tc>
              <w:tc>
                <w:tcPr>
                  <w:tcW w:w="899" w:type="dxa"/>
                  <w:tcBorders>
                    <w:top w:val="nil"/>
                    <w:left w:val="nil"/>
                    <w:bottom w:val="single" w:sz="8" w:space="0" w:color="FFFFFF"/>
                    <w:right w:val="single" w:sz="8" w:space="0" w:color="FFFFFF"/>
                  </w:tcBorders>
                  <w:shd w:val="clear" w:color="000000" w:fill="FDE9D9"/>
                  <w:noWrap/>
                  <w:vAlign w:val="center"/>
                  <w:hideMark/>
                </w:tcPr>
                <w:p w14:paraId="17B78CF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3.16 </w:t>
                  </w:r>
                </w:p>
              </w:tc>
            </w:tr>
            <w:tr w:rsidR="003222EA" w:rsidRPr="003222EA" w14:paraId="7F7B49F8" w14:textId="77777777" w:rsidTr="003222EA">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55397E4F"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19AF926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3.97 </w:t>
                  </w:r>
                </w:p>
              </w:tc>
              <w:tc>
                <w:tcPr>
                  <w:tcW w:w="900" w:type="dxa"/>
                  <w:tcBorders>
                    <w:top w:val="nil"/>
                    <w:left w:val="nil"/>
                    <w:bottom w:val="single" w:sz="8" w:space="0" w:color="FFFFFF"/>
                    <w:right w:val="single" w:sz="8" w:space="0" w:color="FFFFFF"/>
                  </w:tcBorders>
                  <w:shd w:val="clear" w:color="000000" w:fill="FCD5B4"/>
                  <w:noWrap/>
                  <w:vAlign w:val="center"/>
                  <w:hideMark/>
                </w:tcPr>
                <w:p w14:paraId="7F90ADB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4.17 </w:t>
                  </w:r>
                </w:p>
              </w:tc>
              <w:tc>
                <w:tcPr>
                  <w:tcW w:w="900" w:type="dxa"/>
                  <w:tcBorders>
                    <w:top w:val="nil"/>
                    <w:left w:val="nil"/>
                    <w:bottom w:val="single" w:sz="8" w:space="0" w:color="FFFFFF"/>
                    <w:right w:val="single" w:sz="8" w:space="0" w:color="FFFFFF"/>
                  </w:tcBorders>
                  <w:shd w:val="clear" w:color="000000" w:fill="FCD5B4"/>
                  <w:noWrap/>
                  <w:vAlign w:val="center"/>
                  <w:hideMark/>
                </w:tcPr>
                <w:p w14:paraId="6C64608D"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4.52 </w:t>
                  </w:r>
                </w:p>
              </w:tc>
              <w:tc>
                <w:tcPr>
                  <w:tcW w:w="899" w:type="dxa"/>
                  <w:tcBorders>
                    <w:top w:val="nil"/>
                    <w:left w:val="nil"/>
                    <w:bottom w:val="single" w:sz="8" w:space="0" w:color="FFFFFF"/>
                    <w:right w:val="single" w:sz="8" w:space="0" w:color="FFFFFF"/>
                  </w:tcBorders>
                  <w:shd w:val="clear" w:color="000000" w:fill="FCD5B4"/>
                  <w:noWrap/>
                  <w:vAlign w:val="center"/>
                  <w:hideMark/>
                </w:tcPr>
                <w:p w14:paraId="61D8E7C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6.69 </w:t>
                  </w:r>
                </w:p>
              </w:tc>
              <w:tc>
                <w:tcPr>
                  <w:tcW w:w="1128" w:type="dxa"/>
                  <w:tcBorders>
                    <w:top w:val="nil"/>
                    <w:left w:val="nil"/>
                    <w:bottom w:val="single" w:sz="8" w:space="0" w:color="FFFFFF"/>
                    <w:right w:val="single" w:sz="8" w:space="0" w:color="FFFFFF"/>
                  </w:tcBorders>
                  <w:shd w:val="clear" w:color="000000" w:fill="FCD5B4"/>
                  <w:noWrap/>
                  <w:vAlign w:val="center"/>
                  <w:hideMark/>
                </w:tcPr>
                <w:p w14:paraId="59417093"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3E888DB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0.97 </w:t>
                  </w:r>
                </w:p>
              </w:tc>
              <w:tc>
                <w:tcPr>
                  <w:tcW w:w="899" w:type="dxa"/>
                  <w:tcBorders>
                    <w:top w:val="nil"/>
                    <w:left w:val="nil"/>
                    <w:bottom w:val="single" w:sz="8" w:space="0" w:color="FFFFFF"/>
                    <w:right w:val="single" w:sz="8" w:space="0" w:color="FFFFFF"/>
                  </w:tcBorders>
                  <w:shd w:val="clear" w:color="000000" w:fill="FCD5B4"/>
                  <w:noWrap/>
                  <w:vAlign w:val="center"/>
                  <w:hideMark/>
                </w:tcPr>
                <w:p w14:paraId="17B1AF4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1.17 </w:t>
                  </w:r>
                </w:p>
              </w:tc>
              <w:tc>
                <w:tcPr>
                  <w:tcW w:w="899" w:type="dxa"/>
                  <w:tcBorders>
                    <w:top w:val="nil"/>
                    <w:left w:val="nil"/>
                    <w:bottom w:val="single" w:sz="8" w:space="0" w:color="FFFFFF"/>
                    <w:right w:val="single" w:sz="8" w:space="0" w:color="FFFFFF"/>
                  </w:tcBorders>
                  <w:shd w:val="clear" w:color="000000" w:fill="FCD5B4"/>
                  <w:noWrap/>
                  <w:vAlign w:val="center"/>
                  <w:hideMark/>
                </w:tcPr>
                <w:p w14:paraId="169DEBB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1.52 </w:t>
                  </w:r>
                </w:p>
              </w:tc>
              <w:tc>
                <w:tcPr>
                  <w:tcW w:w="899" w:type="dxa"/>
                  <w:tcBorders>
                    <w:top w:val="nil"/>
                    <w:left w:val="nil"/>
                    <w:bottom w:val="single" w:sz="8" w:space="0" w:color="FFFFFF"/>
                    <w:right w:val="single" w:sz="8" w:space="0" w:color="FFFFFF"/>
                  </w:tcBorders>
                  <w:shd w:val="clear" w:color="000000" w:fill="FCD5B4"/>
                  <w:noWrap/>
                  <w:vAlign w:val="center"/>
                  <w:hideMark/>
                </w:tcPr>
                <w:p w14:paraId="4367C84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3.69 </w:t>
                  </w:r>
                </w:p>
              </w:tc>
            </w:tr>
            <w:tr w:rsidR="003222EA" w:rsidRPr="003222EA" w14:paraId="6E0FC98B"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37D1AACD"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0192501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3.64 </w:t>
                  </w:r>
                </w:p>
              </w:tc>
              <w:tc>
                <w:tcPr>
                  <w:tcW w:w="900" w:type="dxa"/>
                  <w:tcBorders>
                    <w:top w:val="nil"/>
                    <w:left w:val="nil"/>
                    <w:bottom w:val="single" w:sz="8" w:space="0" w:color="FFFFFF"/>
                    <w:right w:val="single" w:sz="8" w:space="0" w:color="FFFFFF"/>
                  </w:tcBorders>
                  <w:shd w:val="clear" w:color="000000" w:fill="FDE9D9"/>
                  <w:noWrap/>
                  <w:vAlign w:val="center"/>
                  <w:hideMark/>
                </w:tcPr>
                <w:p w14:paraId="651859F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3.81 </w:t>
                  </w:r>
                </w:p>
              </w:tc>
              <w:tc>
                <w:tcPr>
                  <w:tcW w:w="900" w:type="dxa"/>
                  <w:tcBorders>
                    <w:top w:val="nil"/>
                    <w:left w:val="nil"/>
                    <w:bottom w:val="single" w:sz="8" w:space="0" w:color="FFFFFF"/>
                    <w:right w:val="single" w:sz="8" w:space="0" w:color="FFFFFF"/>
                  </w:tcBorders>
                  <w:shd w:val="clear" w:color="000000" w:fill="FDE9D9"/>
                  <w:noWrap/>
                  <w:vAlign w:val="center"/>
                  <w:hideMark/>
                </w:tcPr>
                <w:p w14:paraId="7240A5C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4.02 </w:t>
                  </w:r>
                </w:p>
              </w:tc>
              <w:tc>
                <w:tcPr>
                  <w:tcW w:w="899" w:type="dxa"/>
                  <w:tcBorders>
                    <w:top w:val="nil"/>
                    <w:left w:val="nil"/>
                    <w:bottom w:val="single" w:sz="8" w:space="0" w:color="FFFFFF"/>
                    <w:right w:val="single" w:sz="8" w:space="0" w:color="FFFFFF"/>
                  </w:tcBorders>
                  <w:shd w:val="clear" w:color="000000" w:fill="FDE9D9"/>
                  <w:noWrap/>
                  <w:vAlign w:val="center"/>
                  <w:hideMark/>
                </w:tcPr>
                <w:p w14:paraId="3525E14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6.11 </w:t>
                  </w:r>
                </w:p>
              </w:tc>
              <w:tc>
                <w:tcPr>
                  <w:tcW w:w="1128" w:type="dxa"/>
                  <w:tcBorders>
                    <w:top w:val="nil"/>
                    <w:left w:val="nil"/>
                    <w:bottom w:val="single" w:sz="8" w:space="0" w:color="FFFFFF"/>
                    <w:right w:val="single" w:sz="8" w:space="0" w:color="FFFFFF"/>
                  </w:tcBorders>
                  <w:shd w:val="clear" w:color="000000" w:fill="FDE9D9"/>
                  <w:noWrap/>
                  <w:vAlign w:val="center"/>
                  <w:hideMark/>
                </w:tcPr>
                <w:p w14:paraId="094003A3"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77D8497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0.68 </w:t>
                  </w:r>
                </w:p>
              </w:tc>
              <w:tc>
                <w:tcPr>
                  <w:tcW w:w="899" w:type="dxa"/>
                  <w:tcBorders>
                    <w:top w:val="nil"/>
                    <w:left w:val="nil"/>
                    <w:bottom w:val="single" w:sz="8" w:space="0" w:color="FFFFFF"/>
                    <w:right w:val="single" w:sz="8" w:space="0" w:color="FFFFFF"/>
                  </w:tcBorders>
                  <w:shd w:val="clear" w:color="000000" w:fill="FDE9D9"/>
                  <w:noWrap/>
                  <w:vAlign w:val="center"/>
                  <w:hideMark/>
                </w:tcPr>
                <w:p w14:paraId="3F86945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0.85 </w:t>
                  </w:r>
                </w:p>
              </w:tc>
              <w:tc>
                <w:tcPr>
                  <w:tcW w:w="899" w:type="dxa"/>
                  <w:tcBorders>
                    <w:top w:val="nil"/>
                    <w:left w:val="nil"/>
                    <w:bottom w:val="single" w:sz="8" w:space="0" w:color="FFFFFF"/>
                    <w:right w:val="single" w:sz="8" w:space="0" w:color="FFFFFF"/>
                  </w:tcBorders>
                  <w:shd w:val="clear" w:color="000000" w:fill="FDE9D9"/>
                  <w:noWrap/>
                  <w:vAlign w:val="center"/>
                  <w:hideMark/>
                </w:tcPr>
                <w:p w14:paraId="28F4FC0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1.06 </w:t>
                  </w:r>
                </w:p>
              </w:tc>
              <w:tc>
                <w:tcPr>
                  <w:tcW w:w="899" w:type="dxa"/>
                  <w:tcBorders>
                    <w:top w:val="nil"/>
                    <w:left w:val="nil"/>
                    <w:bottom w:val="single" w:sz="8" w:space="0" w:color="FFFFFF"/>
                    <w:right w:val="single" w:sz="8" w:space="0" w:color="FFFFFF"/>
                  </w:tcBorders>
                  <w:shd w:val="clear" w:color="000000" w:fill="FDE9D9"/>
                  <w:noWrap/>
                  <w:vAlign w:val="center"/>
                  <w:hideMark/>
                </w:tcPr>
                <w:p w14:paraId="5974B9F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3.15 </w:t>
                  </w:r>
                </w:p>
              </w:tc>
            </w:tr>
            <w:tr w:rsidR="003222EA" w:rsidRPr="003222EA" w14:paraId="2BB426A7" w14:textId="77777777" w:rsidTr="003222EA">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6EB3C0E5"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00FC048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3.97 </w:t>
                  </w:r>
                </w:p>
              </w:tc>
              <w:tc>
                <w:tcPr>
                  <w:tcW w:w="900" w:type="dxa"/>
                  <w:tcBorders>
                    <w:top w:val="nil"/>
                    <w:left w:val="nil"/>
                    <w:bottom w:val="single" w:sz="8" w:space="0" w:color="FFFFFF"/>
                    <w:right w:val="single" w:sz="8" w:space="0" w:color="FFFFFF"/>
                  </w:tcBorders>
                  <w:shd w:val="clear" w:color="000000" w:fill="FCD5B4"/>
                  <w:noWrap/>
                  <w:vAlign w:val="center"/>
                  <w:hideMark/>
                </w:tcPr>
                <w:p w14:paraId="5F45B7A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4.17 </w:t>
                  </w:r>
                </w:p>
              </w:tc>
              <w:tc>
                <w:tcPr>
                  <w:tcW w:w="900" w:type="dxa"/>
                  <w:tcBorders>
                    <w:top w:val="nil"/>
                    <w:left w:val="nil"/>
                    <w:bottom w:val="single" w:sz="8" w:space="0" w:color="FFFFFF"/>
                    <w:right w:val="single" w:sz="8" w:space="0" w:color="FFFFFF"/>
                  </w:tcBorders>
                  <w:shd w:val="clear" w:color="000000" w:fill="FCD5B4"/>
                  <w:noWrap/>
                  <w:vAlign w:val="center"/>
                  <w:hideMark/>
                </w:tcPr>
                <w:p w14:paraId="10A480D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4.52 </w:t>
                  </w:r>
                </w:p>
              </w:tc>
              <w:tc>
                <w:tcPr>
                  <w:tcW w:w="899" w:type="dxa"/>
                  <w:tcBorders>
                    <w:top w:val="nil"/>
                    <w:left w:val="nil"/>
                    <w:bottom w:val="single" w:sz="8" w:space="0" w:color="FFFFFF"/>
                    <w:right w:val="single" w:sz="8" w:space="0" w:color="FFFFFF"/>
                  </w:tcBorders>
                  <w:shd w:val="clear" w:color="000000" w:fill="FCD5B4"/>
                  <w:noWrap/>
                  <w:vAlign w:val="center"/>
                  <w:hideMark/>
                </w:tcPr>
                <w:p w14:paraId="11F00D0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6.69 </w:t>
                  </w:r>
                </w:p>
              </w:tc>
              <w:tc>
                <w:tcPr>
                  <w:tcW w:w="1128" w:type="dxa"/>
                  <w:tcBorders>
                    <w:top w:val="nil"/>
                    <w:left w:val="nil"/>
                    <w:bottom w:val="single" w:sz="8" w:space="0" w:color="FFFFFF"/>
                    <w:right w:val="single" w:sz="8" w:space="0" w:color="FFFFFF"/>
                  </w:tcBorders>
                  <w:shd w:val="clear" w:color="000000" w:fill="FCD5B4"/>
                  <w:noWrap/>
                  <w:vAlign w:val="center"/>
                  <w:hideMark/>
                </w:tcPr>
                <w:p w14:paraId="41318E1B"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2525683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0.97 </w:t>
                  </w:r>
                </w:p>
              </w:tc>
              <w:tc>
                <w:tcPr>
                  <w:tcW w:w="899" w:type="dxa"/>
                  <w:tcBorders>
                    <w:top w:val="nil"/>
                    <w:left w:val="nil"/>
                    <w:bottom w:val="single" w:sz="8" w:space="0" w:color="FFFFFF"/>
                    <w:right w:val="single" w:sz="8" w:space="0" w:color="FFFFFF"/>
                  </w:tcBorders>
                  <w:shd w:val="clear" w:color="000000" w:fill="FCD5B4"/>
                  <w:noWrap/>
                  <w:vAlign w:val="center"/>
                  <w:hideMark/>
                </w:tcPr>
                <w:p w14:paraId="271CE27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1.17 </w:t>
                  </w:r>
                </w:p>
              </w:tc>
              <w:tc>
                <w:tcPr>
                  <w:tcW w:w="899" w:type="dxa"/>
                  <w:tcBorders>
                    <w:top w:val="nil"/>
                    <w:left w:val="nil"/>
                    <w:bottom w:val="single" w:sz="8" w:space="0" w:color="FFFFFF"/>
                    <w:right w:val="single" w:sz="8" w:space="0" w:color="FFFFFF"/>
                  </w:tcBorders>
                  <w:shd w:val="clear" w:color="000000" w:fill="FCD5B4"/>
                  <w:noWrap/>
                  <w:vAlign w:val="center"/>
                  <w:hideMark/>
                </w:tcPr>
                <w:p w14:paraId="1A290E8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1.52 </w:t>
                  </w:r>
                </w:p>
              </w:tc>
              <w:tc>
                <w:tcPr>
                  <w:tcW w:w="899" w:type="dxa"/>
                  <w:tcBorders>
                    <w:top w:val="nil"/>
                    <w:left w:val="nil"/>
                    <w:bottom w:val="single" w:sz="8" w:space="0" w:color="FFFFFF"/>
                    <w:right w:val="single" w:sz="8" w:space="0" w:color="FFFFFF"/>
                  </w:tcBorders>
                  <w:shd w:val="clear" w:color="000000" w:fill="FCD5B4"/>
                  <w:noWrap/>
                  <w:vAlign w:val="center"/>
                  <w:hideMark/>
                </w:tcPr>
                <w:p w14:paraId="341F315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3.69 </w:t>
                  </w:r>
                </w:p>
              </w:tc>
            </w:tr>
            <w:tr w:rsidR="003222EA" w:rsidRPr="003222EA" w14:paraId="6E46DA5E"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393BA4EB"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4032937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4.15 </w:t>
                  </w:r>
                </w:p>
              </w:tc>
              <w:tc>
                <w:tcPr>
                  <w:tcW w:w="900" w:type="dxa"/>
                  <w:tcBorders>
                    <w:top w:val="nil"/>
                    <w:left w:val="nil"/>
                    <w:bottom w:val="single" w:sz="8" w:space="0" w:color="FFFFFF"/>
                    <w:right w:val="single" w:sz="8" w:space="0" w:color="FFFFFF"/>
                  </w:tcBorders>
                  <w:shd w:val="clear" w:color="000000" w:fill="FDE9D9"/>
                  <w:noWrap/>
                  <w:vAlign w:val="center"/>
                  <w:hideMark/>
                </w:tcPr>
                <w:p w14:paraId="6F4F98F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4.45 </w:t>
                  </w:r>
                </w:p>
              </w:tc>
              <w:tc>
                <w:tcPr>
                  <w:tcW w:w="900" w:type="dxa"/>
                  <w:tcBorders>
                    <w:top w:val="nil"/>
                    <w:left w:val="nil"/>
                    <w:bottom w:val="single" w:sz="8" w:space="0" w:color="FFFFFF"/>
                    <w:right w:val="single" w:sz="8" w:space="0" w:color="FFFFFF"/>
                  </w:tcBorders>
                  <w:shd w:val="clear" w:color="000000" w:fill="FDE9D9"/>
                  <w:noWrap/>
                  <w:vAlign w:val="center"/>
                  <w:hideMark/>
                </w:tcPr>
                <w:p w14:paraId="5BAB1A2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4.83 </w:t>
                  </w:r>
                </w:p>
              </w:tc>
              <w:tc>
                <w:tcPr>
                  <w:tcW w:w="899" w:type="dxa"/>
                  <w:tcBorders>
                    <w:top w:val="nil"/>
                    <w:left w:val="nil"/>
                    <w:bottom w:val="single" w:sz="8" w:space="0" w:color="FFFFFF"/>
                    <w:right w:val="single" w:sz="8" w:space="0" w:color="FFFFFF"/>
                  </w:tcBorders>
                  <w:shd w:val="clear" w:color="000000" w:fill="FDE9D9"/>
                  <w:noWrap/>
                  <w:vAlign w:val="center"/>
                  <w:hideMark/>
                </w:tcPr>
                <w:p w14:paraId="4E18659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7.01 </w:t>
                  </w:r>
                </w:p>
              </w:tc>
              <w:tc>
                <w:tcPr>
                  <w:tcW w:w="1128" w:type="dxa"/>
                  <w:tcBorders>
                    <w:top w:val="nil"/>
                    <w:left w:val="nil"/>
                    <w:bottom w:val="single" w:sz="8" w:space="0" w:color="FFFFFF"/>
                    <w:right w:val="single" w:sz="8" w:space="0" w:color="FFFFFF"/>
                  </w:tcBorders>
                  <w:shd w:val="clear" w:color="000000" w:fill="FDE9D9"/>
                  <w:noWrap/>
                  <w:vAlign w:val="center"/>
                  <w:hideMark/>
                </w:tcPr>
                <w:p w14:paraId="18FE8756"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779A9F2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0.91 </w:t>
                  </w:r>
                </w:p>
              </w:tc>
              <w:tc>
                <w:tcPr>
                  <w:tcW w:w="899" w:type="dxa"/>
                  <w:tcBorders>
                    <w:top w:val="nil"/>
                    <w:left w:val="nil"/>
                    <w:bottom w:val="single" w:sz="8" w:space="0" w:color="FFFFFF"/>
                    <w:right w:val="single" w:sz="8" w:space="0" w:color="FFFFFF"/>
                  </w:tcBorders>
                  <w:shd w:val="clear" w:color="000000" w:fill="FDE9D9"/>
                  <w:noWrap/>
                  <w:vAlign w:val="center"/>
                  <w:hideMark/>
                </w:tcPr>
                <w:p w14:paraId="01D925E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1.21 </w:t>
                  </w:r>
                </w:p>
              </w:tc>
              <w:tc>
                <w:tcPr>
                  <w:tcW w:w="899" w:type="dxa"/>
                  <w:tcBorders>
                    <w:top w:val="nil"/>
                    <w:left w:val="nil"/>
                    <w:bottom w:val="single" w:sz="8" w:space="0" w:color="FFFFFF"/>
                    <w:right w:val="single" w:sz="8" w:space="0" w:color="FFFFFF"/>
                  </w:tcBorders>
                  <w:shd w:val="clear" w:color="000000" w:fill="FDE9D9"/>
                  <w:noWrap/>
                  <w:vAlign w:val="center"/>
                  <w:hideMark/>
                </w:tcPr>
                <w:p w14:paraId="02904E1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1.59 </w:t>
                  </w:r>
                </w:p>
              </w:tc>
              <w:tc>
                <w:tcPr>
                  <w:tcW w:w="899" w:type="dxa"/>
                  <w:tcBorders>
                    <w:top w:val="nil"/>
                    <w:left w:val="nil"/>
                    <w:bottom w:val="single" w:sz="8" w:space="0" w:color="FFFFFF"/>
                    <w:right w:val="single" w:sz="8" w:space="0" w:color="FFFFFF"/>
                  </w:tcBorders>
                  <w:shd w:val="clear" w:color="000000" w:fill="FDE9D9"/>
                  <w:noWrap/>
                  <w:vAlign w:val="center"/>
                  <w:hideMark/>
                </w:tcPr>
                <w:p w14:paraId="750F7D4D"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3.77 </w:t>
                  </w:r>
                </w:p>
              </w:tc>
            </w:tr>
            <w:tr w:rsidR="003222EA" w:rsidRPr="003222EA" w14:paraId="4B3DB6D0" w14:textId="77777777" w:rsidTr="003222EA">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2F3433F9"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00BA999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3.67 </w:t>
                  </w:r>
                </w:p>
              </w:tc>
              <w:tc>
                <w:tcPr>
                  <w:tcW w:w="900" w:type="dxa"/>
                  <w:tcBorders>
                    <w:top w:val="nil"/>
                    <w:left w:val="nil"/>
                    <w:bottom w:val="single" w:sz="8" w:space="0" w:color="FFFFFF"/>
                    <w:right w:val="single" w:sz="8" w:space="0" w:color="FFFFFF"/>
                  </w:tcBorders>
                  <w:shd w:val="clear" w:color="000000" w:fill="FCD5B4"/>
                  <w:noWrap/>
                  <w:vAlign w:val="center"/>
                  <w:hideMark/>
                </w:tcPr>
                <w:p w14:paraId="11A42B2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3.78 </w:t>
                  </w:r>
                </w:p>
              </w:tc>
              <w:tc>
                <w:tcPr>
                  <w:tcW w:w="900" w:type="dxa"/>
                  <w:tcBorders>
                    <w:top w:val="nil"/>
                    <w:left w:val="nil"/>
                    <w:bottom w:val="single" w:sz="8" w:space="0" w:color="FFFFFF"/>
                    <w:right w:val="single" w:sz="8" w:space="0" w:color="FFFFFF"/>
                  </w:tcBorders>
                  <w:shd w:val="clear" w:color="000000" w:fill="FCD5B4"/>
                  <w:noWrap/>
                  <w:vAlign w:val="center"/>
                  <w:hideMark/>
                </w:tcPr>
                <w:p w14:paraId="6218281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3.92 </w:t>
                  </w:r>
                </w:p>
              </w:tc>
              <w:tc>
                <w:tcPr>
                  <w:tcW w:w="899" w:type="dxa"/>
                  <w:tcBorders>
                    <w:top w:val="nil"/>
                    <w:left w:val="nil"/>
                    <w:bottom w:val="single" w:sz="8" w:space="0" w:color="FFFFFF"/>
                    <w:right w:val="single" w:sz="8" w:space="0" w:color="FFFFFF"/>
                  </w:tcBorders>
                  <w:shd w:val="clear" w:color="000000" w:fill="FCD5B4"/>
                  <w:noWrap/>
                  <w:vAlign w:val="center"/>
                  <w:hideMark/>
                </w:tcPr>
                <w:p w14:paraId="53C71D8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5.63 </w:t>
                  </w:r>
                </w:p>
              </w:tc>
              <w:tc>
                <w:tcPr>
                  <w:tcW w:w="1128" w:type="dxa"/>
                  <w:tcBorders>
                    <w:top w:val="nil"/>
                    <w:left w:val="nil"/>
                    <w:bottom w:val="single" w:sz="8" w:space="0" w:color="FFFFFF"/>
                    <w:right w:val="single" w:sz="8" w:space="0" w:color="FFFFFF"/>
                  </w:tcBorders>
                  <w:shd w:val="clear" w:color="000000" w:fill="FCD5B4"/>
                  <w:noWrap/>
                  <w:vAlign w:val="center"/>
                  <w:hideMark/>
                </w:tcPr>
                <w:p w14:paraId="18C40541"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330A603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0.71 </w:t>
                  </w:r>
                </w:p>
              </w:tc>
              <w:tc>
                <w:tcPr>
                  <w:tcW w:w="899" w:type="dxa"/>
                  <w:tcBorders>
                    <w:top w:val="nil"/>
                    <w:left w:val="nil"/>
                    <w:bottom w:val="single" w:sz="8" w:space="0" w:color="FFFFFF"/>
                    <w:right w:val="single" w:sz="8" w:space="0" w:color="FFFFFF"/>
                  </w:tcBorders>
                  <w:shd w:val="clear" w:color="000000" w:fill="FCD5B4"/>
                  <w:noWrap/>
                  <w:vAlign w:val="center"/>
                  <w:hideMark/>
                </w:tcPr>
                <w:p w14:paraId="3019CA0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0.82 </w:t>
                  </w:r>
                </w:p>
              </w:tc>
              <w:tc>
                <w:tcPr>
                  <w:tcW w:w="899" w:type="dxa"/>
                  <w:tcBorders>
                    <w:top w:val="nil"/>
                    <w:left w:val="nil"/>
                    <w:bottom w:val="single" w:sz="8" w:space="0" w:color="FFFFFF"/>
                    <w:right w:val="single" w:sz="8" w:space="0" w:color="FFFFFF"/>
                  </w:tcBorders>
                  <w:shd w:val="clear" w:color="000000" w:fill="FCD5B4"/>
                  <w:noWrap/>
                  <w:vAlign w:val="center"/>
                  <w:hideMark/>
                </w:tcPr>
                <w:p w14:paraId="6868B3F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0.96 </w:t>
                  </w:r>
                </w:p>
              </w:tc>
              <w:tc>
                <w:tcPr>
                  <w:tcW w:w="899" w:type="dxa"/>
                  <w:tcBorders>
                    <w:top w:val="nil"/>
                    <w:left w:val="nil"/>
                    <w:bottom w:val="single" w:sz="8" w:space="0" w:color="FFFFFF"/>
                    <w:right w:val="single" w:sz="8" w:space="0" w:color="FFFFFF"/>
                  </w:tcBorders>
                  <w:shd w:val="clear" w:color="000000" w:fill="FCD5B4"/>
                  <w:noWrap/>
                  <w:vAlign w:val="center"/>
                  <w:hideMark/>
                </w:tcPr>
                <w:p w14:paraId="13CD6F9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2.67 </w:t>
                  </w:r>
                </w:p>
              </w:tc>
            </w:tr>
            <w:tr w:rsidR="003222EA" w:rsidRPr="003222EA" w14:paraId="64BEA0F0"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199B18B0"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6E0EEA95"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3.98 </w:t>
                  </w:r>
                </w:p>
              </w:tc>
              <w:tc>
                <w:tcPr>
                  <w:tcW w:w="900" w:type="dxa"/>
                  <w:tcBorders>
                    <w:top w:val="nil"/>
                    <w:left w:val="nil"/>
                    <w:bottom w:val="single" w:sz="8" w:space="0" w:color="FFFFFF"/>
                    <w:right w:val="single" w:sz="8" w:space="0" w:color="FFFFFF"/>
                  </w:tcBorders>
                  <w:shd w:val="clear" w:color="000000" w:fill="FDE9D9"/>
                  <w:noWrap/>
                  <w:vAlign w:val="center"/>
                  <w:hideMark/>
                </w:tcPr>
                <w:p w14:paraId="4D4A3D6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4.11 </w:t>
                  </w:r>
                </w:p>
              </w:tc>
              <w:tc>
                <w:tcPr>
                  <w:tcW w:w="900" w:type="dxa"/>
                  <w:tcBorders>
                    <w:top w:val="nil"/>
                    <w:left w:val="nil"/>
                    <w:bottom w:val="single" w:sz="8" w:space="0" w:color="FFFFFF"/>
                    <w:right w:val="single" w:sz="8" w:space="0" w:color="FFFFFF"/>
                  </w:tcBorders>
                  <w:shd w:val="clear" w:color="000000" w:fill="FDE9D9"/>
                  <w:noWrap/>
                  <w:vAlign w:val="center"/>
                  <w:hideMark/>
                </w:tcPr>
                <w:p w14:paraId="342197C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4.33 </w:t>
                  </w:r>
                </w:p>
              </w:tc>
              <w:tc>
                <w:tcPr>
                  <w:tcW w:w="899" w:type="dxa"/>
                  <w:tcBorders>
                    <w:top w:val="nil"/>
                    <w:left w:val="nil"/>
                    <w:bottom w:val="single" w:sz="8" w:space="0" w:color="FFFFFF"/>
                    <w:right w:val="single" w:sz="8" w:space="0" w:color="FFFFFF"/>
                  </w:tcBorders>
                  <w:shd w:val="clear" w:color="000000" w:fill="FDE9D9"/>
                  <w:noWrap/>
                  <w:vAlign w:val="center"/>
                  <w:hideMark/>
                </w:tcPr>
                <w:p w14:paraId="07C818C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6.56 </w:t>
                  </w:r>
                </w:p>
              </w:tc>
              <w:tc>
                <w:tcPr>
                  <w:tcW w:w="1128" w:type="dxa"/>
                  <w:tcBorders>
                    <w:top w:val="nil"/>
                    <w:left w:val="nil"/>
                    <w:bottom w:val="single" w:sz="8" w:space="0" w:color="FFFFFF"/>
                    <w:right w:val="single" w:sz="8" w:space="0" w:color="FFFFFF"/>
                  </w:tcBorders>
                  <w:shd w:val="clear" w:color="000000" w:fill="FDE9D9"/>
                  <w:noWrap/>
                  <w:vAlign w:val="center"/>
                  <w:hideMark/>
                </w:tcPr>
                <w:p w14:paraId="226AD386"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7741779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0.98 </w:t>
                  </w:r>
                </w:p>
              </w:tc>
              <w:tc>
                <w:tcPr>
                  <w:tcW w:w="899" w:type="dxa"/>
                  <w:tcBorders>
                    <w:top w:val="nil"/>
                    <w:left w:val="nil"/>
                    <w:bottom w:val="single" w:sz="8" w:space="0" w:color="FFFFFF"/>
                    <w:right w:val="single" w:sz="8" w:space="0" w:color="FFFFFF"/>
                  </w:tcBorders>
                  <w:shd w:val="clear" w:color="000000" w:fill="FDE9D9"/>
                  <w:noWrap/>
                  <w:vAlign w:val="center"/>
                  <w:hideMark/>
                </w:tcPr>
                <w:p w14:paraId="2596F49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1.11 </w:t>
                  </w:r>
                </w:p>
              </w:tc>
              <w:tc>
                <w:tcPr>
                  <w:tcW w:w="899" w:type="dxa"/>
                  <w:tcBorders>
                    <w:top w:val="nil"/>
                    <w:left w:val="nil"/>
                    <w:bottom w:val="single" w:sz="8" w:space="0" w:color="FFFFFF"/>
                    <w:right w:val="single" w:sz="8" w:space="0" w:color="FFFFFF"/>
                  </w:tcBorders>
                  <w:shd w:val="clear" w:color="000000" w:fill="FDE9D9"/>
                  <w:noWrap/>
                  <w:vAlign w:val="center"/>
                  <w:hideMark/>
                </w:tcPr>
                <w:p w14:paraId="2B32190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1.33 </w:t>
                  </w:r>
                </w:p>
              </w:tc>
              <w:tc>
                <w:tcPr>
                  <w:tcW w:w="899" w:type="dxa"/>
                  <w:tcBorders>
                    <w:top w:val="nil"/>
                    <w:left w:val="nil"/>
                    <w:bottom w:val="single" w:sz="8" w:space="0" w:color="FFFFFF"/>
                    <w:right w:val="single" w:sz="8" w:space="0" w:color="FFFFFF"/>
                  </w:tcBorders>
                  <w:shd w:val="clear" w:color="000000" w:fill="FDE9D9"/>
                  <w:noWrap/>
                  <w:vAlign w:val="center"/>
                  <w:hideMark/>
                </w:tcPr>
                <w:p w14:paraId="3BF5EE2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3.56 </w:t>
                  </w:r>
                </w:p>
              </w:tc>
            </w:tr>
            <w:tr w:rsidR="003222EA" w:rsidRPr="003222EA" w14:paraId="36223830" w14:textId="77777777" w:rsidTr="003222EA">
              <w:trPr>
                <w:trHeight w:val="300"/>
              </w:trPr>
              <w:tc>
                <w:tcPr>
                  <w:tcW w:w="1316" w:type="dxa"/>
                  <w:tcBorders>
                    <w:top w:val="nil"/>
                    <w:left w:val="nil"/>
                    <w:bottom w:val="nil"/>
                    <w:right w:val="nil"/>
                  </w:tcBorders>
                  <w:shd w:val="clear" w:color="000000" w:fill="FCD5B4"/>
                  <w:noWrap/>
                  <w:vAlign w:val="center"/>
                  <w:hideMark/>
                </w:tcPr>
                <w:p w14:paraId="003115AC"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76190BF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4.20 </w:t>
                  </w:r>
                </w:p>
              </w:tc>
              <w:tc>
                <w:tcPr>
                  <w:tcW w:w="900" w:type="dxa"/>
                  <w:tcBorders>
                    <w:top w:val="nil"/>
                    <w:left w:val="nil"/>
                    <w:bottom w:val="single" w:sz="8" w:space="0" w:color="FFFFFF"/>
                    <w:right w:val="single" w:sz="8" w:space="0" w:color="FFFFFF"/>
                  </w:tcBorders>
                  <w:shd w:val="clear" w:color="000000" w:fill="FCD5B4"/>
                  <w:noWrap/>
                  <w:vAlign w:val="center"/>
                  <w:hideMark/>
                </w:tcPr>
                <w:p w14:paraId="39ED3AE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4.41 </w:t>
                  </w:r>
                </w:p>
              </w:tc>
              <w:tc>
                <w:tcPr>
                  <w:tcW w:w="900" w:type="dxa"/>
                  <w:tcBorders>
                    <w:top w:val="nil"/>
                    <w:left w:val="nil"/>
                    <w:bottom w:val="single" w:sz="8" w:space="0" w:color="FFFFFF"/>
                    <w:right w:val="single" w:sz="8" w:space="0" w:color="FFFFFF"/>
                  </w:tcBorders>
                  <w:shd w:val="clear" w:color="000000" w:fill="FCD5B4"/>
                  <w:noWrap/>
                  <w:vAlign w:val="center"/>
                  <w:hideMark/>
                </w:tcPr>
                <w:p w14:paraId="5CF9AA4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4.73 </w:t>
                  </w:r>
                </w:p>
              </w:tc>
              <w:tc>
                <w:tcPr>
                  <w:tcW w:w="899" w:type="dxa"/>
                  <w:tcBorders>
                    <w:top w:val="nil"/>
                    <w:left w:val="nil"/>
                    <w:bottom w:val="single" w:sz="8" w:space="0" w:color="FFFFFF"/>
                    <w:right w:val="single" w:sz="8" w:space="0" w:color="FFFFFF"/>
                  </w:tcBorders>
                  <w:shd w:val="clear" w:color="000000" w:fill="FCD5B4"/>
                  <w:noWrap/>
                  <w:vAlign w:val="center"/>
                  <w:hideMark/>
                </w:tcPr>
                <w:p w14:paraId="71063105"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7.11 </w:t>
                  </w:r>
                </w:p>
              </w:tc>
              <w:tc>
                <w:tcPr>
                  <w:tcW w:w="1128" w:type="dxa"/>
                  <w:tcBorders>
                    <w:top w:val="nil"/>
                    <w:left w:val="nil"/>
                    <w:bottom w:val="nil"/>
                    <w:right w:val="nil"/>
                  </w:tcBorders>
                  <w:shd w:val="clear" w:color="000000" w:fill="FCD5B4"/>
                  <w:noWrap/>
                  <w:vAlign w:val="center"/>
                  <w:hideMark/>
                </w:tcPr>
                <w:p w14:paraId="159374BF"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54F2747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0.96 </w:t>
                  </w:r>
                </w:p>
              </w:tc>
              <w:tc>
                <w:tcPr>
                  <w:tcW w:w="899" w:type="dxa"/>
                  <w:tcBorders>
                    <w:top w:val="nil"/>
                    <w:left w:val="nil"/>
                    <w:bottom w:val="single" w:sz="8" w:space="0" w:color="FFFFFF"/>
                    <w:right w:val="single" w:sz="8" w:space="0" w:color="FFFFFF"/>
                  </w:tcBorders>
                  <w:shd w:val="clear" w:color="000000" w:fill="FCD5B4"/>
                  <w:noWrap/>
                  <w:vAlign w:val="center"/>
                  <w:hideMark/>
                </w:tcPr>
                <w:p w14:paraId="746AD21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1.17 </w:t>
                  </w:r>
                </w:p>
              </w:tc>
              <w:tc>
                <w:tcPr>
                  <w:tcW w:w="899" w:type="dxa"/>
                  <w:tcBorders>
                    <w:top w:val="nil"/>
                    <w:left w:val="nil"/>
                    <w:bottom w:val="single" w:sz="8" w:space="0" w:color="FFFFFF"/>
                    <w:right w:val="single" w:sz="8" w:space="0" w:color="FFFFFF"/>
                  </w:tcBorders>
                  <w:shd w:val="clear" w:color="000000" w:fill="FCD5B4"/>
                  <w:noWrap/>
                  <w:vAlign w:val="center"/>
                  <w:hideMark/>
                </w:tcPr>
                <w:p w14:paraId="410ACCE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1.49 </w:t>
                  </w:r>
                </w:p>
              </w:tc>
              <w:tc>
                <w:tcPr>
                  <w:tcW w:w="899" w:type="dxa"/>
                  <w:tcBorders>
                    <w:top w:val="nil"/>
                    <w:left w:val="nil"/>
                    <w:bottom w:val="single" w:sz="8" w:space="0" w:color="FFFFFF"/>
                    <w:right w:val="single" w:sz="8" w:space="0" w:color="FFFFFF"/>
                  </w:tcBorders>
                  <w:shd w:val="clear" w:color="000000" w:fill="FCD5B4"/>
                  <w:noWrap/>
                  <w:vAlign w:val="center"/>
                  <w:hideMark/>
                </w:tcPr>
                <w:p w14:paraId="56632F8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3.87 </w:t>
                  </w:r>
                </w:p>
              </w:tc>
            </w:tr>
            <w:tr w:rsidR="003222EA" w:rsidRPr="003222EA" w14:paraId="1936B810" w14:textId="77777777" w:rsidTr="003222EA">
              <w:trPr>
                <w:trHeight w:val="300"/>
              </w:trPr>
              <w:tc>
                <w:tcPr>
                  <w:tcW w:w="1316" w:type="dxa"/>
                  <w:tcBorders>
                    <w:top w:val="nil"/>
                    <w:left w:val="nil"/>
                    <w:bottom w:val="single" w:sz="12" w:space="0" w:color="FFFFFF"/>
                    <w:right w:val="single" w:sz="8" w:space="0" w:color="FFFFFF"/>
                  </w:tcBorders>
                  <w:shd w:val="clear" w:color="000000" w:fill="F79646"/>
                  <w:noWrap/>
                  <w:vAlign w:val="center"/>
                  <w:hideMark/>
                </w:tcPr>
                <w:p w14:paraId="1F2629BA" w14:textId="77777777" w:rsidR="003222EA" w:rsidRPr="003222EA" w:rsidRDefault="003222EA" w:rsidP="003222EA">
                  <w:pPr>
                    <w:widowControl/>
                    <w:jc w:val="center"/>
                    <w:rPr>
                      <w:rFonts w:ascii="楷体" w:eastAsia="楷体" w:hAnsi="楷体" w:cs="宋体"/>
                      <w:b/>
                      <w:bCs/>
                      <w:color w:val="FFFFFF"/>
                      <w:kern w:val="0"/>
                      <w:sz w:val="20"/>
                      <w:szCs w:val="20"/>
                    </w:rPr>
                  </w:pPr>
                  <w:proofErr w:type="gramStart"/>
                  <w:r w:rsidRPr="003222EA">
                    <w:rPr>
                      <w:rFonts w:ascii="楷体" w:eastAsia="楷体" w:hAnsi="楷体" w:cs="宋体" w:hint="eastAsia"/>
                      <w:b/>
                      <w:bCs/>
                      <w:color w:val="FFFFFF"/>
                      <w:kern w:val="0"/>
                      <w:sz w:val="20"/>
                      <w:szCs w:val="20"/>
                    </w:rPr>
                    <w:t>周变化</w:t>
                  </w:r>
                  <w:proofErr w:type="gramEnd"/>
                  <w:r w:rsidRPr="003222EA">
                    <w:rPr>
                      <w:rFonts w:ascii="楷体" w:eastAsia="楷体" w:hAnsi="楷体" w:cs="宋体" w:hint="eastAsia"/>
                      <w:b/>
                      <w:bCs/>
                      <w:color w:val="FFFFFF"/>
                      <w:kern w:val="0"/>
                      <w:sz w:val="20"/>
                      <w:szCs w:val="20"/>
                    </w:rPr>
                    <w:t>(BP)</w:t>
                  </w:r>
                </w:p>
              </w:tc>
              <w:tc>
                <w:tcPr>
                  <w:tcW w:w="899" w:type="dxa"/>
                  <w:tcBorders>
                    <w:top w:val="nil"/>
                    <w:left w:val="nil"/>
                    <w:bottom w:val="single" w:sz="12" w:space="0" w:color="FFFFFF"/>
                    <w:right w:val="single" w:sz="8" w:space="0" w:color="FFFFFF"/>
                  </w:tcBorders>
                  <w:shd w:val="clear" w:color="000000" w:fill="F79646"/>
                  <w:noWrap/>
                  <w:vAlign w:val="center"/>
                  <w:hideMark/>
                </w:tcPr>
                <w:p w14:paraId="161B811E"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38350662"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6542B710"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B75DC5E"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14:paraId="0393F026"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5D7087CB"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116541B"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10A57617"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36B00182"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r>
            <w:tr w:rsidR="003222EA" w:rsidRPr="003222EA" w14:paraId="66FA4882" w14:textId="77777777" w:rsidTr="003222EA">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14:paraId="633FFD80"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28ED007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-3.7 </w:t>
                  </w:r>
                </w:p>
              </w:tc>
              <w:tc>
                <w:tcPr>
                  <w:tcW w:w="900" w:type="dxa"/>
                  <w:tcBorders>
                    <w:top w:val="nil"/>
                    <w:left w:val="nil"/>
                    <w:bottom w:val="single" w:sz="8" w:space="0" w:color="FFFFFF"/>
                    <w:right w:val="single" w:sz="8" w:space="0" w:color="FFFFFF"/>
                  </w:tcBorders>
                  <w:shd w:val="clear" w:color="000000" w:fill="FCD5B4"/>
                  <w:noWrap/>
                  <w:vAlign w:val="center"/>
                  <w:hideMark/>
                </w:tcPr>
                <w:p w14:paraId="27380E2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-2.7 </w:t>
                  </w:r>
                </w:p>
              </w:tc>
              <w:tc>
                <w:tcPr>
                  <w:tcW w:w="900" w:type="dxa"/>
                  <w:tcBorders>
                    <w:top w:val="nil"/>
                    <w:left w:val="nil"/>
                    <w:bottom w:val="single" w:sz="8" w:space="0" w:color="FFFFFF"/>
                    <w:right w:val="single" w:sz="8" w:space="0" w:color="FFFFFF"/>
                  </w:tcBorders>
                  <w:shd w:val="clear" w:color="000000" w:fill="FCD5B4"/>
                  <w:noWrap/>
                  <w:vAlign w:val="center"/>
                  <w:hideMark/>
                </w:tcPr>
                <w:p w14:paraId="2C83D31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-3.7 </w:t>
                  </w:r>
                </w:p>
              </w:tc>
              <w:tc>
                <w:tcPr>
                  <w:tcW w:w="899" w:type="dxa"/>
                  <w:tcBorders>
                    <w:top w:val="nil"/>
                    <w:left w:val="nil"/>
                    <w:bottom w:val="single" w:sz="8" w:space="0" w:color="FFFFFF"/>
                    <w:right w:val="single" w:sz="8" w:space="0" w:color="FFFFFF"/>
                  </w:tcBorders>
                  <w:shd w:val="clear" w:color="000000" w:fill="FCD5B4"/>
                  <w:noWrap/>
                  <w:vAlign w:val="center"/>
                  <w:hideMark/>
                </w:tcPr>
                <w:p w14:paraId="5846334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-3.7 </w:t>
                  </w:r>
                </w:p>
              </w:tc>
              <w:tc>
                <w:tcPr>
                  <w:tcW w:w="1128" w:type="dxa"/>
                  <w:tcBorders>
                    <w:top w:val="nil"/>
                    <w:left w:val="nil"/>
                    <w:bottom w:val="single" w:sz="8" w:space="0" w:color="FFFFFF"/>
                    <w:right w:val="single" w:sz="8" w:space="0" w:color="FFFFFF"/>
                  </w:tcBorders>
                  <w:shd w:val="clear" w:color="000000" w:fill="FCD5B4"/>
                  <w:noWrap/>
                  <w:vAlign w:val="center"/>
                  <w:hideMark/>
                </w:tcPr>
                <w:p w14:paraId="18294844"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02C611A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-2.3 </w:t>
                  </w:r>
                </w:p>
              </w:tc>
              <w:tc>
                <w:tcPr>
                  <w:tcW w:w="899" w:type="dxa"/>
                  <w:tcBorders>
                    <w:top w:val="nil"/>
                    <w:left w:val="nil"/>
                    <w:bottom w:val="single" w:sz="8" w:space="0" w:color="FFFFFF"/>
                    <w:right w:val="single" w:sz="8" w:space="0" w:color="FFFFFF"/>
                  </w:tcBorders>
                  <w:shd w:val="clear" w:color="000000" w:fill="FCD5B4"/>
                  <w:noWrap/>
                  <w:vAlign w:val="center"/>
                  <w:hideMark/>
                </w:tcPr>
                <w:p w14:paraId="039FE8F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-1.3 </w:t>
                  </w:r>
                </w:p>
              </w:tc>
              <w:tc>
                <w:tcPr>
                  <w:tcW w:w="899" w:type="dxa"/>
                  <w:tcBorders>
                    <w:top w:val="nil"/>
                    <w:left w:val="nil"/>
                    <w:bottom w:val="single" w:sz="8" w:space="0" w:color="FFFFFF"/>
                    <w:right w:val="single" w:sz="8" w:space="0" w:color="FFFFFF"/>
                  </w:tcBorders>
                  <w:shd w:val="clear" w:color="000000" w:fill="FCD5B4"/>
                  <w:noWrap/>
                  <w:vAlign w:val="center"/>
                  <w:hideMark/>
                </w:tcPr>
                <w:p w14:paraId="28B8450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-2.3 </w:t>
                  </w:r>
                </w:p>
              </w:tc>
              <w:tc>
                <w:tcPr>
                  <w:tcW w:w="899" w:type="dxa"/>
                  <w:tcBorders>
                    <w:top w:val="nil"/>
                    <w:left w:val="nil"/>
                    <w:bottom w:val="single" w:sz="8" w:space="0" w:color="FFFFFF"/>
                    <w:right w:val="single" w:sz="8" w:space="0" w:color="FFFFFF"/>
                  </w:tcBorders>
                  <w:shd w:val="clear" w:color="000000" w:fill="FCD5B4"/>
                  <w:noWrap/>
                  <w:vAlign w:val="center"/>
                  <w:hideMark/>
                </w:tcPr>
                <w:p w14:paraId="403C5E4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-2.3 </w:t>
                  </w:r>
                </w:p>
              </w:tc>
            </w:tr>
            <w:tr w:rsidR="003222EA" w:rsidRPr="003222EA" w14:paraId="12A4EE65"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2ABCA2E8"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21C2658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-6.3 </w:t>
                  </w:r>
                </w:p>
              </w:tc>
              <w:tc>
                <w:tcPr>
                  <w:tcW w:w="900" w:type="dxa"/>
                  <w:tcBorders>
                    <w:top w:val="nil"/>
                    <w:left w:val="nil"/>
                    <w:bottom w:val="single" w:sz="8" w:space="0" w:color="FFFFFF"/>
                    <w:right w:val="single" w:sz="8" w:space="0" w:color="FFFFFF"/>
                  </w:tcBorders>
                  <w:shd w:val="clear" w:color="000000" w:fill="FDE9D9"/>
                  <w:noWrap/>
                  <w:vAlign w:val="center"/>
                  <w:hideMark/>
                </w:tcPr>
                <w:p w14:paraId="39BE2F0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-6.3 </w:t>
                  </w:r>
                </w:p>
              </w:tc>
              <w:tc>
                <w:tcPr>
                  <w:tcW w:w="900" w:type="dxa"/>
                  <w:tcBorders>
                    <w:top w:val="nil"/>
                    <w:left w:val="nil"/>
                    <w:bottom w:val="single" w:sz="8" w:space="0" w:color="FFFFFF"/>
                    <w:right w:val="single" w:sz="8" w:space="0" w:color="FFFFFF"/>
                  </w:tcBorders>
                  <w:shd w:val="clear" w:color="000000" w:fill="FDE9D9"/>
                  <w:noWrap/>
                  <w:vAlign w:val="center"/>
                  <w:hideMark/>
                </w:tcPr>
                <w:p w14:paraId="501E2B5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-3.3 </w:t>
                  </w:r>
                </w:p>
              </w:tc>
              <w:tc>
                <w:tcPr>
                  <w:tcW w:w="899" w:type="dxa"/>
                  <w:tcBorders>
                    <w:top w:val="nil"/>
                    <w:left w:val="nil"/>
                    <w:bottom w:val="single" w:sz="8" w:space="0" w:color="FFFFFF"/>
                    <w:right w:val="single" w:sz="8" w:space="0" w:color="FFFFFF"/>
                  </w:tcBorders>
                  <w:shd w:val="clear" w:color="000000" w:fill="FDE9D9"/>
                  <w:noWrap/>
                  <w:vAlign w:val="center"/>
                  <w:hideMark/>
                </w:tcPr>
                <w:p w14:paraId="307119E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-3.3 </w:t>
                  </w:r>
                </w:p>
              </w:tc>
              <w:tc>
                <w:tcPr>
                  <w:tcW w:w="1128" w:type="dxa"/>
                  <w:tcBorders>
                    <w:top w:val="nil"/>
                    <w:left w:val="nil"/>
                    <w:bottom w:val="single" w:sz="8" w:space="0" w:color="FFFFFF"/>
                    <w:right w:val="single" w:sz="8" w:space="0" w:color="FFFFFF"/>
                  </w:tcBorders>
                  <w:shd w:val="clear" w:color="000000" w:fill="FDE9D9"/>
                  <w:noWrap/>
                  <w:vAlign w:val="center"/>
                  <w:hideMark/>
                </w:tcPr>
                <w:p w14:paraId="7DFC357E"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4F9D1CE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-0.8 </w:t>
                  </w:r>
                </w:p>
              </w:tc>
              <w:tc>
                <w:tcPr>
                  <w:tcW w:w="899" w:type="dxa"/>
                  <w:tcBorders>
                    <w:top w:val="nil"/>
                    <w:left w:val="nil"/>
                    <w:bottom w:val="single" w:sz="8" w:space="0" w:color="FFFFFF"/>
                    <w:right w:val="single" w:sz="8" w:space="0" w:color="FFFFFF"/>
                  </w:tcBorders>
                  <w:shd w:val="clear" w:color="000000" w:fill="FDE9D9"/>
                  <w:noWrap/>
                  <w:vAlign w:val="center"/>
                  <w:hideMark/>
                </w:tcPr>
                <w:p w14:paraId="596ACD1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-0.8 </w:t>
                  </w:r>
                </w:p>
              </w:tc>
              <w:tc>
                <w:tcPr>
                  <w:tcW w:w="899" w:type="dxa"/>
                  <w:tcBorders>
                    <w:top w:val="nil"/>
                    <w:left w:val="nil"/>
                    <w:bottom w:val="single" w:sz="8" w:space="0" w:color="FFFFFF"/>
                    <w:right w:val="single" w:sz="8" w:space="0" w:color="FFFFFF"/>
                  </w:tcBorders>
                  <w:shd w:val="clear" w:color="000000" w:fill="FDE9D9"/>
                  <w:noWrap/>
                  <w:vAlign w:val="center"/>
                  <w:hideMark/>
                </w:tcPr>
                <w:p w14:paraId="714BD3C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2.3 </w:t>
                  </w:r>
                </w:p>
              </w:tc>
              <w:tc>
                <w:tcPr>
                  <w:tcW w:w="899" w:type="dxa"/>
                  <w:tcBorders>
                    <w:top w:val="nil"/>
                    <w:left w:val="nil"/>
                    <w:bottom w:val="single" w:sz="8" w:space="0" w:color="FFFFFF"/>
                    <w:right w:val="single" w:sz="8" w:space="0" w:color="FFFFFF"/>
                  </w:tcBorders>
                  <w:shd w:val="clear" w:color="000000" w:fill="FDE9D9"/>
                  <w:noWrap/>
                  <w:vAlign w:val="center"/>
                  <w:hideMark/>
                </w:tcPr>
                <w:p w14:paraId="0507ADD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2.2 </w:t>
                  </w:r>
                </w:p>
              </w:tc>
            </w:tr>
            <w:tr w:rsidR="003222EA" w:rsidRPr="003222EA" w14:paraId="5696B75B" w14:textId="77777777" w:rsidTr="003222EA">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5C5A51A3"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0FFAB5D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-3.1 </w:t>
                  </w:r>
                </w:p>
              </w:tc>
              <w:tc>
                <w:tcPr>
                  <w:tcW w:w="900" w:type="dxa"/>
                  <w:tcBorders>
                    <w:top w:val="nil"/>
                    <w:left w:val="nil"/>
                    <w:bottom w:val="single" w:sz="8" w:space="0" w:color="FFFFFF"/>
                    <w:right w:val="single" w:sz="8" w:space="0" w:color="FFFFFF"/>
                  </w:tcBorders>
                  <w:shd w:val="clear" w:color="000000" w:fill="FCD5B4"/>
                  <w:noWrap/>
                  <w:vAlign w:val="center"/>
                  <w:hideMark/>
                </w:tcPr>
                <w:p w14:paraId="201F4BA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-4.1 </w:t>
                  </w:r>
                </w:p>
              </w:tc>
              <w:tc>
                <w:tcPr>
                  <w:tcW w:w="900" w:type="dxa"/>
                  <w:tcBorders>
                    <w:top w:val="nil"/>
                    <w:left w:val="nil"/>
                    <w:bottom w:val="single" w:sz="8" w:space="0" w:color="FFFFFF"/>
                    <w:right w:val="single" w:sz="8" w:space="0" w:color="FFFFFF"/>
                  </w:tcBorders>
                  <w:shd w:val="clear" w:color="000000" w:fill="FCD5B4"/>
                  <w:noWrap/>
                  <w:vAlign w:val="center"/>
                  <w:hideMark/>
                </w:tcPr>
                <w:p w14:paraId="6BA62F3D"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-4.1 </w:t>
                  </w:r>
                </w:p>
              </w:tc>
              <w:tc>
                <w:tcPr>
                  <w:tcW w:w="899" w:type="dxa"/>
                  <w:tcBorders>
                    <w:top w:val="nil"/>
                    <w:left w:val="nil"/>
                    <w:bottom w:val="single" w:sz="8" w:space="0" w:color="FFFFFF"/>
                    <w:right w:val="single" w:sz="8" w:space="0" w:color="FFFFFF"/>
                  </w:tcBorders>
                  <w:shd w:val="clear" w:color="000000" w:fill="FCD5B4"/>
                  <w:noWrap/>
                  <w:vAlign w:val="center"/>
                  <w:hideMark/>
                </w:tcPr>
                <w:p w14:paraId="616F34BD"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-4.1 </w:t>
                  </w:r>
                </w:p>
              </w:tc>
              <w:tc>
                <w:tcPr>
                  <w:tcW w:w="1128" w:type="dxa"/>
                  <w:tcBorders>
                    <w:top w:val="nil"/>
                    <w:left w:val="nil"/>
                    <w:bottom w:val="single" w:sz="8" w:space="0" w:color="FFFFFF"/>
                    <w:right w:val="single" w:sz="8" w:space="0" w:color="FFFFFF"/>
                  </w:tcBorders>
                  <w:shd w:val="clear" w:color="000000" w:fill="FCD5B4"/>
                  <w:noWrap/>
                  <w:vAlign w:val="center"/>
                  <w:hideMark/>
                </w:tcPr>
                <w:p w14:paraId="024720FD"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7DC933B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12.5 </w:t>
                  </w:r>
                </w:p>
              </w:tc>
              <w:tc>
                <w:tcPr>
                  <w:tcW w:w="899" w:type="dxa"/>
                  <w:tcBorders>
                    <w:top w:val="nil"/>
                    <w:left w:val="nil"/>
                    <w:bottom w:val="single" w:sz="8" w:space="0" w:color="FFFFFF"/>
                    <w:right w:val="single" w:sz="8" w:space="0" w:color="FFFFFF"/>
                  </w:tcBorders>
                  <w:shd w:val="clear" w:color="000000" w:fill="FCD5B4"/>
                  <w:noWrap/>
                  <w:vAlign w:val="center"/>
                  <w:hideMark/>
                </w:tcPr>
                <w:p w14:paraId="2AD2015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11.5 </w:t>
                  </w:r>
                </w:p>
              </w:tc>
              <w:tc>
                <w:tcPr>
                  <w:tcW w:w="899" w:type="dxa"/>
                  <w:tcBorders>
                    <w:top w:val="nil"/>
                    <w:left w:val="nil"/>
                    <w:bottom w:val="single" w:sz="8" w:space="0" w:color="FFFFFF"/>
                    <w:right w:val="single" w:sz="8" w:space="0" w:color="FFFFFF"/>
                  </w:tcBorders>
                  <w:shd w:val="clear" w:color="000000" w:fill="FCD5B4"/>
                  <w:noWrap/>
                  <w:vAlign w:val="center"/>
                  <w:hideMark/>
                </w:tcPr>
                <w:p w14:paraId="558991B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11.4 </w:t>
                  </w:r>
                </w:p>
              </w:tc>
              <w:tc>
                <w:tcPr>
                  <w:tcW w:w="899" w:type="dxa"/>
                  <w:tcBorders>
                    <w:top w:val="nil"/>
                    <w:left w:val="nil"/>
                    <w:bottom w:val="single" w:sz="8" w:space="0" w:color="FFFFFF"/>
                    <w:right w:val="single" w:sz="8" w:space="0" w:color="FFFFFF"/>
                  </w:tcBorders>
                  <w:shd w:val="clear" w:color="000000" w:fill="FCD5B4"/>
                  <w:noWrap/>
                  <w:vAlign w:val="center"/>
                  <w:hideMark/>
                </w:tcPr>
                <w:p w14:paraId="19A7D4AD"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11.4 </w:t>
                  </w:r>
                </w:p>
              </w:tc>
            </w:tr>
            <w:tr w:rsidR="003222EA" w:rsidRPr="003222EA" w14:paraId="1F7CE3A4"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6F04F4F9"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2C36E94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-5.5 </w:t>
                  </w:r>
                </w:p>
              </w:tc>
              <w:tc>
                <w:tcPr>
                  <w:tcW w:w="900" w:type="dxa"/>
                  <w:tcBorders>
                    <w:top w:val="nil"/>
                    <w:left w:val="nil"/>
                    <w:bottom w:val="single" w:sz="8" w:space="0" w:color="FFFFFF"/>
                    <w:right w:val="single" w:sz="8" w:space="0" w:color="FFFFFF"/>
                  </w:tcBorders>
                  <w:shd w:val="clear" w:color="000000" w:fill="FDE9D9"/>
                  <w:noWrap/>
                  <w:vAlign w:val="center"/>
                  <w:hideMark/>
                </w:tcPr>
                <w:p w14:paraId="519FDCC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-5.5 </w:t>
                  </w:r>
                </w:p>
              </w:tc>
              <w:tc>
                <w:tcPr>
                  <w:tcW w:w="900" w:type="dxa"/>
                  <w:tcBorders>
                    <w:top w:val="nil"/>
                    <w:left w:val="nil"/>
                    <w:bottom w:val="single" w:sz="8" w:space="0" w:color="FFFFFF"/>
                    <w:right w:val="single" w:sz="8" w:space="0" w:color="FFFFFF"/>
                  </w:tcBorders>
                  <w:shd w:val="clear" w:color="000000" w:fill="FDE9D9"/>
                  <w:noWrap/>
                  <w:vAlign w:val="center"/>
                  <w:hideMark/>
                </w:tcPr>
                <w:p w14:paraId="7CE66B0D"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-2.5 </w:t>
                  </w:r>
                </w:p>
              </w:tc>
              <w:tc>
                <w:tcPr>
                  <w:tcW w:w="899" w:type="dxa"/>
                  <w:tcBorders>
                    <w:top w:val="nil"/>
                    <w:left w:val="nil"/>
                    <w:bottom w:val="single" w:sz="8" w:space="0" w:color="FFFFFF"/>
                    <w:right w:val="single" w:sz="8" w:space="0" w:color="FFFFFF"/>
                  </w:tcBorders>
                  <w:shd w:val="clear" w:color="000000" w:fill="FDE9D9"/>
                  <w:noWrap/>
                  <w:vAlign w:val="center"/>
                  <w:hideMark/>
                </w:tcPr>
                <w:p w14:paraId="2EA5D5F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-2.5 </w:t>
                  </w:r>
                </w:p>
              </w:tc>
              <w:tc>
                <w:tcPr>
                  <w:tcW w:w="1128" w:type="dxa"/>
                  <w:tcBorders>
                    <w:top w:val="nil"/>
                    <w:left w:val="nil"/>
                    <w:bottom w:val="single" w:sz="8" w:space="0" w:color="FFFFFF"/>
                    <w:right w:val="single" w:sz="8" w:space="0" w:color="FFFFFF"/>
                  </w:tcBorders>
                  <w:shd w:val="clear" w:color="000000" w:fill="FDE9D9"/>
                  <w:noWrap/>
                  <w:vAlign w:val="center"/>
                  <w:hideMark/>
                </w:tcPr>
                <w:p w14:paraId="2B0E7BDD"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65B28EE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0.1 </w:t>
                  </w:r>
                </w:p>
              </w:tc>
              <w:tc>
                <w:tcPr>
                  <w:tcW w:w="899" w:type="dxa"/>
                  <w:tcBorders>
                    <w:top w:val="nil"/>
                    <w:left w:val="nil"/>
                    <w:bottom w:val="single" w:sz="8" w:space="0" w:color="FFFFFF"/>
                    <w:right w:val="single" w:sz="8" w:space="0" w:color="FFFFFF"/>
                  </w:tcBorders>
                  <w:shd w:val="clear" w:color="000000" w:fill="FDE9D9"/>
                  <w:noWrap/>
                  <w:vAlign w:val="center"/>
                  <w:hideMark/>
                </w:tcPr>
                <w:p w14:paraId="0E21D21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0.1 </w:t>
                  </w:r>
                </w:p>
              </w:tc>
              <w:tc>
                <w:tcPr>
                  <w:tcW w:w="899" w:type="dxa"/>
                  <w:tcBorders>
                    <w:top w:val="nil"/>
                    <w:left w:val="nil"/>
                    <w:bottom w:val="single" w:sz="8" w:space="0" w:color="FFFFFF"/>
                    <w:right w:val="single" w:sz="8" w:space="0" w:color="FFFFFF"/>
                  </w:tcBorders>
                  <w:shd w:val="clear" w:color="000000" w:fill="FDE9D9"/>
                  <w:noWrap/>
                  <w:vAlign w:val="center"/>
                  <w:hideMark/>
                </w:tcPr>
                <w:p w14:paraId="4284CA5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3.1 </w:t>
                  </w:r>
                </w:p>
              </w:tc>
              <w:tc>
                <w:tcPr>
                  <w:tcW w:w="899" w:type="dxa"/>
                  <w:tcBorders>
                    <w:top w:val="nil"/>
                    <w:left w:val="nil"/>
                    <w:bottom w:val="single" w:sz="8" w:space="0" w:color="FFFFFF"/>
                    <w:right w:val="single" w:sz="8" w:space="0" w:color="FFFFFF"/>
                  </w:tcBorders>
                  <w:shd w:val="clear" w:color="000000" w:fill="FDE9D9"/>
                  <w:noWrap/>
                  <w:vAlign w:val="center"/>
                  <w:hideMark/>
                </w:tcPr>
                <w:p w14:paraId="7B524DB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3.1 </w:t>
                  </w:r>
                </w:p>
              </w:tc>
            </w:tr>
            <w:tr w:rsidR="003222EA" w:rsidRPr="003222EA" w14:paraId="3A3BC91F" w14:textId="77777777" w:rsidTr="003222EA">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1535C2DA"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4A80E87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-3.1 </w:t>
                  </w:r>
                </w:p>
              </w:tc>
              <w:tc>
                <w:tcPr>
                  <w:tcW w:w="900" w:type="dxa"/>
                  <w:tcBorders>
                    <w:top w:val="nil"/>
                    <w:left w:val="nil"/>
                    <w:bottom w:val="single" w:sz="8" w:space="0" w:color="FFFFFF"/>
                    <w:right w:val="single" w:sz="8" w:space="0" w:color="FFFFFF"/>
                  </w:tcBorders>
                  <w:shd w:val="clear" w:color="000000" w:fill="FCD5B4"/>
                  <w:noWrap/>
                  <w:vAlign w:val="center"/>
                  <w:hideMark/>
                </w:tcPr>
                <w:p w14:paraId="4E6394D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-4.1 </w:t>
                  </w:r>
                </w:p>
              </w:tc>
              <w:tc>
                <w:tcPr>
                  <w:tcW w:w="900" w:type="dxa"/>
                  <w:tcBorders>
                    <w:top w:val="nil"/>
                    <w:left w:val="nil"/>
                    <w:bottom w:val="single" w:sz="8" w:space="0" w:color="FFFFFF"/>
                    <w:right w:val="single" w:sz="8" w:space="0" w:color="FFFFFF"/>
                  </w:tcBorders>
                  <w:shd w:val="clear" w:color="000000" w:fill="FCD5B4"/>
                  <w:noWrap/>
                  <w:vAlign w:val="center"/>
                  <w:hideMark/>
                </w:tcPr>
                <w:p w14:paraId="5D52EED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-4.1 </w:t>
                  </w:r>
                </w:p>
              </w:tc>
              <w:tc>
                <w:tcPr>
                  <w:tcW w:w="899" w:type="dxa"/>
                  <w:tcBorders>
                    <w:top w:val="nil"/>
                    <w:left w:val="nil"/>
                    <w:bottom w:val="single" w:sz="8" w:space="0" w:color="FFFFFF"/>
                    <w:right w:val="single" w:sz="8" w:space="0" w:color="FFFFFF"/>
                  </w:tcBorders>
                  <w:shd w:val="clear" w:color="000000" w:fill="FCD5B4"/>
                  <w:noWrap/>
                  <w:vAlign w:val="center"/>
                  <w:hideMark/>
                </w:tcPr>
                <w:p w14:paraId="51A1F1B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-4.1 </w:t>
                  </w:r>
                </w:p>
              </w:tc>
              <w:tc>
                <w:tcPr>
                  <w:tcW w:w="1128" w:type="dxa"/>
                  <w:tcBorders>
                    <w:top w:val="nil"/>
                    <w:left w:val="nil"/>
                    <w:bottom w:val="single" w:sz="8" w:space="0" w:color="FFFFFF"/>
                    <w:right w:val="single" w:sz="8" w:space="0" w:color="FFFFFF"/>
                  </w:tcBorders>
                  <w:shd w:val="clear" w:color="000000" w:fill="FCD5B4"/>
                  <w:noWrap/>
                  <w:vAlign w:val="center"/>
                  <w:hideMark/>
                </w:tcPr>
                <w:p w14:paraId="4CC3E9FA"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12F4018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12.5 </w:t>
                  </w:r>
                </w:p>
              </w:tc>
              <w:tc>
                <w:tcPr>
                  <w:tcW w:w="899" w:type="dxa"/>
                  <w:tcBorders>
                    <w:top w:val="nil"/>
                    <w:left w:val="nil"/>
                    <w:bottom w:val="single" w:sz="8" w:space="0" w:color="FFFFFF"/>
                    <w:right w:val="single" w:sz="8" w:space="0" w:color="FFFFFF"/>
                  </w:tcBorders>
                  <w:shd w:val="clear" w:color="000000" w:fill="FCD5B4"/>
                  <w:noWrap/>
                  <w:vAlign w:val="center"/>
                  <w:hideMark/>
                </w:tcPr>
                <w:p w14:paraId="35EA51A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11.5 </w:t>
                  </w:r>
                </w:p>
              </w:tc>
              <w:tc>
                <w:tcPr>
                  <w:tcW w:w="899" w:type="dxa"/>
                  <w:tcBorders>
                    <w:top w:val="nil"/>
                    <w:left w:val="nil"/>
                    <w:bottom w:val="single" w:sz="8" w:space="0" w:color="FFFFFF"/>
                    <w:right w:val="single" w:sz="8" w:space="0" w:color="FFFFFF"/>
                  </w:tcBorders>
                  <w:shd w:val="clear" w:color="000000" w:fill="FCD5B4"/>
                  <w:noWrap/>
                  <w:vAlign w:val="center"/>
                  <w:hideMark/>
                </w:tcPr>
                <w:p w14:paraId="794A8E4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11.5 </w:t>
                  </w:r>
                </w:p>
              </w:tc>
              <w:tc>
                <w:tcPr>
                  <w:tcW w:w="899" w:type="dxa"/>
                  <w:tcBorders>
                    <w:top w:val="nil"/>
                    <w:left w:val="nil"/>
                    <w:bottom w:val="single" w:sz="8" w:space="0" w:color="FFFFFF"/>
                    <w:right w:val="single" w:sz="8" w:space="0" w:color="FFFFFF"/>
                  </w:tcBorders>
                  <w:shd w:val="clear" w:color="000000" w:fill="FCD5B4"/>
                  <w:noWrap/>
                  <w:vAlign w:val="center"/>
                  <w:hideMark/>
                </w:tcPr>
                <w:p w14:paraId="3C418FF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11.4 </w:t>
                  </w:r>
                </w:p>
              </w:tc>
            </w:tr>
            <w:tr w:rsidR="003222EA" w:rsidRPr="003222EA" w14:paraId="5A3A76F6"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229F896C"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5D67C1E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-3.1 </w:t>
                  </w:r>
                </w:p>
              </w:tc>
              <w:tc>
                <w:tcPr>
                  <w:tcW w:w="900" w:type="dxa"/>
                  <w:tcBorders>
                    <w:top w:val="nil"/>
                    <w:left w:val="nil"/>
                    <w:bottom w:val="single" w:sz="8" w:space="0" w:color="FFFFFF"/>
                    <w:right w:val="single" w:sz="8" w:space="0" w:color="FFFFFF"/>
                  </w:tcBorders>
                  <w:shd w:val="clear" w:color="000000" w:fill="FDE9D9"/>
                  <w:noWrap/>
                  <w:vAlign w:val="center"/>
                  <w:hideMark/>
                </w:tcPr>
                <w:p w14:paraId="7087D58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-3.1 </w:t>
                  </w:r>
                </w:p>
              </w:tc>
              <w:tc>
                <w:tcPr>
                  <w:tcW w:w="900" w:type="dxa"/>
                  <w:tcBorders>
                    <w:top w:val="nil"/>
                    <w:left w:val="nil"/>
                    <w:bottom w:val="single" w:sz="8" w:space="0" w:color="FFFFFF"/>
                    <w:right w:val="single" w:sz="8" w:space="0" w:color="FFFFFF"/>
                  </w:tcBorders>
                  <w:shd w:val="clear" w:color="000000" w:fill="FDE9D9"/>
                  <w:noWrap/>
                  <w:vAlign w:val="center"/>
                  <w:hideMark/>
                </w:tcPr>
                <w:p w14:paraId="26175E8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-3.1 </w:t>
                  </w:r>
                </w:p>
              </w:tc>
              <w:tc>
                <w:tcPr>
                  <w:tcW w:w="899" w:type="dxa"/>
                  <w:tcBorders>
                    <w:top w:val="nil"/>
                    <w:left w:val="nil"/>
                    <w:bottom w:val="single" w:sz="8" w:space="0" w:color="FFFFFF"/>
                    <w:right w:val="single" w:sz="8" w:space="0" w:color="FFFFFF"/>
                  </w:tcBorders>
                  <w:shd w:val="clear" w:color="000000" w:fill="FDE9D9"/>
                  <w:noWrap/>
                  <w:vAlign w:val="center"/>
                  <w:hideMark/>
                </w:tcPr>
                <w:p w14:paraId="6991593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-3.1 </w:t>
                  </w:r>
                </w:p>
              </w:tc>
              <w:tc>
                <w:tcPr>
                  <w:tcW w:w="1128" w:type="dxa"/>
                  <w:tcBorders>
                    <w:top w:val="nil"/>
                    <w:left w:val="nil"/>
                    <w:bottom w:val="single" w:sz="8" w:space="0" w:color="FFFFFF"/>
                    <w:right w:val="single" w:sz="8" w:space="0" w:color="FFFFFF"/>
                  </w:tcBorders>
                  <w:shd w:val="clear" w:color="000000" w:fill="FDE9D9"/>
                  <w:noWrap/>
                  <w:vAlign w:val="center"/>
                  <w:hideMark/>
                </w:tcPr>
                <w:p w14:paraId="0817C74F"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1345C3A5"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0.4 </w:t>
                  </w:r>
                </w:p>
              </w:tc>
              <w:tc>
                <w:tcPr>
                  <w:tcW w:w="899" w:type="dxa"/>
                  <w:tcBorders>
                    <w:top w:val="nil"/>
                    <w:left w:val="nil"/>
                    <w:bottom w:val="single" w:sz="8" w:space="0" w:color="FFFFFF"/>
                    <w:right w:val="single" w:sz="8" w:space="0" w:color="FFFFFF"/>
                  </w:tcBorders>
                  <w:shd w:val="clear" w:color="000000" w:fill="FDE9D9"/>
                  <w:noWrap/>
                  <w:vAlign w:val="center"/>
                  <w:hideMark/>
                </w:tcPr>
                <w:p w14:paraId="766F4F4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0.4 </w:t>
                  </w:r>
                </w:p>
              </w:tc>
              <w:tc>
                <w:tcPr>
                  <w:tcW w:w="899" w:type="dxa"/>
                  <w:tcBorders>
                    <w:top w:val="nil"/>
                    <w:left w:val="nil"/>
                    <w:bottom w:val="single" w:sz="8" w:space="0" w:color="FFFFFF"/>
                    <w:right w:val="single" w:sz="8" w:space="0" w:color="FFFFFF"/>
                  </w:tcBorders>
                  <w:shd w:val="clear" w:color="000000" w:fill="FDE9D9"/>
                  <w:noWrap/>
                  <w:vAlign w:val="center"/>
                  <w:hideMark/>
                </w:tcPr>
                <w:p w14:paraId="27415BC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0.4 </w:t>
                  </w:r>
                </w:p>
              </w:tc>
              <w:tc>
                <w:tcPr>
                  <w:tcW w:w="899" w:type="dxa"/>
                  <w:tcBorders>
                    <w:top w:val="nil"/>
                    <w:left w:val="nil"/>
                    <w:bottom w:val="single" w:sz="8" w:space="0" w:color="FFFFFF"/>
                    <w:right w:val="single" w:sz="8" w:space="0" w:color="FFFFFF"/>
                  </w:tcBorders>
                  <w:shd w:val="clear" w:color="000000" w:fill="FDE9D9"/>
                  <w:noWrap/>
                  <w:vAlign w:val="center"/>
                  <w:hideMark/>
                </w:tcPr>
                <w:p w14:paraId="116B3E1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0.4 </w:t>
                  </w:r>
                </w:p>
              </w:tc>
            </w:tr>
            <w:tr w:rsidR="003222EA" w:rsidRPr="003222EA" w14:paraId="59D8DF08" w14:textId="77777777" w:rsidTr="003222EA">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0FF29D74"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698F15B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-5.6 </w:t>
                  </w:r>
                </w:p>
              </w:tc>
              <w:tc>
                <w:tcPr>
                  <w:tcW w:w="900" w:type="dxa"/>
                  <w:tcBorders>
                    <w:top w:val="nil"/>
                    <w:left w:val="nil"/>
                    <w:bottom w:val="single" w:sz="8" w:space="0" w:color="FFFFFF"/>
                    <w:right w:val="single" w:sz="8" w:space="0" w:color="FFFFFF"/>
                  </w:tcBorders>
                  <w:shd w:val="clear" w:color="000000" w:fill="FCD5B4"/>
                  <w:noWrap/>
                  <w:vAlign w:val="center"/>
                  <w:hideMark/>
                </w:tcPr>
                <w:p w14:paraId="3140547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-4.6 </w:t>
                  </w:r>
                </w:p>
              </w:tc>
              <w:tc>
                <w:tcPr>
                  <w:tcW w:w="900" w:type="dxa"/>
                  <w:tcBorders>
                    <w:top w:val="nil"/>
                    <w:left w:val="nil"/>
                    <w:bottom w:val="single" w:sz="8" w:space="0" w:color="FFFFFF"/>
                    <w:right w:val="single" w:sz="8" w:space="0" w:color="FFFFFF"/>
                  </w:tcBorders>
                  <w:shd w:val="clear" w:color="000000" w:fill="FCD5B4"/>
                  <w:noWrap/>
                  <w:vAlign w:val="center"/>
                  <w:hideMark/>
                </w:tcPr>
                <w:p w14:paraId="0BF503F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-1.6 </w:t>
                  </w:r>
                </w:p>
              </w:tc>
              <w:tc>
                <w:tcPr>
                  <w:tcW w:w="899" w:type="dxa"/>
                  <w:tcBorders>
                    <w:top w:val="nil"/>
                    <w:left w:val="nil"/>
                    <w:bottom w:val="single" w:sz="8" w:space="0" w:color="FFFFFF"/>
                    <w:right w:val="single" w:sz="8" w:space="0" w:color="FFFFFF"/>
                  </w:tcBorders>
                  <w:shd w:val="clear" w:color="000000" w:fill="FCD5B4"/>
                  <w:noWrap/>
                  <w:vAlign w:val="center"/>
                  <w:hideMark/>
                </w:tcPr>
                <w:p w14:paraId="51A4FC8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-2.6 </w:t>
                  </w:r>
                </w:p>
              </w:tc>
              <w:tc>
                <w:tcPr>
                  <w:tcW w:w="1128" w:type="dxa"/>
                  <w:tcBorders>
                    <w:top w:val="nil"/>
                    <w:left w:val="nil"/>
                    <w:bottom w:val="single" w:sz="8" w:space="0" w:color="FFFFFF"/>
                    <w:right w:val="single" w:sz="8" w:space="0" w:color="FFFFFF"/>
                  </w:tcBorders>
                  <w:shd w:val="clear" w:color="000000" w:fill="FCD5B4"/>
                  <w:noWrap/>
                  <w:vAlign w:val="center"/>
                  <w:hideMark/>
                </w:tcPr>
                <w:p w14:paraId="4179C2C8"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77323B6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-0.1 </w:t>
                  </w:r>
                </w:p>
              </w:tc>
              <w:tc>
                <w:tcPr>
                  <w:tcW w:w="899" w:type="dxa"/>
                  <w:tcBorders>
                    <w:top w:val="nil"/>
                    <w:left w:val="nil"/>
                    <w:bottom w:val="single" w:sz="8" w:space="0" w:color="FFFFFF"/>
                    <w:right w:val="single" w:sz="8" w:space="0" w:color="FFFFFF"/>
                  </w:tcBorders>
                  <w:shd w:val="clear" w:color="000000" w:fill="FCD5B4"/>
                  <w:noWrap/>
                  <w:vAlign w:val="center"/>
                  <w:hideMark/>
                </w:tcPr>
                <w:p w14:paraId="5D1E134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1.0 </w:t>
                  </w:r>
                </w:p>
              </w:tc>
              <w:tc>
                <w:tcPr>
                  <w:tcW w:w="899" w:type="dxa"/>
                  <w:tcBorders>
                    <w:top w:val="nil"/>
                    <w:left w:val="nil"/>
                    <w:bottom w:val="single" w:sz="8" w:space="0" w:color="FFFFFF"/>
                    <w:right w:val="single" w:sz="8" w:space="0" w:color="FFFFFF"/>
                  </w:tcBorders>
                  <w:shd w:val="clear" w:color="000000" w:fill="FCD5B4"/>
                  <w:noWrap/>
                  <w:vAlign w:val="center"/>
                  <w:hideMark/>
                </w:tcPr>
                <w:p w14:paraId="65D710A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3.9 </w:t>
                  </w:r>
                </w:p>
              </w:tc>
              <w:tc>
                <w:tcPr>
                  <w:tcW w:w="899" w:type="dxa"/>
                  <w:tcBorders>
                    <w:top w:val="nil"/>
                    <w:left w:val="nil"/>
                    <w:bottom w:val="single" w:sz="8" w:space="0" w:color="FFFFFF"/>
                    <w:right w:val="single" w:sz="8" w:space="0" w:color="FFFFFF"/>
                  </w:tcBorders>
                  <w:shd w:val="clear" w:color="000000" w:fill="FCD5B4"/>
                  <w:noWrap/>
                  <w:vAlign w:val="center"/>
                  <w:hideMark/>
                </w:tcPr>
                <w:p w14:paraId="06A7439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3.0 </w:t>
                  </w:r>
                </w:p>
              </w:tc>
            </w:tr>
            <w:tr w:rsidR="003222EA" w:rsidRPr="003222EA" w14:paraId="63EBF8DC"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6FF11450"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0EA53C2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-4.9 </w:t>
                  </w:r>
                </w:p>
              </w:tc>
              <w:tc>
                <w:tcPr>
                  <w:tcW w:w="900" w:type="dxa"/>
                  <w:tcBorders>
                    <w:top w:val="nil"/>
                    <w:left w:val="nil"/>
                    <w:bottom w:val="single" w:sz="8" w:space="0" w:color="FFFFFF"/>
                    <w:right w:val="single" w:sz="8" w:space="0" w:color="FFFFFF"/>
                  </w:tcBorders>
                  <w:shd w:val="clear" w:color="000000" w:fill="FDE9D9"/>
                  <w:noWrap/>
                  <w:vAlign w:val="center"/>
                  <w:hideMark/>
                </w:tcPr>
                <w:p w14:paraId="7402283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-4.9 </w:t>
                  </w:r>
                </w:p>
              </w:tc>
              <w:tc>
                <w:tcPr>
                  <w:tcW w:w="900" w:type="dxa"/>
                  <w:tcBorders>
                    <w:top w:val="nil"/>
                    <w:left w:val="nil"/>
                    <w:bottom w:val="single" w:sz="8" w:space="0" w:color="FFFFFF"/>
                    <w:right w:val="single" w:sz="8" w:space="0" w:color="FFFFFF"/>
                  </w:tcBorders>
                  <w:shd w:val="clear" w:color="000000" w:fill="FDE9D9"/>
                  <w:noWrap/>
                  <w:vAlign w:val="center"/>
                  <w:hideMark/>
                </w:tcPr>
                <w:p w14:paraId="11CEBE9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-4.9 </w:t>
                  </w:r>
                </w:p>
              </w:tc>
              <w:tc>
                <w:tcPr>
                  <w:tcW w:w="899" w:type="dxa"/>
                  <w:tcBorders>
                    <w:top w:val="nil"/>
                    <w:left w:val="nil"/>
                    <w:bottom w:val="single" w:sz="8" w:space="0" w:color="FFFFFF"/>
                    <w:right w:val="single" w:sz="8" w:space="0" w:color="FFFFFF"/>
                  </w:tcBorders>
                  <w:shd w:val="clear" w:color="000000" w:fill="FDE9D9"/>
                  <w:noWrap/>
                  <w:vAlign w:val="center"/>
                  <w:hideMark/>
                </w:tcPr>
                <w:p w14:paraId="4371BE2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-5.9 </w:t>
                  </w:r>
                </w:p>
              </w:tc>
              <w:tc>
                <w:tcPr>
                  <w:tcW w:w="1128" w:type="dxa"/>
                  <w:tcBorders>
                    <w:top w:val="nil"/>
                    <w:left w:val="nil"/>
                    <w:bottom w:val="single" w:sz="8" w:space="0" w:color="FFFFFF"/>
                    <w:right w:val="single" w:sz="8" w:space="0" w:color="FFFFFF"/>
                  </w:tcBorders>
                  <w:shd w:val="clear" w:color="000000" w:fill="FDE9D9"/>
                  <w:noWrap/>
                  <w:vAlign w:val="center"/>
                  <w:hideMark/>
                </w:tcPr>
                <w:p w14:paraId="7D99CE10"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1083367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10.7 </w:t>
                  </w:r>
                </w:p>
              </w:tc>
              <w:tc>
                <w:tcPr>
                  <w:tcW w:w="899" w:type="dxa"/>
                  <w:tcBorders>
                    <w:top w:val="nil"/>
                    <w:left w:val="nil"/>
                    <w:bottom w:val="single" w:sz="8" w:space="0" w:color="FFFFFF"/>
                    <w:right w:val="single" w:sz="8" w:space="0" w:color="FFFFFF"/>
                  </w:tcBorders>
                  <w:shd w:val="clear" w:color="000000" w:fill="FDE9D9"/>
                  <w:noWrap/>
                  <w:vAlign w:val="center"/>
                  <w:hideMark/>
                </w:tcPr>
                <w:p w14:paraId="14CD80C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10.7 </w:t>
                  </w:r>
                </w:p>
              </w:tc>
              <w:tc>
                <w:tcPr>
                  <w:tcW w:w="899" w:type="dxa"/>
                  <w:tcBorders>
                    <w:top w:val="nil"/>
                    <w:left w:val="nil"/>
                    <w:bottom w:val="single" w:sz="8" w:space="0" w:color="FFFFFF"/>
                    <w:right w:val="single" w:sz="8" w:space="0" w:color="FFFFFF"/>
                  </w:tcBorders>
                  <w:shd w:val="clear" w:color="000000" w:fill="FDE9D9"/>
                  <w:noWrap/>
                  <w:vAlign w:val="center"/>
                  <w:hideMark/>
                </w:tcPr>
                <w:p w14:paraId="2AD1E3F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10.7 </w:t>
                  </w:r>
                </w:p>
              </w:tc>
              <w:tc>
                <w:tcPr>
                  <w:tcW w:w="899" w:type="dxa"/>
                  <w:tcBorders>
                    <w:top w:val="nil"/>
                    <w:left w:val="nil"/>
                    <w:bottom w:val="single" w:sz="8" w:space="0" w:color="FFFFFF"/>
                    <w:right w:val="single" w:sz="8" w:space="0" w:color="FFFFFF"/>
                  </w:tcBorders>
                  <w:shd w:val="clear" w:color="000000" w:fill="FDE9D9"/>
                  <w:noWrap/>
                  <w:vAlign w:val="center"/>
                  <w:hideMark/>
                </w:tcPr>
                <w:p w14:paraId="5123C29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9.7 </w:t>
                  </w:r>
                </w:p>
              </w:tc>
            </w:tr>
            <w:tr w:rsidR="003222EA" w:rsidRPr="003222EA" w14:paraId="5980D867" w14:textId="77777777" w:rsidTr="003222EA">
              <w:trPr>
                <w:trHeight w:val="300"/>
              </w:trPr>
              <w:tc>
                <w:tcPr>
                  <w:tcW w:w="1316" w:type="dxa"/>
                  <w:tcBorders>
                    <w:top w:val="nil"/>
                    <w:left w:val="nil"/>
                    <w:bottom w:val="nil"/>
                    <w:right w:val="nil"/>
                  </w:tcBorders>
                  <w:shd w:val="clear" w:color="000000" w:fill="FCD5B4"/>
                  <w:noWrap/>
                  <w:vAlign w:val="center"/>
                  <w:hideMark/>
                </w:tcPr>
                <w:p w14:paraId="6EB6F4FF"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7BE1DC1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-3.8 </w:t>
                  </w:r>
                </w:p>
              </w:tc>
              <w:tc>
                <w:tcPr>
                  <w:tcW w:w="900" w:type="dxa"/>
                  <w:tcBorders>
                    <w:top w:val="nil"/>
                    <w:left w:val="nil"/>
                    <w:bottom w:val="single" w:sz="8" w:space="0" w:color="FFFFFF"/>
                    <w:right w:val="single" w:sz="8" w:space="0" w:color="FFFFFF"/>
                  </w:tcBorders>
                  <w:shd w:val="clear" w:color="000000" w:fill="FCD5B4"/>
                  <w:noWrap/>
                  <w:vAlign w:val="center"/>
                  <w:hideMark/>
                </w:tcPr>
                <w:p w14:paraId="22C61995"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-2.8 </w:t>
                  </w:r>
                </w:p>
              </w:tc>
              <w:tc>
                <w:tcPr>
                  <w:tcW w:w="900" w:type="dxa"/>
                  <w:tcBorders>
                    <w:top w:val="nil"/>
                    <w:left w:val="nil"/>
                    <w:bottom w:val="single" w:sz="8" w:space="0" w:color="FFFFFF"/>
                    <w:right w:val="single" w:sz="8" w:space="0" w:color="FFFFFF"/>
                  </w:tcBorders>
                  <w:shd w:val="clear" w:color="000000" w:fill="FCD5B4"/>
                  <w:noWrap/>
                  <w:vAlign w:val="center"/>
                  <w:hideMark/>
                </w:tcPr>
                <w:p w14:paraId="24D022E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-2.8 </w:t>
                  </w:r>
                </w:p>
              </w:tc>
              <w:tc>
                <w:tcPr>
                  <w:tcW w:w="899" w:type="dxa"/>
                  <w:tcBorders>
                    <w:top w:val="nil"/>
                    <w:left w:val="nil"/>
                    <w:bottom w:val="single" w:sz="8" w:space="0" w:color="FFFFFF"/>
                    <w:right w:val="single" w:sz="8" w:space="0" w:color="FFFFFF"/>
                  </w:tcBorders>
                  <w:shd w:val="clear" w:color="000000" w:fill="FCD5B4"/>
                  <w:noWrap/>
                  <w:vAlign w:val="center"/>
                  <w:hideMark/>
                </w:tcPr>
                <w:p w14:paraId="5FD7AD1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-2.8 </w:t>
                  </w:r>
                </w:p>
              </w:tc>
              <w:tc>
                <w:tcPr>
                  <w:tcW w:w="1128" w:type="dxa"/>
                  <w:tcBorders>
                    <w:top w:val="nil"/>
                    <w:left w:val="nil"/>
                    <w:bottom w:val="nil"/>
                    <w:right w:val="nil"/>
                  </w:tcBorders>
                  <w:shd w:val="clear" w:color="000000" w:fill="FCD5B4"/>
                  <w:noWrap/>
                  <w:vAlign w:val="center"/>
                  <w:hideMark/>
                </w:tcPr>
                <w:p w14:paraId="70193063"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116233AA"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FF0000"/>
                      <w:kern w:val="0"/>
                      <w:szCs w:val="21"/>
                    </w:rPr>
                    <w:t xml:space="preserve">-0.3 </w:t>
                  </w:r>
                </w:p>
              </w:tc>
              <w:tc>
                <w:tcPr>
                  <w:tcW w:w="899" w:type="dxa"/>
                  <w:tcBorders>
                    <w:top w:val="nil"/>
                    <w:left w:val="nil"/>
                    <w:bottom w:val="single" w:sz="8" w:space="0" w:color="FFFFFF"/>
                    <w:right w:val="single" w:sz="8" w:space="0" w:color="FFFFFF"/>
                  </w:tcBorders>
                  <w:shd w:val="clear" w:color="000000" w:fill="FCD5B4"/>
                  <w:noWrap/>
                  <w:vAlign w:val="center"/>
                  <w:hideMark/>
                </w:tcPr>
                <w:p w14:paraId="7F64B13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0.7 </w:t>
                  </w:r>
                </w:p>
              </w:tc>
              <w:tc>
                <w:tcPr>
                  <w:tcW w:w="899" w:type="dxa"/>
                  <w:tcBorders>
                    <w:top w:val="nil"/>
                    <w:left w:val="nil"/>
                    <w:bottom w:val="single" w:sz="8" w:space="0" w:color="FFFFFF"/>
                    <w:right w:val="single" w:sz="8" w:space="0" w:color="FFFFFF"/>
                  </w:tcBorders>
                  <w:shd w:val="clear" w:color="000000" w:fill="FCD5B4"/>
                  <w:noWrap/>
                  <w:vAlign w:val="center"/>
                  <w:hideMark/>
                </w:tcPr>
                <w:p w14:paraId="54F038A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0.7 </w:t>
                  </w:r>
                </w:p>
              </w:tc>
              <w:tc>
                <w:tcPr>
                  <w:tcW w:w="899" w:type="dxa"/>
                  <w:tcBorders>
                    <w:top w:val="nil"/>
                    <w:left w:val="nil"/>
                    <w:bottom w:val="single" w:sz="8" w:space="0" w:color="FFFFFF"/>
                    <w:right w:val="single" w:sz="8" w:space="0" w:color="FFFFFF"/>
                  </w:tcBorders>
                  <w:shd w:val="clear" w:color="000000" w:fill="FCD5B4"/>
                  <w:noWrap/>
                  <w:vAlign w:val="center"/>
                  <w:hideMark/>
                </w:tcPr>
                <w:p w14:paraId="1EB9D08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 xml:space="preserve">0.7 </w:t>
                  </w:r>
                </w:p>
              </w:tc>
            </w:tr>
            <w:tr w:rsidR="003222EA" w:rsidRPr="003222EA" w14:paraId="148E0C9D" w14:textId="77777777" w:rsidTr="003222EA">
              <w:trPr>
                <w:trHeight w:val="300"/>
              </w:trPr>
              <w:tc>
                <w:tcPr>
                  <w:tcW w:w="1316" w:type="dxa"/>
                  <w:tcBorders>
                    <w:top w:val="nil"/>
                    <w:left w:val="nil"/>
                    <w:bottom w:val="single" w:sz="12" w:space="0" w:color="FFFFFF"/>
                    <w:right w:val="single" w:sz="8" w:space="0" w:color="FFFFFF"/>
                  </w:tcBorders>
                  <w:shd w:val="clear" w:color="000000" w:fill="F79646"/>
                  <w:noWrap/>
                  <w:vAlign w:val="center"/>
                  <w:hideMark/>
                </w:tcPr>
                <w:p w14:paraId="60C564A3"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收益率分位</w:t>
                  </w:r>
                </w:p>
              </w:tc>
              <w:tc>
                <w:tcPr>
                  <w:tcW w:w="899" w:type="dxa"/>
                  <w:tcBorders>
                    <w:top w:val="nil"/>
                    <w:left w:val="nil"/>
                    <w:bottom w:val="single" w:sz="12" w:space="0" w:color="FFFFFF"/>
                    <w:right w:val="single" w:sz="8" w:space="0" w:color="FFFFFF"/>
                  </w:tcBorders>
                  <w:shd w:val="clear" w:color="000000" w:fill="F79646"/>
                  <w:noWrap/>
                  <w:vAlign w:val="center"/>
                  <w:hideMark/>
                </w:tcPr>
                <w:p w14:paraId="0FB2AD0A"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54A51AB8"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5CFEE6A0"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39E2638A"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14:paraId="3D116FB0"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60F68282"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6BF9B1AE"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65225519"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712787B5" w14:textId="77777777" w:rsidR="003222EA" w:rsidRPr="003222EA" w:rsidRDefault="003222EA" w:rsidP="003222EA">
                  <w:pPr>
                    <w:widowControl/>
                    <w:jc w:val="center"/>
                    <w:rPr>
                      <w:rFonts w:ascii="楷体" w:eastAsia="楷体" w:hAnsi="楷体" w:cs="宋体"/>
                      <w:b/>
                      <w:bCs/>
                      <w:color w:val="FFFFFF"/>
                      <w:kern w:val="0"/>
                      <w:sz w:val="20"/>
                      <w:szCs w:val="20"/>
                    </w:rPr>
                  </w:pPr>
                  <w:r w:rsidRPr="003222EA">
                    <w:rPr>
                      <w:rFonts w:ascii="楷体" w:eastAsia="楷体" w:hAnsi="楷体" w:cs="宋体" w:hint="eastAsia"/>
                      <w:b/>
                      <w:bCs/>
                      <w:color w:val="FFFFFF"/>
                      <w:kern w:val="0"/>
                      <w:sz w:val="20"/>
                      <w:szCs w:val="20"/>
                    </w:rPr>
                    <w:t>AA-</w:t>
                  </w:r>
                </w:p>
              </w:tc>
            </w:tr>
            <w:tr w:rsidR="003222EA" w:rsidRPr="003222EA" w14:paraId="4B27F72F" w14:textId="77777777" w:rsidTr="003222EA">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14:paraId="28869F34"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4F96624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33%</w:t>
                  </w:r>
                </w:p>
              </w:tc>
              <w:tc>
                <w:tcPr>
                  <w:tcW w:w="900" w:type="dxa"/>
                  <w:tcBorders>
                    <w:top w:val="nil"/>
                    <w:left w:val="nil"/>
                    <w:bottom w:val="single" w:sz="8" w:space="0" w:color="FFFFFF"/>
                    <w:right w:val="single" w:sz="8" w:space="0" w:color="FFFFFF"/>
                  </w:tcBorders>
                  <w:shd w:val="clear" w:color="000000" w:fill="FCD5B4"/>
                  <w:noWrap/>
                  <w:vAlign w:val="center"/>
                  <w:hideMark/>
                </w:tcPr>
                <w:p w14:paraId="57446C0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30%</w:t>
                  </w:r>
                </w:p>
              </w:tc>
              <w:tc>
                <w:tcPr>
                  <w:tcW w:w="900" w:type="dxa"/>
                  <w:tcBorders>
                    <w:top w:val="nil"/>
                    <w:left w:val="nil"/>
                    <w:bottom w:val="single" w:sz="8" w:space="0" w:color="FFFFFF"/>
                    <w:right w:val="single" w:sz="8" w:space="0" w:color="FFFFFF"/>
                  </w:tcBorders>
                  <w:shd w:val="clear" w:color="000000" w:fill="FCD5B4"/>
                  <w:noWrap/>
                  <w:vAlign w:val="center"/>
                  <w:hideMark/>
                </w:tcPr>
                <w:p w14:paraId="76F1DBAD"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26%</w:t>
                  </w:r>
                </w:p>
              </w:tc>
              <w:tc>
                <w:tcPr>
                  <w:tcW w:w="899" w:type="dxa"/>
                  <w:tcBorders>
                    <w:top w:val="nil"/>
                    <w:left w:val="nil"/>
                    <w:bottom w:val="single" w:sz="8" w:space="0" w:color="FFFFFF"/>
                    <w:right w:val="single" w:sz="8" w:space="0" w:color="FFFFFF"/>
                  </w:tcBorders>
                  <w:shd w:val="clear" w:color="000000" w:fill="FCD5B4"/>
                  <w:noWrap/>
                  <w:vAlign w:val="center"/>
                  <w:hideMark/>
                </w:tcPr>
                <w:p w14:paraId="37857B7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57%</w:t>
                  </w:r>
                </w:p>
              </w:tc>
              <w:tc>
                <w:tcPr>
                  <w:tcW w:w="1128" w:type="dxa"/>
                  <w:tcBorders>
                    <w:top w:val="nil"/>
                    <w:left w:val="nil"/>
                    <w:bottom w:val="single" w:sz="8" w:space="0" w:color="FFFFFF"/>
                    <w:right w:val="single" w:sz="8" w:space="0" w:color="FFFFFF"/>
                  </w:tcBorders>
                  <w:shd w:val="clear" w:color="000000" w:fill="FCD5B4"/>
                  <w:noWrap/>
                  <w:vAlign w:val="center"/>
                  <w:hideMark/>
                </w:tcPr>
                <w:p w14:paraId="16DDD182"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56BB1CD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w:t>
                  </w:r>
                </w:p>
              </w:tc>
              <w:tc>
                <w:tcPr>
                  <w:tcW w:w="899" w:type="dxa"/>
                  <w:tcBorders>
                    <w:top w:val="nil"/>
                    <w:left w:val="nil"/>
                    <w:bottom w:val="single" w:sz="8" w:space="0" w:color="FFFFFF"/>
                    <w:right w:val="single" w:sz="8" w:space="0" w:color="FFFFFF"/>
                  </w:tcBorders>
                  <w:shd w:val="clear" w:color="000000" w:fill="FCD5B4"/>
                  <w:noWrap/>
                  <w:vAlign w:val="center"/>
                  <w:hideMark/>
                </w:tcPr>
                <w:p w14:paraId="634DB81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0%</w:t>
                  </w:r>
                </w:p>
              </w:tc>
              <w:tc>
                <w:tcPr>
                  <w:tcW w:w="899" w:type="dxa"/>
                  <w:tcBorders>
                    <w:top w:val="nil"/>
                    <w:left w:val="nil"/>
                    <w:bottom w:val="single" w:sz="8" w:space="0" w:color="FFFFFF"/>
                    <w:right w:val="single" w:sz="8" w:space="0" w:color="FFFFFF"/>
                  </w:tcBorders>
                  <w:shd w:val="clear" w:color="000000" w:fill="FCD5B4"/>
                  <w:noWrap/>
                  <w:vAlign w:val="center"/>
                  <w:hideMark/>
                </w:tcPr>
                <w:p w14:paraId="379D659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0%</w:t>
                  </w:r>
                </w:p>
              </w:tc>
              <w:tc>
                <w:tcPr>
                  <w:tcW w:w="899" w:type="dxa"/>
                  <w:tcBorders>
                    <w:top w:val="nil"/>
                    <w:left w:val="nil"/>
                    <w:bottom w:val="single" w:sz="8" w:space="0" w:color="FFFFFF"/>
                    <w:right w:val="single" w:sz="8" w:space="0" w:color="FFFFFF"/>
                  </w:tcBorders>
                  <w:shd w:val="clear" w:color="000000" w:fill="FCD5B4"/>
                  <w:noWrap/>
                  <w:vAlign w:val="center"/>
                  <w:hideMark/>
                </w:tcPr>
                <w:p w14:paraId="2C4E192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52%</w:t>
                  </w:r>
                </w:p>
              </w:tc>
            </w:tr>
            <w:tr w:rsidR="003222EA" w:rsidRPr="003222EA" w14:paraId="42C3EBD9"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5742B63E"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35563F2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31%</w:t>
                  </w:r>
                </w:p>
              </w:tc>
              <w:tc>
                <w:tcPr>
                  <w:tcW w:w="900" w:type="dxa"/>
                  <w:tcBorders>
                    <w:top w:val="nil"/>
                    <w:left w:val="nil"/>
                    <w:bottom w:val="single" w:sz="8" w:space="0" w:color="FFFFFF"/>
                    <w:right w:val="single" w:sz="8" w:space="0" w:color="FFFFFF"/>
                  </w:tcBorders>
                  <w:shd w:val="clear" w:color="000000" w:fill="FDE9D9"/>
                  <w:noWrap/>
                  <w:vAlign w:val="center"/>
                  <w:hideMark/>
                </w:tcPr>
                <w:p w14:paraId="48C12105"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27%</w:t>
                  </w:r>
                </w:p>
              </w:tc>
              <w:tc>
                <w:tcPr>
                  <w:tcW w:w="900" w:type="dxa"/>
                  <w:tcBorders>
                    <w:top w:val="nil"/>
                    <w:left w:val="nil"/>
                    <w:bottom w:val="single" w:sz="8" w:space="0" w:color="FFFFFF"/>
                    <w:right w:val="single" w:sz="8" w:space="0" w:color="FFFFFF"/>
                  </w:tcBorders>
                  <w:shd w:val="clear" w:color="000000" w:fill="FDE9D9"/>
                  <w:noWrap/>
                  <w:vAlign w:val="center"/>
                  <w:hideMark/>
                </w:tcPr>
                <w:p w14:paraId="341C879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20%</w:t>
                  </w:r>
                </w:p>
              </w:tc>
              <w:tc>
                <w:tcPr>
                  <w:tcW w:w="899" w:type="dxa"/>
                  <w:tcBorders>
                    <w:top w:val="nil"/>
                    <w:left w:val="nil"/>
                    <w:bottom w:val="single" w:sz="8" w:space="0" w:color="FFFFFF"/>
                    <w:right w:val="single" w:sz="8" w:space="0" w:color="FFFFFF"/>
                  </w:tcBorders>
                  <w:shd w:val="clear" w:color="000000" w:fill="FDE9D9"/>
                  <w:noWrap/>
                  <w:vAlign w:val="center"/>
                  <w:hideMark/>
                </w:tcPr>
                <w:p w14:paraId="458AB6B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55%</w:t>
                  </w:r>
                </w:p>
              </w:tc>
              <w:tc>
                <w:tcPr>
                  <w:tcW w:w="1128" w:type="dxa"/>
                  <w:tcBorders>
                    <w:top w:val="nil"/>
                    <w:left w:val="nil"/>
                    <w:bottom w:val="single" w:sz="8" w:space="0" w:color="FFFFFF"/>
                    <w:right w:val="single" w:sz="8" w:space="0" w:color="FFFFFF"/>
                  </w:tcBorders>
                  <w:shd w:val="clear" w:color="000000" w:fill="FDE9D9"/>
                  <w:noWrap/>
                  <w:vAlign w:val="center"/>
                  <w:hideMark/>
                </w:tcPr>
                <w:p w14:paraId="758FBAC1"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25FC742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DE9D9"/>
                  <w:noWrap/>
                  <w:vAlign w:val="center"/>
                  <w:hideMark/>
                </w:tcPr>
                <w:p w14:paraId="60FFCCC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DE9D9"/>
                  <w:noWrap/>
                  <w:vAlign w:val="center"/>
                  <w:hideMark/>
                </w:tcPr>
                <w:p w14:paraId="505F263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w:t>
                  </w:r>
                </w:p>
              </w:tc>
              <w:tc>
                <w:tcPr>
                  <w:tcW w:w="899" w:type="dxa"/>
                  <w:tcBorders>
                    <w:top w:val="nil"/>
                    <w:left w:val="nil"/>
                    <w:bottom w:val="single" w:sz="8" w:space="0" w:color="FFFFFF"/>
                    <w:right w:val="single" w:sz="8" w:space="0" w:color="FFFFFF"/>
                  </w:tcBorders>
                  <w:shd w:val="clear" w:color="000000" w:fill="FDE9D9"/>
                  <w:noWrap/>
                  <w:vAlign w:val="center"/>
                  <w:hideMark/>
                </w:tcPr>
                <w:p w14:paraId="6D49C97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48%</w:t>
                  </w:r>
                </w:p>
              </w:tc>
            </w:tr>
            <w:tr w:rsidR="003222EA" w:rsidRPr="003222EA" w14:paraId="22FF6172" w14:textId="77777777" w:rsidTr="003222EA">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713BAE15"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19925C0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28%</w:t>
                  </w:r>
                </w:p>
              </w:tc>
              <w:tc>
                <w:tcPr>
                  <w:tcW w:w="900" w:type="dxa"/>
                  <w:tcBorders>
                    <w:top w:val="nil"/>
                    <w:left w:val="nil"/>
                    <w:bottom w:val="single" w:sz="8" w:space="0" w:color="FFFFFF"/>
                    <w:right w:val="single" w:sz="8" w:space="0" w:color="FFFFFF"/>
                  </w:tcBorders>
                  <w:shd w:val="clear" w:color="000000" w:fill="FCD5B4"/>
                  <w:noWrap/>
                  <w:vAlign w:val="center"/>
                  <w:hideMark/>
                </w:tcPr>
                <w:p w14:paraId="1EE26BD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21%</w:t>
                  </w:r>
                </w:p>
              </w:tc>
              <w:tc>
                <w:tcPr>
                  <w:tcW w:w="900" w:type="dxa"/>
                  <w:tcBorders>
                    <w:top w:val="nil"/>
                    <w:left w:val="nil"/>
                    <w:bottom w:val="single" w:sz="8" w:space="0" w:color="FFFFFF"/>
                    <w:right w:val="single" w:sz="8" w:space="0" w:color="FFFFFF"/>
                  </w:tcBorders>
                  <w:shd w:val="clear" w:color="000000" w:fill="FCD5B4"/>
                  <w:noWrap/>
                  <w:vAlign w:val="center"/>
                  <w:hideMark/>
                </w:tcPr>
                <w:p w14:paraId="6F4EE58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CD5B4"/>
                  <w:noWrap/>
                  <w:vAlign w:val="center"/>
                  <w:hideMark/>
                </w:tcPr>
                <w:p w14:paraId="40C8332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56%</w:t>
                  </w:r>
                </w:p>
              </w:tc>
              <w:tc>
                <w:tcPr>
                  <w:tcW w:w="1128" w:type="dxa"/>
                  <w:tcBorders>
                    <w:top w:val="nil"/>
                    <w:left w:val="nil"/>
                    <w:bottom w:val="single" w:sz="8" w:space="0" w:color="FFFFFF"/>
                    <w:right w:val="single" w:sz="8" w:space="0" w:color="FFFFFF"/>
                  </w:tcBorders>
                  <w:shd w:val="clear" w:color="000000" w:fill="FCD5B4"/>
                  <w:noWrap/>
                  <w:vAlign w:val="center"/>
                  <w:hideMark/>
                </w:tcPr>
                <w:p w14:paraId="5B5F212E"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6B88BC8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25%</w:t>
                  </w:r>
                </w:p>
              </w:tc>
              <w:tc>
                <w:tcPr>
                  <w:tcW w:w="899" w:type="dxa"/>
                  <w:tcBorders>
                    <w:top w:val="nil"/>
                    <w:left w:val="nil"/>
                    <w:bottom w:val="single" w:sz="8" w:space="0" w:color="FFFFFF"/>
                    <w:right w:val="single" w:sz="8" w:space="0" w:color="FFFFFF"/>
                  </w:tcBorders>
                  <w:shd w:val="clear" w:color="000000" w:fill="FCD5B4"/>
                  <w:noWrap/>
                  <w:vAlign w:val="center"/>
                  <w:hideMark/>
                </w:tcPr>
                <w:p w14:paraId="77B5403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CD5B4"/>
                  <w:noWrap/>
                  <w:vAlign w:val="center"/>
                  <w:hideMark/>
                </w:tcPr>
                <w:p w14:paraId="7F6D483B"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10%</w:t>
                  </w:r>
                </w:p>
              </w:tc>
              <w:tc>
                <w:tcPr>
                  <w:tcW w:w="899" w:type="dxa"/>
                  <w:tcBorders>
                    <w:top w:val="nil"/>
                    <w:left w:val="nil"/>
                    <w:bottom w:val="single" w:sz="8" w:space="0" w:color="FFFFFF"/>
                    <w:right w:val="single" w:sz="8" w:space="0" w:color="FFFFFF"/>
                  </w:tcBorders>
                  <w:shd w:val="clear" w:color="000000" w:fill="FCD5B4"/>
                  <w:noWrap/>
                  <w:vAlign w:val="center"/>
                  <w:hideMark/>
                </w:tcPr>
                <w:p w14:paraId="1E78FFF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67%</w:t>
                  </w:r>
                </w:p>
              </w:tc>
            </w:tr>
            <w:tr w:rsidR="003222EA" w:rsidRPr="003222EA" w14:paraId="7B425091"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3A4A224A"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49123C7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31%</w:t>
                  </w:r>
                </w:p>
              </w:tc>
              <w:tc>
                <w:tcPr>
                  <w:tcW w:w="900" w:type="dxa"/>
                  <w:tcBorders>
                    <w:top w:val="nil"/>
                    <w:left w:val="nil"/>
                    <w:bottom w:val="single" w:sz="8" w:space="0" w:color="FFFFFF"/>
                    <w:right w:val="single" w:sz="8" w:space="0" w:color="FFFFFF"/>
                  </w:tcBorders>
                  <w:shd w:val="clear" w:color="000000" w:fill="FDE9D9"/>
                  <w:noWrap/>
                  <w:vAlign w:val="center"/>
                  <w:hideMark/>
                </w:tcPr>
                <w:p w14:paraId="5BA7457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25%</w:t>
                  </w:r>
                </w:p>
              </w:tc>
              <w:tc>
                <w:tcPr>
                  <w:tcW w:w="900" w:type="dxa"/>
                  <w:tcBorders>
                    <w:top w:val="nil"/>
                    <w:left w:val="nil"/>
                    <w:bottom w:val="single" w:sz="8" w:space="0" w:color="FFFFFF"/>
                    <w:right w:val="single" w:sz="8" w:space="0" w:color="FFFFFF"/>
                  </w:tcBorders>
                  <w:shd w:val="clear" w:color="000000" w:fill="FDE9D9"/>
                  <w:noWrap/>
                  <w:vAlign w:val="center"/>
                  <w:hideMark/>
                </w:tcPr>
                <w:p w14:paraId="3B2035E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19%</w:t>
                  </w:r>
                </w:p>
              </w:tc>
              <w:tc>
                <w:tcPr>
                  <w:tcW w:w="899" w:type="dxa"/>
                  <w:tcBorders>
                    <w:top w:val="nil"/>
                    <w:left w:val="nil"/>
                    <w:bottom w:val="single" w:sz="8" w:space="0" w:color="FFFFFF"/>
                    <w:right w:val="single" w:sz="8" w:space="0" w:color="FFFFFF"/>
                  </w:tcBorders>
                  <w:shd w:val="clear" w:color="000000" w:fill="FDE9D9"/>
                  <w:noWrap/>
                  <w:vAlign w:val="center"/>
                  <w:hideMark/>
                </w:tcPr>
                <w:p w14:paraId="5DC0B2B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50%</w:t>
                  </w:r>
                </w:p>
              </w:tc>
              <w:tc>
                <w:tcPr>
                  <w:tcW w:w="1128" w:type="dxa"/>
                  <w:tcBorders>
                    <w:top w:val="nil"/>
                    <w:left w:val="nil"/>
                    <w:bottom w:val="single" w:sz="8" w:space="0" w:color="FFFFFF"/>
                    <w:right w:val="single" w:sz="8" w:space="0" w:color="FFFFFF"/>
                  </w:tcBorders>
                  <w:shd w:val="clear" w:color="000000" w:fill="FDE9D9"/>
                  <w:noWrap/>
                  <w:vAlign w:val="center"/>
                  <w:hideMark/>
                </w:tcPr>
                <w:p w14:paraId="4493E6A0"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7903560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DE9D9"/>
                  <w:noWrap/>
                  <w:vAlign w:val="center"/>
                  <w:hideMark/>
                </w:tcPr>
                <w:p w14:paraId="100906F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DE9D9"/>
                  <w:noWrap/>
                  <w:vAlign w:val="center"/>
                  <w:hideMark/>
                </w:tcPr>
                <w:p w14:paraId="455D0E4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DE9D9"/>
                  <w:noWrap/>
                  <w:vAlign w:val="center"/>
                  <w:hideMark/>
                </w:tcPr>
                <w:p w14:paraId="1DF92D0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46%</w:t>
                  </w:r>
                </w:p>
              </w:tc>
            </w:tr>
            <w:tr w:rsidR="003222EA" w:rsidRPr="003222EA" w14:paraId="54079CA5" w14:textId="77777777" w:rsidTr="003222EA">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3A19CCC1"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0AD0C82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30%</w:t>
                  </w:r>
                </w:p>
              </w:tc>
              <w:tc>
                <w:tcPr>
                  <w:tcW w:w="900" w:type="dxa"/>
                  <w:tcBorders>
                    <w:top w:val="nil"/>
                    <w:left w:val="nil"/>
                    <w:bottom w:val="single" w:sz="8" w:space="0" w:color="FFFFFF"/>
                    <w:right w:val="single" w:sz="8" w:space="0" w:color="FFFFFF"/>
                  </w:tcBorders>
                  <w:shd w:val="clear" w:color="000000" w:fill="FCD5B4"/>
                  <w:noWrap/>
                  <w:vAlign w:val="center"/>
                  <w:hideMark/>
                </w:tcPr>
                <w:p w14:paraId="069C4BC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23%</w:t>
                  </w:r>
                </w:p>
              </w:tc>
              <w:tc>
                <w:tcPr>
                  <w:tcW w:w="900" w:type="dxa"/>
                  <w:tcBorders>
                    <w:top w:val="nil"/>
                    <w:left w:val="nil"/>
                    <w:bottom w:val="single" w:sz="8" w:space="0" w:color="FFFFFF"/>
                    <w:right w:val="single" w:sz="8" w:space="0" w:color="FFFFFF"/>
                  </w:tcBorders>
                  <w:shd w:val="clear" w:color="000000" w:fill="FCD5B4"/>
                  <w:noWrap/>
                  <w:vAlign w:val="center"/>
                  <w:hideMark/>
                </w:tcPr>
                <w:p w14:paraId="3514CF1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CD5B4"/>
                  <w:noWrap/>
                  <w:vAlign w:val="center"/>
                  <w:hideMark/>
                </w:tcPr>
                <w:p w14:paraId="7A587F9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52%</w:t>
                  </w:r>
                </w:p>
              </w:tc>
              <w:tc>
                <w:tcPr>
                  <w:tcW w:w="1128" w:type="dxa"/>
                  <w:tcBorders>
                    <w:top w:val="nil"/>
                    <w:left w:val="nil"/>
                    <w:bottom w:val="single" w:sz="8" w:space="0" w:color="FFFFFF"/>
                    <w:right w:val="single" w:sz="8" w:space="0" w:color="FFFFFF"/>
                  </w:tcBorders>
                  <w:shd w:val="clear" w:color="000000" w:fill="FCD5B4"/>
                  <w:noWrap/>
                  <w:vAlign w:val="center"/>
                  <w:hideMark/>
                </w:tcPr>
                <w:p w14:paraId="30248BF8"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051A6C2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26%</w:t>
                  </w:r>
                </w:p>
              </w:tc>
              <w:tc>
                <w:tcPr>
                  <w:tcW w:w="899" w:type="dxa"/>
                  <w:tcBorders>
                    <w:top w:val="nil"/>
                    <w:left w:val="nil"/>
                    <w:bottom w:val="single" w:sz="8" w:space="0" w:color="FFFFFF"/>
                    <w:right w:val="single" w:sz="8" w:space="0" w:color="FFFFFF"/>
                  </w:tcBorders>
                  <w:shd w:val="clear" w:color="000000" w:fill="FCD5B4"/>
                  <w:noWrap/>
                  <w:vAlign w:val="center"/>
                  <w:hideMark/>
                </w:tcPr>
                <w:p w14:paraId="61B403C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CD5B4"/>
                  <w:noWrap/>
                  <w:vAlign w:val="center"/>
                  <w:hideMark/>
                </w:tcPr>
                <w:p w14:paraId="52030EC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14:paraId="5A5A44A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64%</w:t>
                  </w:r>
                </w:p>
              </w:tc>
            </w:tr>
            <w:tr w:rsidR="003222EA" w:rsidRPr="003222EA" w14:paraId="4DC80A9E"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43113CB5"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0752D2A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26%</w:t>
                  </w:r>
                </w:p>
              </w:tc>
              <w:tc>
                <w:tcPr>
                  <w:tcW w:w="900" w:type="dxa"/>
                  <w:tcBorders>
                    <w:top w:val="nil"/>
                    <w:left w:val="nil"/>
                    <w:bottom w:val="single" w:sz="8" w:space="0" w:color="FFFFFF"/>
                    <w:right w:val="single" w:sz="8" w:space="0" w:color="FFFFFF"/>
                  </w:tcBorders>
                  <w:shd w:val="clear" w:color="000000" w:fill="FDE9D9"/>
                  <w:noWrap/>
                  <w:vAlign w:val="center"/>
                  <w:hideMark/>
                </w:tcPr>
                <w:p w14:paraId="0F67536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20%</w:t>
                  </w:r>
                </w:p>
              </w:tc>
              <w:tc>
                <w:tcPr>
                  <w:tcW w:w="900" w:type="dxa"/>
                  <w:tcBorders>
                    <w:top w:val="nil"/>
                    <w:left w:val="nil"/>
                    <w:bottom w:val="single" w:sz="8" w:space="0" w:color="FFFFFF"/>
                    <w:right w:val="single" w:sz="8" w:space="0" w:color="FFFFFF"/>
                  </w:tcBorders>
                  <w:shd w:val="clear" w:color="000000" w:fill="FDE9D9"/>
                  <w:noWrap/>
                  <w:vAlign w:val="center"/>
                  <w:hideMark/>
                </w:tcPr>
                <w:p w14:paraId="09F6E23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DE9D9"/>
                  <w:noWrap/>
                  <w:vAlign w:val="center"/>
                  <w:hideMark/>
                </w:tcPr>
                <w:p w14:paraId="5F505AD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50%</w:t>
                  </w:r>
                </w:p>
              </w:tc>
              <w:tc>
                <w:tcPr>
                  <w:tcW w:w="1128" w:type="dxa"/>
                  <w:tcBorders>
                    <w:top w:val="nil"/>
                    <w:left w:val="nil"/>
                    <w:bottom w:val="single" w:sz="8" w:space="0" w:color="FFFFFF"/>
                    <w:right w:val="single" w:sz="8" w:space="0" w:color="FFFFFF"/>
                  </w:tcBorders>
                  <w:shd w:val="clear" w:color="000000" w:fill="FDE9D9"/>
                  <w:noWrap/>
                  <w:vAlign w:val="center"/>
                  <w:hideMark/>
                </w:tcPr>
                <w:p w14:paraId="28BA2A00" w14:textId="77777777" w:rsidR="003222EA" w:rsidRPr="003222EA" w:rsidRDefault="003222EA" w:rsidP="003222EA">
                  <w:pPr>
                    <w:widowControl/>
                    <w:jc w:val="center"/>
                    <w:rPr>
                      <w:rFonts w:ascii="楷体" w:eastAsia="楷体" w:hAnsi="楷体" w:cs="宋体"/>
                      <w:color w:val="000000"/>
                      <w:kern w:val="0"/>
                      <w:sz w:val="20"/>
                      <w:szCs w:val="20"/>
                    </w:rPr>
                  </w:pPr>
                  <w:r w:rsidRPr="003222EA">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08E9FC7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DE9D9"/>
                  <w:noWrap/>
                  <w:vAlign w:val="center"/>
                  <w:hideMark/>
                </w:tcPr>
                <w:p w14:paraId="13866EF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DE9D9"/>
                  <w:noWrap/>
                  <w:vAlign w:val="center"/>
                  <w:hideMark/>
                </w:tcPr>
                <w:p w14:paraId="275BD37F"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DE9D9"/>
                  <w:noWrap/>
                  <w:vAlign w:val="center"/>
                  <w:hideMark/>
                </w:tcPr>
                <w:p w14:paraId="08CD79D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54%</w:t>
                  </w:r>
                </w:p>
              </w:tc>
            </w:tr>
            <w:tr w:rsidR="003222EA" w:rsidRPr="003222EA" w14:paraId="1C258661" w14:textId="77777777" w:rsidTr="003222EA">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0E4C1D41"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190AEF8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26%</w:t>
                  </w:r>
                </w:p>
              </w:tc>
              <w:tc>
                <w:tcPr>
                  <w:tcW w:w="900" w:type="dxa"/>
                  <w:tcBorders>
                    <w:top w:val="nil"/>
                    <w:left w:val="nil"/>
                    <w:bottom w:val="single" w:sz="8" w:space="0" w:color="FFFFFF"/>
                    <w:right w:val="single" w:sz="8" w:space="0" w:color="FFFFFF"/>
                  </w:tcBorders>
                  <w:shd w:val="clear" w:color="000000" w:fill="FCD5B4"/>
                  <w:noWrap/>
                  <w:vAlign w:val="center"/>
                  <w:hideMark/>
                </w:tcPr>
                <w:p w14:paraId="5393C84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22%</w:t>
                  </w:r>
                </w:p>
              </w:tc>
              <w:tc>
                <w:tcPr>
                  <w:tcW w:w="900" w:type="dxa"/>
                  <w:tcBorders>
                    <w:top w:val="nil"/>
                    <w:left w:val="nil"/>
                    <w:bottom w:val="single" w:sz="8" w:space="0" w:color="FFFFFF"/>
                    <w:right w:val="single" w:sz="8" w:space="0" w:color="FFFFFF"/>
                  </w:tcBorders>
                  <w:shd w:val="clear" w:color="000000" w:fill="FCD5B4"/>
                  <w:noWrap/>
                  <w:vAlign w:val="center"/>
                  <w:hideMark/>
                </w:tcPr>
                <w:p w14:paraId="6776915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CD5B4"/>
                  <w:noWrap/>
                  <w:vAlign w:val="center"/>
                  <w:hideMark/>
                </w:tcPr>
                <w:p w14:paraId="4AB2E975"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36%</w:t>
                  </w:r>
                </w:p>
              </w:tc>
              <w:tc>
                <w:tcPr>
                  <w:tcW w:w="1128" w:type="dxa"/>
                  <w:tcBorders>
                    <w:top w:val="nil"/>
                    <w:left w:val="nil"/>
                    <w:bottom w:val="single" w:sz="8" w:space="0" w:color="FFFFFF"/>
                    <w:right w:val="single" w:sz="8" w:space="0" w:color="FFFFFF"/>
                  </w:tcBorders>
                  <w:shd w:val="clear" w:color="000000" w:fill="FCD5B4"/>
                  <w:noWrap/>
                  <w:vAlign w:val="center"/>
                  <w:hideMark/>
                </w:tcPr>
                <w:p w14:paraId="4CB31D72"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0E7D867E"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14:paraId="009D4EB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CD5B4"/>
                  <w:noWrap/>
                  <w:vAlign w:val="center"/>
                  <w:hideMark/>
                </w:tcPr>
                <w:p w14:paraId="2DE18C2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CD5B4"/>
                  <w:noWrap/>
                  <w:vAlign w:val="center"/>
                  <w:hideMark/>
                </w:tcPr>
                <w:p w14:paraId="40C9E36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30%</w:t>
                  </w:r>
                </w:p>
              </w:tc>
            </w:tr>
            <w:tr w:rsidR="003222EA" w:rsidRPr="003222EA" w14:paraId="6CB6A1BD" w14:textId="77777777" w:rsidTr="003222EA">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66A0E997"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462E221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21%</w:t>
                  </w:r>
                </w:p>
              </w:tc>
              <w:tc>
                <w:tcPr>
                  <w:tcW w:w="900" w:type="dxa"/>
                  <w:tcBorders>
                    <w:top w:val="nil"/>
                    <w:left w:val="nil"/>
                    <w:bottom w:val="single" w:sz="8" w:space="0" w:color="FFFFFF"/>
                    <w:right w:val="single" w:sz="8" w:space="0" w:color="FFFFFF"/>
                  </w:tcBorders>
                  <w:shd w:val="clear" w:color="000000" w:fill="FDE9D9"/>
                  <w:noWrap/>
                  <w:vAlign w:val="center"/>
                  <w:hideMark/>
                </w:tcPr>
                <w:p w14:paraId="72DEBD3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19%</w:t>
                  </w:r>
                </w:p>
              </w:tc>
              <w:tc>
                <w:tcPr>
                  <w:tcW w:w="900" w:type="dxa"/>
                  <w:tcBorders>
                    <w:top w:val="nil"/>
                    <w:left w:val="nil"/>
                    <w:bottom w:val="single" w:sz="8" w:space="0" w:color="FFFFFF"/>
                    <w:right w:val="single" w:sz="8" w:space="0" w:color="FFFFFF"/>
                  </w:tcBorders>
                  <w:shd w:val="clear" w:color="000000" w:fill="FDE9D9"/>
                  <w:noWrap/>
                  <w:vAlign w:val="center"/>
                  <w:hideMark/>
                </w:tcPr>
                <w:p w14:paraId="660D1622"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DE9D9"/>
                  <w:noWrap/>
                  <w:vAlign w:val="center"/>
                  <w:hideMark/>
                </w:tcPr>
                <w:p w14:paraId="1F16F0A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46%</w:t>
                  </w:r>
                </w:p>
              </w:tc>
              <w:tc>
                <w:tcPr>
                  <w:tcW w:w="1128" w:type="dxa"/>
                  <w:tcBorders>
                    <w:top w:val="nil"/>
                    <w:left w:val="nil"/>
                    <w:bottom w:val="single" w:sz="8" w:space="0" w:color="FFFFFF"/>
                    <w:right w:val="single" w:sz="8" w:space="0" w:color="FFFFFF"/>
                  </w:tcBorders>
                  <w:shd w:val="clear" w:color="000000" w:fill="FDE9D9"/>
                  <w:noWrap/>
                  <w:vAlign w:val="center"/>
                  <w:hideMark/>
                </w:tcPr>
                <w:p w14:paraId="4E1A98B2"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6D60CBB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DE9D9"/>
                  <w:noWrap/>
                  <w:vAlign w:val="center"/>
                  <w:hideMark/>
                </w:tcPr>
                <w:p w14:paraId="357315C6"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DE9D9"/>
                  <w:noWrap/>
                  <w:vAlign w:val="center"/>
                  <w:hideMark/>
                </w:tcPr>
                <w:p w14:paraId="1B172A11"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12%</w:t>
                  </w:r>
                </w:p>
              </w:tc>
              <w:tc>
                <w:tcPr>
                  <w:tcW w:w="899" w:type="dxa"/>
                  <w:tcBorders>
                    <w:top w:val="nil"/>
                    <w:left w:val="nil"/>
                    <w:bottom w:val="single" w:sz="8" w:space="0" w:color="FFFFFF"/>
                    <w:right w:val="single" w:sz="8" w:space="0" w:color="FFFFFF"/>
                  </w:tcBorders>
                  <w:shd w:val="clear" w:color="000000" w:fill="FDE9D9"/>
                  <w:noWrap/>
                  <w:vAlign w:val="center"/>
                  <w:hideMark/>
                </w:tcPr>
                <w:p w14:paraId="62B59F8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63%</w:t>
                  </w:r>
                </w:p>
              </w:tc>
            </w:tr>
            <w:tr w:rsidR="003222EA" w:rsidRPr="003222EA" w14:paraId="305C53A1" w14:textId="77777777" w:rsidTr="003222EA">
              <w:trPr>
                <w:trHeight w:val="300"/>
              </w:trPr>
              <w:tc>
                <w:tcPr>
                  <w:tcW w:w="1316" w:type="dxa"/>
                  <w:tcBorders>
                    <w:top w:val="nil"/>
                    <w:left w:val="nil"/>
                    <w:bottom w:val="nil"/>
                    <w:right w:val="nil"/>
                  </w:tcBorders>
                  <w:shd w:val="clear" w:color="000000" w:fill="FCD5B4"/>
                  <w:noWrap/>
                  <w:vAlign w:val="center"/>
                  <w:hideMark/>
                </w:tcPr>
                <w:p w14:paraId="3567AE5F"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65993CC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20%</w:t>
                  </w:r>
                </w:p>
              </w:tc>
              <w:tc>
                <w:tcPr>
                  <w:tcW w:w="900" w:type="dxa"/>
                  <w:tcBorders>
                    <w:top w:val="nil"/>
                    <w:left w:val="nil"/>
                    <w:bottom w:val="single" w:sz="8" w:space="0" w:color="FFFFFF"/>
                    <w:right w:val="single" w:sz="8" w:space="0" w:color="FFFFFF"/>
                  </w:tcBorders>
                  <w:shd w:val="clear" w:color="000000" w:fill="FCD5B4"/>
                  <w:noWrap/>
                  <w:vAlign w:val="center"/>
                  <w:hideMark/>
                </w:tcPr>
                <w:p w14:paraId="42BD0544"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18%</w:t>
                  </w:r>
                </w:p>
              </w:tc>
              <w:tc>
                <w:tcPr>
                  <w:tcW w:w="900" w:type="dxa"/>
                  <w:tcBorders>
                    <w:top w:val="nil"/>
                    <w:left w:val="nil"/>
                    <w:bottom w:val="single" w:sz="8" w:space="0" w:color="FFFFFF"/>
                    <w:right w:val="single" w:sz="8" w:space="0" w:color="FFFFFF"/>
                  </w:tcBorders>
                  <w:shd w:val="clear" w:color="000000" w:fill="FCD5B4"/>
                  <w:noWrap/>
                  <w:vAlign w:val="center"/>
                  <w:hideMark/>
                </w:tcPr>
                <w:p w14:paraId="687FE847"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CD5B4"/>
                  <w:noWrap/>
                  <w:vAlign w:val="center"/>
                  <w:hideMark/>
                </w:tcPr>
                <w:p w14:paraId="0DFEDF30"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55%</w:t>
                  </w:r>
                </w:p>
              </w:tc>
              <w:tc>
                <w:tcPr>
                  <w:tcW w:w="1128" w:type="dxa"/>
                  <w:tcBorders>
                    <w:top w:val="nil"/>
                    <w:left w:val="nil"/>
                    <w:bottom w:val="nil"/>
                    <w:right w:val="nil"/>
                  </w:tcBorders>
                  <w:shd w:val="clear" w:color="000000" w:fill="FCD5B4"/>
                  <w:noWrap/>
                  <w:vAlign w:val="center"/>
                  <w:hideMark/>
                </w:tcPr>
                <w:p w14:paraId="05C4DD6D" w14:textId="77777777" w:rsidR="003222EA" w:rsidRPr="003222EA" w:rsidRDefault="003222EA" w:rsidP="003222EA">
                  <w:pPr>
                    <w:widowControl/>
                    <w:jc w:val="center"/>
                    <w:rPr>
                      <w:rFonts w:ascii="楷体" w:eastAsia="楷体" w:hAnsi="楷体" w:cs="宋体"/>
                      <w:color w:val="000000"/>
                      <w:kern w:val="0"/>
                      <w:sz w:val="20"/>
                      <w:szCs w:val="20"/>
                    </w:rPr>
                  </w:pPr>
                  <w:proofErr w:type="gramStart"/>
                  <w:r w:rsidRPr="003222EA">
                    <w:rPr>
                      <w:rFonts w:ascii="楷体" w:eastAsia="楷体" w:hAnsi="楷体" w:cs="宋体" w:hint="eastAsia"/>
                      <w:color w:val="000000"/>
                      <w:kern w:val="0"/>
                      <w:sz w:val="20"/>
                      <w:szCs w:val="20"/>
                    </w:rPr>
                    <w:t>城投债</w:t>
                  </w:r>
                  <w:proofErr w:type="gramEnd"/>
                  <w:r w:rsidRPr="003222EA">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6C6F5FC8"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CD5B4"/>
                  <w:noWrap/>
                  <w:vAlign w:val="center"/>
                  <w:hideMark/>
                </w:tcPr>
                <w:p w14:paraId="07BA7CE9"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CD5B4"/>
                  <w:noWrap/>
                  <w:vAlign w:val="center"/>
                  <w:hideMark/>
                </w:tcPr>
                <w:p w14:paraId="1856B6DC"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CD5B4"/>
                  <w:noWrap/>
                  <w:vAlign w:val="center"/>
                  <w:hideMark/>
                </w:tcPr>
                <w:p w14:paraId="51B1E2F3" w14:textId="77777777" w:rsidR="003222EA" w:rsidRPr="003222EA" w:rsidRDefault="003222EA" w:rsidP="003222EA">
                  <w:pPr>
                    <w:widowControl/>
                    <w:jc w:val="center"/>
                    <w:rPr>
                      <w:rFonts w:eastAsia="等线" w:cs="Calibri"/>
                      <w:color w:val="000000"/>
                      <w:kern w:val="0"/>
                      <w:szCs w:val="21"/>
                    </w:rPr>
                  </w:pPr>
                  <w:r w:rsidRPr="003222EA">
                    <w:rPr>
                      <w:rFonts w:eastAsia="等线" w:cs="Calibri"/>
                      <w:color w:val="000000"/>
                      <w:kern w:val="0"/>
                      <w:szCs w:val="21"/>
                    </w:rPr>
                    <w:t>63%</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62623F88" w:rsidR="00C37204" w:rsidRPr="00C16434" w:rsidRDefault="003931FA" w:rsidP="00416C5F">
      <w:pPr>
        <w:pStyle w:val="Body-text"/>
        <w:spacing w:after="240"/>
        <w:ind w:firstLineChars="200" w:firstLine="480"/>
        <w:rPr>
          <w:rFonts w:ascii="华文楷体" w:hAnsi="华文楷体"/>
          <w:sz w:val="24"/>
          <w:szCs w:val="24"/>
          <w:lang w:eastAsia="zh-CN"/>
        </w:rPr>
      </w:pPr>
      <w:r w:rsidRPr="003931FA">
        <w:rPr>
          <w:rFonts w:ascii="华文楷体" w:hAnsi="华文楷体" w:hint="eastAsia"/>
          <w:sz w:val="24"/>
          <w:szCs w:val="24"/>
          <w:lang w:eastAsia="zh-CN"/>
        </w:rPr>
        <w:t>本周</w:t>
      </w:r>
      <w:r w:rsidR="00591DD3">
        <w:rPr>
          <w:rFonts w:ascii="华文楷体" w:hAnsi="华文楷体" w:hint="eastAsia"/>
          <w:sz w:val="24"/>
          <w:szCs w:val="24"/>
          <w:lang w:eastAsia="zh-CN"/>
        </w:rPr>
        <w:t>权益市场</w:t>
      </w:r>
      <w:r w:rsidR="00D65BB8">
        <w:rPr>
          <w:rFonts w:ascii="华文楷体" w:hAnsi="华文楷体" w:hint="eastAsia"/>
          <w:sz w:val="24"/>
          <w:szCs w:val="24"/>
          <w:lang w:eastAsia="zh-CN"/>
        </w:rPr>
        <w:t>大</w:t>
      </w:r>
      <w:r w:rsidR="00DE6935">
        <w:rPr>
          <w:rFonts w:ascii="华文楷体" w:hAnsi="华文楷体" w:hint="eastAsia"/>
          <w:sz w:val="24"/>
          <w:szCs w:val="24"/>
          <w:lang w:eastAsia="zh-CN"/>
        </w:rPr>
        <w:t>幅下行</w:t>
      </w:r>
      <w:r w:rsidR="006B343C">
        <w:rPr>
          <w:rFonts w:ascii="华文楷体" w:hAnsi="华文楷体" w:hint="eastAsia"/>
          <w:sz w:val="24"/>
          <w:szCs w:val="24"/>
          <w:lang w:eastAsia="zh-CN"/>
        </w:rPr>
        <w:t>，成交量</w:t>
      </w:r>
      <w:r w:rsidR="001901C5">
        <w:rPr>
          <w:rFonts w:ascii="华文楷体" w:hAnsi="华文楷体" w:hint="eastAsia"/>
          <w:sz w:val="24"/>
          <w:szCs w:val="24"/>
          <w:lang w:eastAsia="zh-CN"/>
        </w:rPr>
        <w:t>萎缩</w:t>
      </w:r>
      <w:r w:rsidR="00591DD3">
        <w:rPr>
          <w:rFonts w:ascii="华文楷体" w:hAnsi="华文楷体" w:hint="eastAsia"/>
          <w:sz w:val="24"/>
          <w:szCs w:val="24"/>
          <w:lang w:eastAsia="zh-CN"/>
        </w:rPr>
        <w:t>，转</w:t>
      </w:r>
      <w:proofErr w:type="gramStart"/>
      <w:r w:rsidR="00591DD3">
        <w:rPr>
          <w:rFonts w:ascii="华文楷体" w:hAnsi="华文楷体" w:hint="eastAsia"/>
          <w:sz w:val="24"/>
          <w:szCs w:val="24"/>
          <w:lang w:eastAsia="zh-CN"/>
        </w:rPr>
        <w:t>债指数</w:t>
      </w:r>
      <w:proofErr w:type="gramEnd"/>
      <w:r w:rsidR="001901C5">
        <w:rPr>
          <w:rFonts w:ascii="华文楷体" w:hAnsi="华文楷体" w:hint="eastAsia"/>
          <w:sz w:val="24"/>
          <w:szCs w:val="24"/>
          <w:lang w:eastAsia="zh-CN"/>
        </w:rPr>
        <w:t>上周出现爆炒行情，受到监管密切关注</w:t>
      </w:r>
      <w:r w:rsidR="00591DD3">
        <w:rPr>
          <w:rFonts w:ascii="华文楷体" w:hAnsi="华文楷体" w:hint="eastAsia"/>
          <w:sz w:val="24"/>
          <w:szCs w:val="24"/>
          <w:lang w:eastAsia="zh-CN"/>
        </w:rPr>
        <w:t>。</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方面本周仍关注行业景气度、业绩较好、估值较低的品种为主</w:t>
      </w:r>
      <w:r w:rsidR="00591011" w:rsidRPr="00591011">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696F26">
        <w:rPr>
          <w:rFonts w:ascii="华文楷体" w:hAnsi="华文楷体" w:hint="eastAsia"/>
          <w:sz w:val="24"/>
          <w:szCs w:val="24"/>
          <w:lang w:eastAsia="zh-CN"/>
        </w:rPr>
        <w:t>-</w:t>
      </w:r>
      <w:r w:rsidR="00696F26">
        <w:rPr>
          <w:rFonts w:ascii="华文楷体" w:hAnsi="华文楷体"/>
          <w:sz w:val="24"/>
          <w:szCs w:val="24"/>
          <w:lang w:eastAsia="zh-CN"/>
        </w:rPr>
        <w:t>1.7</w:t>
      </w:r>
      <w:r w:rsidR="00AC28BB">
        <w:rPr>
          <w:rFonts w:ascii="华文楷体" w:hAnsi="华文楷体"/>
          <w:sz w:val="24"/>
          <w:szCs w:val="24"/>
          <w:lang w:eastAsia="zh-CN"/>
        </w:rPr>
        <w:t>%、</w:t>
      </w:r>
      <w:r w:rsidR="00696F26">
        <w:rPr>
          <w:rFonts w:ascii="华文楷体" w:hAnsi="华文楷体" w:hint="eastAsia"/>
          <w:sz w:val="24"/>
          <w:szCs w:val="24"/>
          <w:lang w:eastAsia="zh-CN"/>
        </w:rPr>
        <w:t>-</w:t>
      </w:r>
      <w:r w:rsidR="00696F26">
        <w:rPr>
          <w:rFonts w:ascii="华文楷体" w:hAnsi="华文楷体"/>
          <w:sz w:val="24"/>
          <w:szCs w:val="24"/>
          <w:lang w:eastAsia="zh-CN"/>
        </w:rPr>
        <w:t>4.5</w:t>
      </w:r>
      <w:r w:rsidR="00AC28BB">
        <w:rPr>
          <w:rFonts w:ascii="华文楷体" w:hAnsi="华文楷体"/>
          <w:sz w:val="24"/>
          <w:szCs w:val="24"/>
          <w:lang w:eastAsia="zh-CN"/>
        </w:rPr>
        <w:t>%、</w:t>
      </w:r>
      <w:r w:rsidR="00696F26">
        <w:rPr>
          <w:rFonts w:ascii="华文楷体" w:hAnsi="华文楷体" w:hint="eastAsia"/>
          <w:sz w:val="24"/>
          <w:szCs w:val="24"/>
          <w:lang w:eastAsia="zh-CN"/>
        </w:rPr>
        <w:t>-</w:t>
      </w:r>
      <w:r w:rsidR="00696F26">
        <w:rPr>
          <w:rFonts w:ascii="华文楷体" w:hAnsi="华文楷体"/>
          <w:sz w:val="24"/>
          <w:szCs w:val="24"/>
          <w:lang w:eastAsia="zh-CN"/>
        </w:rPr>
        <w:t>1.0</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696F26">
        <w:rPr>
          <w:rFonts w:ascii="华文楷体" w:hAnsi="华文楷体" w:hint="eastAsia"/>
          <w:sz w:val="24"/>
          <w:szCs w:val="24"/>
          <w:lang w:eastAsia="zh-CN"/>
        </w:rPr>
        <w:t>-</w:t>
      </w:r>
      <w:r w:rsidR="00696F26">
        <w:rPr>
          <w:rFonts w:ascii="华文楷体" w:hAnsi="华文楷体"/>
          <w:sz w:val="24"/>
          <w:szCs w:val="24"/>
          <w:lang w:eastAsia="zh-CN"/>
        </w:rPr>
        <w:t>1.5</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696F26">
        <w:rPr>
          <w:rFonts w:ascii="华文楷体" w:hAnsi="华文楷体" w:hint="eastAsia"/>
          <w:sz w:val="24"/>
          <w:szCs w:val="24"/>
          <w:lang w:eastAsia="zh-CN"/>
        </w:rPr>
        <w:t>下行0</w:t>
      </w:r>
      <w:r w:rsidR="00696F26">
        <w:rPr>
          <w:rFonts w:ascii="华文楷体" w:hAnsi="华文楷体"/>
          <w:sz w:val="24"/>
          <w:szCs w:val="24"/>
          <w:lang w:eastAsia="zh-CN"/>
        </w:rPr>
        <w:t>.5</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bookmarkStart w:id="1" w:name="_GoBack"/>
      <w:bookmarkEnd w:id="1"/>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BE4DE3">
        <w:tblPrEx>
          <w:tblCellMar>
            <w:left w:w="108" w:type="dxa"/>
            <w:right w:w="108" w:type="dxa"/>
          </w:tblCellMar>
        </w:tblPrEx>
        <w:trPr>
          <w:jc w:val="center"/>
        </w:trPr>
        <w:tc>
          <w:tcPr>
            <w:tcW w:w="4939" w:type="dxa"/>
            <w:vAlign w:val="center"/>
          </w:tcPr>
          <w:p w14:paraId="5C83721A" w14:textId="2C5003CA" w:rsidR="00E0626C" w:rsidRPr="007E0340" w:rsidRDefault="00BE4DE3" w:rsidP="009A2BA0">
            <w:pPr>
              <w:jc w:val="center"/>
              <w:rPr>
                <w:noProof/>
              </w:rPr>
            </w:pPr>
            <w:r w:rsidRPr="00BE4DE3">
              <w:rPr>
                <w:noProof/>
              </w:rPr>
              <w:drawing>
                <wp:inline distT="0" distB="0" distL="0" distR="0" wp14:anchorId="353EB77A" wp14:editId="563AE605">
                  <wp:extent cx="2999105" cy="17602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99105" cy="1760220"/>
                          </a:xfrm>
                          <a:prstGeom prst="rect">
                            <a:avLst/>
                          </a:prstGeom>
                          <a:noFill/>
                          <a:ln>
                            <a:noFill/>
                          </a:ln>
                        </pic:spPr>
                      </pic:pic>
                    </a:graphicData>
                  </a:graphic>
                </wp:inline>
              </w:drawing>
            </w:r>
          </w:p>
        </w:tc>
        <w:tc>
          <w:tcPr>
            <w:tcW w:w="4938" w:type="dxa"/>
            <w:vAlign w:val="center"/>
          </w:tcPr>
          <w:p w14:paraId="39BD4383" w14:textId="72F7ABF8" w:rsidR="00E0626C" w:rsidRPr="007E0340" w:rsidRDefault="00BE4DE3" w:rsidP="009A2BA0">
            <w:pPr>
              <w:jc w:val="center"/>
              <w:rPr>
                <w:noProof/>
                <w:szCs w:val="18"/>
              </w:rPr>
            </w:pPr>
            <w:r>
              <w:rPr>
                <w:noProof/>
              </w:rPr>
              <w:drawing>
                <wp:inline distT="0" distB="0" distL="0" distR="0" wp14:anchorId="228D3E35" wp14:editId="7D50BF71">
                  <wp:extent cx="2998470" cy="1720850"/>
                  <wp:effectExtent l="0" t="0" r="0" b="0"/>
                  <wp:docPr id="7" name="图表 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5A90EC04"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FA22A8" w:rsidRPr="00FA22A8">
        <w:rPr>
          <w:rFonts w:ascii="华文楷体" w:hAnsi="华文楷体" w:hint="eastAsia"/>
          <w:bCs/>
          <w:sz w:val="24"/>
          <w:szCs w:val="24"/>
          <w:lang w:eastAsia="zh-CN"/>
        </w:rPr>
        <w:t>本周主要港口动力煤平均价环比回落0.83%，前期动力煤价格回升速度较快</w:t>
      </w:r>
      <w:r w:rsidR="00FA22A8">
        <w:rPr>
          <w:rFonts w:ascii="华文楷体" w:hAnsi="华文楷体" w:hint="eastAsia"/>
          <w:bCs/>
          <w:sz w:val="24"/>
          <w:szCs w:val="24"/>
          <w:lang w:eastAsia="zh-CN"/>
        </w:rPr>
        <w:t>。</w:t>
      </w:r>
      <w:r w:rsidR="00FA22A8" w:rsidRPr="00FA22A8">
        <w:rPr>
          <w:rFonts w:ascii="华文楷体" w:hAnsi="华文楷体" w:hint="eastAsia"/>
          <w:bCs/>
          <w:sz w:val="24"/>
          <w:szCs w:val="24"/>
          <w:lang w:eastAsia="zh-CN"/>
        </w:rPr>
        <w:t>PTA产业链</w:t>
      </w:r>
      <w:proofErr w:type="gramStart"/>
      <w:r w:rsidR="00FA22A8" w:rsidRPr="00FA22A8">
        <w:rPr>
          <w:rFonts w:ascii="华文楷体" w:hAnsi="华文楷体" w:hint="eastAsia"/>
          <w:bCs/>
          <w:sz w:val="24"/>
          <w:szCs w:val="24"/>
          <w:lang w:eastAsia="zh-CN"/>
        </w:rPr>
        <w:t>负荷率环比</w:t>
      </w:r>
      <w:proofErr w:type="gramEnd"/>
      <w:r w:rsidR="00FA22A8" w:rsidRPr="00FA22A8">
        <w:rPr>
          <w:rFonts w:ascii="华文楷体" w:hAnsi="华文楷体" w:hint="eastAsia"/>
          <w:bCs/>
          <w:sz w:val="24"/>
          <w:szCs w:val="24"/>
          <w:lang w:eastAsia="zh-CN"/>
        </w:rPr>
        <w:t>回落4.56%，近期纺织服装订单有所增加，但社会库存高达380万吨以上，导致PTA产能负荷率继续下降。中国玻璃综合指数回落0.03%，玻璃现货市场总体走势仍然偏强，主要受当前玻璃产能不足、双面组件需求量骤增使得供需矛盾有所扩大影响。</w:t>
      </w:r>
    </w:p>
    <w:p w14:paraId="21425444" w14:textId="649E7C05"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CC2F5D" w:rsidRPr="00D67BD7">
        <w:rPr>
          <w:rFonts w:ascii="华文楷体" w:hAnsi="华文楷体" w:hint="eastAsia"/>
          <w:b/>
          <w:bCs/>
          <w:sz w:val="24"/>
          <w:szCs w:val="24"/>
          <w:lang w:eastAsia="zh-CN"/>
        </w:rPr>
        <w:t>：</w:t>
      </w:r>
      <w:r w:rsidR="00FA22A8" w:rsidRPr="00FA22A8">
        <w:rPr>
          <w:rFonts w:ascii="华文楷体" w:hAnsi="华文楷体" w:hint="eastAsia"/>
          <w:bCs/>
          <w:sz w:val="24"/>
          <w:szCs w:val="24"/>
          <w:lang w:eastAsia="zh-CN"/>
        </w:rPr>
        <w:t>10月第三周30大中城市商品房成交面积有所回升，各线城市均有所上行，其中二线城市销售回落幅度相对较大，一、三线城市则小幅回升，地产销售依然强劲；拿地方面，本周100</w:t>
      </w:r>
      <w:r w:rsidR="00FA22A8">
        <w:rPr>
          <w:rFonts w:ascii="华文楷体" w:hAnsi="华文楷体" w:hint="eastAsia"/>
          <w:bCs/>
          <w:sz w:val="24"/>
          <w:szCs w:val="24"/>
          <w:lang w:eastAsia="zh-CN"/>
        </w:rPr>
        <w:t>大中城市土地成交面积表现偏强，各线城市拿地均有所上行</w:t>
      </w:r>
      <w:r w:rsidR="00FA22A8" w:rsidRPr="00FA22A8">
        <w:rPr>
          <w:rFonts w:ascii="华文楷体" w:hAnsi="华文楷体" w:hint="eastAsia"/>
          <w:bCs/>
          <w:sz w:val="24"/>
          <w:szCs w:val="24"/>
          <w:lang w:eastAsia="zh-CN"/>
        </w:rPr>
        <w:t>。从地产信托发行数据来看，本周地产信托发行量为147.75</w:t>
      </w:r>
      <w:r w:rsidR="00FA22A8">
        <w:rPr>
          <w:rFonts w:ascii="华文楷体" w:hAnsi="华文楷体" w:hint="eastAsia"/>
          <w:bCs/>
          <w:sz w:val="24"/>
          <w:szCs w:val="24"/>
          <w:lang w:eastAsia="zh-CN"/>
        </w:rPr>
        <w:t>亿，短期地产投资</w:t>
      </w:r>
      <w:r w:rsidR="00FA22A8" w:rsidRPr="00FA22A8">
        <w:rPr>
          <w:rFonts w:ascii="华文楷体" w:hAnsi="华文楷体" w:hint="eastAsia"/>
          <w:bCs/>
          <w:sz w:val="24"/>
          <w:szCs w:val="24"/>
          <w:lang w:eastAsia="zh-CN"/>
        </w:rPr>
        <w:t>仍较强。</w:t>
      </w:r>
    </w:p>
    <w:p w14:paraId="3BDE386D" w14:textId="008D9B00" w:rsidR="003B54C0" w:rsidRPr="00682A95" w:rsidRDefault="005D478C" w:rsidP="0007254B">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w:t>
      </w:r>
      <w:r w:rsidRPr="00C34A52">
        <w:rPr>
          <w:rFonts w:ascii="华文楷体" w:hAnsi="华文楷体" w:hint="eastAsia"/>
          <w:b/>
          <w:bCs/>
          <w:sz w:val="24"/>
          <w:szCs w:val="24"/>
          <w:lang w:eastAsia="zh-CN"/>
        </w:rPr>
        <w:t>出口</w:t>
      </w:r>
      <w:r w:rsidR="00CC2F5D" w:rsidRPr="00C34A52">
        <w:rPr>
          <w:rFonts w:ascii="华文楷体" w:hAnsi="华文楷体" w:hint="eastAsia"/>
          <w:bCs/>
          <w:sz w:val="24"/>
          <w:szCs w:val="24"/>
          <w:lang w:eastAsia="zh-CN"/>
        </w:rPr>
        <w:t>：</w:t>
      </w:r>
      <w:r w:rsidR="002547B9">
        <w:rPr>
          <w:rFonts w:ascii="华文楷体" w:hAnsi="华文楷体" w:hint="eastAsia"/>
          <w:bCs/>
          <w:sz w:val="24"/>
          <w:szCs w:val="24"/>
          <w:lang w:eastAsia="zh-CN"/>
        </w:rPr>
        <w:t>进口方面，</w:t>
      </w:r>
      <w:r w:rsidR="00FA22A8" w:rsidRPr="00FA22A8">
        <w:rPr>
          <w:rFonts w:ascii="华文楷体" w:hAnsi="华文楷体" w:hint="eastAsia"/>
          <w:bCs/>
          <w:sz w:val="24"/>
          <w:szCs w:val="24"/>
          <w:lang w:eastAsia="zh-CN"/>
        </w:rPr>
        <w:t>波罗的海干散货指数较上周回落15.74%，中国进口干散货运价指数走势较上周回落7.45%。</w:t>
      </w:r>
      <w:r w:rsidR="002547B9" w:rsidRPr="002547B9">
        <w:rPr>
          <w:rFonts w:ascii="华文楷体" w:hAnsi="华文楷体" w:hint="eastAsia"/>
          <w:bCs/>
          <w:sz w:val="24"/>
          <w:szCs w:val="24"/>
          <w:lang w:eastAsia="zh-CN"/>
        </w:rPr>
        <w:t>出口方面，</w:t>
      </w:r>
      <w:r w:rsidR="00FA22A8" w:rsidRPr="00FA22A8">
        <w:rPr>
          <w:rFonts w:ascii="华文楷体" w:hAnsi="华文楷体" w:hint="eastAsia"/>
          <w:bCs/>
          <w:sz w:val="24"/>
          <w:szCs w:val="24"/>
          <w:lang w:eastAsia="zh-CN"/>
        </w:rPr>
        <w:t>上海出口集装箱指数（SCFI）本周回升1.39%，中国出口集装箱运价指数（CCFI）本周上行0.05%，两者均继续回升</w:t>
      </w:r>
      <w:r w:rsidR="002547B9">
        <w:rPr>
          <w:rFonts w:ascii="华文楷体" w:hAnsi="华文楷体" w:hint="eastAsia"/>
          <w:bCs/>
          <w:sz w:val="24"/>
          <w:szCs w:val="24"/>
          <w:lang w:eastAsia="zh-CN"/>
        </w:rPr>
        <w:t>。</w:t>
      </w:r>
    </w:p>
    <w:p w14:paraId="0542DAC4" w14:textId="3C4E22B8"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C6D1B" w:rsidRPr="00AF05CB">
        <w:rPr>
          <w:rFonts w:ascii="华文楷体" w:hAnsi="华文楷体" w:hint="eastAsia"/>
          <w:bCs/>
          <w:sz w:val="24"/>
          <w:szCs w:val="24"/>
          <w:lang w:eastAsia="zh-CN"/>
        </w:rPr>
        <w:t>工业品</w:t>
      </w:r>
      <w:r w:rsidR="007A3F0D" w:rsidRPr="00AF05CB">
        <w:rPr>
          <w:rFonts w:ascii="华文楷体" w:hAnsi="华文楷体" w:hint="eastAsia"/>
          <w:bCs/>
          <w:sz w:val="24"/>
          <w:szCs w:val="24"/>
          <w:lang w:eastAsia="zh-CN"/>
        </w:rPr>
        <w:t>方面，</w:t>
      </w:r>
      <w:r w:rsidR="00FA22A8" w:rsidRPr="00FA22A8">
        <w:rPr>
          <w:rFonts w:ascii="华文楷体" w:hAnsi="华文楷体" w:hint="eastAsia"/>
          <w:bCs/>
          <w:sz w:val="24"/>
          <w:szCs w:val="24"/>
          <w:lang w:eastAsia="zh-CN"/>
        </w:rPr>
        <w:t>本周</w:t>
      </w:r>
      <w:proofErr w:type="spellStart"/>
      <w:r w:rsidR="00FA22A8" w:rsidRPr="00FA22A8">
        <w:rPr>
          <w:rFonts w:ascii="华文楷体" w:hAnsi="华文楷体" w:hint="eastAsia"/>
          <w:bCs/>
          <w:sz w:val="24"/>
          <w:szCs w:val="24"/>
          <w:lang w:eastAsia="zh-CN"/>
        </w:rPr>
        <w:t>Myspic</w:t>
      </w:r>
      <w:proofErr w:type="spellEnd"/>
      <w:r w:rsidR="00FA22A8" w:rsidRPr="00FA22A8">
        <w:rPr>
          <w:rFonts w:ascii="华文楷体" w:hAnsi="华文楷体" w:hint="eastAsia"/>
          <w:bCs/>
          <w:sz w:val="24"/>
          <w:szCs w:val="24"/>
          <w:lang w:eastAsia="zh-CN"/>
        </w:rPr>
        <w:t>综合全国钢铁价格指数下行0.25%，较上周有所偏弱。主要品种中，螺纹钢、热卷、高线价格本周均有所回落，分别变动-0.09%、-0.24%、-0.08%，多有回落；从库存来看，螺纹钢、热卷、线材库存分别变动-6.07%、-2.65%、-8.11%，库存继续回落。</w:t>
      </w:r>
      <w:r w:rsidR="003F17A9" w:rsidRPr="00AF05CB">
        <w:rPr>
          <w:rFonts w:ascii="华文楷体" w:hAnsi="华文楷体" w:hint="eastAsia"/>
          <w:bCs/>
          <w:sz w:val="24"/>
          <w:szCs w:val="24"/>
          <w:lang w:eastAsia="zh-CN"/>
        </w:rPr>
        <w:t>农产品</w:t>
      </w:r>
      <w:r w:rsidR="003F17A9" w:rsidRPr="00AF05CB">
        <w:rPr>
          <w:rFonts w:ascii="华文楷体" w:hAnsi="华文楷体"/>
          <w:bCs/>
          <w:sz w:val="24"/>
          <w:szCs w:val="24"/>
          <w:lang w:eastAsia="zh-CN"/>
        </w:rPr>
        <w:t>方面，</w:t>
      </w:r>
      <w:r w:rsidR="00FA22A8" w:rsidRPr="00FA22A8">
        <w:rPr>
          <w:rFonts w:ascii="华文楷体" w:hAnsi="华文楷体" w:hint="eastAsia"/>
          <w:bCs/>
          <w:sz w:val="24"/>
          <w:szCs w:val="24"/>
          <w:lang w:eastAsia="zh-CN"/>
        </w:rPr>
        <w:t>猪肉价格本周回落3.57%，跌幅有所走</w:t>
      </w:r>
      <w:proofErr w:type="gramStart"/>
      <w:r w:rsidR="00FA22A8" w:rsidRPr="00FA22A8">
        <w:rPr>
          <w:rFonts w:ascii="华文楷体" w:hAnsi="华文楷体" w:hint="eastAsia"/>
          <w:bCs/>
          <w:sz w:val="24"/>
          <w:szCs w:val="24"/>
          <w:lang w:eastAsia="zh-CN"/>
        </w:rPr>
        <w:t>扩周度数据</w:t>
      </w:r>
      <w:proofErr w:type="gramEnd"/>
      <w:r w:rsidR="00FA22A8" w:rsidRPr="00FA22A8">
        <w:rPr>
          <w:rFonts w:ascii="华文楷体" w:hAnsi="华文楷体" w:hint="eastAsia"/>
          <w:bCs/>
          <w:sz w:val="24"/>
          <w:szCs w:val="24"/>
          <w:lang w:eastAsia="zh-CN"/>
        </w:rPr>
        <w:t>来看，农业部公布的全国平均批发价较上周末小幅回落至41.32元/公斤左右，主要</w:t>
      </w:r>
      <w:proofErr w:type="gramStart"/>
      <w:r w:rsidR="00FA22A8" w:rsidRPr="00FA22A8">
        <w:rPr>
          <w:rFonts w:ascii="华文楷体" w:hAnsi="华文楷体" w:hint="eastAsia"/>
          <w:bCs/>
          <w:sz w:val="24"/>
          <w:szCs w:val="24"/>
          <w:lang w:eastAsia="zh-CN"/>
        </w:rPr>
        <w:t>受能繁</w:t>
      </w:r>
      <w:proofErr w:type="gramEnd"/>
      <w:r w:rsidR="00FA22A8" w:rsidRPr="00FA22A8">
        <w:rPr>
          <w:rFonts w:ascii="华文楷体" w:hAnsi="华文楷体" w:hint="eastAsia"/>
          <w:bCs/>
          <w:sz w:val="24"/>
          <w:szCs w:val="24"/>
          <w:lang w:eastAsia="zh-CN"/>
        </w:rPr>
        <w:t>母猪和生猪存栏同比增速继续快速增长，市场预期猪肉供给进一步上行导致猪肉价格继续走低；本周牛羊肉价格有所分化，牛肉本周回升0.06%，羊肉价格微幅回落0.27%；蔬菜方面，价格继续微幅回落2.23%，跌幅有所走扩；水果价格则继续小幅上行，较上周回升0.7%，主要受秋冬季水果上市影响；鸡蛋方面，价格回落0.66%，价格继续回落；水产品本周价格回落2.25%。</w:t>
      </w:r>
    </w:p>
    <w:p w14:paraId="29155A05" w14:textId="53958610"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F95AA5" w:rsidRPr="00F95AA5">
        <w:rPr>
          <w:rFonts w:ascii="华文楷体" w:hAnsi="华文楷体" w:hint="eastAsia"/>
          <w:bCs/>
          <w:sz w:val="24"/>
          <w:szCs w:val="24"/>
          <w:lang w:eastAsia="zh-CN"/>
        </w:rPr>
        <w:t>乘联会最新数据显示，10月第三周的日均零售5.3万辆，同比增长18%，环比9月第三周上升8%，表现强劲；10月第二周的日均零售是6.4万辆，同比增长43%，环比9月同期销量增长50%，表现较强；批发方面，10月第三周主要厂商批发销量达到日均5.4万辆，同比去年10月增长9%；环比9月第三周增长4%。</w:t>
      </w:r>
    </w:p>
    <w:p w14:paraId="6C0621FD" w14:textId="4296BF96"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7A596F" w:rsidRPr="007A596F">
        <w:rPr>
          <w:rFonts w:ascii="华文楷体" w:hAnsi="华文楷体" w:hint="eastAsia"/>
          <w:bCs/>
          <w:sz w:val="24"/>
          <w:szCs w:val="24"/>
          <w:lang w:eastAsia="zh-CN"/>
        </w:rPr>
        <w:t>本周国际油价有所回落，WTI原油价格回落2.4%，至39.85美元/桶；布伦</w:t>
      </w:r>
      <w:proofErr w:type="gramStart"/>
      <w:r w:rsidR="007A596F" w:rsidRPr="007A596F">
        <w:rPr>
          <w:rFonts w:ascii="华文楷体" w:hAnsi="华文楷体" w:hint="eastAsia"/>
          <w:bCs/>
          <w:sz w:val="24"/>
          <w:szCs w:val="24"/>
          <w:lang w:eastAsia="zh-CN"/>
        </w:rPr>
        <w:t>特</w:t>
      </w:r>
      <w:proofErr w:type="gramEnd"/>
      <w:r w:rsidR="007A596F" w:rsidRPr="007A596F">
        <w:rPr>
          <w:rFonts w:ascii="华文楷体" w:hAnsi="华文楷体" w:hint="eastAsia"/>
          <w:bCs/>
          <w:sz w:val="24"/>
          <w:szCs w:val="24"/>
          <w:lang w:eastAsia="zh-CN"/>
        </w:rPr>
        <w:t>原油价</w:t>
      </w:r>
      <w:r w:rsidR="007A596F" w:rsidRPr="007A596F">
        <w:rPr>
          <w:rFonts w:ascii="华文楷体" w:hAnsi="华文楷体" w:hint="eastAsia"/>
          <w:bCs/>
          <w:sz w:val="24"/>
          <w:szCs w:val="24"/>
          <w:lang w:eastAsia="zh-CN"/>
        </w:rPr>
        <w:lastRenderedPageBreak/>
        <w:t>格下跌2%，至41.77美元/桶，主要受供给方面影响。后续来看，短期油价可能维持在4</w:t>
      </w:r>
      <w:r w:rsidR="007A596F">
        <w:rPr>
          <w:rFonts w:ascii="华文楷体" w:hAnsi="华文楷体" w:hint="eastAsia"/>
          <w:bCs/>
          <w:sz w:val="24"/>
          <w:szCs w:val="24"/>
          <w:lang w:eastAsia="zh-CN"/>
        </w:rPr>
        <w:t>5</w:t>
      </w:r>
      <w:r w:rsidR="007A596F" w:rsidRPr="007A596F">
        <w:rPr>
          <w:rFonts w:ascii="华文楷体" w:hAnsi="华文楷体" w:hint="eastAsia"/>
          <w:bCs/>
          <w:sz w:val="24"/>
          <w:szCs w:val="24"/>
          <w:lang w:eastAsia="zh-CN"/>
        </w:rPr>
        <w:t>美元/桶</w:t>
      </w:r>
      <w:r w:rsidR="007A596F">
        <w:rPr>
          <w:rFonts w:ascii="华文楷体" w:hAnsi="华文楷体" w:hint="eastAsia"/>
          <w:bCs/>
          <w:sz w:val="24"/>
          <w:szCs w:val="24"/>
          <w:lang w:eastAsia="zh-CN"/>
        </w:rPr>
        <w:t>上下</w:t>
      </w:r>
      <w:r w:rsidR="007A596F" w:rsidRPr="007A596F">
        <w:rPr>
          <w:rFonts w:ascii="华文楷体" w:hAnsi="华文楷体" w:hint="eastAsia"/>
          <w:bCs/>
          <w:sz w:val="24"/>
          <w:szCs w:val="24"/>
          <w:lang w:eastAsia="zh-CN"/>
        </w:rPr>
        <w:t>震荡。</w:t>
      </w:r>
    </w:p>
    <w:p w14:paraId="6197476A" w14:textId="290D6127" w:rsidR="00A058AB" w:rsidRPr="005C6814" w:rsidRDefault="00A058AB" w:rsidP="00F07541">
      <w:pPr>
        <w:pStyle w:val="Body-text"/>
        <w:ind w:firstLineChars="200" w:firstLine="480"/>
        <w:rPr>
          <w:rFonts w:ascii="华文楷体" w:hAnsi="华文楷体"/>
          <w:bCs/>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7A596F" w:rsidRPr="007A596F">
        <w:rPr>
          <w:rFonts w:ascii="Helvetica" w:hAnsi="Helvetica" w:hint="eastAsia"/>
          <w:color w:val="000000"/>
          <w:spacing w:val="8"/>
          <w:sz w:val="23"/>
          <w:szCs w:val="23"/>
          <w:shd w:val="clear" w:color="auto" w:fill="FFFFFF"/>
          <w:lang w:eastAsia="zh-CN"/>
        </w:rPr>
        <w:t>9</w:t>
      </w:r>
      <w:r w:rsidR="007A596F" w:rsidRPr="007A596F">
        <w:rPr>
          <w:rFonts w:ascii="Helvetica" w:hAnsi="Helvetica" w:hint="eastAsia"/>
          <w:color w:val="000000"/>
          <w:spacing w:val="8"/>
          <w:sz w:val="23"/>
          <w:szCs w:val="23"/>
          <w:shd w:val="clear" w:color="auto" w:fill="FFFFFF"/>
          <w:lang w:eastAsia="zh-CN"/>
        </w:rPr>
        <w:t>月工业企业经营数据，</w:t>
      </w:r>
      <w:r w:rsidR="007A596F" w:rsidRPr="007A596F">
        <w:rPr>
          <w:rFonts w:ascii="Helvetica" w:hAnsi="Helvetica" w:hint="eastAsia"/>
          <w:color w:val="000000"/>
          <w:spacing w:val="8"/>
          <w:sz w:val="23"/>
          <w:szCs w:val="23"/>
          <w:shd w:val="clear" w:color="auto" w:fill="FFFFFF"/>
          <w:lang w:eastAsia="zh-CN"/>
        </w:rPr>
        <w:t>10</w:t>
      </w:r>
      <w:r w:rsidR="007A596F" w:rsidRPr="007A596F">
        <w:rPr>
          <w:rFonts w:ascii="Helvetica" w:hAnsi="Helvetica" w:hint="eastAsia"/>
          <w:color w:val="000000"/>
          <w:spacing w:val="8"/>
          <w:sz w:val="23"/>
          <w:szCs w:val="23"/>
          <w:shd w:val="clear" w:color="auto" w:fill="FFFFFF"/>
          <w:lang w:eastAsia="zh-CN"/>
        </w:rPr>
        <w:t>月</w:t>
      </w:r>
      <w:r w:rsidR="007A596F" w:rsidRPr="007A596F">
        <w:rPr>
          <w:rFonts w:ascii="Helvetica" w:hAnsi="Helvetica" w:hint="eastAsia"/>
          <w:color w:val="000000"/>
          <w:spacing w:val="8"/>
          <w:sz w:val="23"/>
          <w:szCs w:val="23"/>
          <w:shd w:val="clear" w:color="auto" w:fill="FFFFFF"/>
          <w:lang w:eastAsia="zh-CN"/>
        </w:rPr>
        <w:t>PMI</w:t>
      </w:r>
      <w:r w:rsidR="007A596F" w:rsidRPr="007A596F">
        <w:rPr>
          <w:rFonts w:ascii="Helvetica" w:hAnsi="Helvetica" w:hint="eastAsia"/>
          <w:color w:val="000000"/>
          <w:spacing w:val="8"/>
          <w:sz w:val="23"/>
          <w:szCs w:val="23"/>
          <w:shd w:val="clear" w:color="auto" w:fill="FFFFFF"/>
          <w:lang w:eastAsia="zh-CN"/>
        </w:rPr>
        <w:t>数据，中国共产党第十九届五中全会</w:t>
      </w: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2FE0FC98"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24073D" w:rsidRPr="0024073D">
        <w:rPr>
          <w:rFonts w:ascii="华文楷体" w:hAnsi="华文楷体" w:hint="eastAsia"/>
          <w:sz w:val="24"/>
          <w:szCs w:val="24"/>
          <w:lang w:eastAsia="zh-CN"/>
        </w:rPr>
        <w:t>经济数据利空落地以及利率债供需失衡有所缓解对债市的短期反弹有利，但中期利空因素仍不可忽视，经济持续回暖以及货币政策</w:t>
      </w:r>
      <w:proofErr w:type="gramStart"/>
      <w:r w:rsidR="0024073D" w:rsidRPr="0024073D">
        <w:rPr>
          <w:rFonts w:ascii="华文楷体" w:hAnsi="华文楷体" w:hint="eastAsia"/>
          <w:sz w:val="24"/>
          <w:szCs w:val="24"/>
          <w:lang w:eastAsia="zh-CN"/>
        </w:rPr>
        <w:t>易紧难松</w:t>
      </w:r>
      <w:proofErr w:type="gramEnd"/>
      <w:r w:rsidR="0024073D" w:rsidRPr="0024073D">
        <w:rPr>
          <w:rFonts w:ascii="华文楷体" w:hAnsi="华文楷体" w:hint="eastAsia"/>
          <w:sz w:val="24"/>
          <w:szCs w:val="24"/>
          <w:lang w:eastAsia="zh-CN"/>
        </w:rPr>
        <w:t>的格局虽被市场有所预期但整体仍是压制，趋势性拐点尚需等待，短期则关注存单发行价格走高压力。</w:t>
      </w:r>
    </w:p>
    <w:p w14:paraId="2C3F4BD1" w14:textId="0C17C762"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3B3058">
        <w:rPr>
          <w:rFonts w:ascii="华文楷体" w:hAnsi="华文楷体"/>
          <w:sz w:val="24"/>
          <w:szCs w:val="24"/>
          <w:lang w:eastAsia="zh-CN"/>
        </w:rPr>
        <w:t>信用</w:t>
      </w:r>
      <w:proofErr w:type="gramStart"/>
      <w:r w:rsidR="003B3058">
        <w:rPr>
          <w:rFonts w:ascii="华文楷体" w:hAnsi="华文楷体" w:hint="eastAsia"/>
          <w:sz w:val="24"/>
          <w:szCs w:val="24"/>
          <w:lang w:eastAsia="zh-CN"/>
        </w:rPr>
        <w:t>债</w:t>
      </w:r>
      <w:r w:rsidR="00F106F6">
        <w:rPr>
          <w:rFonts w:ascii="华文楷体" w:hAnsi="华文楷体" w:hint="eastAsia"/>
          <w:sz w:val="24"/>
          <w:szCs w:val="24"/>
          <w:lang w:eastAsia="zh-CN"/>
        </w:rPr>
        <w:t>情绪</w:t>
      </w:r>
      <w:proofErr w:type="gramEnd"/>
      <w:r w:rsidR="0024073D">
        <w:rPr>
          <w:rFonts w:ascii="华文楷体" w:hAnsi="华文楷体" w:hint="eastAsia"/>
          <w:sz w:val="24"/>
          <w:szCs w:val="24"/>
          <w:lang w:eastAsia="zh-CN"/>
        </w:rPr>
        <w:t>持续较好,</w:t>
      </w:r>
      <w:r w:rsidR="00D30FEC">
        <w:rPr>
          <w:rFonts w:ascii="华文楷体" w:hAnsi="华文楷体" w:hint="eastAsia"/>
          <w:sz w:val="24"/>
          <w:szCs w:val="24"/>
          <w:lang w:eastAsia="zh-CN"/>
        </w:rPr>
        <w:t>仍</w:t>
      </w:r>
      <w:r w:rsidR="00F106F6">
        <w:rPr>
          <w:rFonts w:ascii="华文楷体" w:hAnsi="华文楷体" w:hint="eastAsia"/>
          <w:sz w:val="24"/>
          <w:szCs w:val="24"/>
          <w:lang w:eastAsia="zh-CN"/>
        </w:rPr>
        <w:t>坚持</w:t>
      </w:r>
      <w:r w:rsidR="00D30FEC">
        <w:rPr>
          <w:rFonts w:ascii="华文楷体" w:hAnsi="华文楷体" w:hint="eastAsia"/>
          <w:sz w:val="24"/>
          <w:szCs w:val="24"/>
          <w:lang w:eastAsia="zh-CN"/>
        </w:rPr>
        <w:t>挖掘行业和个</w:t>
      </w:r>
      <w:proofErr w:type="gramStart"/>
      <w:r w:rsidR="00D30FEC">
        <w:rPr>
          <w:rFonts w:ascii="华文楷体" w:hAnsi="华文楷体" w:hint="eastAsia"/>
          <w:sz w:val="24"/>
          <w:szCs w:val="24"/>
          <w:lang w:eastAsia="zh-CN"/>
        </w:rPr>
        <w:t>券</w:t>
      </w:r>
      <w:proofErr w:type="gramEnd"/>
      <w:r w:rsidR="00D30FEC">
        <w:rPr>
          <w:rFonts w:ascii="华文楷体" w:hAnsi="华文楷体" w:hint="eastAsia"/>
          <w:sz w:val="24"/>
          <w:szCs w:val="24"/>
          <w:lang w:eastAsia="zh-CN"/>
        </w:rPr>
        <w:t>机会为主，关注绝对收益价值配置为主</w:t>
      </w:r>
      <w:r w:rsidR="00F106F6">
        <w:rPr>
          <w:rFonts w:ascii="华文楷体" w:hAnsi="华文楷体" w:hint="eastAsia"/>
          <w:sz w:val="24"/>
          <w:szCs w:val="24"/>
          <w:lang w:eastAsia="zh-CN"/>
        </w:rPr>
        <w:t>，防范信用风险暴露</w:t>
      </w:r>
      <w:r w:rsidR="00D30FEC">
        <w:rPr>
          <w:rFonts w:ascii="华文楷体" w:hAnsi="华文楷体" w:hint="eastAsia"/>
          <w:sz w:val="24"/>
          <w:szCs w:val="24"/>
          <w:lang w:eastAsia="zh-CN"/>
        </w:rPr>
        <w:t>。</w:t>
      </w:r>
      <w:r w:rsidR="003B3058" w:rsidRPr="003B3058">
        <w:rPr>
          <w:rFonts w:ascii="华文楷体" w:hAnsi="华文楷体"/>
          <w:sz w:val="24"/>
          <w:szCs w:val="24"/>
          <w:lang w:eastAsia="zh-CN"/>
        </w:rPr>
        <w:t>市场</w:t>
      </w:r>
      <w:r w:rsidR="003B3058" w:rsidRPr="003B3058">
        <w:rPr>
          <w:rFonts w:ascii="华文楷体" w:hAnsi="华文楷体" w:hint="eastAsia"/>
          <w:sz w:val="24"/>
          <w:szCs w:val="24"/>
          <w:lang w:eastAsia="zh-CN"/>
        </w:rPr>
        <w:t>策略</w:t>
      </w:r>
      <w:r w:rsidR="003B3058" w:rsidRPr="003B3058">
        <w:rPr>
          <w:rFonts w:ascii="华文楷体" w:hAnsi="华文楷体"/>
          <w:sz w:val="24"/>
          <w:szCs w:val="24"/>
          <w:lang w:eastAsia="zh-CN"/>
        </w:rPr>
        <w:t>方面，</w:t>
      </w:r>
      <w:r w:rsidR="00D30FEC">
        <w:rPr>
          <w:rFonts w:ascii="华文楷体" w:hAnsi="华文楷体" w:hint="eastAsia"/>
          <w:sz w:val="24"/>
          <w:szCs w:val="24"/>
          <w:lang w:eastAsia="zh-CN"/>
        </w:rPr>
        <w:t>过剩行业头部、</w:t>
      </w:r>
      <w:r w:rsidR="00B5564B">
        <w:rPr>
          <w:rFonts w:ascii="华文楷体" w:hAnsi="华文楷体" w:hint="eastAsia"/>
          <w:sz w:val="24"/>
          <w:szCs w:val="24"/>
          <w:lang w:eastAsia="zh-CN"/>
        </w:rPr>
        <w:t>基建投资和城</w:t>
      </w:r>
      <w:proofErr w:type="gramStart"/>
      <w:r w:rsidR="00B5564B">
        <w:rPr>
          <w:rFonts w:ascii="华文楷体" w:hAnsi="华文楷体" w:hint="eastAsia"/>
          <w:sz w:val="24"/>
          <w:szCs w:val="24"/>
          <w:lang w:eastAsia="zh-CN"/>
        </w:rPr>
        <w:t>投相关</w:t>
      </w:r>
      <w:proofErr w:type="gramEnd"/>
      <w:r w:rsidR="00B5564B">
        <w:rPr>
          <w:rFonts w:ascii="华文楷体" w:hAnsi="华文楷体" w:hint="eastAsia"/>
          <w:sz w:val="24"/>
          <w:szCs w:val="24"/>
          <w:lang w:eastAsia="zh-CN"/>
        </w:rPr>
        <w:t>品种</w:t>
      </w:r>
      <w:r w:rsidR="00573EEF">
        <w:rPr>
          <w:rFonts w:ascii="华文楷体" w:hAnsi="华文楷体" w:hint="eastAsia"/>
          <w:sz w:val="24"/>
          <w:szCs w:val="24"/>
          <w:lang w:eastAsia="zh-CN"/>
        </w:rPr>
        <w:t>持续</w:t>
      </w:r>
      <w:r w:rsidR="001D4BE8">
        <w:rPr>
          <w:rFonts w:ascii="华文楷体" w:hAnsi="华文楷体" w:hint="eastAsia"/>
          <w:sz w:val="24"/>
          <w:szCs w:val="24"/>
          <w:lang w:eastAsia="zh-CN"/>
        </w:rPr>
        <w:t>受到市场较高关注</w:t>
      </w:r>
      <w:r w:rsidR="00B5564B">
        <w:rPr>
          <w:rFonts w:ascii="华文楷体" w:hAnsi="华文楷体" w:hint="eastAsia"/>
          <w:sz w:val="24"/>
          <w:szCs w:val="24"/>
          <w:lang w:eastAsia="zh-CN"/>
        </w:rPr>
        <w:t>，城</w:t>
      </w:r>
      <w:proofErr w:type="gramStart"/>
      <w:r w:rsidR="00B5564B">
        <w:rPr>
          <w:rFonts w:ascii="华文楷体" w:hAnsi="华文楷体" w:hint="eastAsia"/>
          <w:sz w:val="24"/>
          <w:szCs w:val="24"/>
          <w:lang w:eastAsia="zh-CN"/>
        </w:rPr>
        <w:t>投债</w:t>
      </w:r>
      <w:r w:rsidR="00573EEF">
        <w:rPr>
          <w:rFonts w:ascii="华文楷体" w:hAnsi="华文楷体" w:hint="eastAsia"/>
          <w:sz w:val="24"/>
          <w:szCs w:val="24"/>
          <w:lang w:eastAsia="zh-CN"/>
        </w:rPr>
        <w:t>继续</w:t>
      </w:r>
      <w:proofErr w:type="gramEnd"/>
      <w:r w:rsidR="00573EEF">
        <w:rPr>
          <w:rFonts w:ascii="华文楷体" w:hAnsi="华文楷体" w:hint="eastAsia"/>
          <w:sz w:val="24"/>
          <w:szCs w:val="24"/>
          <w:lang w:eastAsia="zh-CN"/>
        </w:rPr>
        <w:t>挖掘区域机会</w:t>
      </w:r>
      <w:r w:rsidR="00B5564B">
        <w:rPr>
          <w:rFonts w:ascii="华文楷体" w:hAnsi="华文楷体" w:hint="eastAsia"/>
          <w:sz w:val="24"/>
          <w:szCs w:val="24"/>
          <w:lang w:eastAsia="zh-CN"/>
        </w:rPr>
        <w:t>。</w:t>
      </w:r>
      <w:r w:rsidR="0024073D">
        <w:rPr>
          <w:rFonts w:ascii="华文楷体" w:hAnsi="华文楷体" w:hint="eastAsia"/>
          <w:sz w:val="24"/>
          <w:szCs w:val="24"/>
          <w:lang w:eastAsia="zh-CN"/>
        </w:rPr>
        <w:t>继续</w:t>
      </w:r>
      <w:r w:rsidR="00B5564B">
        <w:rPr>
          <w:rFonts w:ascii="华文楷体" w:hAnsi="华文楷体" w:hint="eastAsia"/>
          <w:sz w:val="24"/>
          <w:szCs w:val="24"/>
          <w:lang w:eastAsia="zh-CN"/>
        </w:rPr>
        <w:t>关注</w:t>
      </w:r>
      <w:r w:rsidR="004E34DD">
        <w:rPr>
          <w:rFonts w:ascii="华文楷体" w:hAnsi="华文楷体" w:hint="eastAsia"/>
          <w:sz w:val="24"/>
          <w:szCs w:val="24"/>
          <w:lang w:eastAsia="zh-CN"/>
        </w:rPr>
        <w:t>政策影响更突出的行业和区域，票息策略为主</w:t>
      </w:r>
      <w:r w:rsidR="000105FB">
        <w:rPr>
          <w:rFonts w:ascii="华文楷体" w:hAnsi="华文楷体" w:hint="eastAsia"/>
          <w:sz w:val="24"/>
          <w:szCs w:val="24"/>
          <w:lang w:eastAsia="zh-CN"/>
        </w:rPr>
        <w:t>，信用资质不建议过度下沉</w:t>
      </w:r>
      <w:r w:rsidR="004133A5" w:rsidRPr="004133A5">
        <w:rPr>
          <w:rFonts w:ascii="华文楷体" w:hAnsi="华文楷体" w:hint="eastAsia"/>
          <w:sz w:val="24"/>
          <w:szCs w:val="24"/>
          <w:lang w:eastAsia="zh-CN"/>
        </w:rPr>
        <w:t>。</w:t>
      </w:r>
    </w:p>
    <w:p w14:paraId="4C893BAE" w14:textId="3C21EE03"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350374" w:rsidRPr="00350374">
        <w:rPr>
          <w:rFonts w:ascii="华文楷体" w:hAnsi="华文楷体" w:hint="eastAsia"/>
          <w:sz w:val="24"/>
          <w:szCs w:val="24"/>
          <w:lang w:eastAsia="zh-CN"/>
        </w:rPr>
        <w:t>近期银行板块相对表现较好，反应风格再平衡有所延续，周五意见稿出台或可对非理性炒作有所纠偏，但暴涨暴跌对处于并不强势上涨的市场会有所伤害。</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4EC73191" w:rsidR="001D35B3" w:rsidRPr="006A5F34" w:rsidRDefault="001D35B3" w:rsidP="006E5744">
            <w:pPr>
              <w:pStyle w:val="ChartHeading"/>
              <w:jc w:val="both"/>
            </w:pPr>
            <w:r w:rsidRPr="006A5F34">
              <w:rPr>
                <w:rFonts w:hint="eastAsia"/>
              </w:rPr>
              <w:t>图表</w:t>
            </w:r>
            <w:r w:rsidRPr="006A5F34">
              <w:t>.</w:t>
            </w:r>
            <w:r w:rsidR="00411668">
              <w:rPr>
                <w:rFonts w:hint="eastAsia"/>
              </w:rPr>
              <w:t>高炉开工</w:t>
            </w:r>
            <w:r w:rsidR="009E3C2E">
              <w:rPr>
                <w:rFonts w:hint="eastAsia"/>
              </w:rPr>
              <w:t>表现平稳</w:t>
            </w:r>
          </w:p>
        </w:tc>
        <w:tc>
          <w:tcPr>
            <w:tcW w:w="4938" w:type="dxa"/>
            <w:vAlign w:val="center"/>
          </w:tcPr>
          <w:p w14:paraId="02A10F26" w14:textId="674DD1D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11668">
              <w:rPr>
                <w:rFonts w:hint="eastAsia"/>
              </w:rPr>
              <w:t>持续修复</w:t>
            </w:r>
          </w:p>
        </w:tc>
      </w:tr>
      <w:tr w:rsidR="001D35B3" w:rsidRPr="006A5F34" w14:paraId="205667F1" w14:textId="77777777" w:rsidTr="009E3C2E">
        <w:tblPrEx>
          <w:tblCellMar>
            <w:left w:w="108" w:type="dxa"/>
            <w:right w:w="108" w:type="dxa"/>
          </w:tblCellMar>
        </w:tblPrEx>
        <w:trPr>
          <w:jc w:val="center"/>
        </w:trPr>
        <w:tc>
          <w:tcPr>
            <w:tcW w:w="4939" w:type="dxa"/>
            <w:vAlign w:val="center"/>
          </w:tcPr>
          <w:p w14:paraId="56C782C2" w14:textId="09D7744D" w:rsidR="001D35B3" w:rsidRPr="007E0340" w:rsidRDefault="009E3C2E" w:rsidP="009A2BA0">
            <w:pPr>
              <w:jc w:val="center"/>
              <w:rPr>
                <w:noProof/>
              </w:rPr>
            </w:pPr>
            <w:r>
              <w:rPr>
                <w:noProof/>
              </w:rPr>
              <w:drawing>
                <wp:inline distT="0" distB="0" distL="0" distR="0" wp14:anchorId="29956A97" wp14:editId="0976A777">
                  <wp:extent cx="2999105" cy="1687195"/>
                  <wp:effectExtent l="0" t="0" r="0" b="8255"/>
                  <wp:docPr id="8" name="图表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31BF7412" w:rsidR="001D35B3" w:rsidRPr="007E0340" w:rsidRDefault="009E3C2E" w:rsidP="009A2BA0">
            <w:pPr>
              <w:jc w:val="center"/>
              <w:rPr>
                <w:noProof/>
                <w:szCs w:val="18"/>
              </w:rPr>
            </w:pPr>
            <w:r>
              <w:rPr>
                <w:noProof/>
              </w:rPr>
              <w:drawing>
                <wp:inline distT="0" distB="0" distL="0" distR="0" wp14:anchorId="18D49A0D" wp14:editId="59B3833C">
                  <wp:extent cx="2998470" cy="1713230"/>
                  <wp:effectExtent l="0" t="0" r="0" b="1270"/>
                  <wp:docPr id="9" name="图表 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462558FA" w:rsidR="001D35B3" w:rsidRPr="006A5F34" w:rsidRDefault="001D35B3" w:rsidP="00411668">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411668">
              <w:rPr>
                <w:rFonts w:hint="eastAsia"/>
              </w:rPr>
              <w:t>相对平稳</w:t>
            </w:r>
          </w:p>
        </w:tc>
        <w:tc>
          <w:tcPr>
            <w:tcW w:w="4938" w:type="dxa"/>
            <w:vAlign w:val="center"/>
          </w:tcPr>
          <w:p w14:paraId="07575C0F" w14:textId="5FBEC0E1" w:rsidR="001D35B3" w:rsidRPr="006A5F34" w:rsidRDefault="001D35B3" w:rsidP="006E5744">
            <w:pPr>
              <w:pStyle w:val="ChartHeading"/>
              <w:jc w:val="both"/>
            </w:pPr>
            <w:r w:rsidRPr="006A5F34">
              <w:rPr>
                <w:rFonts w:hint="eastAsia"/>
              </w:rPr>
              <w:t>图表</w:t>
            </w:r>
            <w:r w:rsidRPr="006A5F34">
              <w:t xml:space="preserve">. </w:t>
            </w:r>
            <w:r w:rsidR="00411668">
              <w:rPr>
                <w:rFonts w:hint="eastAsia"/>
              </w:rPr>
              <w:t>猪肉价格持续下行</w:t>
            </w:r>
          </w:p>
        </w:tc>
      </w:tr>
      <w:tr w:rsidR="001D35B3" w:rsidRPr="006A5F34" w14:paraId="49BBD33E" w14:textId="77777777" w:rsidTr="009E3C2E">
        <w:tblPrEx>
          <w:tblCellMar>
            <w:left w:w="108" w:type="dxa"/>
            <w:right w:w="108" w:type="dxa"/>
          </w:tblCellMar>
        </w:tblPrEx>
        <w:trPr>
          <w:trHeight w:val="2987"/>
          <w:jc w:val="center"/>
        </w:trPr>
        <w:tc>
          <w:tcPr>
            <w:tcW w:w="4939" w:type="dxa"/>
            <w:vAlign w:val="center"/>
          </w:tcPr>
          <w:p w14:paraId="0BAC1731" w14:textId="65053CBE" w:rsidR="001D35B3" w:rsidRPr="007E0340" w:rsidRDefault="009E3C2E" w:rsidP="009A2BA0">
            <w:pPr>
              <w:jc w:val="center"/>
              <w:rPr>
                <w:noProof/>
              </w:rPr>
            </w:pPr>
            <w:r>
              <w:rPr>
                <w:noProof/>
              </w:rPr>
              <w:drawing>
                <wp:inline distT="0" distB="0" distL="0" distR="0" wp14:anchorId="14F83F76" wp14:editId="6795C020">
                  <wp:extent cx="2999105" cy="1687195"/>
                  <wp:effectExtent l="0" t="0" r="0" b="8255"/>
                  <wp:docPr id="10" name="图表 1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6B707473" w:rsidR="001D35B3" w:rsidRPr="007E0340" w:rsidRDefault="009E3C2E" w:rsidP="009A2BA0">
            <w:pPr>
              <w:jc w:val="center"/>
              <w:rPr>
                <w:noProof/>
                <w:szCs w:val="18"/>
              </w:rPr>
            </w:pPr>
            <w:r>
              <w:rPr>
                <w:noProof/>
              </w:rPr>
              <w:drawing>
                <wp:inline distT="0" distB="0" distL="0" distR="0" wp14:anchorId="54304DC5" wp14:editId="4C350EEE">
                  <wp:extent cx="2998470" cy="1955800"/>
                  <wp:effectExtent l="0" t="0" r="0" b="6350"/>
                  <wp:docPr id="11" name="图表 1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40E0E436" w14:textId="77777777" w:rsidR="001A1299" w:rsidRDefault="001A1299" w:rsidP="009A2BA0">
      <w:pPr>
        <w:widowControl/>
        <w:jc w:val="left"/>
      </w:pPr>
      <w:r>
        <w:br w:type="page"/>
      </w:r>
    </w:p>
    <w:p w14:paraId="0E9FBC78" w14:textId="77777777" w:rsidR="002E1393" w:rsidRPr="001D69C6" w:rsidRDefault="002E1393" w:rsidP="009A2BA0">
      <w:pPr>
        <w:widowControl/>
        <w:ind w:firstLineChars="200" w:firstLine="420"/>
      </w:pPr>
    </w:p>
    <w:p w14:paraId="228DD25A" w14:textId="77777777" w:rsidR="00FE7FBB" w:rsidRPr="00264E03" w:rsidRDefault="00FE7FBB" w:rsidP="00FE7FBB">
      <w:pPr>
        <w:pStyle w:val="af2"/>
        <w:ind w:firstLine="320"/>
        <w:rPr>
          <w:rFonts w:ascii="Times New Roman" w:hAnsi="Times New Roman" w:cs="Times New Roman"/>
          <w:sz w:val="16"/>
          <w:szCs w:val="16"/>
        </w:rPr>
      </w:pPr>
      <w:r w:rsidRPr="00264E03">
        <w:rPr>
          <w:rFonts w:ascii="Times New Roman" w:hAnsi="Times New Roman" w:cs="Times New Roman" w:hint="eastAsia"/>
          <w:sz w:val="16"/>
          <w:szCs w:val="16"/>
        </w:rPr>
        <w:t>风险提示：</w:t>
      </w:r>
      <w:r w:rsidRPr="00264E03">
        <w:rPr>
          <w:rFonts w:ascii="Times New Roman" w:hAnsi="Times New Roman" w:cs="Times New Roman" w:hint="eastAsia"/>
          <w:sz w:val="16"/>
          <w:szCs w:val="16"/>
        </w:rPr>
        <w:t>1</w:t>
      </w:r>
      <w:r w:rsidRPr="00264E03">
        <w:rPr>
          <w:rFonts w:ascii="Times New Roman" w:hAnsi="Times New Roman" w:cs="Times New Roman" w:hint="eastAsia"/>
          <w:sz w:val="16"/>
          <w:szCs w:val="16"/>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264E03">
        <w:rPr>
          <w:rFonts w:ascii="Times New Roman" w:hAnsi="Times New Roman" w:cs="Times New Roman" w:hint="eastAsia"/>
          <w:sz w:val="16"/>
          <w:szCs w:val="16"/>
        </w:rPr>
        <w:t>作出</w:t>
      </w:r>
      <w:proofErr w:type="gramEnd"/>
      <w:r w:rsidRPr="00264E03">
        <w:rPr>
          <w:rFonts w:ascii="Times New Roman" w:hAnsi="Times New Roman" w:cs="Times New Roman" w:hint="eastAsia"/>
          <w:sz w:val="16"/>
          <w:szCs w:val="16"/>
        </w:rPr>
        <w:t>调整。</w:t>
      </w:r>
      <w:r w:rsidRPr="00264E03">
        <w:rPr>
          <w:rFonts w:ascii="Times New Roman" w:hAnsi="Times New Roman" w:cs="Times New Roman" w:hint="eastAsia"/>
          <w:sz w:val="16"/>
          <w:szCs w:val="16"/>
        </w:rPr>
        <w:t>2</w:t>
      </w:r>
      <w:r w:rsidRPr="00264E03">
        <w:rPr>
          <w:rFonts w:ascii="Times New Roman" w:hAnsi="Times New Roman" w:cs="Times New Roman" w:hint="eastAsia"/>
          <w:sz w:val="16"/>
          <w:szCs w:val="16"/>
        </w:rPr>
        <w:t>、本报告中的资料、观点和预测等仅供参考，在任何时候均不构成对任何人的个人推荐。市场有风险，投资需谨慎。</w:t>
      </w:r>
    </w:p>
    <w:p w14:paraId="1EF1A1F1" w14:textId="11DE91D8" w:rsidR="0028459A" w:rsidRPr="001A1299" w:rsidRDefault="0028459A" w:rsidP="009A2BA0">
      <w:pPr>
        <w:pStyle w:val="Body-text"/>
        <w:ind w:firstLineChars="200" w:firstLine="480"/>
        <w:rPr>
          <w:rFonts w:ascii="华文楷体" w:hAnsi="华文楷体"/>
          <w:sz w:val="24"/>
          <w:szCs w:val="24"/>
          <w:lang w:eastAsia="zh-CN"/>
        </w:rPr>
      </w:pP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92A919" w14:textId="77777777" w:rsidR="00743AFA" w:rsidRDefault="00743AFA">
      <w:r>
        <w:separator/>
      </w:r>
    </w:p>
  </w:endnote>
  <w:endnote w:type="continuationSeparator" w:id="0">
    <w:p w14:paraId="1F8E93A4" w14:textId="77777777" w:rsidR="00743AFA" w:rsidRDefault="00743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62F43" w:rsidRDefault="00F62F43">
        <w:pPr>
          <w:pStyle w:val="a4"/>
          <w:jc w:val="right"/>
        </w:pPr>
        <w:r>
          <w:fldChar w:fldCharType="begin"/>
        </w:r>
        <w:r>
          <w:instrText>PAGE   \* MERGEFORMAT</w:instrText>
        </w:r>
        <w:r>
          <w:fldChar w:fldCharType="separate"/>
        </w:r>
        <w:r w:rsidR="00D65BB8" w:rsidRPr="00D65BB8">
          <w:rPr>
            <w:noProof/>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B14EBB" w14:textId="77777777" w:rsidR="00743AFA" w:rsidRDefault="00743AFA">
      <w:r>
        <w:separator/>
      </w:r>
    </w:p>
  </w:footnote>
  <w:footnote w:type="continuationSeparator" w:id="0">
    <w:p w14:paraId="21D57400" w14:textId="77777777" w:rsidR="00743AFA" w:rsidRDefault="00743A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62F43" w:rsidRDefault="00F62F43"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58B1"/>
    <w:rsid w:val="00365C46"/>
    <w:rsid w:val="00365F8E"/>
    <w:rsid w:val="00366556"/>
    <w:rsid w:val="00366CEA"/>
    <w:rsid w:val="003673CA"/>
    <w:rsid w:val="00367DA6"/>
    <w:rsid w:val="003708C4"/>
    <w:rsid w:val="00370BFD"/>
    <w:rsid w:val="0037137A"/>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AA4"/>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AFA"/>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F24"/>
    <w:rsid w:val="00A071AD"/>
    <w:rsid w:val="00A07267"/>
    <w:rsid w:val="00A0728A"/>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4DE3"/>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4887"/>
    <w:rsid w:val="00C05B0D"/>
    <w:rsid w:val="00C05CFA"/>
    <w:rsid w:val="00C0676D"/>
    <w:rsid w:val="00C070BF"/>
    <w:rsid w:val="00C07146"/>
    <w:rsid w:val="00C07362"/>
    <w:rsid w:val="00C07ECA"/>
    <w:rsid w:val="00C07FBE"/>
    <w:rsid w:val="00C10D65"/>
    <w:rsid w:val="00C10D78"/>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5BB8"/>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E24"/>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EF9"/>
    <w:rsid w:val="00F1378A"/>
    <w:rsid w:val="00F1383A"/>
    <w:rsid w:val="00F14009"/>
    <w:rsid w:val="00F14175"/>
    <w:rsid w:val="00F14439"/>
    <w:rsid w:val="00F14456"/>
    <w:rsid w:val="00F1459D"/>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2CF9"/>
    <w:rsid w:val="00F62F43"/>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E7FBB"/>
    <w:rsid w:val="00FF0A80"/>
    <w:rsid w:val="00FF0B12"/>
    <w:rsid w:val="00FF0D40"/>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paragraph" w:styleId="af2">
    <w:name w:val="No Spacing"/>
    <w:basedOn w:val="a8"/>
    <w:link w:val="Char5"/>
    <w:uiPriority w:val="1"/>
    <w:qFormat/>
    <w:rsid w:val="00FE7FBB"/>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5">
    <w:name w:val="无间隔 Char"/>
    <w:basedOn w:val="a0"/>
    <w:link w:val="af2"/>
    <w:uiPriority w:val="1"/>
    <w:rsid w:val="00FE7FBB"/>
    <w:rPr>
      <w:rFonts w:asciiTheme="minorHAnsi" w:eastAsiaTheme="minorEastAsia" w:hAnsiTheme="minorHAnsi" w:cstheme="minorBidi"/>
      <w:sz w:val="24"/>
      <w:szCs w:val="22"/>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paragraph" w:styleId="af2">
    <w:name w:val="No Spacing"/>
    <w:basedOn w:val="a8"/>
    <w:link w:val="Char5"/>
    <w:uiPriority w:val="1"/>
    <w:qFormat/>
    <w:rsid w:val="00FE7FBB"/>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5">
    <w:name w:val="无间隔 Char"/>
    <w:basedOn w:val="a0"/>
    <w:link w:val="af2"/>
    <w:uiPriority w:val="1"/>
    <w:rsid w:val="00FE7FBB"/>
    <w:rPr>
      <w:rFonts w:asciiTheme="minorHAnsi" w:eastAsiaTheme="minorEastAsia" w:hAnsiTheme="minorHAnsi" w:cstheme="minorBidi"/>
      <w:sz w:val="24"/>
      <w:szCs w:val="22"/>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43973</c:v>
                </c:pt>
                <c:pt idx="1">
                  <c:v>43980</c:v>
                </c:pt>
                <c:pt idx="2">
                  <c:v>43987</c:v>
                </c:pt>
                <c:pt idx="3">
                  <c:v>43994</c:v>
                </c:pt>
                <c:pt idx="4">
                  <c:v>44001</c:v>
                </c:pt>
                <c:pt idx="5">
                  <c:v>44008</c:v>
                </c:pt>
                <c:pt idx="6">
                  <c:v>44015</c:v>
                </c:pt>
                <c:pt idx="7">
                  <c:v>44022</c:v>
                </c:pt>
                <c:pt idx="8">
                  <c:v>44029</c:v>
                </c:pt>
                <c:pt idx="9">
                  <c:v>44036</c:v>
                </c:pt>
                <c:pt idx="10">
                  <c:v>44043</c:v>
                </c:pt>
                <c:pt idx="11">
                  <c:v>44050</c:v>
                </c:pt>
                <c:pt idx="12">
                  <c:v>44057</c:v>
                </c:pt>
                <c:pt idx="13">
                  <c:v>44064</c:v>
                </c:pt>
                <c:pt idx="14">
                  <c:v>44071</c:v>
                </c:pt>
                <c:pt idx="15">
                  <c:v>44078</c:v>
                </c:pt>
                <c:pt idx="16">
                  <c:v>44085</c:v>
                </c:pt>
                <c:pt idx="17">
                  <c:v>44092</c:v>
                </c:pt>
                <c:pt idx="18">
                  <c:v>44099</c:v>
                </c:pt>
                <c:pt idx="19">
                  <c:v>44106</c:v>
                </c:pt>
                <c:pt idx="20">
                  <c:v>44113</c:v>
                </c:pt>
                <c:pt idx="21">
                  <c:v>44120</c:v>
                </c:pt>
                <c:pt idx="22">
                  <c:v>44127</c:v>
                </c:pt>
              </c:numCache>
            </c:numRef>
          </c:cat>
          <c:val>
            <c:numRef>
              <c:f>央行!$B$5:$B$27</c:f>
              <c:numCache>
                <c:formatCode>###,###,###,###,##0.00</c:formatCode>
                <c:ptCount val="23"/>
                <c:pt idx="0">
                  <c:v>0</c:v>
                </c:pt>
                <c:pt idx="1">
                  <c:v>6750</c:v>
                </c:pt>
                <c:pt idx="2">
                  <c:v>2200</c:v>
                </c:pt>
                <c:pt idx="3">
                  <c:v>4200</c:v>
                </c:pt>
                <c:pt idx="4">
                  <c:v>3000</c:v>
                </c:pt>
                <c:pt idx="5">
                  <c:v>5050</c:v>
                </c:pt>
                <c:pt idx="6">
                  <c:v>1025</c:v>
                </c:pt>
                <c:pt idx="7">
                  <c:v>0</c:v>
                </c:pt>
                <c:pt idx="8">
                  <c:v>3300</c:v>
                </c:pt>
                <c:pt idx="9">
                  <c:v>1650</c:v>
                </c:pt>
                <c:pt idx="10">
                  <c:v>2800</c:v>
                </c:pt>
                <c:pt idx="11">
                  <c:v>100</c:v>
                </c:pt>
                <c:pt idx="12">
                  <c:v>5000</c:v>
                </c:pt>
                <c:pt idx="13">
                  <c:v>6600</c:v>
                </c:pt>
                <c:pt idx="14">
                  <c:v>8150</c:v>
                </c:pt>
                <c:pt idx="15">
                  <c:v>2800</c:v>
                </c:pt>
                <c:pt idx="16">
                  <c:v>6200</c:v>
                </c:pt>
                <c:pt idx="17">
                  <c:v>4800</c:v>
                </c:pt>
                <c:pt idx="18">
                  <c:v>9000</c:v>
                </c:pt>
                <c:pt idx="19">
                  <c:v>2150</c:v>
                </c:pt>
                <c:pt idx="20">
                  <c:v>0</c:v>
                </c:pt>
                <c:pt idx="21">
                  <c:v>1000</c:v>
                </c:pt>
                <c:pt idx="22">
                  <c:v>3200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43973</c:v>
                </c:pt>
                <c:pt idx="1">
                  <c:v>43980</c:v>
                </c:pt>
                <c:pt idx="2">
                  <c:v>43987</c:v>
                </c:pt>
                <c:pt idx="3">
                  <c:v>43994</c:v>
                </c:pt>
                <c:pt idx="4">
                  <c:v>44001</c:v>
                </c:pt>
                <c:pt idx="5">
                  <c:v>44008</c:v>
                </c:pt>
                <c:pt idx="6">
                  <c:v>44015</c:v>
                </c:pt>
                <c:pt idx="7">
                  <c:v>44022</c:v>
                </c:pt>
                <c:pt idx="8">
                  <c:v>44029</c:v>
                </c:pt>
                <c:pt idx="9">
                  <c:v>44036</c:v>
                </c:pt>
                <c:pt idx="10">
                  <c:v>44043</c:v>
                </c:pt>
                <c:pt idx="11">
                  <c:v>44050</c:v>
                </c:pt>
                <c:pt idx="12">
                  <c:v>44057</c:v>
                </c:pt>
                <c:pt idx="13">
                  <c:v>44064</c:v>
                </c:pt>
                <c:pt idx="14">
                  <c:v>44071</c:v>
                </c:pt>
                <c:pt idx="15">
                  <c:v>44078</c:v>
                </c:pt>
                <c:pt idx="16">
                  <c:v>44085</c:v>
                </c:pt>
                <c:pt idx="17">
                  <c:v>44092</c:v>
                </c:pt>
                <c:pt idx="18">
                  <c:v>44099</c:v>
                </c:pt>
                <c:pt idx="19">
                  <c:v>44106</c:v>
                </c:pt>
                <c:pt idx="20">
                  <c:v>44113</c:v>
                </c:pt>
                <c:pt idx="21">
                  <c:v>44120</c:v>
                </c:pt>
                <c:pt idx="22">
                  <c:v>44127</c:v>
                </c:pt>
              </c:numCache>
            </c:numRef>
          </c:cat>
          <c:val>
            <c:numRef>
              <c:f>央行!$C$5:$C$27</c:f>
              <c:numCache>
                <c:formatCode>###,###,###,###,##0.00</c:formatCode>
                <c:ptCount val="23"/>
                <c:pt idx="0">
                  <c:v>0</c:v>
                </c:pt>
                <c:pt idx="1">
                  <c:v>-50</c:v>
                </c:pt>
                <c:pt idx="2">
                  <c:v>-6700</c:v>
                </c:pt>
                <c:pt idx="3">
                  <c:v>-2200</c:v>
                </c:pt>
                <c:pt idx="4">
                  <c:v>-4200</c:v>
                </c:pt>
                <c:pt idx="5">
                  <c:v>-1200</c:v>
                </c:pt>
                <c:pt idx="6">
                  <c:v>-4950</c:v>
                </c:pt>
                <c:pt idx="7">
                  <c:v>-2900</c:v>
                </c:pt>
                <c:pt idx="8">
                  <c:v>0</c:v>
                </c:pt>
                <c:pt idx="9">
                  <c:v>-3300</c:v>
                </c:pt>
                <c:pt idx="10">
                  <c:v>-1650</c:v>
                </c:pt>
                <c:pt idx="11">
                  <c:v>-2800</c:v>
                </c:pt>
                <c:pt idx="12">
                  <c:v>-100</c:v>
                </c:pt>
                <c:pt idx="13">
                  <c:v>-5000</c:v>
                </c:pt>
                <c:pt idx="14">
                  <c:v>-6150</c:v>
                </c:pt>
                <c:pt idx="15">
                  <c:v>-7500</c:v>
                </c:pt>
                <c:pt idx="16">
                  <c:v>-3900</c:v>
                </c:pt>
                <c:pt idx="17">
                  <c:v>-6200</c:v>
                </c:pt>
                <c:pt idx="18">
                  <c:v>-4200</c:v>
                </c:pt>
                <c:pt idx="19">
                  <c:v>-4650</c:v>
                </c:pt>
                <c:pt idx="20">
                  <c:v>-5000</c:v>
                </c:pt>
                <c:pt idx="21">
                  <c:v>-2100</c:v>
                </c:pt>
                <c:pt idx="22">
                  <c:v>-1000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117146752"/>
        <c:axId val="117148672"/>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43973</c:v>
                </c:pt>
                <c:pt idx="1">
                  <c:v>43980</c:v>
                </c:pt>
                <c:pt idx="2">
                  <c:v>43987</c:v>
                </c:pt>
                <c:pt idx="3">
                  <c:v>43994</c:v>
                </c:pt>
                <c:pt idx="4">
                  <c:v>44001</c:v>
                </c:pt>
                <c:pt idx="5">
                  <c:v>44008</c:v>
                </c:pt>
                <c:pt idx="6">
                  <c:v>44015</c:v>
                </c:pt>
                <c:pt idx="7">
                  <c:v>44022</c:v>
                </c:pt>
                <c:pt idx="8">
                  <c:v>44029</c:v>
                </c:pt>
                <c:pt idx="9">
                  <c:v>44036</c:v>
                </c:pt>
                <c:pt idx="10">
                  <c:v>44043</c:v>
                </c:pt>
                <c:pt idx="11">
                  <c:v>44050</c:v>
                </c:pt>
                <c:pt idx="12">
                  <c:v>44057</c:v>
                </c:pt>
                <c:pt idx="13">
                  <c:v>44064</c:v>
                </c:pt>
                <c:pt idx="14">
                  <c:v>44071</c:v>
                </c:pt>
                <c:pt idx="15">
                  <c:v>44078</c:v>
                </c:pt>
                <c:pt idx="16">
                  <c:v>44085</c:v>
                </c:pt>
                <c:pt idx="17">
                  <c:v>44092</c:v>
                </c:pt>
                <c:pt idx="18">
                  <c:v>44099</c:v>
                </c:pt>
                <c:pt idx="19">
                  <c:v>44106</c:v>
                </c:pt>
                <c:pt idx="20">
                  <c:v>44113</c:v>
                </c:pt>
                <c:pt idx="21">
                  <c:v>44120</c:v>
                </c:pt>
                <c:pt idx="22">
                  <c:v>44127</c:v>
                </c:pt>
              </c:numCache>
            </c:numRef>
          </c:cat>
          <c:val>
            <c:numRef>
              <c:f>央行!$D$5:$D$27</c:f>
              <c:numCache>
                <c:formatCode>###,###,###,###,##0.00</c:formatCode>
                <c:ptCount val="23"/>
                <c:pt idx="0">
                  <c:v>0</c:v>
                </c:pt>
                <c:pt idx="1">
                  <c:v>6700</c:v>
                </c:pt>
                <c:pt idx="2">
                  <c:v>-4500</c:v>
                </c:pt>
                <c:pt idx="3">
                  <c:v>2000</c:v>
                </c:pt>
                <c:pt idx="4">
                  <c:v>-1200</c:v>
                </c:pt>
                <c:pt idx="5">
                  <c:v>3850</c:v>
                </c:pt>
                <c:pt idx="6">
                  <c:v>-3925</c:v>
                </c:pt>
                <c:pt idx="7">
                  <c:v>-2900</c:v>
                </c:pt>
                <c:pt idx="8">
                  <c:v>3300</c:v>
                </c:pt>
                <c:pt idx="9">
                  <c:v>-1650</c:v>
                </c:pt>
                <c:pt idx="10">
                  <c:v>1150</c:v>
                </c:pt>
                <c:pt idx="11">
                  <c:v>-2700</c:v>
                </c:pt>
                <c:pt idx="12">
                  <c:v>4900</c:v>
                </c:pt>
                <c:pt idx="13">
                  <c:v>1600</c:v>
                </c:pt>
                <c:pt idx="14">
                  <c:v>2000</c:v>
                </c:pt>
                <c:pt idx="15">
                  <c:v>-4700</c:v>
                </c:pt>
                <c:pt idx="16">
                  <c:v>2300</c:v>
                </c:pt>
                <c:pt idx="17">
                  <c:v>-1400</c:v>
                </c:pt>
                <c:pt idx="18">
                  <c:v>4800</c:v>
                </c:pt>
                <c:pt idx="19">
                  <c:v>-2500</c:v>
                </c:pt>
                <c:pt idx="20">
                  <c:v>-5000</c:v>
                </c:pt>
                <c:pt idx="21">
                  <c:v>-1100</c:v>
                </c:pt>
                <c:pt idx="22">
                  <c:v>2200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117146752"/>
        <c:axId val="117148672"/>
      </c:lineChart>
      <c:catAx>
        <c:axId val="11714675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17148672"/>
        <c:crosses val="autoZero"/>
        <c:auto val="0"/>
        <c:lblAlgn val="ctr"/>
        <c:lblOffset val="0"/>
        <c:tickMarkSkip val="2"/>
        <c:noMultiLvlLbl val="0"/>
      </c:catAx>
      <c:valAx>
        <c:axId val="11714867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17146752"/>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226008035231152"/>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44127</c:v>
                </c:pt>
                <c:pt idx="1">
                  <c:v>44126</c:v>
                </c:pt>
                <c:pt idx="2">
                  <c:v>44125</c:v>
                </c:pt>
                <c:pt idx="3">
                  <c:v>44124</c:v>
                </c:pt>
                <c:pt idx="4">
                  <c:v>44123</c:v>
                </c:pt>
                <c:pt idx="5">
                  <c:v>44120</c:v>
                </c:pt>
                <c:pt idx="6">
                  <c:v>44119</c:v>
                </c:pt>
                <c:pt idx="7">
                  <c:v>44118</c:v>
                </c:pt>
                <c:pt idx="8">
                  <c:v>44117</c:v>
                </c:pt>
                <c:pt idx="9">
                  <c:v>44116</c:v>
                </c:pt>
                <c:pt idx="10">
                  <c:v>44114</c:v>
                </c:pt>
                <c:pt idx="11">
                  <c:v>44113</c:v>
                </c:pt>
                <c:pt idx="12">
                  <c:v>44104</c:v>
                </c:pt>
                <c:pt idx="13">
                  <c:v>44103</c:v>
                </c:pt>
                <c:pt idx="14">
                  <c:v>44102</c:v>
                </c:pt>
                <c:pt idx="15">
                  <c:v>44101</c:v>
                </c:pt>
                <c:pt idx="16">
                  <c:v>44099</c:v>
                </c:pt>
                <c:pt idx="17">
                  <c:v>44098</c:v>
                </c:pt>
                <c:pt idx="18">
                  <c:v>44097</c:v>
                </c:pt>
                <c:pt idx="19">
                  <c:v>44096</c:v>
                </c:pt>
                <c:pt idx="20">
                  <c:v>44095</c:v>
                </c:pt>
                <c:pt idx="21">
                  <c:v>44092</c:v>
                </c:pt>
                <c:pt idx="22">
                  <c:v>44091</c:v>
                </c:pt>
                <c:pt idx="23">
                  <c:v>44090</c:v>
                </c:pt>
                <c:pt idx="24">
                  <c:v>44089</c:v>
                </c:pt>
                <c:pt idx="25">
                  <c:v>44088</c:v>
                </c:pt>
                <c:pt idx="26">
                  <c:v>44085</c:v>
                </c:pt>
                <c:pt idx="27">
                  <c:v>44084</c:v>
                </c:pt>
                <c:pt idx="28">
                  <c:v>44083</c:v>
                </c:pt>
                <c:pt idx="29">
                  <c:v>44082</c:v>
                </c:pt>
                <c:pt idx="30">
                  <c:v>44081</c:v>
                </c:pt>
                <c:pt idx="31">
                  <c:v>44078</c:v>
                </c:pt>
                <c:pt idx="32">
                  <c:v>44077</c:v>
                </c:pt>
                <c:pt idx="33">
                  <c:v>44076</c:v>
                </c:pt>
                <c:pt idx="34">
                  <c:v>44075</c:v>
                </c:pt>
                <c:pt idx="35">
                  <c:v>44074</c:v>
                </c:pt>
                <c:pt idx="36">
                  <c:v>44071</c:v>
                </c:pt>
                <c:pt idx="37">
                  <c:v>44070</c:v>
                </c:pt>
                <c:pt idx="38">
                  <c:v>44069</c:v>
                </c:pt>
                <c:pt idx="39">
                  <c:v>44068</c:v>
                </c:pt>
                <c:pt idx="40">
                  <c:v>44067</c:v>
                </c:pt>
                <c:pt idx="41">
                  <c:v>44064</c:v>
                </c:pt>
                <c:pt idx="42">
                  <c:v>44063</c:v>
                </c:pt>
                <c:pt idx="43">
                  <c:v>44062</c:v>
                </c:pt>
                <c:pt idx="44">
                  <c:v>44061</c:v>
                </c:pt>
                <c:pt idx="45">
                  <c:v>44060</c:v>
                </c:pt>
                <c:pt idx="46">
                  <c:v>44057</c:v>
                </c:pt>
                <c:pt idx="47">
                  <c:v>44056</c:v>
                </c:pt>
                <c:pt idx="48">
                  <c:v>44055</c:v>
                </c:pt>
                <c:pt idx="49">
                  <c:v>44054</c:v>
                </c:pt>
                <c:pt idx="50">
                  <c:v>44053</c:v>
                </c:pt>
                <c:pt idx="51">
                  <c:v>44050</c:v>
                </c:pt>
                <c:pt idx="52">
                  <c:v>44049</c:v>
                </c:pt>
                <c:pt idx="53">
                  <c:v>44048</c:v>
                </c:pt>
                <c:pt idx="54">
                  <c:v>44047</c:v>
                </c:pt>
                <c:pt idx="55">
                  <c:v>44046</c:v>
                </c:pt>
                <c:pt idx="56">
                  <c:v>44043</c:v>
                </c:pt>
                <c:pt idx="57">
                  <c:v>44042</c:v>
                </c:pt>
                <c:pt idx="58">
                  <c:v>44041</c:v>
                </c:pt>
              </c:numCache>
            </c:numRef>
          </c:cat>
          <c:val>
            <c:numRef>
              <c:f>资金!$B$3:$B$61</c:f>
              <c:numCache>
                <c:formatCode>###,###,###,###,##0.0000</c:formatCode>
                <c:ptCount val="59"/>
                <c:pt idx="0">
                  <c:v>2.2181999999999999</c:v>
                </c:pt>
                <c:pt idx="1">
                  <c:v>1.9681</c:v>
                </c:pt>
                <c:pt idx="2">
                  <c:v>2.0144000000000002</c:v>
                </c:pt>
                <c:pt idx="3">
                  <c:v>2.2193000000000001</c:v>
                </c:pt>
                <c:pt idx="4">
                  <c:v>2.2770000000000001</c:v>
                </c:pt>
                <c:pt idx="5">
                  <c:v>2.0550000000000002</c:v>
                </c:pt>
                <c:pt idx="6">
                  <c:v>2.1076000000000001</c:v>
                </c:pt>
                <c:pt idx="7">
                  <c:v>2.04</c:v>
                </c:pt>
                <c:pt idx="8">
                  <c:v>1.7559</c:v>
                </c:pt>
                <c:pt idx="9">
                  <c:v>1.5719000000000001</c:v>
                </c:pt>
                <c:pt idx="10">
                  <c:v>1.5667</c:v>
                </c:pt>
                <c:pt idx="11">
                  <c:v>2.0432999999999999</c:v>
                </c:pt>
                <c:pt idx="12">
                  <c:v>2.5255999999999998</c:v>
                </c:pt>
                <c:pt idx="13">
                  <c:v>1.0124</c:v>
                </c:pt>
                <c:pt idx="14">
                  <c:v>0.68540000000000001</c:v>
                </c:pt>
                <c:pt idx="15">
                  <c:v>0.67789999999999995</c:v>
                </c:pt>
                <c:pt idx="16">
                  <c:v>1.0967</c:v>
                </c:pt>
                <c:pt idx="17">
                  <c:v>1.4666999999999999</c:v>
                </c:pt>
                <c:pt idx="18">
                  <c:v>1.9109</c:v>
                </c:pt>
                <c:pt idx="19">
                  <c:v>2.4359999999999999</c:v>
                </c:pt>
                <c:pt idx="20">
                  <c:v>2.4319999999999999</c:v>
                </c:pt>
                <c:pt idx="21">
                  <c:v>2.2553000000000001</c:v>
                </c:pt>
                <c:pt idx="22">
                  <c:v>1.8871</c:v>
                </c:pt>
                <c:pt idx="23">
                  <c:v>1.4536</c:v>
                </c:pt>
                <c:pt idx="24">
                  <c:v>1.7635000000000001</c:v>
                </c:pt>
                <c:pt idx="25">
                  <c:v>1.6466000000000001</c:v>
                </c:pt>
                <c:pt idx="26">
                  <c:v>1.5072000000000001</c:v>
                </c:pt>
                <c:pt idx="27">
                  <c:v>1.3864000000000001</c:v>
                </c:pt>
                <c:pt idx="28">
                  <c:v>1.6471</c:v>
                </c:pt>
                <c:pt idx="29">
                  <c:v>2.0707</c:v>
                </c:pt>
                <c:pt idx="30">
                  <c:v>2.1291000000000002</c:v>
                </c:pt>
                <c:pt idx="31">
                  <c:v>2.0886</c:v>
                </c:pt>
                <c:pt idx="32">
                  <c:v>1.7948999999999999</c:v>
                </c:pt>
                <c:pt idx="33">
                  <c:v>2.1187</c:v>
                </c:pt>
                <c:pt idx="34">
                  <c:v>2.1785999999999999</c:v>
                </c:pt>
                <c:pt idx="35">
                  <c:v>1.9719</c:v>
                </c:pt>
                <c:pt idx="36">
                  <c:v>1.3997999999999999</c:v>
                </c:pt>
                <c:pt idx="37">
                  <c:v>1.5077</c:v>
                </c:pt>
                <c:pt idx="38">
                  <c:v>1.6649</c:v>
                </c:pt>
                <c:pt idx="39">
                  <c:v>1.9847999999999999</c:v>
                </c:pt>
                <c:pt idx="40">
                  <c:v>2.4039999999999999</c:v>
                </c:pt>
                <c:pt idx="41">
                  <c:v>2.3462000000000001</c:v>
                </c:pt>
                <c:pt idx="42">
                  <c:v>2.2711000000000001</c:v>
                </c:pt>
                <c:pt idx="43">
                  <c:v>2.2111999999999998</c:v>
                </c:pt>
                <c:pt idx="44">
                  <c:v>2.1659000000000002</c:v>
                </c:pt>
                <c:pt idx="45">
                  <c:v>2.1669</c:v>
                </c:pt>
                <c:pt idx="46">
                  <c:v>2.2214999999999998</c:v>
                </c:pt>
                <c:pt idx="47">
                  <c:v>2.2246000000000001</c:v>
                </c:pt>
                <c:pt idx="48">
                  <c:v>2.2063999999999999</c:v>
                </c:pt>
                <c:pt idx="49">
                  <c:v>2.2568999999999999</c:v>
                </c:pt>
                <c:pt idx="50">
                  <c:v>2.1943000000000001</c:v>
                </c:pt>
                <c:pt idx="51">
                  <c:v>2.1122000000000001</c:v>
                </c:pt>
                <c:pt idx="52">
                  <c:v>1.7108000000000001</c:v>
                </c:pt>
                <c:pt idx="53">
                  <c:v>1.7210000000000001</c:v>
                </c:pt>
                <c:pt idx="54">
                  <c:v>1.96</c:v>
                </c:pt>
                <c:pt idx="55">
                  <c:v>1.6277999999999999</c:v>
                </c:pt>
                <c:pt idx="56">
                  <c:v>1.921</c:v>
                </c:pt>
                <c:pt idx="57">
                  <c:v>1.4155</c:v>
                </c:pt>
                <c:pt idx="58">
                  <c:v>1.4807999999999999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44127</c:v>
                </c:pt>
                <c:pt idx="1">
                  <c:v>44126</c:v>
                </c:pt>
                <c:pt idx="2">
                  <c:v>44125</c:v>
                </c:pt>
                <c:pt idx="3">
                  <c:v>44124</c:v>
                </c:pt>
                <c:pt idx="4">
                  <c:v>44123</c:v>
                </c:pt>
                <c:pt idx="5">
                  <c:v>44120</c:v>
                </c:pt>
                <c:pt idx="6">
                  <c:v>44119</c:v>
                </c:pt>
                <c:pt idx="7">
                  <c:v>44118</c:v>
                </c:pt>
                <c:pt idx="8">
                  <c:v>44117</c:v>
                </c:pt>
                <c:pt idx="9">
                  <c:v>44116</c:v>
                </c:pt>
                <c:pt idx="10">
                  <c:v>44114</c:v>
                </c:pt>
                <c:pt idx="11">
                  <c:v>44113</c:v>
                </c:pt>
                <c:pt idx="12">
                  <c:v>44104</c:v>
                </c:pt>
                <c:pt idx="13">
                  <c:v>44103</c:v>
                </c:pt>
                <c:pt idx="14">
                  <c:v>44102</c:v>
                </c:pt>
                <c:pt idx="15">
                  <c:v>44101</c:v>
                </c:pt>
                <c:pt idx="16">
                  <c:v>44099</c:v>
                </c:pt>
                <c:pt idx="17">
                  <c:v>44098</c:v>
                </c:pt>
                <c:pt idx="18">
                  <c:v>44097</c:v>
                </c:pt>
                <c:pt idx="19">
                  <c:v>44096</c:v>
                </c:pt>
                <c:pt idx="20">
                  <c:v>44095</c:v>
                </c:pt>
                <c:pt idx="21">
                  <c:v>44092</c:v>
                </c:pt>
                <c:pt idx="22">
                  <c:v>44091</c:v>
                </c:pt>
                <c:pt idx="23">
                  <c:v>44090</c:v>
                </c:pt>
                <c:pt idx="24">
                  <c:v>44089</c:v>
                </c:pt>
                <c:pt idx="25">
                  <c:v>44088</c:v>
                </c:pt>
                <c:pt idx="26">
                  <c:v>44085</c:v>
                </c:pt>
                <c:pt idx="27">
                  <c:v>44084</c:v>
                </c:pt>
                <c:pt idx="28">
                  <c:v>44083</c:v>
                </c:pt>
                <c:pt idx="29">
                  <c:v>44082</c:v>
                </c:pt>
                <c:pt idx="30">
                  <c:v>44081</c:v>
                </c:pt>
                <c:pt idx="31">
                  <c:v>44078</c:v>
                </c:pt>
                <c:pt idx="32">
                  <c:v>44077</c:v>
                </c:pt>
                <c:pt idx="33">
                  <c:v>44076</c:v>
                </c:pt>
                <c:pt idx="34">
                  <c:v>44075</c:v>
                </c:pt>
                <c:pt idx="35">
                  <c:v>44074</c:v>
                </c:pt>
                <c:pt idx="36">
                  <c:v>44071</c:v>
                </c:pt>
                <c:pt idx="37">
                  <c:v>44070</c:v>
                </c:pt>
                <c:pt idx="38">
                  <c:v>44069</c:v>
                </c:pt>
                <c:pt idx="39">
                  <c:v>44068</c:v>
                </c:pt>
                <c:pt idx="40">
                  <c:v>44067</c:v>
                </c:pt>
                <c:pt idx="41">
                  <c:v>44064</c:v>
                </c:pt>
                <c:pt idx="42">
                  <c:v>44063</c:v>
                </c:pt>
                <c:pt idx="43">
                  <c:v>44062</c:v>
                </c:pt>
                <c:pt idx="44">
                  <c:v>44061</c:v>
                </c:pt>
                <c:pt idx="45">
                  <c:v>44060</c:v>
                </c:pt>
                <c:pt idx="46">
                  <c:v>44057</c:v>
                </c:pt>
                <c:pt idx="47">
                  <c:v>44056</c:v>
                </c:pt>
                <c:pt idx="48">
                  <c:v>44055</c:v>
                </c:pt>
                <c:pt idx="49">
                  <c:v>44054</c:v>
                </c:pt>
                <c:pt idx="50">
                  <c:v>44053</c:v>
                </c:pt>
                <c:pt idx="51">
                  <c:v>44050</c:v>
                </c:pt>
                <c:pt idx="52">
                  <c:v>44049</c:v>
                </c:pt>
                <c:pt idx="53">
                  <c:v>44048</c:v>
                </c:pt>
                <c:pt idx="54">
                  <c:v>44047</c:v>
                </c:pt>
                <c:pt idx="55">
                  <c:v>44046</c:v>
                </c:pt>
                <c:pt idx="56">
                  <c:v>44043</c:v>
                </c:pt>
                <c:pt idx="57">
                  <c:v>44042</c:v>
                </c:pt>
                <c:pt idx="58">
                  <c:v>44041</c:v>
                </c:pt>
              </c:numCache>
            </c:numRef>
          </c:cat>
          <c:val>
            <c:numRef>
              <c:f>资金!$C$3:$C$61</c:f>
              <c:numCache>
                <c:formatCode>###,###,###,###,##0.0000</c:formatCode>
                <c:ptCount val="59"/>
                <c:pt idx="0">
                  <c:v>2.3586999999999998</c:v>
                </c:pt>
                <c:pt idx="1">
                  <c:v>2.3241999999999998</c:v>
                </c:pt>
                <c:pt idx="2">
                  <c:v>2.4226999999999999</c:v>
                </c:pt>
                <c:pt idx="3">
                  <c:v>2.5091999999999999</c:v>
                </c:pt>
                <c:pt idx="4">
                  <c:v>2.4037999999999999</c:v>
                </c:pt>
                <c:pt idx="5">
                  <c:v>2.3121</c:v>
                </c:pt>
                <c:pt idx="6">
                  <c:v>2.3601999999999999</c:v>
                </c:pt>
                <c:pt idx="7">
                  <c:v>2.3079000000000001</c:v>
                </c:pt>
                <c:pt idx="8">
                  <c:v>2.2389000000000001</c:v>
                </c:pt>
                <c:pt idx="9">
                  <c:v>2.2442000000000002</c:v>
                </c:pt>
                <c:pt idx="10">
                  <c:v>2.0114999999999998</c:v>
                </c:pt>
                <c:pt idx="11">
                  <c:v>2.2972999999999999</c:v>
                </c:pt>
                <c:pt idx="12">
                  <c:v>2.5514000000000001</c:v>
                </c:pt>
                <c:pt idx="13">
                  <c:v>3.0106999999999999</c:v>
                </c:pt>
                <c:pt idx="14">
                  <c:v>2.7132000000000001</c:v>
                </c:pt>
                <c:pt idx="15">
                  <c:v>1.89</c:v>
                </c:pt>
                <c:pt idx="16">
                  <c:v>1.968</c:v>
                </c:pt>
                <c:pt idx="17">
                  <c:v>2.1869000000000001</c:v>
                </c:pt>
                <c:pt idx="18">
                  <c:v>2.3142</c:v>
                </c:pt>
                <c:pt idx="19">
                  <c:v>2.9742999999999999</c:v>
                </c:pt>
                <c:pt idx="20">
                  <c:v>2.8206000000000002</c:v>
                </c:pt>
                <c:pt idx="21">
                  <c:v>2.6425999999999998</c:v>
                </c:pt>
                <c:pt idx="22">
                  <c:v>2.3935</c:v>
                </c:pt>
                <c:pt idx="23">
                  <c:v>2.2740999999999998</c:v>
                </c:pt>
                <c:pt idx="24">
                  <c:v>2.2704</c:v>
                </c:pt>
                <c:pt idx="25">
                  <c:v>2.2275999999999998</c:v>
                </c:pt>
                <c:pt idx="26">
                  <c:v>2.1873999999999998</c:v>
                </c:pt>
                <c:pt idx="27">
                  <c:v>2.2033</c:v>
                </c:pt>
                <c:pt idx="28">
                  <c:v>2.2875999999999999</c:v>
                </c:pt>
                <c:pt idx="29">
                  <c:v>2.3258999999999999</c:v>
                </c:pt>
                <c:pt idx="30">
                  <c:v>2.3267000000000002</c:v>
                </c:pt>
                <c:pt idx="31">
                  <c:v>2.3408000000000002</c:v>
                </c:pt>
                <c:pt idx="32">
                  <c:v>2.3216000000000001</c:v>
                </c:pt>
                <c:pt idx="33">
                  <c:v>2.3963000000000001</c:v>
                </c:pt>
                <c:pt idx="34">
                  <c:v>2.4113000000000002</c:v>
                </c:pt>
                <c:pt idx="35">
                  <c:v>2.5141</c:v>
                </c:pt>
                <c:pt idx="36">
                  <c:v>2.4836999999999998</c:v>
                </c:pt>
                <c:pt idx="37">
                  <c:v>2.4744999999999999</c:v>
                </c:pt>
                <c:pt idx="38">
                  <c:v>2.4973999999999998</c:v>
                </c:pt>
                <c:pt idx="39">
                  <c:v>2.5918000000000001</c:v>
                </c:pt>
                <c:pt idx="40">
                  <c:v>2.5108000000000001</c:v>
                </c:pt>
                <c:pt idx="41">
                  <c:v>2.5731999999999999</c:v>
                </c:pt>
                <c:pt idx="42">
                  <c:v>2.4491000000000001</c:v>
                </c:pt>
                <c:pt idx="43">
                  <c:v>2.3744999999999998</c:v>
                </c:pt>
                <c:pt idx="44">
                  <c:v>2.3515999999999999</c:v>
                </c:pt>
                <c:pt idx="45">
                  <c:v>2.3788999999999998</c:v>
                </c:pt>
                <c:pt idx="46">
                  <c:v>2.3742999999999999</c:v>
                </c:pt>
                <c:pt idx="47">
                  <c:v>2.3693</c:v>
                </c:pt>
                <c:pt idx="48">
                  <c:v>2.3672</c:v>
                </c:pt>
                <c:pt idx="49">
                  <c:v>2.3639000000000001</c:v>
                </c:pt>
                <c:pt idx="50">
                  <c:v>2.2854000000000001</c:v>
                </c:pt>
                <c:pt idx="51">
                  <c:v>2.2219000000000002</c:v>
                </c:pt>
                <c:pt idx="52">
                  <c:v>2.1051000000000002</c:v>
                </c:pt>
                <c:pt idx="53">
                  <c:v>2.1356000000000002</c:v>
                </c:pt>
                <c:pt idx="54">
                  <c:v>2.1785000000000001</c:v>
                </c:pt>
                <c:pt idx="55">
                  <c:v>2.1398000000000001</c:v>
                </c:pt>
                <c:pt idx="56">
                  <c:v>2.3254000000000001</c:v>
                </c:pt>
                <c:pt idx="57">
                  <c:v>2.3382999999999998</c:v>
                </c:pt>
                <c:pt idx="58">
                  <c:v>2.3513000000000002</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125240448"/>
        <c:axId val="125242752"/>
      </c:lineChart>
      <c:dateAx>
        <c:axId val="12524044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25242752"/>
        <c:crosses val="autoZero"/>
        <c:auto val="0"/>
        <c:lblOffset val="0"/>
        <c:baseTimeUnit val="days"/>
        <c:majorUnit val="14"/>
        <c:majorTimeUnit val="days"/>
        <c:minorUnit val="7"/>
        <c:minorTimeUnit val="days"/>
      </c:dateAx>
      <c:valAx>
        <c:axId val="12524275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2524044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6.0699999999999976</c:v>
                </c:pt>
                <c:pt idx="1">
                  <c:v>2.2199999999999775</c:v>
                </c:pt>
                <c:pt idx="2">
                  <c:v>-1.399999999999979</c:v>
                </c:pt>
                <c:pt idx="3">
                  <c:v>-5.5899999999999839</c:v>
                </c:pt>
                <c:pt idx="4">
                  <c:v>-15.569999999999995</c:v>
                </c:pt>
                <c:pt idx="5">
                  <c:v>-3.5199999999999676</c:v>
                </c:pt>
                <c:pt idx="6">
                  <c:v>-2.4500000000000188</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213254528"/>
        <c:axId val="22787584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1.9914000000000001</c:v>
                </c:pt>
                <c:pt idx="1">
                  <c:v>2.6358999999999999</c:v>
                </c:pt>
                <c:pt idx="2">
                  <c:v>2.6821000000000002</c:v>
                </c:pt>
                <c:pt idx="3">
                  <c:v>2.96</c:v>
                </c:pt>
                <c:pt idx="4">
                  <c:v>3</c:v>
                </c:pt>
                <c:pt idx="5">
                  <c:v>3.2421000000000002</c:v>
                </c:pt>
                <c:pt idx="6">
                  <c:v>3.1957</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1.9307000000000001</c:v>
                </c:pt>
                <c:pt idx="1">
                  <c:v>2.6137000000000001</c:v>
                </c:pt>
                <c:pt idx="2">
                  <c:v>2.6960999999999999</c:v>
                </c:pt>
                <c:pt idx="3">
                  <c:v>3.0158999999999998</c:v>
                </c:pt>
                <c:pt idx="4">
                  <c:v>3.1556999999999999</c:v>
                </c:pt>
                <c:pt idx="5">
                  <c:v>3.2772999999999999</c:v>
                </c:pt>
                <c:pt idx="6">
                  <c:v>3.2202000000000002</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39672064"/>
        <c:axId val="339670528"/>
      </c:lineChart>
      <c:dateAx>
        <c:axId val="21325452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27875840"/>
        <c:crosses val="autoZero"/>
        <c:auto val="0"/>
        <c:lblOffset val="0"/>
        <c:baseTimeUnit val="days"/>
      </c:dateAx>
      <c:valAx>
        <c:axId val="22787584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13254528"/>
        <c:crosses val="autoZero"/>
        <c:crossBetween val="between"/>
      </c:valAx>
      <c:valAx>
        <c:axId val="339670528"/>
        <c:scaling>
          <c:orientation val="minMax"/>
        </c:scaling>
        <c:delete val="0"/>
        <c:axPos val="r"/>
        <c:numFmt formatCode="#,##0.0_);[Red]\(#,##0.0\)" sourceLinked="0"/>
        <c:majorTickMark val="out"/>
        <c:minorTickMark val="none"/>
        <c:tickLblPos val="nextTo"/>
        <c:spPr>
          <a:ln w="3175">
            <a:solidFill>
              <a:sysClr val="windowText" lastClr="000000"/>
            </a:solidFill>
          </a:ln>
        </c:spPr>
        <c:crossAx val="339672064"/>
        <c:crosses val="max"/>
        <c:crossBetween val="between"/>
      </c:valAx>
      <c:dateAx>
        <c:axId val="339672064"/>
        <c:scaling>
          <c:orientation val="minMax"/>
        </c:scaling>
        <c:delete val="1"/>
        <c:axPos val="b"/>
        <c:numFmt formatCode="General" sourceLinked="1"/>
        <c:majorTickMark val="out"/>
        <c:minorTickMark val="none"/>
        <c:tickLblPos val="nextTo"/>
        <c:crossAx val="339670528"/>
        <c:crosses val="autoZero"/>
        <c:auto val="0"/>
        <c:lblOffset val="100"/>
        <c:baseTimeUnit val="years"/>
      </c:dateAx>
    </c:plotArea>
    <c:legend>
      <c:legendPos val="r"/>
      <c:layout>
        <c:manualLayout>
          <c:xMode val="edge"/>
          <c:yMode val="edge"/>
          <c:x val="9.296573477754197E-2"/>
          <c:y val="2.333930239133601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6.0700000000000198</c:v>
                </c:pt>
                <c:pt idx="1">
                  <c:v>2.179999999999982</c:v>
                </c:pt>
                <c:pt idx="2">
                  <c:v>-6.9999999999970086E-2</c:v>
                </c:pt>
                <c:pt idx="3">
                  <c:v>-8.7900000000000311</c:v>
                </c:pt>
                <c:pt idx="4">
                  <c:v>-5.4999999999999716</c:v>
                </c:pt>
                <c:pt idx="5">
                  <c:v>-5.3500000000000103</c:v>
                </c:pt>
                <c:pt idx="6">
                  <c:v>-4.7200000000000131</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98027008"/>
        <c:axId val="44180467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2.0230000000000001</c:v>
                </c:pt>
                <c:pt idx="1">
                  <c:v>2.6467999999999998</c:v>
                </c:pt>
                <c:pt idx="2">
                  <c:v>2.8374000000000001</c:v>
                </c:pt>
                <c:pt idx="3">
                  <c:v>3.2490999999999999</c:v>
                </c:pt>
                <c:pt idx="4">
                  <c:v>3.4708000000000001</c:v>
                </c:pt>
                <c:pt idx="5">
                  <c:v>3.6433</c:v>
                </c:pt>
                <c:pt idx="6">
                  <c:v>3.7174</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1.9622999999999999</c:v>
                </c:pt>
                <c:pt idx="1">
                  <c:v>2.625</c:v>
                </c:pt>
                <c:pt idx="2">
                  <c:v>2.8380999999999998</c:v>
                </c:pt>
                <c:pt idx="3">
                  <c:v>3.3370000000000002</c:v>
                </c:pt>
                <c:pt idx="4">
                  <c:v>3.5257999999999998</c:v>
                </c:pt>
                <c:pt idx="5">
                  <c:v>3.6968000000000001</c:v>
                </c:pt>
                <c:pt idx="6">
                  <c:v>3.7646000000000002</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115237248"/>
        <c:axId val="441806208"/>
      </c:lineChart>
      <c:dateAx>
        <c:axId val="39802700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1804672"/>
        <c:crosses val="autoZero"/>
        <c:auto val="0"/>
        <c:lblOffset val="0"/>
        <c:baseTimeUnit val="days"/>
      </c:dateAx>
      <c:valAx>
        <c:axId val="44180467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98027008"/>
        <c:crosses val="autoZero"/>
        <c:crossBetween val="between"/>
      </c:valAx>
      <c:valAx>
        <c:axId val="441806208"/>
        <c:scaling>
          <c:orientation val="minMax"/>
        </c:scaling>
        <c:delete val="0"/>
        <c:axPos val="r"/>
        <c:numFmt formatCode="#,##0.0_);[Red]\(#,##0.0\)" sourceLinked="0"/>
        <c:majorTickMark val="out"/>
        <c:minorTickMark val="none"/>
        <c:tickLblPos val="nextTo"/>
        <c:spPr>
          <a:ln w="3175">
            <a:solidFill>
              <a:sysClr val="windowText" lastClr="000000"/>
            </a:solidFill>
          </a:ln>
        </c:spPr>
        <c:crossAx val="115237248"/>
        <c:crosses val="max"/>
        <c:crossBetween val="between"/>
      </c:valAx>
      <c:dateAx>
        <c:axId val="115237248"/>
        <c:scaling>
          <c:orientation val="minMax"/>
        </c:scaling>
        <c:delete val="1"/>
        <c:axPos val="b"/>
        <c:numFmt formatCode="General" sourceLinked="1"/>
        <c:majorTickMark val="out"/>
        <c:minorTickMark val="none"/>
        <c:tickLblPos val="nextTo"/>
        <c:crossAx val="441806208"/>
        <c:crosses val="autoZero"/>
        <c:auto val="0"/>
        <c:lblOffset val="100"/>
        <c:baseTimeUnit val="years"/>
      </c:dateAx>
    </c:plotArea>
    <c:legend>
      <c:legendPos val="r"/>
      <c:layout>
        <c:manualLayout>
          <c:xMode val="edge"/>
          <c:yMode val="edge"/>
          <c:x val="0.11836603334367192"/>
          <c:y val="2.3336037776597422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44130</c:v>
                </c:pt>
                <c:pt idx="1">
                  <c:v>44127</c:v>
                </c:pt>
                <c:pt idx="2">
                  <c:v>44120</c:v>
                </c:pt>
                <c:pt idx="3">
                  <c:v>44113</c:v>
                </c:pt>
                <c:pt idx="4">
                  <c:v>44104</c:v>
                </c:pt>
                <c:pt idx="5">
                  <c:v>44099</c:v>
                </c:pt>
                <c:pt idx="6">
                  <c:v>44092</c:v>
                </c:pt>
                <c:pt idx="7">
                  <c:v>44085</c:v>
                </c:pt>
                <c:pt idx="8">
                  <c:v>44078</c:v>
                </c:pt>
                <c:pt idx="9">
                  <c:v>44071</c:v>
                </c:pt>
                <c:pt idx="10">
                  <c:v>44064</c:v>
                </c:pt>
                <c:pt idx="11">
                  <c:v>44057</c:v>
                </c:pt>
                <c:pt idx="12">
                  <c:v>44050</c:v>
                </c:pt>
                <c:pt idx="13">
                  <c:v>44043</c:v>
                </c:pt>
                <c:pt idx="14">
                  <c:v>44036</c:v>
                </c:pt>
                <c:pt idx="15">
                  <c:v>44029</c:v>
                </c:pt>
                <c:pt idx="16">
                  <c:v>44022</c:v>
                </c:pt>
                <c:pt idx="17">
                  <c:v>44015</c:v>
                </c:pt>
                <c:pt idx="18">
                  <c:v>44006</c:v>
                </c:pt>
                <c:pt idx="19">
                  <c:v>44001</c:v>
                </c:pt>
                <c:pt idx="20">
                  <c:v>43994</c:v>
                </c:pt>
                <c:pt idx="21">
                  <c:v>43987</c:v>
                </c:pt>
                <c:pt idx="22">
                  <c:v>43980</c:v>
                </c:pt>
                <c:pt idx="23">
                  <c:v>43973</c:v>
                </c:pt>
              </c:numCache>
            </c:numRef>
          </c:cat>
          <c:val>
            <c:numRef>
              <c:f>转债!$H$5:$H$28</c:f>
              <c:numCache>
                <c:formatCode>General</c:formatCode>
                <c:ptCount val="24"/>
                <c:pt idx="0">
                  <c:v>8.1461437641833001</c:v>
                </c:pt>
                <c:pt idx="1">
                  <c:v>8.1461437641833001</c:v>
                </c:pt>
                <c:pt idx="2">
                  <c:v>8.6355320479901909</c:v>
                </c:pt>
                <c:pt idx="3">
                  <c:v>6.9310009981740528</c:v>
                </c:pt>
                <c:pt idx="4">
                  <c:v>5.8938256479434736</c:v>
                </c:pt>
                <c:pt idx="5">
                  <c:v>4.869120103390312</c:v>
                </c:pt>
                <c:pt idx="6">
                  <c:v>7.1224700002417318</c:v>
                </c:pt>
                <c:pt idx="7">
                  <c:v>6.9947355605251449</c:v>
                </c:pt>
                <c:pt idx="8">
                  <c:v>9.841152952926624</c:v>
                </c:pt>
                <c:pt idx="9">
                  <c:v>9.5555266001885464</c:v>
                </c:pt>
                <c:pt idx="10">
                  <c:v>9.6709681109040204</c:v>
                </c:pt>
                <c:pt idx="11">
                  <c:v>9.5513405188500258</c:v>
                </c:pt>
                <c:pt idx="12">
                  <c:v>10.014845849028697</c:v>
                </c:pt>
                <c:pt idx="13">
                  <c:v>8.8163294905892808</c:v>
                </c:pt>
                <c:pt idx="14">
                  <c:v>6.3973640658523623</c:v>
                </c:pt>
                <c:pt idx="15">
                  <c:v>5.9244547923851032</c:v>
                </c:pt>
                <c:pt idx="16">
                  <c:v>9.749147601817576</c:v>
                </c:pt>
                <c:pt idx="17">
                  <c:v>5.5356798579326627</c:v>
                </c:pt>
                <c:pt idx="18">
                  <c:v>1.2166462177575887</c:v>
                </c:pt>
                <c:pt idx="19">
                  <c:v>1.73825553609257</c:v>
                </c:pt>
                <c:pt idx="20">
                  <c:v>0.85885418109930001</c:v>
                </c:pt>
                <c:pt idx="21">
                  <c:v>1.2084509317568326</c:v>
                </c:pt>
                <c:pt idx="22">
                  <c:v>0.79099249630181223</c:v>
                </c:pt>
                <c:pt idx="23">
                  <c:v>0</c:v>
                </c:pt>
              </c:numCache>
            </c:numRef>
          </c:val>
          <c:smooth val="1"/>
          <c:extLst xmlns:c16r2="http://schemas.microsoft.com/office/drawing/2015/06/chart">
            <c:ext xmlns:c16="http://schemas.microsoft.com/office/drawing/2014/chart" uri="{C3380CC4-5D6E-409C-BE32-E72D297353CC}">
              <c16:uniqueId val="{00000000-82A4-4401-B5D2-64F8CE893161}"/>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44130</c:v>
                </c:pt>
                <c:pt idx="1">
                  <c:v>44127</c:v>
                </c:pt>
                <c:pt idx="2">
                  <c:v>44120</c:v>
                </c:pt>
                <c:pt idx="3">
                  <c:v>44113</c:v>
                </c:pt>
                <c:pt idx="4">
                  <c:v>44104</c:v>
                </c:pt>
                <c:pt idx="5">
                  <c:v>44099</c:v>
                </c:pt>
                <c:pt idx="6">
                  <c:v>44092</c:v>
                </c:pt>
                <c:pt idx="7">
                  <c:v>44085</c:v>
                </c:pt>
                <c:pt idx="8">
                  <c:v>44078</c:v>
                </c:pt>
                <c:pt idx="9">
                  <c:v>44071</c:v>
                </c:pt>
                <c:pt idx="10">
                  <c:v>44064</c:v>
                </c:pt>
                <c:pt idx="11">
                  <c:v>44057</c:v>
                </c:pt>
                <c:pt idx="12">
                  <c:v>44050</c:v>
                </c:pt>
                <c:pt idx="13">
                  <c:v>44043</c:v>
                </c:pt>
                <c:pt idx="14">
                  <c:v>44036</c:v>
                </c:pt>
                <c:pt idx="15">
                  <c:v>44029</c:v>
                </c:pt>
                <c:pt idx="16">
                  <c:v>44022</c:v>
                </c:pt>
                <c:pt idx="17">
                  <c:v>44015</c:v>
                </c:pt>
                <c:pt idx="18">
                  <c:v>44006</c:v>
                </c:pt>
                <c:pt idx="19">
                  <c:v>44001</c:v>
                </c:pt>
                <c:pt idx="20">
                  <c:v>43994</c:v>
                </c:pt>
                <c:pt idx="21">
                  <c:v>43987</c:v>
                </c:pt>
                <c:pt idx="22">
                  <c:v>43980</c:v>
                </c:pt>
                <c:pt idx="23">
                  <c:v>43973</c:v>
                </c:pt>
              </c:numCache>
            </c:numRef>
          </c:cat>
          <c:val>
            <c:numRef>
              <c:f>转债!$I$5:$I$28</c:f>
              <c:numCache>
                <c:formatCode>General</c:formatCode>
                <c:ptCount val="24"/>
                <c:pt idx="0">
                  <c:v>-3.9493337671364537</c:v>
                </c:pt>
                <c:pt idx="1">
                  <c:v>-3.9493337671364537</c:v>
                </c:pt>
                <c:pt idx="2">
                  <c:v>-4.1874325263609347</c:v>
                </c:pt>
                <c:pt idx="3">
                  <c:v>-4.1146390478678736</c:v>
                </c:pt>
                <c:pt idx="4">
                  <c:v>-3.9174558104148938</c:v>
                </c:pt>
                <c:pt idx="5">
                  <c:v>-3.8182890739124953</c:v>
                </c:pt>
                <c:pt idx="6">
                  <c:v>-3.8210825031097517</c:v>
                </c:pt>
                <c:pt idx="7">
                  <c:v>-3.8394862719386968</c:v>
                </c:pt>
                <c:pt idx="8">
                  <c:v>-3.8656130509012065</c:v>
                </c:pt>
                <c:pt idx="9">
                  <c:v>-3.6260354173958453</c:v>
                </c:pt>
                <c:pt idx="10">
                  <c:v>-3.1505773360873346</c:v>
                </c:pt>
                <c:pt idx="11">
                  <c:v>-2.929732110139982</c:v>
                </c:pt>
                <c:pt idx="12">
                  <c:v>-3.1313519704356585</c:v>
                </c:pt>
                <c:pt idx="13">
                  <c:v>-2.9256241260263827</c:v>
                </c:pt>
                <c:pt idx="14">
                  <c:v>-2.3942153010905964</c:v>
                </c:pt>
                <c:pt idx="15">
                  <c:v>-3.0281594095019404</c:v>
                </c:pt>
                <c:pt idx="16">
                  <c:v>-3.2527839808337955</c:v>
                </c:pt>
                <c:pt idx="17">
                  <c:v>-2.042982659377468</c:v>
                </c:pt>
                <c:pt idx="18">
                  <c:v>-2.0831587440085064</c:v>
                </c:pt>
                <c:pt idx="19">
                  <c:v>-2.0259756051471456</c:v>
                </c:pt>
                <c:pt idx="20">
                  <c:v>-1.5152710201439157</c:v>
                </c:pt>
                <c:pt idx="21">
                  <c:v>-1.9741328456334584</c:v>
                </c:pt>
                <c:pt idx="22">
                  <c:v>-0.74880334422771089</c:v>
                </c:pt>
                <c:pt idx="23">
                  <c:v>0</c:v>
                </c:pt>
              </c:numCache>
            </c:numRef>
          </c:val>
          <c:smooth val="1"/>
          <c:extLst xmlns:c16r2="http://schemas.microsoft.com/office/drawing/2015/06/chart">
            <c:ext xmlns:c16="http://schemas.microsoft.com/office/drawing/2014/chart" uri="{C3380CC4-5D6E-409C-BE32-E72D297353CC}">
              <c16:uniqueId val="{00000001-82A4-4401-B5D2-64F8CE893161}"/>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44130</c:v>
                </c:pt>
                <c:pt idx="1">
                  <c:v>44127</c:v>
                </c:pt>
                <c:pt idx="2">
                  <c:v>44120</c:v>
                </c:pt>
                <c:pt idx="3">
                  <c:v>44113</c:v>
                </c:pt>
                <c:pt idx="4">
                  <c:v>44104</c:v>
                </c:pt>
                <c:pt idx="5">
                  <c:v>44099</c:v>
                </c:pt>
                <c:pt idx="6">
                  <c:v>44092</c:v>
                </c:pt>
                <c:pt idx="7">
                  <c:v>44085</c:v>
                </c:pt>
                <c:pt idx="8">
                  <c:v>44078</c:v>
                </c:pt>
                <c:pt idx="9">
                  <c:v>44071</c:v>
                </c:pt>
                <c:pt idx="10">
                  <c:v>44064</c:v>
                </c:pt>
                <c:pt idx="11">
                  <c:v>44057</c:v>
                </c:pt>
                <c:pt idx="12">
                  <c:v>44050</c:v>
                </c:pt>
                <c:pt idx="13">
                  <c:v>44043</c:v>
                </c:pt>
                <c:pt idx="14">
                  <c:v>44036</c:v>
                </c:pt>
                <c:pt idx="15">
                  <c:v>44029</c:v>
                </c:pt>
                <c:pt idx="16">
                  <c:v>44022</c:v>
                </c:pt>
                <c:pt idx="17">
                  <c:v>44015</c:v>
                </c:pt>
                <c:pt idx="18">
                  <c:v>44006</c:v>
                </c:pt>
                <c:pt idx="19">
                  <c:v>44001</c:v>
                </c:pt>
                <c:pt idx="20">
                  <c:v>43994</c:v>
                </c:pt>
                <c:pt idx="21">
                  <c:v>43987</c:v>
                </c:pt>
                <c:pt idx="22">
                  <c:v>43980</c:v>
                </c:pt>
                <c:pt idx="23">
                  <c:v>43973</c:v>
                </c:pt>
              </c:numCache>
            </c:numRef>
          </c:cat>
          <c:val>
            <c:numRef>
              <c:f>转债!$J$5:$J$28</c:f>
              <c:numCache>
                <c:formatCode>General</c:formatCode>
                <c:ptCount val="24"/>
                <c:pt idx="0">
                  <c:v>23.389360115311874</c:v>
                </c:pt>
                <c:pt idx="1">
                  <c:v>23.389360115311874</c:v>
                </c:pt>
                <c:pt idx="2">
                  <c:v>25.303237602717953</c:v>
                </c:pt>
                <c:pt idx="3">
                  <c:v>22.412731586082259</c:v>
                </c:pt>
                <c:pt idx="4">
                  <c:v>19.961258493581703</c:v>
                </c:pt>
                <c:pt idx="5">
                  <c:v>19.506932938360876</c:v>
                </c:pt>
                <c:pt idx="6">
                  <c:v>23.875769338588483</c:v>
                </c:pt>
                <c:pt idx="7">
                  <c:v>21.00431896537296</c:v>
                </c:pt>
                <c:pt idx="8">
                  <c:v>24.742132976853949</c:v>
                </c:pt>
                <c:pt idx="9">
                  <c:v>26.678455172298364</c:v>
                </c:pt>
                <c:pt idx="10">
                  <c:v>23.398643432745892</c:v>
                </c:pt>
                <c:pt idx="11">
                  <c:v>23.026936787668852</c:v>
                </c:pt>
                <c:pt idx="12">
                  <c:v>23.11316442402638</c:v>
                </c:pt>
                <c:pt idx="13">
                  <c:v>22.77634997740623</c:v>
                </c:pt>
                <c:pt idx="14">
                  <c:v>17.822050049371583</c:v>
                </c:pt>
                <c:pt idx="15">
                  <c:v>18.84478659352984</c:v>
                </c:pt>
                <c:pt idx="16">
                  <c:v>24.295338676340151</c:v>
                </c:pt>
                <c:pt idx="17">
                  <c:v>15.573261849174092</c:v>
                </c:pt>
                <c:pt idx="18">
                  <c:v>8.2353616466670054</c:v>
                </c:pt>
                <c:pt idx="19">
                  <c:v>7.1820319952804246</c:v>
                </c:pt>
                <c:pt idx="20">
                  <c:v>4.6813782405315418</c:v>
                </c:pt>
                <c:pt idx="21">
                  <c:v>4.633471092534025</c:v>
                </c:pt>
                <c:pt idx="22">
                  <c:v>1.1233912403139756</c:v>
                </c:pt>
                <c:pt idx="23">
                  <c:v>0</c:v>
                </c:pt>
              </c:numCache>
            </c:numRef>
          </c:val>
          <c:smooth val="1"/>
          <c:extLst xmlns:c16r2="http://schemas.microsoft.com/office/drawing/2015/06/chart">
            <c:ext xmlns:c16="http://schemas.microsoft.com/office/drawing/2014/chart" uri="{C3380CC4-5D6E-409C-BE32-E72D297353CC}">
              <c16:uniqueId val="{00000002-82A4-4401-B5D2-64F8CE893161}"/>
            </c:ext>
          </c:extLst>
        </c:ser>
        <c:dLbls>
          <c:showLegendKey val="0"/>
          <c:showVal val="0"/>
          <c:showCatName val="0"/>
          <c:showSerName val="0"/>
          <c:showPercent val="0"/>
          <c:showBubbleSize val="0"/>
        </c:dLbls>
        <c:marker val="1"/>
        <c:smooth val="0"/>
        <c:axId val="116598656"/>
        <c:axId val="116600192"/>
      </c:lineChart>
      <c:dateAx>
        <c:axId val="11659865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500"/>
            </a:pPr>
            <a:endParaRPr lang="zh-CN"/>
          </a:p>
        </c:txPr>
        <c:crossAx val="116600192"/>
        <c:crosses val="autoZero"/>
        <c:auto val="0"/>
        <c:lblOffset val="0"/>
        <c:baseTimeUnit val="days"/>
        <c:majorUnit val="14"/>
        <c:majorTimeUnit val="days"/>
      </c:dateAx>
      <c:valAx>
        <c:axId val="11660019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1659865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CD70-44B3-9B8F-2539FC11C261}"/>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CD70-44B3-9B8F-2539FC11C261}"/>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68.23</c:v>
                </c:pt>
                <c:pt idx="290">
                  <c:v>#N/A</c:v>
                </c:pt>
                <c:pt idx="291">
                  <c:v>#N/A</c:v>
                </c:pt>
                <c:pt idx="292">
                  <c:v>#N/A</c:v>
                </c:pt>
                <c:pt idx="293">
                  <c:v>#N/A</c:v>
                </c:pt>
                <c:pt idx="294">
                  <c:v>#N/A</c:v>
                </c:pt>
                <c:pt idx="295">
                  <c:v>#N/A</c:v>
                </c:pt>
                <c:pt idx="296">
                  <c:v>68.37</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CD70-44B3-9B8F-2539FC11C261}"/>
            </c:ext>
          </c:extLst>
        </c:ser>
        <c:dLbls>
          <c:showLegendKey val="0"/>
          <c:showVal val="0"/>
          <c:showCatName val="0"/>
          <c:showSerName val="0"/>
          <c:showPercent val="0"/>
          <c:showBubbleSize val="0"/>
        </c:dLbls>
        <c:marker val="1"/>
        <c:smooth val="0"/>
        <c:axId val="116686848"/>
        <c:axId val="116688384"/>
      </c:lineChart>
      <c:dateAx>
        <c:axId val="11668684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16688384"/>
        <c:crosses val="autoZero"/>
        <c:auto val="0"/>
        <c:lblOffset val="0"/>
        <c:baseTimeUnit val="days"/>
        <c:majorUnit val="1"/>
        <c:majorTimeUnit val="months"/>
      </c:dateAx>
      <c:valAx>
        <c:axId val="116688384"/>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1668684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9127-4ADB-AC3A-A85532ACFAF5}"/>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9127-4ADB-AC3A-A85532ACFAF5}"/>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9127-4ADB-AC3A-A85532ACFAF5}"/>
            </c:ext>
          </c:extLst>
        </c:ser>
        <c:dLbls>
          <c:showLegendKey val="0"/>
          <c:showVal val="0"/>
          <c:showCatName val="0"/>
          <c:showSerName val="0"/>
          <c:showPercent val="0"/>
          <c:showBubbleSize val="0"/>
        </c:dLbls>
        <c:marker val="1"/>
        <c:smooth val="0"/>
        <c:axId val="116711808"/>
        <c:axId val="116713344"/>
      </c:lineChart>
      <c:dateAx>
        <c:axId val="11671180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16713344"/>
        <c:crosses val="autoZero"/>
        <c:auto val="0"/>
        <c:lblOffset val="0"/>
        <c:baseTimeUnit val="days"/>
        <c:majorUnit val="1"/>
        <c:majorTimeUnit val="months"/>
      </c:dateAx>
      <c:valAx>
        <c:axId val="116713344"/>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1671180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1531-4CC0-A022-80A6AC3224B6}"/>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531-4CC0-A022-80A6AC3224B6}"/>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531-4CC0-A022-80A6AC3224B6}"/>
            </c:ext>
          </c:extLst>
        </c:ser>
        <c:dLbls>
          <c:showLegendKey val="0"/>
          <c:showVal val="0"/>
          <c:showCatName val="0"/>
          <c:showSerName val="0"/>
          <c:showPercent val="0"/>
          <c:showBubbleSize val="0"/>
        </c:dLbls>
        <c:marker val="1"/>
        <c:smooth val="0"/>
        <c:axId val="116732288"/>
        <c:axId val="116733824"/>
      </c:lineChart>
      <c:dateAx>
        <c:axId val="11673228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16733824"/>
        <c:crosses val="autoZero"/>
        <c:auto val="0"/>
        <c:lblOffset val="0"/>
        <c:baseTimeUnit val="days"/>
        <c:majorUnit val="1"/>
        <c:majorTimeUnit val="months"/>
      </c:dateAx>
      <c:valAx>
        <c:axId val="116733824"/>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1673228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7A0-4D84-8E8B-E3756A998A28}"/>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7A0-4D84-8E8B-E3756A998A28}"/>
            </c:ext>
          </c:extLst>
        </c:ser>
        <c:dLbls>
          <c:showLegendKey val="0"/>
          <c:showVal val="0"/>
          <c:showCatName val="0"/>
          <c:showSerName val="0"/>
          <c:showPercent val="0"/>
          <c:showBubbleSize val="0"/>
        </c:dLbls>
        <c:marker val="1"/>
        <c:smooth val="0"/>
        <c:axId val="116767744"/>
        <c:axId val="116773632"/>
      </c:lineChart>
      <c:dateAx>
        <c:axId val="1167677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16773632"/>
        <c:crosses val="autoZero"/>
        <c:auto val="0"/>
        <c:lblOffset val="0"/>
        <c:baseTimeUnit val="days"/>
        <c:majorUnit val="1"/>
        <c:majorTimeUnit val="months"/>
      </c:dateAx>
      <c:valAx>
        <c:axId val="116773632"/>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167677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0.02965</cdr:x>
      <cdr:y>0</cdr:y>
    </cdr:from>
    <cdr:to>
      <cdr:x>0.07836</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88900" y="-1009650"/>
          <a:ext cx="146050" cy="14339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楷体" panose="02010609060101010101" pitchFamily="49" charset="-122"/>
              <a:ea typeface="楷体" panose="02010609060101010101" pitchFamily="49" charset="-122"/>
            </a:rPr>
            <a:t>%</a:t>
          </a:r>
          <a:endParaRPr lang="zh-CN" altLang="en-US" sz="10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0.01005</cdr:y>
    </cdr:from>
    <cdr:to>
      <cdr:x>0.20966</cdr:x>
      <cdr:y>0.13061</cdr:y>
    </cdr:to>
    <cdr:sp macro="" textlink="">
      <cdr:nvSpPr>
        <cdr:cNvPr id="5" name="Text Box 1"/>
        <cdr:cNvSpPr txBox="1">
          <a:spLocks xmlns:a="http://schemas.openxmlformats.org/drawingml/2006/main" noChangeArrowheads="1"/>
        </cdr:cNvSpPr>
      </cdr:nvSpPr>
      <cdr:spPr bwMode="auto">
        <a:xfrm xmlns:a="http://schemas.openxmlformats.org/drawingml/2006/main">
          <a:off x="-3848100" y="19050"/>
          <a:ext cx="628650"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AAD0AD-17C0-4140-AAC3-7AAE8B121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6</Pages>
  <Words>810</Words>
  <Characters>4621</Characters>
  <Application>Microsoft Office Word</Application>
  <DocSecurity>0</DocSecurity>
  <Lines>38</Lines>
  <Paragraphs>10</Paragraphs>
  <ScaleCrop>false</ScaleCrop>
  <Company>Microsoft</Company>
  <LinksUpToDate>false</LinksUpToDate>
  <CharactersWithSpaces>5421</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38</cp:revision>
  <cp:lastPrinted>2019-06-26T06:05:00Z</cp:lastPrinted>
  <dcterms:created xsi:type="dcterms:W3CDTF">2020-10-25T12:30:00Z</dcterms:created>
  <dcterms:modified xsi:type="dcterms:W3CDTF">2020-10-26T07:07:00Z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