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5320EFDB" w:rsidR="002C4C07" w:rsidRDefault="002C4C07" w:rsidP="002C4C07">
      <w:pPr>
        <w:jc w:val="center"/>
        <w:rPr>
          <w:b/>
        </w:rPr>
      </w:pPr>
      <w:r w:rsidRPr="00EF6393">
        <w:rPr>
          <w:rFonts w:hint="eastAsia"/>
          <w:b/>
        </w:rPr>
        <w:t>富荣量化周观察——</w:t>
      </w:r>
      <w:r w:rsidR="00930F5D">
        <w:rPr>
          <w:rFonts w:hint="eastAsia"/>
          <w:b/>
        </w:rPr>
        <w:t>保持耐心</w:t>
      </w:r>
    </w:p>
    <w:p w14:paraId="2E0A072D" w14:textId="77777777" w:rsidR="00930F5D" w:rsidRPr="00EF6393" w:rsidRDefault="00930F5D" w:rsidP="002C4C07">
      <w:pPr>
        <w:jc w:val="center"/>
        <w:rPr>
          <w:b/>
        </w:rPr>
      </w:pPr>
    </w:p>
    <w:p w14:paraId="272D6EB2" w14:textId="4800AAFF" w:rsidR="00930F5D" w:rsidRDefault="00930F5D" w:rsidP="002C4C07">
      <w:pPr>
        <w:ind w:firstLineChars="200" w:firstLine="480"/>
      </w:pPr>
      <w:r>
        <w:rPr>
          <w:rFonts w:hint="eastAsia"/>
        </w:rPr>
        <w:t>节后市场快速上涨让大家一度看到希望，不过本周市场延续上周市场冲高回落的形势，整体市</w:t>
      </w:r>
      <w:r w:rsidR="008E6D14">
        <w:rPr>
          <w:rFonts w:hint="eastAsia"/>
        </w:rPr>
        <w:t>场表现偏弱。我们上周认为市场可能在美国大选之前采取</w:t>
      </w:r>
      <w:r w:rsidR="00AA4F8A">
        <w:rPr>
          <w:rFonts w:hint="eastAsia"/>
        </w:rPr>
        <w:t>观望策略，</w:t>
      </w:r>
      <w:r w:rsidR="008E6D14">
        <w:rPr>
          <w:rFonts w:hint="eastAsia"/>
        </w:rPr>
        <w:t>另外</w:t>
      </w:r>
      <w:r>
        <w:rPr>
          <w:rFonts w:hint="eastAsia"/>
        </w:rPr>
        <w:t>海外疫情有明显的三次冲击可能</w:t>
      </w:r>
      <w:r w:rsidR="008E6D14">
        <w:rPr>
          <w:rFonts w:hint="eastAsia"/>
        </w:rPr>
        <w:t>，经济复苏节奏受阻</w:t>
      </w:r>
      <w:r>
        <w:rPr>
          <w:rFonts w:hint="eastAsia"/>
        </w:rPr>
        <w:t>，市场情绪受到一定压制。</w:t>
      </w:r>
    </w:p>
    <w:p w14:paraId="48F61542" w14:textId="03C97AAD" w:rsidR="00930F5D" w:rsidRDefault="001D6061" w:rsidP="002C4C07">
      <w:pPr>
        <w:ind w:firstLineChars="200" w:firstLine="480"/>
      </w:pPr>
      <w:r>
        <w:rPr>
          <w:rFonts w:hint="eastAsia"/>
        </w:rPr>
        <w:t>本周上证指数</w:t>
      </w:r>
      <w:r w:rsidR="00C34A75">
        <w:rPr>
          <w:rFonts w:hint="eastAsia"/>
        </w:rPr>
        <w:t>跌幅</w:t>
      </w:r>
      <w:r w:rsidR="00930F5D">
        <w:rPr>
          <w:rFonts w:hint="eastAsia"/>
        </w:rPr>
        <w:t>1</w:t>
      </w:r>
      <w:r w:rsidR="00930F5D">
        <w:t>.75</w:t>
      </w:r>
      <w:r w:rsidR="006C7CF6">
        <w:rPr>
          <w:rFonts w:hint="eastAsia"/>
        </w:rPr>
        <w:t>%，上证5</w:t>
      </w:r>
      <w:r w:rsidR="006C7CF6">
        <w:t>0</w:t>
      </w:r>
      <w:r w:rsidR="00930F5D">
        <w:rPr>
          <w:rFonts w:hint="eastAsia"/>
        </w:rPr>
        <w:t>跌幅0</w:t>
      </w:r>
      <w:r w:rsidR="00930F5D">
        <w:t>.99</w:t>
      </w:r>
      <w:r w:rsidR="006C7CF6">
        <w:rPr>
          <w:rFonts w:hint="eastAsia"/>
        </w:rPr>
        <w:t>%，沪深3</w:t>
      </w:r>
      <w:r w:rsidR="006C7CF6">
        <w:t>00</w:t>
      </w:r>
      <w:r w:rsidR="00FC4D42">
        <w:rPr>
          <w:rFonts w:hint="eastAsia"/>
        </w:rPr>
        <w:t>跌幅1</w:t>
      </w:r>
      <w:r w:rsidR="00FC4D42">
        <w:t>.53</w:t>
      </w:r>
      <w:r w:rsidR="00FC4D42">
        <w:rPr>
          <w:rFonts w:hint="eastAsia"/>
        </w:rPr>
        <w:t>%</w:t>
      </w:r>
      <w:r w:rsidR="006C7CF6">
        <w:rPr>
          <w:rFonts w:hint="eastAsia"/>
        </w:rPr>
        <w:t>，深证成指</w:t>
      </w:r>
      <w:r w:rsidR="009517EE">
        <w:rPr>
          <w:rFonts w:hint="eastAsia"/>
        </w:rPr>
        <w:t>跌2.99</w:t>
      </w:r>
      <w:r w:rsidR="006C7CF6">
        <w:rPr>
          <w:rFonts w:hint="eastAsia"/>
        </w:rPr>
        <w:t>%，</w:t>
      </w:r>
      <w:r w:rsidR="00FC4D42">
        <w:rPr>
          <w:rFonts w:hint="eastAsia"/>
        </w:rPr>
        <w:t>中证5</w:t>
      </w:r>
      <w:r w:rsidR="00FC4D42">
        <w:t>00</w:t>
      </w:r>
      <w:r w:rsidR="00FC4D42">
        <w:rPr>
          <w:rFonts w:hint="eastAsia"/>
        </w:rPr>
        <w:t>和创业板表现最弱，分别跌了</w:t>
      </w:r>
      <w:r w:rsidR="00AA4F8A">
        <w:rPr>
          <w:rFonts w:hint="eastAsia"/>
        </w:rPr>
        <w:t>3.</w:t>
      </w:r>
      <w:r w:rsidR="002F16D7">
        <w:rPr>
          <w:rFonts w:hint="eastAsia"/>
        </w:rPr>
        <w:t>3</w:t>
      </w:r>
      <w:bookmarkStart w:id="0" w:name="_GoBack"/>
      <w:bookmarkEnd w:id="0"/>
      <w:r w:rsidR="00AA4F8A">
        <w:rPr>
          <w:rFonts w:hint="eastAsia"/>
        </w:rPr>
        <w:t>5%和</w:t>
      </w:r>
      <w:r w:rsidR="00FC4D42">
        <w:rPr>
          <w:rFonts w:hint="eastAsia"/>
        </w:rPr>
        <w:t>4</w:t>
      </w:r>
      <w:r w:rsidR="00FC4D42">
        <w:t>.5</w:t>
      </w:r>
      <w:r w:rsidR="009517EE">
        <w:rPr>
          <w:rFonts w:hint="eastAsia"/>
        </w:rPr>
        <w:t>4</w:t>
      </w:r>
      <w:r w:rsidR="00FC4D42">
        <w:rPr>
          <w:rFonts w:hint="eastAsia"/>
        </w:rPr>
        <w:t>%</w:t>
      </w:r>
      <w:r w:rsidR="00AA4F8A">
        <w:rPr>
          <w:rFonts w:hint="eastAsia"/>
        </w:rPr>
        <w:t>。从市场风格来看，本周</w:t>
      </w:r>
      <w:r w:rsidR="00FC4D42">
        <w:rPr>
          <w:rFonts w:hint="eastAsia"/>
        </w:rPr>
        <w:t>大盘蓝</w:t>
      </w:r>
      <w:proofErr w:type="gramStart"/>
      <w:r w:rsidR="00FC4D42">
        <w:rPr>
          <w:rFonts w:hint="eastAsia"/>
        </w:rPr>
        <w:t>筹更加</w:t>
      </w:r>
      <w:proofErr w:type="gramEnd"/>
      <w:r w:rsidR="00FC4D42">
        <w:rPr>
          <w:rFonts w:hint="eastAsia"/>
        </w:rPr>
        <w:t>强势，银行行业</w:t>
      </w:r>
      <w:r w:rsidR="00AA4F8A">
        <w:rPr>
          <w:rFonts w:hint="eastAsia"/>
        </w:rPr>
        <w:t>成为少数</w:t>
      </w:r>
      <w:r w:rsidR="008E6D14">
        <w:rPr>
          <w:rFonts w:hint="eastAsia"/>
        </w:rPr>
        <w:t>强势</w:t>
      </w:r>
      <w:r w:rsidR="00AA4F8A">
        <w:rPr>
          <w:rFonts w:hint="eastAsia"/>
        </w:rPr>
        <w:t>行业，最终收涨2</w:t>
      </w:r>
      <w:r w:rsidR="00ED6C33">
        <w:rPr>
          <w:rFonts w:hint="eastAsia"/>
        </w:rPr>
        <w:t>.19</w:t>
      </w:r>
      <w:r w:rsidR="00AA4F8A">
        <w:rPr>
          <w:rFonts w:hint="eastAsia"/>
        </w:rPr>
        <w:t>%，行业内回撤幅度最大的为医药行业，幅度达到6%以上，紧随其后的为农林牧渔和</w:t>
      </w:r>
      <w:r w:rsidR="009517EE">
        <w:rPr>
          <w:rFonts w:hint="eastAsia"/>
        </w:rPr>
        <w:t>建筑材料</w:t>
      </w:r>
      <w:r w:rsidR="00AA4F8A">
        <w:rPr>
          <w:rFonts w:hint="eastAsia"/>
        </w:rPr>
        <w:t>。市场走弱下，沪深两市日成交也出现小幅收缩，全球市场</w:t>
      </w:r>
      <w:r w:rsidR="008E6D14">
        <w:rPr>
          <w:rFonts w:hint="eastAsia"/>
        </w:rPr>
        <w:t>资金</w:t>
      </w:r>
      <w:r w:rsidR="00AA4F8A">
        <w:rPr>
          <w:rFonts w:hint="eastAsia"/>
        </w:rPr>
        <w:t>在美国大选前期表现出明显的观望态度，北向资金持续性</w:t>
      </w:r>
      <w:r w:rsidR="008E6D14">
        <w:rPr>
          <w:rFonts w:hint="eastAsia"/>
        </w:rPr>
        <w:t>流出</w:t>
      </w:r>
      <w:r w:rsidR="00AA4F8A">
        <w:rPr>
          <w:rFonts w:hint="eastAsia"/>
        </w:rPr>
        <w:t>。我们认为A股市场短期节奏将维持震荡调整，</w:t>
      </w:r>
      <w:r w:rsidR="008E6D14">
        <w:rPr>
          <w:rFonts w:hint="eastAsia"/>
        </w:rPr>
        <w:t>但</w:t>
      </w:r>
      <w:r w:rsidR="00AA4F8A">
        <w:rPr>
          <w:rFonts w:hint="eastAsia"/>
        </w:rPr>
        <w:t>随着外部不确定性因素逐步落地，市场</w:t>
      </w:r>
      <w:r w:rsidR="008E6D14">
        <w:rPr>
          <w:rFonts w:hint="eastAsia"/>
        </w:rPr>
        <w:t>方向</w:t>
      </w:r>
      <w:r w:rsidR="00AA4F8A">
        <w:rPr>
          <w:rFonts w:hint="eastAsia"/>
        </w:rPr>
        <w:t>将会逐渐趋于明朗化，投资者在这个时点不必过分悲观</w:t>
      </w:r>
      <w:r w:rsidR="008E6D14">
        <w:rPr>
          <w:rFonts w:hint="eastAsia"/>
        </w:rPr>
        <w:t>也不能过分乐观</w:t>
      </w:r>
      <w:r w:rsidR="00AA4F8A">
        <w:rPr>
          <w:rFonts w:hint="eastAsia"/>
        </w:rPr>
        <w:t>，需耐心等待。</w:t>
      </w:r>
    </w:p>
    <w:p w14:paraId="752E5E58" w14:textId="1CF2EA69" w:rsidR="00930F5D" w:rsidRDefault="00E76564" w:rsidP="002C4C07">
      <w:pPr>
        <w:ind w:firstLineChars="200" w:firstLine="480"/>
      </w:pPr>
      <w:r>
        <w:rPr>
          <w:rFonts w:hint="eastAsia"/>
        </w:rPr>
        <w:t>从因子来看，本周市场回撤</w:t>
      </w:r>
      <w:r w:rsidR="008E6D14">
        <w:rPr>
          <w:rFonts w:hint="eastAsia"/>
        </w:rPr>
        <w:t>背景下</w:t>
      </w:r>
      <w:r>
        <w:rPr>
          <w:rFonts w:hint="eastAsia"/>
        </w:rPr>
        <w:t>估值因子、低流动性等防御</w:t>
      </w:r>
      <w:r w:rsidR="00C34A75">
        <w:rPr>
          <w:rFonts w:hint="eastAsia"/>
        </w:rPr>
        <w:t>性因子表现出较好的超额收益，今年以来维持强势风格的成长类因子表现</w:t>
      </w:r>
      <w:r>
        <w:rPr>
          <w:rFonts w:hint="eastAsia"/>
        </w:rPr>
        <w:t>较弱。市场是否出现风格彻底</w:t>
      </w:r>
      <w:proofErr w:type="gramStart"/>
      <w:r>
        <w:rPr>
          <w:rFonts w:hint="eastAsia"/>
        </w:rPr>
        <w:t>切换仍</w:t>
      </w:r>
      <w:proofErr w:type="gramEnd"/>
      <w:r>
        <w:rPr>
          <w:rFonts w:hint="eastAsia"/>
        </w:rPr>
        <w:t>存在争议，缺乏较长期有效的市场热点使得市场风格切换较为频繁，</w:t>
      </w:r>
      <w:r w:rsidR="008E6D14">
        <w:rPr>
          <w:rFonts w:hint="eastAsia"/>
        </w:rPr>
        <w:t>而且</w:t>
      </w:r>
      <w:r>
        <w:rPr>
          <w:rFonts w:hint="eastAsia"/>
        </w:rPr>
        <w:t>投资者参与</w:t>
      </w:r>
      <w:r w:rsidR="008E6D14">
        <w:rPr>
          <w:rFonts w:hint="eastAsia"/>
        </w:rPr>
        <w:t>交易的</w:t>
      </w:r>
      <w:r>
        <w:rPr>
          <w:rFonts w:hint="eastAsia"/>
        </w:rPr>
        <w:t>情绪同样处于低位。</w:t>
      </w:r>
    </w:p>
    <w:p w14:paraId="69CE28D3" w14:textId="78E4D6F2" w:rsidR="00E76564" w:rsidRDefault="00E76564" w:rsidP="002C4C07">
      <w:pPr>
        <w:ind w:firstLineChars="200" w:firstLine="480"/>
      </w:pPr>
      <w:r>
        <w:rPr>
          <w:rFonts w:hint="eastAsia"/>
        </w:rPr>
        <w:t>从市场目前的波动率来看，宏观事件不确定性的时间窗口临近，市场存在一定的担心，本周后半程市场波动率明显出现拉升现象</w:t>
      </w:r>
      <w:r w:rsidR="008E6D14">
        <w:rPr>
          <w:rFonts w:hint="eastAsia"/>
        </w:rPr>
        <w:t>，最终维持在历史50%分位，然后处于横盘震荡的状态</w:t>
      </w:r>
      <w:r>
        <w:rPr>
          <w:rFonts w:hint="eastAsia"/>
        </w:rPr>
        <w:t>。我们认为该宏观事件对市场更多的是短期冲击，待落地后中美关系实质性的发展</w:t>
      </w:r>
      <w:r w:rsidR="008E6D14">
        <w:rPr>
          <w:rFonts w:hint="eastAsia"/>
        </w:rPr>
        <w:t>更</w:t>
      </w:r>
      <w:r>
        <w:rPr>
          <w:rFonts w:hint="eastAsia"/>
        </w:rPr>
        <w:t>可能对市场产生较深远的意义。</w:t>
      </w:r>
    </w:p>
    <w:p w14:paraId="50B7D011" w14:textId="36B60DFE" w:rsidR="00E76564" w:rsidRDefault="00E76564" w:rsidP="00E76564">
      <w:r>
        <w:rPr>
          <w:rFonts w:hint="eastAsia"/>
        </w:rPr>
        <w:t>图 1 北向资金流动</w:t>
      </w:r>
    </w:p>
    <w:p w14:paraId="01439FBF" w14:textId="21043AC1" w:rsidR="00E76564" w:rsidRPr="00FC4D42" w:rsidRDefault="00E76564" w:rsidP="008E6D14">
      <w:pPr>
        <w:ind w:firstLineChars="200" w:firstLine="480"/>
      </w:pPr>
      <w:r>
        <w:rPr>
          <w:rFonts w:hint="eastAsia"/>
        </w:rPr>
        <w:t>本周北向资金合计流出140.26亿，其中沪股通流出51.67亿，深股通流出88.58亿，北向资金连续</w:t>
      </w:r>
      <w:r w:rsidR="008E6D14">
        <w:rPr>
          <w:rFonts w:hint="eastAsia"/>
        </w:rPr>
        <w:t>7个交易日流出给市场情绪带来较为负面的影响。</w:t>
      </w:r>
    </w:p>
    <w:p w14:paraId="33769F53" w14:textId="1D423BAF" w:rsidR="00930F5D" w:rsidRDefault="008E6D14" w:rsidP="008E6D14">
      <w:r>
        <w:rPr>
          <w:noProof/>
        </w:rPr>
        <w:lastRenderedPageBreak/>
        <w:drawing>
          <wp:inline distT="0" distB="0" distL="0" distR="0" wp14:anchorId="10F874A1" wp14:editId="17BE725B">
            <wp:extent cx="5274310" cy="236977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2369777"/>
                    </a:xfrm>
                    <a:prstGeom prst="rect">
                      <a:avLst/>
                    </a:prstGeom>
                  </pic:spPr>
                </pic:pic>
              </a:graphicData>
            </a:graphic>
          </wp:inline>
        </w:drawing>
      </w:r>
    </w:p>
    <w:p w14:paraId="0035C82E" w14:textId="7511B919" w:rsidR="008E6D14" w:rsidRDefault="008E6D14" w:rsidP="008E6D14">
      <w:r>
        <w:rPr>
          <w:rFonts w:hint="eastAsia"/>
        </w:rPr>
        <w:t>数据来源：wind,富</w:t>
      </w:r>
      <w:proofErr w:type="gramStart"/>
      <w:r>
        <w:rPr>
          <w:rFonts w:hint="eastAsia"/>
        </w:rPr>
        <w:t>荣基金量化组整理</w:t>
      </w:r>
      <w:proofErr w:type="gramEnd"/>
    </w:p>
    <w:p w14:paraId="43F6FABA" w14:textId="58F97F4C" w:rsidR="008E6D14" w:rsidRDefault="008E6D14" w:rsidP="008E6D14">
      <w:r>
        <w:rPr>
          <w:rFonts w:hint="eastAsia"/>
        </w:rPr>
        <w:t>图 2 新增融资余额</w:t>
      </w:r>
    </w:p>
    <w:p w14:paraId="76955EA6" w14:textId="495B3632" w:rsidR="008E6D14" w:rsidRDefault="008E6D14" w:rsidP="008E6D14">
      <w:r>
        <w:rPr>
          <w:rFonts w:hint="eastAsia"/>
        </w:rPr>
        <w:t>从数据来看新增融资余额同样在不断减少，市场情绪进一步压制。</w:t>
      </w:r>
    </w:p>
    <w:p w14:paraId="4B3AF6E7" w14:textId="476418A1" w:rsidR="008E6D14" w:rsidRDefault="008E6D14" w:rsidP="008E6D14">
      <w:r>
        <w:rPr>
          <w:noProof/>
        </w:rPr>
        <w:drawing>
          <wp:inline distT="0" distB="0" distL="0" distR="0" wp14:anchorId="6611A0DE" wp14:editId="7EB8D791">
            <wp:extent cx="5274310" cy="2574278"/>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574278"/>
                    </a:xfrm>
                    <a:prstGeom prst="rect">
                      <a:avLst/>
                    </a:prstGeom>
                  </pic:spPr>
                </pic:pic>
              </a:graphicData>
            </a:graphic>
          </wp:inline>
        </w:drawing>
      </w:r>
    </w:p>
    <w:p w14:paraId="1432CE77" w14:textId="76D7BD51" w:rsidR="008E6D14" w:rsidRDefault="008E6D14" w:rsidP="008E6D14">
      <w:r>
        <w:rPr>
          <w:rFonts w:hint="eastAsia"/>
        </w:rPr>
        <w:t>图 3 波动率指数</w:t>
      </w:r>
    </w:p>
    <w:p w14:paraId="4D86CE20" w14:textId="40F2E83B" w:rsidR="008E6D14" w:rsidRDefault="008E6D14" w:rsidP="008E6D14">
      <w:r>
        <w:rPr>
          <w:noProof/>
        </w:rPr>
        <w:lastRenderedPageBreak/>
        <w:drawing>
          <wp:inline distT="0" distB="0" distL="0" distR="0" wp14:anchorId="41C3EE8F" wp14:editId="14A3B699">
            <wp:extent cx="4991100" cy="30384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91100" cy="3038475"/>
                    </a:xfrm>
                    <a:prstGeom prst="rect">
                      <a:avLst/>
                    </a:prstGeom>
                  </pic:spPr>
                </pic:pic>
              </a:graphicData>
            </a:graphic>
          </wp:inline>
        </w:drawing>
      </w:r>
    </w:p>
    <w:p w14:paraId="7E16EFE8" w14:textId="06D5D239" w:rsidR="008E6D14" w:rsidRDefault="008E6D14" w:rsidP="008E6D14">
      <w:r>
        <w:rPr>
          <w:rFonts w:hint="eastAsia"/>
        </w:rPr>
        <w:t>数据来源：Wind，富荣基金量化组编制</w:t>
      </w:r>
    </w:p>
    <w:p w14:paraId="7BE5D648" w14:textId="76DEE869" w:rsidR="008540B7" w:rsidRDefault="008540B7" w:rsidP="002C4C07">
      <w:pPr>
        <w:jc w:val="center"/>
      </w:pPr>
    </w:p>
    <w:p w14:paraId="6ED7584E" w14:textId="77777777" w:rsidR="00B03EA4" w:rsidRDefault="00B03EA4" w:rsidP="002C4C07">
      <w:pPr>
        <w:jc w:val="center"/>
      </w:pPr>
    </w:p>
    <w:p w14:paraId="44DE8EFE" w14:textId="77777777" w:rsidR="00B03EA4" w:rsidRPr="00264E03" w:rsidRDefault="00B03EA4" w:rsidP="00B03EA4">
      <w:pPr>
        <w:pStyle w:val="a6"/>
        <w:ind w:firstLine="320"/>
        <w:rPr>
          <w:rFonts w:ascii="Times New Roman" w:hAnsi="Times New Roman" w:cs="Times New Roman"/>
          <w:sz w:val="16"/>
          <w:szCs w:val="16"/>
        </w:rPr>
      </w:pPr>
      <w:r w:rsidRPr="00264E03">
        <w:rPr>
          <w:rFonts w:ascii="Times New Roman" w:hAnsi="Times New Roman" w:cs="Times New Roman" w:hint="eastAsia"/>
          <w:sz w:val="16"/>
          <w:szCs w:val="16"/>
        </w:rPr>
        <w:t>风险提示：</w:t>
      </w:r>
      <w:r w:rsidRPr="00264E03">
        <w:rPr>
          <w:rFonts w:ascii="Times New Roman" w:hAnsi="Times New Roman" w:cs="Times New Roman" w:hint="eastAsia"/>
          <w:sz w:val="16"/>
          <w:szCs w:val="16"/>
        </w:rPr>
        <w:t>1</w:t>
      </w:r>
      <w:r w:rsidRPr="00264E03">
        <w:rPr>
          <w:rFonts w:ascii="Times New Roman" w:hAnsi="Times New Roman" w:cs="Times New Roman" w:hint="eastAsia"/>
          <w:sz w:val="16"/>
          <w:szCs w:val="16"/>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264E03">
        <w:rPr>
          <w:rFonts w:ascii="Times New Roman" w:hAnsi="Times New Roman" w:cs="Times New Roman" w:hint="eastAsia"/>
          <w:sz w:val="16"/>
          <w:szCs w:val="16"/>
        </w:rPr>
        <w:t>作出</w:t>
      </w:r>
      <w:proofErr w:type="gramEnd"/>
      <w:r w:rsidRPr="00264E03">
        <w:rPr>
          <w:rFonts w:ascii="Times New Roman" w:hAnsi="Times New Roman" w:cs="Times New Roman" w:hint="eastAsia"/>
          <w:sz w:val="16"/>
          <w:szCs w:val="16"/>
        </w:rPr>
        <w:t>调整。</w:t>
      </w:r>
      <w:r w:rsidRPr="00264E03">
        <w:rPr>
          <w:rFonts w:ascii="Times New Roman" w:hAnsi="Times New Roman" w:cs="Times New Roman" w:hint="eastAsia"/>
          <w:sz w:val="16"/>
          <w:szCs w:val="16"/>
        </w:rPr>
        <w:t>2</w:t>
      </w:r>
      <w:r w:rsidRPr="00264E03">
        <w:rPr>
          <w:rFonts w:ascii="Times New Roman" w:hAnsi="Times New Roman" w:cs="Times New Roman" w:hint="eastAsia"/>
          <w:sz w:val="16"/>
          <w:szCs w:val="16"/>
        </w:rPr>
        <w:t>、本报告中的资料、观点和预测等仅供参考，在任何时候均不构成对任何人的个人推荐。市场有风险，投资需谨慎。</w:t>
      </w:r>
    </w:p>
    <w:p w14:paraId="566391D5" w14:textId="77777777" w:rsidR="00B03EA4" w:rsidRDefault="00B03EA4" w:rsidP="002C4C07">
      <w:pPr>
        <w:jc w:val="center"/>
      </w:pPr>
    </w:p>
    <w:sectPr w:rsidR="00B03E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FDEDCB" w14:textId="77777777" w:rsidR="00274E5D" w:rsidRDefault="00274E5D" w:rsidP="002C4C07">
      <w:pPr>
        <w:spacing w:line="240" w:lineRule="auto"/>
      </w:pPr>
      <w:r>
        <w:separator/>
      </w:r>
    </w:p>
  </w:endnote>
  <w:endnote w:type="continuationSeparator" w:id="0">
    <w:p w14:paraId="10A27B7B" w14:textId="77777777" w:rsidR="00274E5D" w:rsidRDefault="00274E5D"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CF4704" w14:textId="77777777" w:rsidR="00274E5D" w:rsidRDefault="00274E5D" w:rsidP="002C4C07">
      <w:pPr>
        <w:spacing w:line="240" w:lineRule="auto"/>
      </w:pPr>
      <w:r>
        <w:separator/>
      </w:r>
    </w:p>
  </w:footnote>
  <w:footnote w:type="continuationSeparator" w:id="0">
    <w:p w14:paraId="420C5068" w14:textId="77777777" w:rsidR="00274E5D" w:rsidRDefault="00274E5D"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867FC"/>
    <w:rsid w:val="001D19B6"/>
    <w:rsid w:val="001D6061"/>
    <w:rsid w:val="0020342A"/>
    <w:rsid w:val="002062DE"/>
    <w:rsid w:val="002129BA"/>
    <w:rsid w:val="00274E5D"/>
    <w:rsid w:val="002A093A"/>
    <w:rsid w:val="002B15CF"/>
    <w:rsid w:val="002C4C07"/>
    <w:rsid w:val="002C7EF7"/>
    <w:rsid w:val="002E17CD"/>
    <w:rsid w:val="002F16D7"/>
    <w:rsid w:val="00374124"/>
    <w:rsid w:val="00386DFB"/>
    <w:rsid w:val="003D637F"/>
    <w:rsid w:val="003F6050"/>
    <w:rsid w:val="00454A3A"/>
    <w:rsid w:val="004E3614"/>
    <w:rsid w:val="00525A53"/>
    <w:rsid w:val="005A2D48"/>
    <w:rsid w:val="005C4905"/>
    <w:rsid w:val="006252E7"/>
    <w:rsid w:val="006965D2"/>
    <w:rsid w:val="006B1D85"/>
    <w:rsid w:val="006C7CF6"/>
    <w:rsid w:val="006E639C"/>
    <w:rsid w:val="0073379B"/>
    <w:rsid w:val="007D5907"/>
    <w:rsid w:val="007F6A29"/>
    <w:rsid w:val="00830122"/>
    <w:rsid w:val="008540B7"/>
    <w:rsid w:val="008916E0"/>
    <w:rsid w:val="00893C6A"/>
    <w:rsid w:val="008A74C1"/>
    <w:rsid w:val="008B1754"/>
    <w:rsid w:val="008B27E8"/>
    <w:rsid w:val="008E6D14"/>
    <w:rsid w:val="00907C93"/>
    <w:rsid w:val="00930F5D"/>
    <w:rsid w:val="009517EE"/>
    <w:rsid w:val="00987C63"/>
    <w:rsid w:val="009953B9"/>
    <w:rsid w:val="009D02A8"/>
    <w:rsid w:val="00A00C9C"/>
    <w:rsid w:val="00A03891"/>
    <w:rsid w:val="00A07990"/>
    <w:rsid w:val="00A51293"/>
    <w:rsid w:val="00A61347"/>
    <w:rsid w:val="00A90927"/>
    <w:rsid w:val="00AA4F8A"/>
    <w:rsid w:val="00B03EA4"/>
    <w:rsid w:val="00B82632"/>
    <w:rsid w:val="00B91093"/>
    <w:rsid w:val="00BA3587"/>
    <w:rsid w:val="00BA72C2"/>
    <w:rsid w:val="00BC61FC"/>
    <w:rsid w:val="00BD6BA1"/>
    <w:rsid w:val="00C24E54"/>
    <w:rsid w:val="00C34A75"/>
    <w:rsid w:val="00CD5494"/>
    <w:rsid w:val="00CD673E"/>
    <w:rsid w:val="00D055BF"/>
    <w:rsid w:val="00D46833"/>
    <w:rsid w:val="00D868FA"/>
    <w:rsid w:val="00DD21CB"/>
    <w:rsid w:val="00DD2E6A"/>
    <w:rsid w:val="00DF6F9A"/>
    <w:rsid w:val="00E76564"/>
    <w:rsid w:val="00E86C8A"/>
    <w:rsid w:val="00E87750"/>
    <w:rsid w:val="00ED6C33"/>
    <w:rsid w:val="00EF2A7A"/>
    <w:rsid w:val="00F13186"/>
    <w:rsid w:val="00F552A3"/>
    <w:rsid w:val="00F923ED"/>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paragraph" w:styleId="a6">
    <w:name w:val="No Spacing"/>
    <w:basedOn w:val="a7"/>
    <w:link w:val="Char2"/>
    <w:uiPriority w:val="1"/>
    <w:qFormat/>
    <w:rsid w:val="00B03EA4"/>
    <w:pPr>
      <w:widowControl/>
      <w:shd w:val="clear" w:color="auto" w:fill="FFFFFF"/>
      <w:ind w:firstLineChars="200" w:firstLine="200"/>
      <w:jc w:val="left"/>
    </w:pPr>
    <w:rPr>
      <w:rFonts w:asciiTheme="minorHAnsi" w:eastAsiaTheme="minorEastAsia" w:hAnsiTheme="minorHAnsi" w:cstheme="minorBidi"/>
      <w:kern w:val="0"/>
      <w:szCs w:val="22"/>
    </w:rPr>
  </w:style>
  <w:style w:type="character" w:customStyle="1" w:styleId="Char2">
    <w:name w:val="无间隔 Char"/>
    <w:basedOn w:val="a0"/>
    <w:link w:val="a6"/>
    <w:uiPriority w:val="1"/>
    <w:rsid w:val="00B03EA4"/>
    <w:rPr>
      <w:kern w:val="0"/>
      <w:sz w:val="24"/>
      <w:shd w:val="clear" w:color="auto" w:fill="FFFFFF"/>
    </w:rPr>
  </w:style>
  <w:style w:type="paragraph" w:styleId="a7">
    <w:name w:val="Normal (Web)"/>
    <w:basedOn w:val="a"/>
    <w:uiPriority w:val="99"/>
    <w:semiHidden/>
    <w:unhideWhenUsed/>
    <w:rsid w:val="00B03EA4"/>
    <w:rPr>
      <w:rFonts w:ascii="Times New Roman"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paragraph" w:styleId="a6">
    <w:name w:val="No Spacing"/>
    <w:basedOn w:val="a7"/>
    <w:link w:val="Char2"/>
    <w:uiPriority w:val="1"/>
    <w:qFormat/>
    <w:rsid w:val="00B03EA4"/>
    <w:pPr>
      <w:widowControl/>
      <w:shd w:val="clear" w:color="auto" w:fill="FFFFFF"/>
      <w:ind w:firstLineChars="200" w:firstLine="200"/>
      <w:jc w:val="left"/>
    </w:pPr>
    <w:rPr>
      <w:rFonts w:asciiTheme="minorHAnsi" w:eastAsiaTheme="minorEastAsia" w:hAnsiTheme="minorHAnsi" w:cstheme="minorBidi"/>
      <w:kern w:val="0"/>
      <w:szCs w:val="22"/>
    </w:rPr>
  </w:style>
  <w:style w:type="character" w:customStyle="1" w:styleId="Char2">
    <w:name w:val="无间隔 Char"/>
    <w:basedOn w:val="a0"/>
    <w:link w:val="a6"/>
    <w:uiPriority w:val="1"/>
    <w:rsid w:val="00B03EA4"/>
    <w:rPr>
      <w:kern w:val="0"/>
      <w:sz w:val="24"/>
      <w:shd w:val="clear" w:color="auto" w:fill="FFFFFF"/>
    </w:rPr>
  </w:style>
  <w:style w:type="paragraph" w:styleId="a7">
    <w:name w:val="Normal (Web)"/>
    <w:basedOn w:val="a"/>
    <w:uiPriority w:val="99"/>
    <w:semiHidden/>
    <w:unhideWhenUsed/>
    <w:rsid w:val="00B03EA4"/>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578</TotalTime>
  <Pages>3</Pages>
  <Words>156</Words>
  <Characters>893</Characters>
  <Application>Microsoft Office Word</Application>
  <DocSecurity>0</DocSecurity>
  <Lines>7</Lines>
  <Paragraphs>2</Paragraphs>
  <ScaleCrop>false</ScaleCrop>
  <Company/>
  <LinksUpToDate>false</LinksUpToDate>
  <CharactersWithSpaces>1047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57</cp:revision>
  <dcterms:created xsi:type="dcterms:W3CDTF">2020-06-21T08:02:00Z</dcterms:created>
  <dcterms:modified xsi:type="dcterms:W3CDTF">2020-10-26T07:32:00Z</dcterms:modified>
</cp:coreProperties>
</file>