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43805042"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5952B7">
        <w:rPr>
          <w:rFonts w:ascii="楷体" w:eastAsia="楷体" w:hAnsi="楷体" w:hint="eastAsia"/>
          <w:sz w:val="28"/>
          <w:szCs w:val="28"/>
        </w:rPr>
        <w:t>资金大幅扰动</w:t>
      </w:r>
      <w:r w:rsidR="00854190">
        <w:rPr>
          <w:rFonts w:ascii="楷体" w:eastAsia="楷体" w:hAnsi="楷体" w:hint="eastAsia"/>
          <w:sz w:val="28"/>
          <w:szCs w:val="28"/>
        </w:rPr>
        <w:t>,</w:t>
      </w:r>
      <w:r w:rsidR="006C2AA4">
        <w:rPr>
          <w:rFonts w:ascii="楷体" w:eastAsia="楷体" w:hAnsi="楷体" w:hint="eastAsia"/>
          <w:sz w:val="28"/>
          <w:szCs w:val="28"/>
        </w:rPr>
        <w:t>债市</w:t>
      </w:r>
      <w:r w:rsidR="005952B7">
        <w:rPr>
          <w:rFonts w:ascii="楷体" w:eastAsia="楷体" w:hAnsi="楷体" w:hint="eastAsia"/>
          <w:sz w:val="28"/>
          <w:szCs w:val="28"/>
        </w:rPr>
        <w:t>韧性凸显</w:t>
      </w:r>
    </w:p>
    <w:p w14:paraId="0A7A9383" w14:textId="38A71147"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E23AF9">
        <w:rPr>
          <w:rFonts w:ascii="楷体" w:eastAsia="楷体" w:hAnsi="楷体" w:hint="eastAsia"/>
          <w:sz w:val="28"/>
          <w:szCs w:val="28"/>
        </w:rPr>
        <w:t>10</w:t>
      </w:r>
      <w:r w:rsidR="009C30E2" w:rsidRPr="00FA6C01">
        <w:rPr>
          <w:rFonts w:ascii="楷体" w:eastAsia="楷体" w:hAnsi="楷体"/>
          <w:sz w:val="28"/>
          <w:szCs w:val="28"/>
        </w:rPr>
        <w:t>月</w:t>
      </w:r>
      <w:r w:rsidR="005952B7">
        <w:rPr>
          <w:rFonts w:ascii="楷体" w:eastAsia="楷体" w:hAnsi="楷体" w:hint="eastAsia"/>
          <w:sz w:val="28"/>
          <w:szCs w:val="28"/>
        </w:rPr>
        <w:t>30</w:t>
      </w:r>
      <w:r w:rsidR="00F82A54">
        <w:rPr>
          <w:rFonts w:ascii="楷体" w:eastAsia="楷体" w:hAnsi="楷体" w:hint="eastAsia"/>
          <w:sz w:val="28"/>
          <w:szCs w:val="28"/>
        </w:rPr>
        <w:t>日</w:t>
      </w:r>
    </w:p>
    <w:p w14:paraId="1B2C4A22" w14:textId="0BA85F85" w:rsidR="005E5CB1" w:rsidRDefault="005E5CB1" w:rsidP="005E5CB1">
      <w:pPr>
        <w:pStyle w:val="Header1"/>
        <w:spacing w:before="240"/>
        <w:rPr>
          <w:color w:val="C45911" w:themeColor="accent2" w:themeShade="BF"/>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195A5EB8" w14:textId="3C4980D3" w:rsidR="0075069E" w:rsidRDefault="00740185" w:rsidP="0075069E">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本周公布PMI数据，</w:t>
      </w:r>
      <w:r w:rsidRPr="00740185">
        <w:rPr>
          <w:rFonts w:ascii="华文楷体" w:hAnsi="华文楷体" w:hint="eastAsia"/>
          <w:sz w:val="24"/>
          <w:szCs w:val="24"/>
          <w:lang w:eastAsia="zh-CN"/>
        </w:rPr>
        <w:t>2020年10月中国官方制造业PMI51.4%，高于预期的51%，略低于9月的51.5%；官方非制造业PMI为56.2%，比9月回升0.3个百分点；综合PMI产出指数为55.3%，比9月高0.2个百分点。</w:t>
      </w:r>
    </w:p>
    <w:p w14:paraId="0E3B236C" w14:textId="2F6CE8B2" w:rsidR="00284F16" w:rsidRDefault="00740185" w:rsidP="009E3C2E">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从数据</w:t>
      </w:r>
      <w:r w:rsidRPr="00740185">
        <w:rPr>
          <w:rFonts w:ascii="华文楷体" w:hAnsi="华文楷体" w:hint="eastAsia"/>
          <w:sz w:val="24"/>
          <w:szCs w:val="24"/>
          <w:lang w:eastAsia="zh-CN"/>
        </w:rPr>
        <w:t>具体来看，10月外需依然较强，进口分项小幅回升，新订单维持高位，需求整体偏强。10月新订单持平于9月的52.8%，新出口订单、进口和在手订单分别较9月回升0.2、0.4、1.1个百分点至51%、50.8%、47.2%，需求继续好转</w:t>
      </w:r>
      <w:r>
        <w:rPr>
          <w:rFonts w:ascii="华文楷体" w:hAnsi="华文楷体" w:hint="eastAsia"/>
          <w:sz w:val="24"/>
          <w:szCs w:val="24"/>
          <w:lang w:eastAsia="zh-CN"/>
        </w:rPr>
        <w:t>，并</w:t>
      </w:r>
      <w:r w:rsidRPr="00740185">
        <w:rPr>
          <w:rFonts w:ascii="华文楷体" w:hAnsi="华文楷体" w:hint="eastAsia"/>
          <w:sz w:val="24"/>
          <w:szCs w:val="24"/>
          <w:lang w:eastAsia="zh-CN"/>
        </w:rPr>
        <w:t>带动企业生产经营活动预期延续回升。</w:t>
      </w:r>
    </w:p>
    <w:p w14:paraId="0027B9FA" w14:textId="40831963" w:rsidR="00740185" w:rsidRDefault="00740185" w:rsidP="009E3C2E">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分项来看，</w:t>
      </w:r>
      <w:r w:rsidRPr="00740185">
        <w:rPr>
          <w:rFonts w:ascii="华文楷体" w:hAnsi="华文楷体" w:hint="eastAsia"/>
          <w:sz w:val="24"/>
          <w:szCs w:val="24"/>
          <w:lang w:eastAsia="zh-CN"/>
        </w:rPr>
        <w:t>生产分项维持高位，企业采购量、</w:t>
      </w:r>
      <w:r>
        <w:rPr>
          <w:rFonts w:ascii="华文楷体" w:hAnsi="华文楷体" w:hint="eastAsia"/>
          <w:sz w:val="24"/>
          <w:szCs w:val="24"/>
          <w:lang w:eastAsia="zh-CN"/>
        </w:rPr>
        <w:t>原材料及产成品库存均有所回落，当前工业企业产成品库存仍处于高位</w:t>
      </w:r>
      <w:r w:rsidRPr="00740185">
        <w:rPr>
          <w:rFonts w:ascii="华文楷体" w:hAnsi="华文楷体" w:hint="eastAsia"/>
          <w:sz w:val="24"/>
          <w:szCs w:val="24"/>
          <w:lang w:eastAsia="zh-CN"/>
        </w:rPr>
        <w:t>。10月生产回落0.1个百分点至53.9%，整体处于偏高位置；企业采购量、原材料和产成品库存分别回落0.5、0.5、3.5个百分点至53.1%、48%、44.9%</w:t>
      </w:r>
      <w:r>
        <w:rPr>
          <w:rFonts w:ascii="华文楷体" w:hAnsi="华文楷体" w:hint="eastAsia"/>
          <w:sz w:val="24"/>
          <w:szCs w:val="24"/>
          <w:lang w:eastAsia="zh-CN"/>
        </w:rPr>
        <w:t>。</w:t>
      </w:r>
    </w:p>
    <w:p w14:paraId="0071C2A3" w14:textId="70F81E88" w:rsidR="00740185" w:rsidRDefault="00740185" w:rsidP="009E3C2E">
      <w:pPr>
        <w:pStyle w:val="Body-text"/>
        <w:spacing w:after="240"/>
        <w:ind w:firstLine="480"/>
        <w:rPr>
          <w:rFonts w:ascii="华文楷体" w:hAnsi="华文楷体"/>
          <w:sz w:val="24"/>
          <w:szCs w:val="24"/>
          <w:lang w:eastAsia="zh-CN"/>
        </w:rPr>
      </w:pPr>
      <w:r w:rsidRPr="00740185">
        <w:rPr>
          <w:rFonts w:ascii="华文楷体" w:hAnsi="华文楷体" w:hint="eastAsia"/>
          <w:sz w:val="24"/>
          <w:szCs w:val="24"/>
          <w:lang w:eastAsia="zh-CN"/>
        </w:rPr>
        <w:t>价格指数方面，10月原材料和产成品价格指数均小幅回升，主要受环保限产来袭导致工业品涨价影响，关注PPI环比变动。10月主要原材料购进价格、产成品出厂价分别较9月回升0.3、0.7个百分点至58.8%、53.2%</w:t>
      </w:r>
      <w:r>
        <w:rPr>
          <w:rFonts w:ascii="华文楷体" w:hAnsi="华文楷体" w:hint="eastAsia"/>
          <w:sz w:val="24"/>
          <w:szCs w:val="24"/>
          <w:lang w:eastAsia="zh-CN"/>
        </w:rPr>
        <w:t>。</w:t>
      </w:r>
    </w:p>
    <w:p w14:paraId="79B849DB" w14:textId="1A5B7B05" w:rsidR="00740185" w:rsidRDefault="00740185" w:rsidP="009E3C2E">
      <w:pPr>
        <w:pStyle w:val="Body-text"/>
        <w:spacing w:after="240"/>
        <w:ind w:firstLine="480"/>
        <w:rPr>
          <w:rFonts w:ascii="华文楷体" w:hAnsi="华文楷体"/>
          <w:sz w:val="24"/>
          <w:szCs w:val="24"/>
          <w:lang w:eastAsia="zh-CN"/>
        </w:rPr>
      </w:pPr>
      <w:r w:rsidRPr="00740185">
        <w:rPr>
          <w:rFonts w:ascii="华文楷体" w:hAnsi="华文楷体" w:hint="eastAsia"/>
          <w:sz w:val="24"/>
          <w:szCs w:val="24"/>
          <w:lang w:eastAsia="zh-CN"/>
        </w:rPr>
        <w:t>就业分项方面，制造业和非制造业就业分项表现分化，但就业目标已经基本完成，政策定力或仍较强。10月制造业从业人员指数为49.3%，比9月回落0.3个百分点，非制造业从业人员指数为49.4%，比9月回升0.3个百分点，非制造业延续修复。</w:t>
      </w:r>
    </w:p>
    <w:p w14:paraId="428B22F7" w14:textId="29B70780" w:rsidR="00740185" w:rsidRDefault="00740185" w:rsidP="009E3C2E">
      <w:pPr>
        <w:pStyle w:val="Body-text"/>
        <w:spacing w:after="240"/>
        <w:ind w:firstLine="480"/>
        <w:rPr>
          <w:rFonts w:ascii="华文楷体" w:hAnsi="华文楷体"/>
          <w:sz w:val="24"/>
          <w:szCs w:val="24"/>
          <w:lang w:eastAsia="zh-CN"/>
        </w:rPr>
      </w:pPr>
      <w:r w:rsidRPr="00740185">
        <w:rPr>
          <w:rFonts w:ascii="华文楷体" w:hAnsi="华文楷体" w:hint="eastAsia"/>
          <w:sz w:val="24"/>
          <w:szCs w:val="24"/>
          <w:lang w:eastAsia="zh-CN"/>
        </w:rPr>
        <w:t>分企业类型来看，大型企业PMI为52.6%，较9月小幅回升0.1个百分点；中、小型企业分别较9月回落0.1、0.7个百分点至50.6%、49.4%，其中小型企业PMI连续再度下行至荣枯线以下</w:t>
      </w:r>
      <w:r>
        <w:rPr>
          <w:rFonts w:ascii="华文楷体" w:hAnsi="华文楷体" w:hint="eastAsia"/>
          <w:sz w:val="24"/>
          <w:szCs w:val="24"/>
          <w:lang w:eastAsia="zh-CN"/>
        </w:rPr>
        <w:t>。</w:t>
      </w:r>
    </w:p>
    <w:p w14:paraId="6DA790A4" w14:textId="7CE82932" w:rsidR="00740185" w:rsidRDefault="00740185" w:rsidP="009E3C2E">
      <w:pPr>
        <w:pStyle w:val="Body-text"/>
        <w:spacing w:after="240"/>
        <w:ind w:firstLine="480"/>
        <w:rPr>
          <w:rFonts w:ascii="华文楷体" w:hAnsi="华文楷体"/>
          <w:sz w:val="24"/>
          <w:szCs w:val="24"/>
          <w:lang w:eastAsia="zh-CN"/>
        </w:rPr>
      </w:pPr>
      <w:r w:rsidRPr="00740185">
        <w:rPr>
          <w:rFonts w:ascii="华文楷体" w:hAnsi="华文楷体" w:hint="eastAsia"/>
          <w:sz w:val="24"/>
          <w:szCs w:val="24"/>
          <w:lang w:eastAsia="zh-CN"/>
        </w:rPr>
        <w:t>非制造业数据方面，非制造业PMI环比回升0.3个百分点至56.2%，回升至相对较高位置，其中建筑业商务活动指数为59.8%，较9月回落0.4个百分点，但仍处于较高位置，房地产投资或仍偏强；服务业商务活动指数为55.5%，较9月继续回升0.3个百分点，成为非制造业PMI回升的主要推动力量</w:t>
      </w:r>
      <w:r>
        <w:rPr>
          <w:rFonts w:ascii="华文楷体" w:hAnsi="华文楷体" w:hint="eastAsia"/>
          <w:sz w:val="24"/>
          <w:szCs w:val="24"/>
          <w:lang w:eastAsia="zh-CN"/>
        </w:rPr>
        <w:t>。</w:t>
      </w:r>
    </w:p>
    <w:p w14:paraId="71815188" w14:textId="0B2975FE" w:rsidR="00740185" w:rsidRDefault="00740185" w:rsidP="009E3C2E">
      <w:pPr>
        <w:pStyle w:val="Body-text"/>
        <w:spacing w:after="240"/>
        <w:ind w:firstLine="480"/>
        <w:rPr>
          <w:rFonts w:ascii="华文楷体" w:hAnsi="华文楷体"/>
          <w:sz w:val="24"/>
          <w:szCs w:val="24"/>
          <w:lang w:eastAsia="zh-CN"/>
        </w:rPr>
      </w:pPr>
      <w:r>
        <w:rPr>
          <w:rFonts w:ascii="华文楷体" w:hAnsi="华文楷体" w:hint="eastAsia"/>
          <w:sz w:val="24"/>
          <w:szCs w:val="24"/>
          <w:lang w:eastAsia="zh-CN"/>
        </w:rPr>
        <w:t>综上，10月制造业PMI小幅回落，</w:t>
      </w:r>
      <w:r w:rsidRPr="00740185">
        <w:rPr>
          <w:rFonts w:ascii="华文楷体" w:hAnsi="华文楷体" w:hint="eastAsia"/>
          <w:sz w:val="24"/>
          <w:szCs w:val="24"/>
          <w:lang w:eastAsia="zh-CN"/>
        </w:rPr>
        <w:t>制造业继续复苏但强度略有减弱，新出口订单指数继续回升显示外需依然向好，服务业PMI复苏提速，建筑业PMI复苏仍强。终端需求涨跌互现，土地市场成交转</w:t>
      </w:r>
      <w:r>
        <w:rPr>
          <w:rFonts w:ascii="华文楷体" w:hAnsi="华文楷体" w:hint="eastAsia"/>
          <w:sz w:val="24"/>
          <w:szCs w:val="24"/>
          <w:lang w:eastAsia="zh-CN"/>
        </w:rPr>
        <w:t>弱</w:t>
      </w:r>
      <w:r w:rsidRPr="00740185">
        <w:rPr>
          <w:rFonts w:ascii="华文楷体" w:hAnsi="华文楷体" w:hint="eastAsia"/>
          <w:sz w:val="24"/>
          <w:szCs w:val="24"/>
          <w:lang w:eastAsia="zh-CN"/>
        </w:rPr>
        <w:t>，</w:t>
      </w:r>
      <w:r>
        <w:rPr>
          <w:rFonts w:ascii="华文楷体" w:hAnsi="华文楷体" w:hint="eastAsia"/>
          <w:sz w:val="24"/>
          <w:szCs w:val="24"/>
          <w:lang w:eastAsia="zh-CN"/>
        </w:rPr>
        <w:t>受基数影响</w:t>
      </w:r>
      <w:r w:rsidRPr="00740185">
        <w:rPr>
          <w:rFonts w:ascii="华文楷体" w:hAnsi="华文楷体" w:hint="eastAsia"/>
          <w:sz w:val="24"/>
          <w:szCs w:val="24"/>
          <w:lang w:eastAsia="zh-CN"/>
        </w:rPr>
        <w:t>地产销量</w:t>
      </w:r>
      <w:proofErr w:type="gramStart"/>
      <w:r w:rsidRPr="00740185">
        <w:rPr>
          <w:rFonts w:ascii="华文楷体" w:hAnsi="华文楷体" w:hint="eastAsia"/>
          <w:sz w:val="24"/>
          <w:szCs w:val="24"/>
          <w:lang w:eastAsia="zh-CN"/>
        </w:rPr>
        <w:t>增速转</w:t>
      </w:r>
      <w:proofErr w:type="gramEnd"/>
      <w:r w:rsidRPr="00740185">
        <w:rPr>
          <w:rFonts w:ascii="华文楷体" w:hAnsi="华文楷体" w:hint="eastAsia"/>
          <w:sz w:val="24"/>
          <w:szCs w:val="24"/>
          <w:lang w:eastAsia="zh-CN"/>
        </w:rPr>
        <w:t>负，三四线地产销售尚属稳</w:t>
      </w:r>
      <w:r>
        <w:rPr>
          <w:rFonts w:ascii="华文楷体" w:hAnsi="华文楷体" w:hint="eastAsia"/>
          <w:sz w:val="24"/>
          <w:szCs w:val="24"/>
          <w:lang w:eastAsia="zh-CN"/>
        </w:rPr>
        <w:t xml:space="preserve">健。后续关注企业是否从被动去库转向补库，此外年内通胀尚处于较低水平，关注明年通胀变化，尤其是PPI转正时点。 </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lastRenderedPageBreak/>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3D31AEAB"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3C6AC1">
        <w:rPr>
          <w:rFonts w:ascii="华文楷体" w:hAnsi="华文楷体" w:hint="eastAsia"/>
          <w:sz w:val="24"/>
          <w:szCs w:val="24"/>
          <w:lang w:eastAsia="zh-CN"/>
        </w:rPr>
        <w:t>净投放</w:t>
      </w:r>
      <w:r w:rsidR="005952B7">
        <w:rPr>
          <w:rFonts w:ascii="华文楷体" w:hAnsi="华文楷体" w:hint="eastAsia"/>
          <w:sz w:val="24"/>
          <w:szCs w:val="24"/>
          <w:lang w:eastAsia="zh-CN"/>
        </w:rPr>
        <w:t>19</w:t>
      </w:r>
      <w:r w:rsidR="003C6AC1">
        <w:rPr>
          <w:rFonts w:ascii="华文楷体" w:hAnsi="华文楷体" w:hint="eastAsia"/>
          <w:sz w:val="24"/>
          <w:szCs w:val="24"/>
          <w:lang w:eastAsia="zh-CN"/>
        </w:rPr>
        <w:t>00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5952B7">
        <w:rPr>
          <w:rFonts w:ascii="华文楷体" w:hAnsi="华文楷体" w:hint="eastAsia"/>
          <w:sz w:val="24"/>
          <w:szCs w:val="24"/>
          <w:lang w:eastAsia="zh-CN"/>
        </w:rPr>
        <w:t>其中到期3250亿，投放5150亿</w:t>
      </w:r>
      <w:r w:rsidR="005671F6">
        <w:rPr>
          <w:rFonts w:ascii="华文楷体" w:hAnsi="华文楷体" w:hint="eastAsia"/>
          <w:sz w:val="24"/>
          <w:szCs w:val="24"/>
          <w:lang w:eastAsia="zh-CN"/>
        </w:rPr>
        <w:t>。</w:t>
      </w:r>
      <w:r w:rsidR="00DC4A12">
        <w:rPr>
          <w:rFonts w:ascii="华文楷体" w:hAnsi="华文楷体" w:hint="eastAsia"/>
          <w:sz w:val="24"/>
          <w:szCs w:val="24"/>
          <w:lang w:eastAsia="zh-CN"/>
        </w:rPr>
        <w:t>资金利率</w:t>
      </w:r>
      <w:r w:rsidR="005952B7">
        <w:rPr>
          <w:rFonts w:ascii="华文楷体" w:hAnsi="华文楷体" w:hint="eastAsia"/>
          <w:sz w:val="24"/>
          <w:szCs w:val="24"/>
          <w:lang w:eastAsia="zh-CN"/>
        </w:rPr>
        <w:t>大幅上行，尽管央行持续净投放，</w:t>
      </w:r>
      <w:proofErr w:type="gramStart"/>
      <w:r w:rsidR="005952B7">
        <w:rPr>
          <w:rFonts w:ascii="华文楷体" w:hAnsi="华文楷体" w:hint="eastAsia"/>
          <w:sz w:val="24"/>
          <w:szCs w:val="24"/>
          <w:lang w:eastAsia="zh-CN"/>
        </w:rPr>
        <w:t>临至周五</w:t>
      </w:r>
      <w:proofErr w:type="gramEnd"/>
      <w:r w:rsidR="005952B7">
        <w:rPr>
          <w:rFonts w:ascii="华文楷体" w:hAnsi="华文楷体" w:hint="eastAsia"/>
          <w:sz w:val="24"/>
          <w:szCs w:val="24"/>
          <w:lang w:eastAsia="zh-CN"/>
        </w:rPr>
        <w:t>资金利率仍高</w:t>
      </w:r>
      <w:proofErr w:type="gramStart"/>
      <w:r w:rsidR="005952B7">
        <w:rPr>
          <w:rFonts w:ascii="华文楷体" w:hAnsi="华文楷体" w:hint="eastAsia"/>
          <w:sz w:val="24"/>
          <w:szCs w:val="24"/>
          <w:lang w:eastAsia="zh-CN"/>
        </w:rPr>
        <w:t>企</w:t>
      </w:r>
      <w:proofErr w:type="gramEnd"/>
      <w:r w:rsidR="00D9413F">
        <w:rPr>
          <w:rFonts w:ascii="华文楷体" w:hAnsi="华文楷体" w:hint="eastAsia"/>
          <w:sz w:val="24"/>
          <w:szCs w:val="24"/>
          <w:lang w:eastAsia="zh-CN"/>
        </w:rPr>
        <w:t>。</w:t>
      </w:r>
      <w:r w:rsidR="00854190">
        <w:rPr>
          <w:rFonts w:ascii="华文楷体" w:hAnsi="华文楷体" w:hint="eastAsia"/>
          <w:sz w:val="24"/>
          <w:szCs w:val="24"/>
          <w:lang w:eastAsia="zh-CN"/>
        </w:rPr>
        <w:t>周五</w:t>
      </w:r>
      <w:r w:rsidR="00EC3415">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854190">
        <w:rPr>
          <w:rFonts w:ascii="华文楷体" w:hAnsi="华文楷体" w:hint="eastAsia"/>
          <w:sz w:val="24"/>
          <w:szCs w:val="24"/>
          <w:lang w:eastAsia="zh-CN"/>
        </w:rPr>
        <w:t>五</w:t>
      </w:r>
      <w:r w:rsidR="00F62F43">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F4221A">
        <w:rPr>
          <w:rFonts w:ascii="华文楷体" w:hAnsi="华文楷体" w:hint="eastAsia"/>
          <w:sz w:val="24"/>
          <w:szCs w:val="24"/>
          <w:lang w:eastAsia="zh-CN"/>
        </w:rPr>
        <w:t>70</w:t>
      </w:r>
      <w:r w:rsidR="00D9413F">
        <w:rPr>
          <w:rFonts w:ascii="华文楷体" w:hAnsi="华文楷体" w:hint="eastAsia"/>
          <w:sz w:val="24"/>
          <w:szCs w:val="24"/>
          <w:lang w:eastAsia="zh-CN"/>
        </w:rPr>
        <w:t>BP至</w:t>
      </w:r>
      <w:r w:rsidR="00F62F43">
        <w:rPr>
          <w:rFonts w:ascii="华文楷体" w:hAnsi="华文楷体" w:hint="eastAsia"/>
          <w:sz w:val="24"/>
          <w:szCs w:val="24"/>
          <w:lang w:eastAsia="zh-CN"/>
        </w:rPr>
        <w:t>2</w:t>
      </w:r>
      <w:r w:rsidR="00F4221A">
        <w:rPr>
          <w:rFonts w:ascii="华文楷体" w:hAnsi="华文楷体" w:hint="eastAsia"/>
          <w:sz w:val="24"/>
          <w:szCs w:val="24"/>
          <w:lang w:eastAsia="zh-CN"/>
        </w:rPr>
        <w:t>.92</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F62F43">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F4221A">
        <w:rPr>
          <w:rFonts w:ascii="华文楷体" w:hAnsi="华文楷体" w:hint="eastAsia"/>
          <w:sz w:val="24"/>
          <w:szCs w:val="24"/>
          <w:lang w:eastAsia="zh-CN"/>
        </w:rPr>
        <w:t>102</w:t>
      </w:r>
      <w:r w:rsidR="00D9413F">
        <w:rPr>
          <w:rFonts w:ascii="华文楷体" w:hAnsi="华文楷体" w:hint="eastAsia"/>
          <w:sz w:val="24"/>
          <w:szCs w:val="24"/>
          <w:lang w:eastAsia="zh-CN"/>
        </w:rPr>
        <w:t>BP至</w:t>
      </w:r>
      <w:r w:rsidR="00F4221A">
        <w:rPr>
          <w:rFonts w:ascii="华文楷体" w:hAnsi="华文楷体" w:hint="eastAsia"/>
          <w:sz w:val="24"/>
          <w:szCs w:val="24"/>
          <w:lang w:eastAsia="zh-CN"/>
        </w:rPr>
        <w:t>3.37</w:t>
      </w:r>
      <w:r w:rsidR="00EC3415">
        <w:rPr>
          <w:rFonts w:ascii="华文楷体" w:hAnsi="华文楷体" w:hint="eastAsia"/>
          <w:sz w:val="24"/>
          <w:szCs w:val="24"/>
          <w:lang w:eastAsia="zh-CN"/>
        </w:rPr>
        <w:t>%</w:t>
      </w:r>
      <w:r w:rsidR="0037137A">
        <w:rPr>
          <w:rFonts w:ascii="华文楷体" w:hAnsi="华文楷体" w:hint="eastAsia"/>
          <w:sz w:val="24"/>
          <w:szCs w:val="24"/>
          <w:lang w:eastAsia="zh-CN"/>
        </w:rPr>
        <w:t>，</w:t>
      </w:r>
      <w:r w:rsidR="005671F6">
        <w:rPr>
          <w:rFonts w:ascii="华文楷体" w:hAnsi="华文楷体" w:hint="eastAsia"/>
          <w:sz w:val="24"/>
          <w:szCs w:val="24"/>
          <w:lang w:eastAsia="zh-CN"/>
        </w:rPr>
        <w:t>下周公开市场</w:t>
      </w:r>
      <w:r w:rsidR="00854190">
        <w:rPr>
          <w:rFonts w:ascii="华文楷体" w:hAnsi="华文楷体" w:hint="eastAsia"/>
          <w:sz w:val="24"/>
          <w:szCs w:val="24"/>
          <w:lang w:eastAsia="zh-CN"/>
        </w:rPr>
        <w:t>操作与</w:t>
      </w:r>
      <w:r w:rsidR="003C6AC1">
        <w:rPr>
          <w:rFonts w:ascii="华文楷体" w:hAnsi="华文楷体" w:hint="eastAsia"/>
          <w:sz w:val="24"/>
          <w:szCs w:val="24"/>
          <w:lang w:eastAsia="zh-CN"/>
        </w:rPr>
        <w:t>国库现金定存</w:t>
      </w:r>
      <w:r w:rsidR="00854190">
        <w:rPr>
          <w:rFonts w:ascii="华文楷体" w:hAnsi="华文楷体" w:hint="eastAsia"/>
          <w:sz w:val="24"/>
          <w:szCs w:val="24"/>
          <w:lang w:eastAsia="zh-CN"/>
        </w:rPr>
        <w:t>合计到期</w:t>
      </w:r>
      <w:r w:rsidR="00F4221A">
        <w:rPr>
          <w:rFonts w:ascii="华文楷体" w:hAnsi="华文楷体" w:hint="eastAsia"/>
          <w:sz w:val="24"/>
          <w:szCs w:val="24"/>
          <w:lang w:eastAsia="zh-CN"/>
        </w:rPr>
        <w:t>91</w:t>
      </w:r>
      <w:r w:rsidR="00222198">
        <w:rPr>
          <w:rFonts w:ascii="华文楷体" w:hAnsi="华文楷体" w:hint="eastAsia"/>
          <w:sz w:val="24"/>
          <w:szCs w:val="24"/>
          <w:lang w:eastAsia="zh-CN"/>
        </w:rPr>
        <w:t>00</w:t>
      </w:r>
      <w:r w:rsidR="00854190">
        <w:rPr>
          <w:rFonts w:ascii="华文楷体" w:hAnsi="华文楷体" w:hint="eastAsia"/>
          <w:sz w:val="24"/>
          <w:szCs w:val="24"/>
          <w:lang w:eastAsia="zh-CN"/>
        </w:rPr>
        <w:t>亿</w:t>
      </w:r>
      <w:r w:rsidR="00F4221A">
        <w:rPr>
          <w:rFonts w:ascii="华文楷体" w:hAnsi="华文楷体" w:hint="eastAsia"/>
          <w:sz w:val="24"/>
          <w:szCs w:val="24"/>
          <w:lang w:eastAsia="zh-CN"/>
        </w:rPr>
        <w:t>，其中有4000亿MLF到期</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3848B1">
        <w:tblPrEx>
          <w:tblCellMar>
            <w:left w:w="108" w:type="dxa"/>
            <w:right w:w="108" w:type="dxa"/>
          </w:tblCellMar>
        </w:tblPrEx>
        <w:trPr>
          <w:jc w:val="center"/>
        </w:trPr>
        <w:tc>
          <w:tcPr>
            <w:tcW w:w="4939" w:type="dxa"/>
            <w:vAlign w:val="center"/>
          </w:tcPr>
          <w:p w14:paraId="60AEAEDC" w14:textId="02FDFC30" w:rsidR="00E0626C" w:rsidRPr="003C6AC1" w:rsidRDefault="00F4221A" w:rsidP="009A2BA0">
            <w:pPr>
              <w:jc w:val="center"/>
              <w:rPr>
                <w:noProof/>
                <w:sz w:val="20"/>
              </w:rPr>
            </w:pPr>
            <w:r>
              <w:rPr>
                <w:noProof/>
              </w:rPr>
              <w:drawing>
                <wp:inline distT="0" distB="0" distL="0" distR="0" wp14:anchorId="64C08285" wp14:editId="45FFC986">
                  <wp:extent cx="2999105" cy="1765190"/>
                  <wp:effectExtent l="0" t="0" r="0" b="6985"/>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181C4D91" w:rsidR="00E0626C" w:rsidRPr="00F62F43" w:rsidRDefault="003848B1" w:rsidP="009A2BA0">
            <w:pPr>
              <w:jc w:val="center"/>
              <w:rPr>
                <w:noProof/>
                <w:sz w:val="16"/>
                <w:szCs w:val="18"/>
              </w:rPr>
            </w:pPr>
            <w:r>
              <w:rPr>
                <w:noProof/>
              </w:rPr>
              <w:drawing>
                <wp:inline distT="0" distB="0" distL="0" distR="0" wp14:anchorId="10D86030" wp14:editId="47BCE007">
                  <wp:extent cx="2998470" cy="1717841"/>
                  <wp:effectExtent l="0" t="0" r="0" b="0"/>
                  <wp:docPr id="12" name="图表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70004E65"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w:t>
      </w:r>
      <w:r w:rsidR="005A2EBC">
        <w:rPr>
          <w:rFonts w:ascii="华文楷体" w:hAnsi="华文楷体" w:hint="eastAsia"/>
          <w:sz w:val="24"/>
          <w:szCs w:val="24"/>
          <w:lang w:eastAsia="zh-CN"/>
        </w:rPr>
        <w:t>利率</w:t>
      </w:r>
      <w:proofErr w:type="gramStart"/>
      <w:r w:rsidR="005A2EBC">
        <w:rPr>
          <w:rFonts w:ascii="华文楷体" w:hAnsi="华文楷体"/>
          <w:sz w:val="24"/>
          <w:szCs w:val="24"/>
          <w:lang w:eastAsia="zh-CN"/>
        </w:rPr>
        <w:t>债</w:t>
      </w:r>
      <w:r w:rsidR="00807490">
        <w:rPr>
          <w:rFonts w:ascii="华文楷体" w:hAnsi="华文楷体" w:hint="eastAsia"/>
          <w:sz w:val="24"/>
          <w:szCs w:val="24"/>
          <w:lang w:eastAsia="zh-CN"/>
        </w:rPr>
        <w:t>情绪</w:t>
      </w:r>
      <w:proofErr w:type="gramEnd"/>
      <w:r w:rsidR="003848B1">
        <w:rPr>
          <w:rFonts w:ascii="华文楷体" w:hAnsi="华文楷体" w:hint="eastAsia"/>
          <w:sz w:val="24"/>
          <w:szCs w:val="24"/>
          <w:lang w:eastAsia="zh-CN"/>
        </w:rPr>
        <w:t>相对平稳</w:t>
      </w:r>
      <w:r w:rsidR="00A327C0">
        <w:rPr>
          <w:rFonts w:ascii="华文楷体" w:hAnsi="华文楷体" w:hint="eastAsia"/>
          <w:sz w:val="24"/>
          <w:szCs w:val="24"/>
          <w:lang w:eastAsia="zh-CN"/>
        </w:rPr>
        <w:t>，</w:t>
      </w:r>
      <w:r w:rsidR="003848B1">
        <w:rPr>
          <w:rFonts w:ascii="华文楷体" w:hAnsi="华文楷体" w:hint="eastAsia"/>
          <w:sz w:val="24"/>
          <w:szCs w:val="24"/>
          <w:lang w:eastAsia="zh-CN"/>
        </w:rPr>
        <w:t>长</w:t>
      </w:r>
      <w:proofErr w:type="gramStart"/>
      <w:r w:rsidR="003848B1">
        <w:rPr>
          <w:rFonts w:ascii="华文楷体" w:hAnsi="华文楷体" w:hint="eastAsia"/>
          <w:sz w:val="24"/>
          <w:szCs w:val="24"/>
          <w:lang w:eastAsia="zh-CN"/>
        </w:rPr>
        <w:t>端表现</w:t>
      </w:r>
      <w:proofErr w:type="gramEnd"/>
      <w:r w:rsidR="003848B1">
        <w:rPr>
          <w:rFonts w:ascii="华文楷体" w:hAnsi="华文楷体" w:hint="eastAsia"/>
          <w:sz w:val="24"/>
          <w:szCs w:val="24"/>
          <w:lang w:eastAsia="zh-CN"/>
        </w:rPr>
        <w:t>亮眼，一级市场情绪基本延续前期表现</w:t>
      </w:r>
      <w:r w:rsidR="00F62F43">
        <w:rPr>
          <w:rFonts w:ascii="华文楷体" w:hAnsi="华文楷体" w:hint="eastAsia"/>
          <w:sz w:val="24"/>
          <w:szCs w:val="24"/>
          <w:lang w:eastAsia="zh-CN"/>
        </w:rPr>
        <w:t>，国债曲线</w:t>
      </w:r>
      <w:r w:rsidR="003848B1">
        <w:rPr>
          <w:rFonts w:ascii="华文楷体" w:hAnsi="华文楷体" w:hint="eastAsia"/>
          <w:sz w:val="24"/>
          <w:szCs w:val="24"/>
          <w:lang w:eastAsia="zh-CN"/>
        </w:rPr>
        <w:t>3Y以上品种适度</w:t>
      </w:r>
      <w:r w:rsidR="00575E0D">
        <w:rPr>
          <w:rFonts w:ascii="华文楷体" w:hAnsi="华文楷体" w:hint="eastAsia"/>
          <w:sz w:val="24"/>
          <w:szCs w:val="24"/>
          <w:lang w:eastAsia="zh-CN"/>
        </w:rPr>
        <w:t>下行</w:t>
      </w:r>
      <w:r w:rsidR="00807490">
        <w:rPr>
          <w:rFonts w:ascii="华文楷体" w:hAnsi="华文楷体" w:hint="eastAsia"/>
          <w:sz w:val="24"/>
          <w:szCs w:val="24"/>
          <w:lang w:eastAsia="zh-CN"/>
        </w:rPr>
        <w:t>。</w:t>
      </w:r>
      <w:r w:rsidR="00A327C0">
        <w:rPr>
          <w:rFonts w:ascii="华文楷体" w:hAnsi="华文楷体" w:hint="eastAsia"/>
          <w:sz w:val="24"/>
          <w:szCs w:val="24"/>
          <w:lang w:eastAsia="zh-CN"/>
        </w:rPr>
        <w:t>期限利差</w:t>
      </w:r>
      <w:r w:rsidR="003848B1">
        <w:rPr>
          <w:rFonts w:ascii="华文楷体" w:hAnsi="华文楷体" w:hint="eastAsia"/>
          <w:sz w:val="24"/>
          <w:szCs w:val="24"/>
          <w:lang w:eastAsia="zh-CN"/>
        </w:rPr>
        <w:t>较前期低位小幅下行</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3848B1">
        <w:rPr>
          <w:rFonts w:ascii="华文楷体" w:hAnsi="华文楷体" w:hint="eastAsia"/>
          <w:sz w:val="24"/>
          <w:szCs w:val="24"/>
          <w:lang w:eastAsia="zh-CN"/>
        </w:rPr>
        <w:t>45</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575E0D">
        <w:rPr>
          <w:rFonts w:ascii="华文楷体" w:hAnsi="华文楷体" w:hint="eastAsia"/>
          <w:sz w:val="24"/>
          <w:szCs w:val="24"/>
          <w:lang w:eastAsia="zh-CN"/>
        </w:rPr>
        <w:t>8</w:t>
      </w:r>
      <w:r w:rsidR="003848B1">
        <w:rPr>
          <w:rFonts w:ascii="华文楷体" w:hAnsi="华文楷体" w:hint="eastAsia"/>
          <w:sz w:val="24"/>
          <w:szCs w:val="24"/>
          <w:lang w:eastAsia="zh-CN"/>
        </w:rPr>
        <w:t>1</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575E0D">
        <w:rPr>
          <w:rFonts w:ascii="华文楷体" w:hAnsi="华文楷体" w:hint="eastAsia"/>
          <w:sz w:val="24"/>
          <w:szCs w:val="24"/>
          <w:lang w:eastAsia="zh-CN"/>
        </w:rPr>
        <w:t>下行</w:t>
      </w:r>
      <w:r w:rsidR="003848B1">
        <w:rPr>
          <w:rFonts w:ascii="华文楷体" w:hAnsi="华文楷体" w:hint="eastAsia"/>
          <w:sz w:val="24"/>
          <w:szCs w:val="24"/>
          <w:lang w:eastAsia="zh-CN"/>
        </w:rPr>
        <w:t>1</w:t>
      </w:r>
      <w:r w:rsidR="00575E0D">
        <w:rPr>
          <w:rFonts w:ascii="华文楷体" w:hAnsi="华文楷体" w:hint="eastAsia"/>
          <w:sz w:val="24"/>
          <w:szCs w:val="24"/>
          <w:lang w:eastAsia="zh-CN"/>
        </w:rPr>
        <w:t>.5</w:t>
      </w:r>
      <w:r w:rsidR="0092340D">
        <w:rPr>
          <w:rFonts w:ascii="华文楷体" w:hAnsi="华文楷体" w:hint="eastAsia"/>
          <w:sz w:val="24"/>
          <w:szCs w:val="24"/>
          <w:lang w:eastAsia="zh-CN"/>
        </w:rPr>
        <w:t>BP，10Y</w:t>
      </w:r>
      <w:r w:rsidR="00202D86">
        <w:rPr>
          <w:rFonts w:ascii="华文楷体" w:hAnsi="华文楷体" w:hint="eastAsia"/>
          <w:sz w:val="24"/>
          <w:szCs w:val="24"/>
          <w:lang w:eastAsia="zh-CN"/>
        </w:rPr>
        <w:t>国开</w:t>
      </w:r>
      <w:r w:rsidR="00575E0D">
        <w:rPr>
          <w:rFonts w:ascii="华文楷体" w:hAnsi="华文楷体" w:hint="eastAsia"/>
          <w:sz w:val="24"/>
          <w:szCs w:val="24"/>
          <w:lang w:eastAsia="zh-CN"/>
        </w:rPr>
        <w:t>下行</w:t>
      </w:r>
      <w:r w:rsidR="003848B1">
        <w:rPr>
          <w:rFonts w:ascii="华文楷体" w:hAnsi="华文楷体" w:hint="eastAsia"/>
          <w:sz w:val="24"/>
          <w:szCs w:val="24"/>
          <w:lang w:eastAsia="zh-CN"/>
        </w:rPr>
        <w:t>6</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和国债利差修复至48BP</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3848B1">
        <w:tblPrEx>
          <w:tblCellMar>
            <w:left w:w="108" w:type="dxa"/>
            <w:right w:w="108" w:type="dxa"/>
          </w:tblCellMar>
        </w:tblPrEx>
        <w:trPr>
          <w:jc w:val="center"/>
        </w:trPr>
        <w:tc>
          <w:tcPr>
            <w:tcW w:w="4939" w:type="dxa"/>
            <w:vAlign w:val="center"/>
          </w:tcPr>
          <w:p w14:paraId="678C97B0" w14:textId="050019DD" w:rsidR="00E0626C" w:rsidRPr="007E0340" w:rsidRDefault="003848B1" w:rsidP="002104B2">
            <w:pPr>
              <w:rPr>
                <w:noProof/>
              </w:rPr>
            </w:pPr>
            <w:r>
              <w:rPr>
                <w:noProof/>
              </w:rPr>
              <w:drawing>
                <wp:inline distT="0" distB="0" distL="0" distR="0" wp14:anchorId="6FECEE67" wp14:editId="145B18A3">
                  <wp:extent cx="2999105" cy="1710939"/>
                  <wp:effectExtent l="0" t="0" r="0" b="3810"/>
                  <wp:docPr id="13" name="图表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6F1F3D59" w:rsidR="00E0626C" w:rsidRPr="007E0340" w:rsidRDefault="003848B1" w:rsidP="009A2BA0">
            <w:pPr>
              <w:jc w:val="center"/>
              <w:rPr>
                <w:noProof/>
                <w:szCs w:val="18"/>
              </w:rPr>
            </w:pPr>
            <w:r>
              <w:rPr>
                <w:noProof/>
              </w:rPr>
              <w:drawing>
                <wp:inline distT="0" distB="0" distL="0" distR="0" wp14:anchorId="1C817A11" wp14:editId="7825A96A">
                  <wp:extent cx="2998470" cy="1749286"/>
                  <wp:effectExtent l="0" t="0" r="0" b="3810"/>
                  <wp:docPr id="14" name="图表 1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4F0334F6" w:rsidR="007A3F0D" w:rsidRPr="00AC2976" w:rsidRDefault="004C6CBF" w:rsidP="00305223">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05223" w:rsidRPr="00305223">
        <w:rPr>
          <w:rFonts w:ascii="华文楷体" w:hAnsi="华文楷体" w:hint="eastAsia"/>
          <w:sz w:val="24"/>
          <w:szCs w:val="24"/>
          <w:lang w:eastAsia="zh-CN"/>
        </w:rPr>
        <w:t>信用债</w:t>
      </w:r>
      <w:r>
        <w:rPr>
          <w:rFonts w:ascii="华文楷体" w:hAnsi="华文楷体" w:hint="eastAsia"/>
          <w:sz w:val="24"/>
          <w:szCs w:val="24"/>
          <w:lang w:eastAsia="zh-CN"/>
        </w:rPr>
        <w:t>表现</w:t>
      </w:r>
      <w:r w:rsidR="00305223" w:rsidRPr="00305223">
        <w:rPr>
          <w:rFonts w:ascii="华文楷体" w:hAnsi="华文楷体" w:hint="eastAsia"/>
          <w:sz w:val="24"/>
          <w:szCs w:val="24"/>
          <w:lang w:eastAsia="zh-CN"/>
        </w:rPr>
        <w:t>，</w:t>
      </w:r>
      <w:r w:rsidR="00F62F43">
        <w:rPr>
          <w:rFonts w:ascii="华文楷体" w:hAnsi="华文楷体" w:hint="eastAsia"/>
          <w:sz w:val="24"/>
          <w:szCs w:val="24"/>
          <w:lang w:eastAsia="zh-CN"/>
        </w:rPr>
        <w:t>本周信用债表现</w:t>
      </w:r>
      <w:r w:rsidR="00851C6B">
        <w:rPr>
          <w:rFonts w:ascii="华文楷体" w:hAnsi="华文楷体" w:hint="eastAsia"/>
          <w:sz w:val="24"/>
          <w:szCs w:val="24"/>
          <w:lang w:eastAsia="zh-CN"/>
        </w:rPr>
        <w:t>平平</w:t>
      </w:r>
      <w:r w:rsidR="00F62F43">
        <w:rPr>
          <w:rFonts w:ascii="华文楷体" w:hAnsi="华文楷体" w:hint="eastAsia"/>
          <w:sz w:val="24"/>
          <w:szCs w:val="24"/>
          <w:lang w:eastAsia="zh-CN"/>
        </w:rPr>
        <w:t>，</w:t>
      </w:r>
      <w:r w:rsidR="00851C6B">
        <w:rPr>
          <w:rFonts w:ascii="华文楷体" w:hAnsi="华文楷体" w:hint="eastAsia"/>
          <w:sz w:val="24"/>
          <w:szCs w:val="24"/>
          <w:lang w:eastAsia="zh-CN"/>
        </w:rPr>
        <w:t>5</w:t>
      </w:r>
      <w:r w:rsidR="003222EA">
        <w:rPr>
          <w:rFonts w:ascii="华文楷体" w:hAnsi="华文楷体" w:hint="eastAsia"/>
          <w:sz w:val="24"/>
          <w:szCs w:val="24"/>
          <w:lang w:eastAsia="zh-CN"/>
        </w:rPr>
        <w:t>年中高等级</w:t>
      </w:r>
      <w:r w:rsidR="00851C6B">
        <w:rPr>
          <w:rFonts w:ascii="华文楷体" w:hAnsi="华文楷体" w:hint="eastAsia"/>
          <w:sz w:val="24"/>
          <w:szCs w:val="24"/>
          <w:lang w:eastAsia="zh-CN"/>
        </w:rPr>
        <w:t>城头债小幅上行</w:t>
      </w:r>
      <w:r w:rsidR="00115834">
        <w:rPr>
          <w:rFonts w:ascii="华文楷体" w:hAnsi="华文楷体" w:hint="eastAsia"/>
          <w:sz w:val="24"/>
          <w:szCs w:val="24"/>
          <w:lang w:eastAsia="zh-CN"/>
        </w:rPr>
        <w:t>。</w:t>
      </w:r>
      <w:r w:rsidR="00E817DF">
        <w:rPr>
          <w:rFonts w:ascii="华文楷体" w:hAnsi="华文楷体" w:hint="eastAsia"/>
          <w:sz w:val="24"/>
          <w:szCs w:val="24"/>
          <w:lang w:eastAsia="zh-CN"/>
        </w:rPr>
        <w:t>具体</w:t>
      </w:r>
      <w:r w:rsidR="00E817DF">
        <w:rPr>
          <w:rFonts w:ascii="华文楷体" w:hAnsi="华文楷体"/>
          <w:sz w:val="24"/>
          <w:szCs w:val="24"/>
          <w:lang w:eastAsia="zh-CN"/>
        </w:rPr>
        <w:t>来看，</w:t>
      </w:r>
      <w:r w:rsidR="00E817DF">
        <w:rPr>
          <w:rFonts w:ascii="华文楷体" w:hAnsi="华文楷体" w:hint="eastAsia"/>
          <w:sz w:val="24"/>
          <w:szCs w:val="24"/>
          <w:lang w:eastAsia="zh-CN"/>
        </w:rPr>
        <w:t>本周</w:t>
      </w:r>
      <w:r w:rsidR="00305223" w:rsidRPr="00305223">
        <w:rPr>
          <w:rFonts w:ascii="华文楷体" w:hAnsi="华文楷体" w:hint="eastAsia"/>
          <w:sz w:val="24"/>
          <w:szCs w:val="24"/>
          <w:lang w:eastAsia="zh-CN"/>
        </w:rPr>
        <w:t>中</w:t>
      </w:r>
      <w:r w:rsidR="00851C6B">
        <w:rPr>
          <w:rFonts w:ascii="华文楷体" w:hAnsi="华文楷体" w:hint="eastAsia"/>
          <w:sz w:val="24"/>
          <w:szCs w:val="24"/>
          <w:lang w:eastAsia="zh-CN"/>
        </w:rPr>
        <w:t>短期票据</w:t>
      </w:r>
      <w:r w:rsidR="006B343C">
        <w:rPr>
          <w:rFonts w:ascii="华文楷体" w:hAnsi="华文楷体" w:hint="eastAsia"/>
          <w:sz w:val="24"/>
          <w:szCs w:val="24"/>
          <w:lang w:eastAsia="zh-CN"/>
        </w:rPr>
        <w:t>，</w:t>
      </w:r>
      <w:proofErr w:type="gramStart"/>
      <w:r w:rsidR="00851C6B">
        <w:rPr>
          <w:rFonts w:ascii="华文楷体" w:hAnsi="华文楷体" w:hint="eastAsia"/>
          <w:sz w:val="24"/>
          <w:szCs w:val="24"/>
          <w:lang w:eastAsia="zh-CN"/>
        </w:rPr>
        <w:t>短融品种</w:t>
      </w:r>
      <w:proofErr w:type="gramEnd"/>
      <w:r w:rsidR="00851C6B">
        <w:rPr>
          <w:rFonts w:ascii="华文楷体" w:hAnsi="华文楷体" w:hint="eastAsia"/>
          <w:sz w:val="24"/>
          <w:szCs w:val="24"/>
          <w:lang w:eastAsia="zh-CN"/>
        </w:rPr>
        <w:t>调整幅度较大，主要受到资金面扰动影响，上行5-10BP；其他期限品种表现相对较平稳。</w:t>
      </w:r>
      <w:r w:rsidR="007275B2">
        <w:rPr>
          <w:rFonts w:ascii="华文楷体" w:hAnsi="华文楷体" w:hint="eastAsia"/>
          <w:sz w:val="24"/>
          <w:szCs w:val="24"/>
          <w:lang w:eastAsia="zh-CN"/>
        </w:rPr>
        <w:t>收益率绝对水平来看，本周各期限品种</w:t>
      </w:r>
      <w:r w:rsidR="008D33AB">
        <w:rPr>
          <w:rFonts w:ascii="华文楷体" w:hAnsi="华文楷体" w:hint="eastAsia"/>
          <w:sz w:val="24"/>
          <w:szCs w:val="24"/>
          <w:lang w:eastAsia="zh-CN"/>
        </w:rPr>
        <w:t>仍大体维持在</w:t>
      </w:r>
      <w:r w:rsidR="00851C6B">
        <w:rPr>
          <w:rFonts w:ascii="华文楷体" w:hAnsi="华文楷体" w:hint="eastAsia"/>
          <w:sz w:val="24"/>
          <w:szCs w:val="24"/>
          <w:lang w:eastAsia="zh-CN"/>
        </w:rPr>
        <w:t>20</w:t>
      </w:r>
      <w:r w:rsidR="003222EA">
        <w:rPr>
          <w:rFonts w:ascii="华文楷体" w:hAnsi="华文楷体" w:hint="eastAsia"/>
          <w:sz w:val="24"/>
          <w:szCs w:val="24"/>
          <w:lang w:eastAsia="zh-CN"/>
        </w:rPr>
        <w:t>至</w:t>
      </w:r>
      <w:r w:rsidR="006B343C">
        <w:rPr>
          <w:rFonts w:ascii="华文楷体" w:hAnsi="华文楷体" w:hint="eastAsia"/>
          <w:sz w:val="24"/>
          <w:szCs w:val="24"/>
          <w:lang w:eastAsia="zh-CN"/>
        </w:rPr>
        <w:t>40分位数，信用品种本周表现稳定，</w:t>
      </w:r>
      <w:r w:rsidR="00851C6B">
        <w:rPr>
          <w:rFonts w:ascii="华文楷体" w:hAnsi="华文楷体" w:hint="eastAsia"/>
          <w:sz w:val="24"/>
          <w:szCs w:val="24"/>
          <w:lang w:eastAsia="zh-CN"/>
        </w:rPr>
        <w:t>关注东北区域债券信用风险事件对后续债市风险偏好的影响</w:t>
      </w:r>
      <w:r w:rsidR="00DF5675">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638"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851C6B" w:rsidRPr="00851C6B" w14:paraId="280A12FA" w14:textId="77777777" w:rsidTr="00851C6B">
              <w:trPr>
                <w:trHeight w:val="285"/>
              </w:trPr>
              <w:tc>
                <w:tcPr>
                  <w:tcW w:w="1316" w:type="dxa"/>
                  <w:tcBorders>
                    <w:top w:val="nil"/>
                    <w:left w:val="nil"/>
                    <w:bottom w:val="single" w:sz="12" w:space="0" w:color="FFFFFF"/>
                    <w:right w:val="single" w:sz="8" w:space="0" w:color="FFFFFF"/>
                  </w:tcBorders>
                  <w:shd w:val="clear" w:color="000000" w:fill="F79646"/>
                  <w:noWrap/>
                  <w:vAlign w:val="center"/>
                  <w:hideMark/>
                </w:tcPr>
                <w:p w14:paraId="5CE5FFC5"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收益率(%)</w:t>
                  </w:r>
                </w:p>
              </w:tc>
              <w:tc>
                <w:tcPr>
                  <w:tcW w:w="899" w:type="dxa"/>
                  <w:tcBorders>
                    <w:top w:val="nil"/>
                    <w:left w:val="nil"/>
                    <w:bottom w:val="single" w:sz="12" w:space="0" w:color="FFFFFF"/>
                    <w:right w:val="single" w:sz="8" w:space="0" w:color="FFFFFF"/>
                  </w:tcBorders>
                  <w:shd w:val="clear" w:color="000000" w:fill="F79646"/>
                  <w:noWrap/>
                  <w:vAlign w:val="center"/>
                  <w:hideMark/>
                </w:tcPr>
                <w:p w14:paraId="7E9221DF"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472A6B23"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415CF2C2"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25D9DC89"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14:paraId="31EE485D"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1D5AF466"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455EB403"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D2CB174"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16A08B3B"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r>
            <w:tr w:rsidR="00851C6B" w:rsidRPr="00851C6B" w14:paraId="6F962EEF" w14:textId="77777777" w:rsidTr="00851C6B">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14:paraId="2586D1AB"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4026669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3.25 </w:t>
                  </w:r>
                </w:p>
              </w:tc>
              <w:tc>
                <w:tcPr>
                  <w:tcW w:w="900" w:type="dxa"/>
                  <w:tcBorders>
                    <w:top w:val="nil"/>
                    <w:left w:val="nil"/>
                    <w:bottom w:val="single" w:sz="8" w:space="0" w:color="FFFFFF"/>
                    <w:right w:val="single" w:sz="8" w:space="0" w:color="FFFFFF"/>
                  </w:tcBorders>
                  <w:shd w:val="clear" w:color="000000" w:fill="FCD5B4"/>
                  <w:noWrap/>
                  <w:vAlign w:val="center"/>
                  <w:hideMark/>
                </w:tcPr>
                <w:p w14:paraId="1C3A5DB0"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3.39 </w:t>
                  </w:r>
                </w:p>
              </w:tc>
              <w:tc>
                <w:tcPr>
                  <w:tcW w:w="900" w:type="dxa"/>
                  <w:tcBorders>
                    <w:top w:val="nil"/>
                    <w:left w:val="nil"/>
                    <w:bottom w:val="single" w:sz="8" w:space="0" w:color="FFFFFF"/>
                    <w:right w:val="single" w:sz="8" w:space="0" w:color="FFFFFF"/>
                  </w:tcBorders>
                  <w:shd w:val="clear" w:color="000000" w:fill="FCD5B4"/>
                  <w:noWrap/>
                  <w:vAlign w:val="center"/>
                  <w:hideMark/>
                </w:tcPr>
                <w:p w14:paraId="0628F09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3.51 </w:t>
                  </w:r>
                </w:p>
              </w:tc>
              <w:tc>
                <w:tcPr>
                  <w:tcW w:w="899" w:type="dxa"/>
                  <w:tcBorders>
                    <w:top w:val="nil"/>
                    <w:left w:val="nil"/>
                    <w:bottom w:val="single" w:sz="8" w:space="0" w:color="FFFFFF"/>
                    <w:right w:val="single" w:sz="8" w:space="0" w:color="FFFFFF"/>
                  </w:tcBorders>
                  <w:shd w:val="clear" w:color="000000" w:fill="FCD5B4"/>
                  <w:noWrap/>
                  <w:vAlign w:val="center"/>
                  <w:hideMark/>
                </w:tcPr>
                <w:p w14:paraId="6BA1DD6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5.59 </w:t>
                  </w:r>
                </w:p>
              </w:tc>
              <w:tc>
                <w:tcPr>
                  <w:tcW w:w="1128" w:type="dxa"/>
                  <w:tcBorders>
                    <w:top w:val="nil"/>
                    <w:left w:val="nil"/>
                    <w:bottom w:val="single" w:sz="8" w:space="0" w:color="FFFFFF"/>
                    <w:right w:val="single" w:sz="8" w:space="0" w:color="FFFFFF"/>
                  </w:tcBorders>
                  <w:shd w:val="clear" w:color="000000" w:fill="FCD5B4"/>
                  <w:noWrap/>
                  <w:vAlign w:val="center"/>
                  <w:hideMark/>
                </w:tcPr>
                <w:p w14:paraId="3BB722B0"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7BBAA05C"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0.52 </w:t>
                  </w:r>
                </w:p>
              </w:tc>
              <w:tc>
                <w:tcPr>
                  <w:tcW w:w="899" w:type="dxa"/>
                  <w:tcBorders>
                    <w:top w:val="nil"/>
                    <w:left w:val="nil"/>
                    <w:bottom w:val="single" w:sz="8" w:space="0" w:color="FFFFFF"/>
                    <w:right w:val="single" w:sz="8" w:space="0" w:color="FFFFFF"/>
                  </w:tcBorders>
                  <w:shd w:val="clear" w:color="000000" w:fill="FCD5B4"/>
                  <w:noWrap/>
                  <w:vAlign w:val="center"/>
                  <w:hideMark/>
                </w:tcPr>
                <w:p w14:paraId="41A6F53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0.66 </w:t>
                  </w:r>
                </w:p>
              </w:tc>
              <w:tc>
                <w:tcPr>
                  <w:tcW w:w="899" w:type="dxa"/>
                  <w:tcBorders>
                    <w:top w:val="nil"/>
                    <w:left w:val="nil"/>
                    <w:bottom w:val="single" w:sz="8" w:space="0" w:color="FFFFFF"/>
                    <w:right w:val="single" w:sz="8" w:space="0" w:color="FFFFFF"/>
                  </w:tcBorders>
                  <w:shd w:val="clear" w:color="000000" w:fill="FCD5B4"/>
                  <w:noWrap/>
                  <w:vAlign w:val="center"/>
                  <w:hideMark/>
                </w:tcPr>
                <w:p w14:paraId="3D1AFCE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0.78 </w:t>
                  </w:r>
                </w:p>
              </w:tc>
              <w:tc>
                <w:tcPr>
                  <w:tcW w:w="899" w:type="dxa"/>
                  <w:tcBorders>
                    <w:top w:val="nil"/>
                    <w:left w:val="nil"/>
                    <w:bottom w:val="single" w:sz="8" w:space="0" w:color="FFFFFF"/>
                    <w:right w:val="single" w:sz="8" w:space="0" w:color="FFFFFF"/>
                  </w:tcBorders>
                  <w:shd w:val="clear" w:color="000000" w:fill="FCD5B4"/>
                  <w:noWrap/>
                  <w:vAlign w:val="center"/>
                  <w:hideMark/>
                </w:tcPr>
                <w:p w14:paraId="4F64F84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2.86 </w:t>
                  </w:r>
                </w:p>
              </w:tc>
            </w:tr>
            <w:tr w:rsidR="00851C6B" w:rsidRPr="00851C6B" w14:paraId="42AD8691"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6F9370EC"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065FEF5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3.66 </w:t>
                  </w:r>
                </w:p>
              </w:tc>
              <w:tc>
                <w:tcPr>
                  <w:tcW w:w="900" w:type="dxa"/>
                  <w:tcBorders>
                    <w:top w:val="nil"/>
                    <w:left w:val="nil"/>
                    <w:bottom w:val="single" w:sz="8" w:space="0" w:color="FFFFFF"/>
                    <w:right w:val="single" w:sz="8" w:space="0" w:color="FFFFFF"/>
                  </w:tcBorders>
                  <w:shd w:val="clear" w:color="000000" w:fill="FDE9D9"/>
                  <w:noWrap/>
                  <w:vAlign w:val="center"/>
                  <w:hideMark/>
                </w:tcPr>
                <w:p w14:paraId="296EB6B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3.81 </w:t>
                  </w:r>
                </w:p>
              </w:tc>
              <w:tc>
                <w:tcPr>
                  <w:tcW w:w="900" w:type="dxa"/>
                  <w:tcBorders>
                    <w:top w:val="nil"/>
                    <w:left w:val="nil"/>
                    <w:bottom w:val="single" w:sz="8" w:space="0" w:color="FFFFFF"/>
                    <w:right w:val="single" w:sz="8" w:space="0" w:color="FFFFFF"/>
                  </w:tcBorders>
                  <w:shd w:val="clear" w:color="000000" w:fill="FDE9D9"/>
                  <w:noWrap/>
                  <w:vAlign w:val="center"/>
                  <w:hideMark/>
                </w:tcPr>
                <w:p w14:paraId="1763CAC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4.01 </w:t>
                  </w:r>
                </w:p>
              </w:tc>
              <w:tc>
                <w:tcPr>
                  <w:tcW w:w="899" w:type="dxa"/>
                  <w:tcBorders>
                    <w:top w:val="nil"/>
                    <w:left w:val="nil"/>
                    <w:bottom w:val="single" w:sz="8" w:space="0" w:color="FFFFFF"/>
                    <w:right w:val="single" w:sz="8" w:space="0" w:color="FFFFFF"/>
                  </w:tcBorders>
                  <w:shd w:val="clear" w:color="000000" w:fill="FDE9D9"/>
                  <w:noWrap/>
                  <w:vAlign w:val="center"/>
                  <w:hideMark/>
                </w:tcPr>
                <w:p w14:paraId="6A67987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6.10 </w:t>
                  </w:r>
                </w:p>
              </w:tc>
              <w:tc>
                <w:tcPr>
                  <w:tcW w:w="1128" w:type="dxa"/>
                  <w:tcBorders>
                    <w:top w:val="nil"/>
                    <w:left w:val="nil"/>
                    <w:bottom w:val="single" w:sz="8" w:space="0" w:color="FFFFFF"/>
                    <w:right w:val="single" w:sz="8" w:space="0" w:color="FFFFFF"/>
                  </w:tcBorders>
                  <w:shd w:val="clear" w:color="000000" w:fill="FDE9D9"/>
                  <w:noWrap/>
                  <w:vAlign w:val="center"/>
                  <w:hideMark/>
                </w:tcPr>
                <w:p w14:paraId="2350514A"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5B4B51B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0.71 </w:t>
                  </w:r>
                </w:p>
              </w:tc>
              <w:tc>
                <w:tcPr>
                  <w:tcW w:w="899" w:type="dxa"/>
                  <w:tcBorders>
                    <w:top w:val="nil"/>
                    <w:left w:val="nil"/>
                    <w:bottom w:val="single" w:sz="8" w:space="0" w:color="FFFFFF"/>
                    <w:right w:val="single" w:sz="8" w:space="0" w:color="FFFFFF"/>
                  </w:tcBorders>
                  <w:shd w:val="clear" w:color="000000" w:fill="FDE9D9"/>
                  <w:noWrap/>
                  <w:vAlign w:val="center"/>
                  <w:hideMark/>
                </w:tcPr>
                <w:p w14:paraId="738B689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0.86 </w:t>
                  </w:r>
                </w:p>
              </w:tc>
              <w:tc>
                <w:tcPr>
                  <w:tcW w:w="899" w:type="dxa"/>
                  <w:tcBorders>
                    <w:top w:val="nil"/>
                    <w:left w:val="nil"/>
                    <w:bottom w:val="single" w:sz="8" w:space="0" w:color="FFFFFF"/>
                    <w:right w:val="single" w:sz="8" w:space="0" w:color="FFFFFF"/>
                  </w:tcBorders>
                  <w:shd w:val="clear" w:color="000000" w:fill="FDE9D9"/>
                  <w:noWrap/>
                  <w:vAlign w:val="center"/>
                  <w:hideMark/>
                </w:tcPr>
                <w:p w14:paraId="4637899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1.06 </w:t>
                  </w:r>
                </w:p>
              </w:tc>
              <w:tc>
                <w:tcPr>
                  <w:tcW w:w="899" w:type="dxa"/>
                  <w:tcBorders>
                    <w:top w:val="nil"/>
                    <w:left w:val="nil"/>
                    <w:bottom w:val="single" w:sz="8" w:space="0" w:color="FFFFFF"/>
                    <w:right w:val="single" w:sz="8" w:space="0" w:color="FFFFFF"/>
                  </w:tcBorders>
                  <w:shd w:val="clear" w:color="000000" w:fill="FDE9D9"/>
                  <w:noWrap/>
                  <w:vAlign w:val="center"/>
                  <w:hideMark/>
                </w:tcPr>
                <w:p w14:paraId="5BA777D8"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3.15 </w:t>
                  </w:r>
                </w:p>
              </w:tc>
            </w:tr>
            <w:tr w:rsidR="00851C6B" w:rsidRPr="00851C6B" w14:paraId="581C0882" w14:textId="77777777" w:rsidTr="00851C6B">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16102E23"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05C6B6C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3.98 </w:t>
                  </w:r>
                </w:p>
              </w:tc>
              <w:tc>
                <w:tcPr>
                  <w:tcW w:w="900" w:type="dxa"/>
                  <w:tcBorders>
                    <w:top w:val="nil"/>
                    <w:left w:val="nil"/>
                    <w:bottom w:val="single" w:sz="8" w:space="0" w:color="FFFFFF"/>
                    <w:right w:val="single" w:sz="8" w:space="0" w:color="FFFFFF"/>
                  </w:tcBorders>
                  <w:shd w:val="clear" w:color="000000" w:fill="FCD5B4"/>
                  <w:noWrap/>
                  <w:vAlign w:val="center"/>
                  <w:hideMark/>
                </w:tcPr>
                <w:p w14:paraId="335FB84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4.17 </w:t>
                  </w:r>
                </w:p>
              </w:tc>
              <w:tc>
                <w:tcPr>
                  <w:tcW w:w="900" w:type="dxa"/>
                  <w:tcBorders>
                    <w:top w:val="nil"/>
                    <w:left w:val="nil"/>
                    <w:bottom w:val="single" w:sz="8" w:space="0" w:color="FFFFFF"/>
                    <w:right w:val="single" w:sz="8" w:space="0" w:color="FFFFFF"/>
                  </w:tcBorders>
                  <w:shd w:val="clear" w:color="000000" w:fill="FCD5B4"/>
                  <w:noWrap/>
                  <w:vAlign w:val="center"/>
                  <w:hideMark/>
                </w:tcPr>
                <w:p w14:paraId="7A2C710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4.53 </w:t>
                  </w:r>
                </w:p>
              </w:tc>
              <w:tc>
                <w:tcPr>
                  <w:tcW w:w="899" w:type="dxa"/>
                  <w:tcBorders>
                    <w:top w:val="nil"/>
                    <w:left w:val="nil"/>
                    <w:bottom w:val="single" w:sz="8" w:space="0" w:color="FFFFFF"/>
                    <w:right w:val="single" w:sz="8" w:space="0" w:color="FFFFFF"/>
                  </w:tcBorders>
                  <w:shd w:val="clear" w:color="000000" w:fill="FCD5B4"/>
                  <w:noWrap/>
                  <w:vAlign w:val="center"/>
                  <w:hideMark/>
                </w:tcPr>
                <w:p w14:paraId="15F8E419"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6.70 </w:t>
                  </w:r>
                </w:p>
              </w:tc>
              <w:tc>
                <w:tcPr>
                  <w:tcW w:w="1128" w:type="dxa"/>
                  <w:tcBorders>
                    <w:top w:val="nil"/>
                    <w:left w:val="nil"/>
                    <w:bottom w:val="single" w:sz="8" w:space="0" w:color="FFFFFF"/>
                    <w:right w:val="single" w:sz="8" w:space="0" w:color="FFFFFF"/>
                  </w:tcBorders>
                  <w:shd w:val="clear" w:color="000000" w:fill="FCD5B4"/>
                  <w:noWrap/>
                  <w:vAlign w:val="center"/>
                  <w:hideMark/>
                </w:tcPr>
                <w:p w14:paraId="085362BC"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01FF7D00"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1.01 </w:t>
                  </w:r>
                </w:p>
              </w:tc>
              <w:tc>
                <w:tcPr>
                  <w:tcW w:w="899" w:type="dxa"/>
                  <w:tcBorders>
                    <w:top w:val="nil"/>
                    <w:left w:val="nil"/>
                    <w:bottom w:val="single" w:sz="8" w:space="0" w:color="FFFFFF"/>
                    <w:right w:val="single" w:sz="8" w:space="0" w:color="FFFFFF"/>
                  </w:tcBorders>
                  <w:shd w:val="clear" w:color="000000" w:fill="FCD5B4"/>
                  <w:noWrap/>
                  <w:vAlign w:val="center"/>
                  <w:hideMark/>
                </w:tcPr>
                <w:p w14:paraId="416B0D0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1.20 </w:t>
                  </w:r>
                </w:p>
              </w:tc>
              <w:tc>
                <w:tcPr>
                  <w:tcW w:w="899" w:type="dxa"/>
                  <w:tcBorders>
                    <w:top w:val="nil"/>
                    <w:left w:val="nil"/>
                    <w:bottom w:val="single" w:sz="8" w:space="0" w:color="FFFFFF"/>
                    <w:right w:val="single" w:sz="8" w:space="0" w:color="FFFFFF"/>
                  </w:tcBorders>
                  <w:shd w:val="clear" w:color="000000" w:fill="FCD5B4"/>
                  <w:noWrap/>
                  <w:vAlign w:val="center"/>
                  <w:hideMark/>
                </w:tcPr>
                <w:p w14:paraId="42E020A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1.56 </w:t>
                  </w:r>
                </w:p>
              </w:tc>
              <w:tc>
                <w:tcPr>
                  <w:tcW w:w="899" w:type="dxa"/>
                  <w:tcBorders>
                    <w:top w:val="nil"/>
                    <w:left w:val="nil"/>
                    <w:bottom w:val="single" w:sz="8" w:space="0" w:color="FFFFFF"/>
                    <w:right w:val="single" w:sz="8" w:space="0" w:color="FFFFFF"/>
                  </w:tcBorders>
                  <w:shd w:val="clear" w:color="000000" w:fill="FCD5B4"/>
                  <w:noWrap/>
                  <w:vAlign w:val="center"/>
                  <w:hideMark/>
                </w:tcPr>
                <w:p w14:paraId="2B50DC3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3.73 </w:t>
                  </w:r>
                </w:p>
              </w:tc>
            </w:tr>
            <w:tr w:rsidR="00851C6B" w:rsidRPr="00851C6B" w14:paraId="52E273C4"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467F52B8"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1D95417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3.65 </w:t>
                  </w:r>
                </w:p>
              </w:tc>
              <w:tc>
                <w:tcPr>
                  <w:tcW w:w="900" w:type="dxa"/>
                  <w:tcBorders>
                    <w:top w:val="nil"/>
                    <w:left w:val="nil"/>
                    <w:bottom w:val="single" w:sz="8" w:space="0" w:color="FFFFFF"/>
                    <w:right w:val="single" w:sz="8" w:space="0" w:color="FFFFFF"/>
                  </w:tcBorders>
                  <w:shd w:val="clear" w:color="000000" w:fill="FDE9D9"/>
                  <w:noWrap/>
                  <w:vAlign w:val="center"/>
                  <w:hideMark/>
                </w:tcPr>
                <w:p w14:paraId="01FD96A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3.80 </w:t>
                  </w:r>
                </w:p>
              </w:tc>
              <w:tc>
                <w:tcPr>
                  <w:tcW w:w="900" w:type="dxa"/>
                  <w:tcBorders>
                    <w:top w:val="nil"/>
                    <w:left w:val="nil"/>
                    <w:bottom w:val="single" w:sz="8" w:space="0" w:color="FFFFFF"/>
                    <w:right w:val="single" w:sz="8" w:space="0" w:color="FFFFFF"/>
                  </w:tcBorders>
                  <w:shd w:val="clear" w:color="000000" w:fill="FDE9D9"/>
                  <w:noWrap/>
                  <w:vAlign w:val="center"/>
                  <w:hideMark/>
                </w:tcPr>
                <w:p w14:paraId="78883F8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4.00 </w:t>
                  </w:r>
                </w:p>
              </w:tc>
              <w:tc>
                <w:tcPr>
                  <w:tcW w:w="899" w:type="dxa"/>
                  <w:tcBorders>
                    <w:top w:val="nil"/>
                    <w:left w:val="nil"/>
                    <w:bottom w:val="single" w:sz="8" w:space="0" w:color="FFFFFF"/>
                    <w:right w:val="single" w:sz="8" w:space="0" w:color="FFFFFF"/>
                  </w:tcBorders>
                  <w:shd w:val="clear" w:color="000000" w:fill="FDE9D9"/>
                  <w:noWrap/>
                  <w:vAlign w:val="center"/>
                  <w:hideMark/>
                </w:tcPr>
                <w:p w14:paraId="1DFA2239"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6.09 </w:t>
                  </w:r>
                </w:p>
              </w:tc>
              <w:tc>
                <w:tcPr>
                  <w:tcW w:w="1128" w:type="dxa"/>
                  <w:tcBorders>
                    <w:top w:val="nil"/>
                    <w:left w:val="nil"/>
                    <w:bottom w:val="single" w:sz="8" w:space="0" w:color="FFFFFF"/>
                    <w:right w:val="single" w:sz="8" w:space="0" w:color="FFFFFF"/>
                  </w:tcBorders>
                  <w:shd w:val="clear" w:color="000000" w:fill="FDE9D9"/>
                  <w:noWrap/>
                  <w:vAlign w:val="center"/>
                  <w:hideMark/>
                </w:tcPr>
                <w:p w14:paraId="1FFF98C9"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2B9513B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0.71 </w:t>
                  </w:r>
                </w:p>
              </w:tc>
              <w:tc>
                <w:tcPr>
                  <w:tcW w:w="899" w:type="dxa"/>
                  <w:tcBorders>
                    <w:top w:val="nil"/>
                    <w:left w:val="nil"/>
                    <w:bottom w:val="single" w:sz="8" w:space="0" w:color="FFFFFF"/>
                    <w:right w:val="single" w:sz="8" w:space="0" w:color="FFFFFF"/>
                  </w:tcBorders>
                  <w:shd w:val="clear" w:color="000000" w:fill="FDE9D9"/>
                  <w:noWrap/>
                  <w:vAlign w:val="center"/>
                  <w:hideMark/>
                </w:tcPr>
                <w:p w14:paraId="11220BE8"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0.86 </w:t>
                  </w:r>
                </w:p>
              </w:tc>
              <w:tc>
                <w:tcPr>
                  <w:tcW w:w="899" w:type="dxa"/>
                  <w:tcBorders>
                    <w:top w:val="nil"/>
                    <w:left w:val="nil"/>
                    <w:bottom w:val="single" w:sz="8" w:space="0" w:color="FFFFFF"/>
                    <w:right w:val="single" w:sz="8" w:space="0" w:color="FFFFFF"/>
                  </w:tcBorders>
                  <w:shd w:val="clear" w:color="000000" w:fill="FDE9D9"/>
                  <w:noWrap/>
                  <w:vAlign w:val="center"/>
                  <w:hideMark/>
                </w:tcPr>
                <w:p w14:paraId="622F6E2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1.06 </w:t>
                  </w:r>
                </w:p>
              </w:tc>
              <w:tc>
                <w:tcPr>
                  <w:tcW w:w="899" w:type="dxa"/>
                  <w:tcBorders>
                    <w:top w:val="nil"/>
                    <w:left w:val="nil"/>
                    <w:bottom w:val="single" w:sz="8" w:space="0" w:color="FFFFFF"/>
                    <w:right w:val="single" w:sz="8" w:space="0" w:color="FFFFFF"/>
                  </w:tcBorders>
                  <w:shd w:val="clear" w:color="000000" w:fill="FDE9D9"/>
                  <w:noWrap/>
                  <w:vAlign w:val="center"/>
                  <w:hideMark/>
                </w:tcPr>
                <w:p w14:paraId="50A1310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3.15 </w:t>
                  </w:r>
                </w:p>
              </w:tc>
            </w:tr>
            <w:tr w:rsidR="00851C6B" w:rsidRPr="00851C6B" w14:paraId="6DADF827" w14:textId="77777777" w:rsidTr="00851C6B">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54801612"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50DB91A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3.98 </w:t>
                  </w:r>
                </w:p>
              </w:tc>
              <w:tc>
                <w:tcPr>
                  <w:tcW w:w="900" w:type="dxa"/>
                  <w:tcBorders>
                    <w:top w:val="nil"/>
                    <w:left w:val="nil"/>
                    <w:bottom w:val="single" w:sz="8" w:space="0" w:color="FFFFFF"/>
                    <w:right w:val="single" w:sz="8" w:space="0" w:color="FFFFFF"/>
                  </w:tcBorders>
                  <w:shd w:val="clear" w:color="000000" w:fill="FCD5B4"/>
                  <w:noWrap/>
                  <w:vAlign w:val="center"/>
                  <w:hideMark/>
                </w:tcPr>
                <w:p w14:paraId="126F505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4.17 </w:t>
                  </w:r>
                </w:p>
              </w:tc>
              <w:tc>
                <w:tcPr>
                  <w:tcW w:w="900" w:type="dxa"/>
                  <w:tcBorders>
                    <w:top w:val="nil"/>
                    <w:left w:val="nil"/>
                    <w:bottom w:val="single" w:sz="8" w:space="0" w:color="FFFFFF"/>
                    <w:right w:val="single" w:sz="8" w:space="0" w:color="FFFFFF"/>
                  </w:tcBorders>
                  <w:shd w:val="clear" w:color="000000" w:fill="FCD5B4"/>
                  <w:noWrap/>
                  <w:vAlign w:val="center"/>
                  <w:hideMark/>
                </w:tcPr>
                <w:p w14:paraId="536AEF6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4.53 </w:t>
                  </w:r>
                </w:p>
              </w:tc>
              <w:tc>
                <w:tcPr>
                  <w:tcW w:w="899" w:type="dxa"/>
                  <w:tcBorders>
                    <w:top w:val="nil"/>
                    <w:left w:val="nil"/>
                    <w:bottom w:val="single" w:sz="8" w:space="0" w:color="FFFFFF"/>
                    <w:right w:val="single" w:sz="8" w:space="0" w:color="FFFFFF"/>
                  </w:tcBorders>
                  <w:shd w:val="clear" w:color="000000" w:fill="FCD5B4"/>
                  <w:noWrap/>
                  <w:vAlign w:val="center"/>
                  <w:hideMark/>
                </w:tcPr>
                <w:p w14:paraId="48701B2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6.70 </w:t>
                  </w:r>
                </w:p>
              </w:tc>
              <w:tc>
                <w:tcPr>
                  <w:tcW w:w="1128" w:type="dxa"/>
                  <w:tcBorders>
                    <w:top w:val="nil"/>
                    <w:left w:val="nil"/>
                    <w:bottom w:val="single" w:sz="8" w:space="0" w:color="FFFFFF"/>
                    <w:right w:val="single" w:sz="8" w:space="0" w:color="FFFFFF"/>
                  </w:tcBorders>
                  <w:shd w:val="clear" w:color="000000" w:fill="FCD5B4"/>
                  <w:noWrap/>
                  <w:vAlign w:val="center"/>
                  <w:hideMark/>
                </w:tcPr>
                <w:p w14:paraId="0FCEE9AF"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0FE7A6BC"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1.01 </w:t>
                  </w:r>
                </w:p>
              </w:tc>
              <w:tc>
                <w:tcPr>
                  <w:tcW w:w="899" w:type="dxa"/>
                  <w:tcBorders>
                    <w:top w:val="nil"/>
                    <w:left w:val="nil"/>
                    <w:bottom w:val="single" w:sz="8" w:space="0" w:color="FFFFFF"/>
                    <w:right w:val="single" w:sz="8" w:space="0" w:color="FFFFFF"/>
                  </w:tcBorders>
                  <w:shd w:val="clear" w:color="000000" w:fill="FCD5B4"/>
                  <w:noWrap/>
                  <w:vAlign w:val="center"/>
                  <w:hideMark/>
                </w:tcPr>
                <w:p w14:paraId="44F42AB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1.20 </w:t>
                  </w:r>
                </w:p>
              </w:tc>
              <w:tc>
                <w:tcPr>
                  <w:tcW w:w="899" w:type="dxa"/>
                  <w:tcBorders>
                    <w:top w:val="nil"/>
                    <w:left w:val="nil"/>
                    <w:bottom w:val="single" w:sz="8" w:space="0" w:color="FFFFFF"/>
                    <w:right w:val="single" w:sz="8" w:space="0" w:color="FFFFFF"/>
                  </w:tcBorders>
                  <w:shd w:val="clear" w:color="000000" w:fill="FCD5B4"/>
                  <w:noWrap/>
                  <w:vAlign w:val="center"/>
                  <w:hideMark/>
                </w:tcPr>
                <w:p w14:paraId="6616FBE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1.56 </w:t>
                  </w:r>
                </w:p>
              </w:tc>
              <w:tc>
                <w:tcPr>
                  <w:tcW w:w="899" w:type="dxa"/>
                  <w:tcBorders>
                    <w:top w:val="nil"/>
                    <w:left w:val="nil"/>
                    <w:bottom w:val="single" w:sz="8" w:space="0" w:color="FFFFFF"/>
                    <w:right w:val="single" w:sz="8" w:space="0" w:color="FFFFFF"/>
                  </w:tcBorders>
                  <w:shd w:val="clear" w:color="000000" w:fill="FCD5B4"/>
                  <w:noWrap/>
                  <w:vAlign w:val="center"/>
                  <w:hideMark/>
                </w:tcPr>
                <w:p w14:paraId="1ACAB5D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3.73 </w:t>
                  </w:r>
                </w:p>
              </w:tc>
            </w:tr>
            <w:tr w:rsidR="00851C6B" w:rsidRPr="00851C6B" w14:paraId="7538A2BE"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4615D938"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4F3B064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4.16 </w:t>
                  </w:r>
                </w:p>
              </w:tc>
              <w:tc>
                <w:tcPr>
                  <w:tcW w:w="900" w:type="dxa"/>
                  <w:tcBorders>
                    <w:top w:val="nil"/>
                    <w:left w:val="nil"/>
                    <w:bottom w:val="single" w:sz="8" w:space="0" w:color="FFFFFF"/>
                    <w:right w:val="single" w:sz="8" w:space="0" w:color="FFFFFF"/>
                  </w:tcBorders>
                  <w:shd w:val="clear" w:color="000000" w:fill="FDE9D9"/>
                  <w:noWrap/>
                  <w:vAlign w:val="center"/>
                  <w:hideMark/>
                </w:tcPr>
                <w:p w14:paraId="266D59F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4.44 </w:t>
                  </w:r>
                </w:p>
              </w:tc>
              <w:tc>
                <w:tcPr>
                  <w:tcW w:w="900" w:type="dxa"/>
                  <w:tcBorders>
                    <w:top w:val="nil"/>
                    <w:left w:val="nil"/>
                    <w:bottom w:val="single" w:sz="8" w:space="0" w:color="FFFFFF"/>
                    <w:right w:val="single" w:sz="8" w:space="0" w:color="FFFFFF"/>
                  </w:tcBorders>
                  <w:shd w:val="clear" w:color="000000" w:fill="FDE9D9"/>
                  <w:noWrap/>
                  <w:vAlign w:val="center"/>
                  <w:hideMark/>
                </w:tcPr>
                <w:p w14:paraId="4C222A9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4.83 </w:t>
                  </w:r>
                </w:p>
              </w:tc>
              <w:tc>
                <w:tcPr>
                  <w:tcW w:w="899" w:type="dxa"/>
                  <w:tcBorders>
                    <w:top w:val="nil"/>
                    <w:left w:val="nil"/>
                    <w:bottom w:val="single" w:sz="8" w:space="0" w:color="FFFFFF"/>
                    <w:right w:val="single" w:sz="8" w:space="0" w:color="FFFFFF"/>
                  </w:tcBorders>
                  <w:shd w:val="clear" w:color="000000" w:fill="FDE9D9"/>
                  <w:noWrap/>
                  <w:vAlign w:val="center"/>
                  <w:hideMark/>
                </w:tcPr>
                <w:p w14:paraId="55C870A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7.01 </w:t>
                  </w:r>
                </w:p>
              </w:tc>
              <w:tc>
                <w:tcPr>
                  <w:tcW w:w="1128" w:type="dxa"/>
                  <w:tcBorders>
                    <w:top w:val="nil"/>
                    <w:left w:val="nil"/>
                    <w:bottom w:val="single" w:sz="8" w:space="0" w:color="FFFFFF"/>
                    <w:right w:val="single" w:sz="8" w:space="0" w:color="FFFFFF"/>
                  </w:tcBorders>
                  <w:shd w:val="clear" w:color="000000" w:fill="FDE9D9"/>
                  <w:noWrap/>
                  <w:vAlign w:val="center"/>
                  <w:hideMark/>
                </w:tcPr>
                <w:p w14:paraId="05962D9B"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6D60479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0.92 </w:t>
                  </w:r>
                </w:p>
              </w:tc>
              <w:tc>
                <w:tcPr>
                  <w:tcW w:w="899" w:type="dxa"/>
                  <w:tcBorders>
                    <w:top w:val="nil"/>
                    <w:left w:val="nil"/>
                    <w:bottom w:val="single" w:sz="8" w:space="0" w:color="FFFFFF"/>
                    <w:right w:val="single" w:sz="8" w:space="0" w:color="FFFFFF"/>
                  </w:tcBorders>
                  <w:shd w:val="clear" w:color="000000" w:fill="FDE9D9"/>
                  <w:noWrap/>
                  <w:vAlign w:val="center"/>
                  <w:hideMark/>
                </w:tcPr>
                <w:p w14:paraId="21A7FD4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1.20 </w:t>
                  </w:r>
                </w:p>
              </w:tc>
              <w:tc>
                <w:tcPr>
                  <w:tcW w:w="899" w:type="dxa"/>
                  <w:tcBorders>
                    <w:top w:val="nil"/>
                    <w:left w:val="nil"/>
                    <w:bottom w:val="single" w:sz="8" w:space="0" w:color="FFFFFF"/>
                    <w:right w:val="single" w:sz="8" w:space="0" w:color="FFFFFF"/>
                  </w:tcBorders>
                  <w:shd w:val="clear" w:color="000000" w:fill="FDE9D9"/>
                  <w:noWrap/>
                  <w:vAlign w:val="center"/>
                  <w:hideMark/>
                </w:tcPr>
                <w:p w14:paraId="44AC1290"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1.59 </w:t>
                  </w:r>
                </w:p>
              </w:tc>
              <w:tc>
                <w:tcPr>
                  <w:tcW w:w="899" w:type="dxa"/>
                  <w:tcBorders>
                    <w:top w:val="nil"/>
                    <w:left w:val="nil"/>
                    <w:bottom w:val="single" w:sz="8" w:space="0" w:color="FFFFFF"/>
                    <w:right w:val="single" w:sz="8" w:space="0" w:color="FFFFFF"/>
                  </w:tcBorders>
                  <w:shd w:val="clear" w:color="000000" w:fill="FDE9D9"/>
                  <w:noWrap/>
                  <w:vAlign w:val="center"/>
                  <w:hideMark/>
                </w:tcPr>
                <w:p w14:paraId="1850F7A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3.77 </w:t>
                  </w:r>
                </w:p>
              </w:tc>
            </w:tr>
            <w:tr w:rsidR="00851C6B" w:rsidRPr="00851C6B" w14:paraId="5B7581E9" w14:textId="77777777" w:rsidTr="00851C6B">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18C84943"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56AF5B1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3.66 </w:t>
                  </w:r>
                </w:p>
              </w:tc>
              <w:tc>
                <w:tcPr>
                  <w:tcW w:w="900" w:type="dxa"/>
                  <w:tcBorders>
                    <w:top w:val="nil"/>
                    <w:left w:val="nil"/>
                    <w:bottom w:val="single" w:sz="8" w:space="0" w:color="FFFFFF"/>
                    <w:right w:val="single" w:sz="8" w:space="0" w:color="FFFFFF"/>
                  </w:tcBorders>
                  <w:shd w:val="clear" w:color="000000" w:fill="FCD5B4"/>
                  <w:noWrap/>
                  <w:vAlign w:val="center"/>
                  <w:hideMark/>
                </w:tcPr>
                <w:p w14:paraId="204673B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3.78 </w:t>
                  </w:r>
                </w:p>
              </w:tc>
              <w:tc>
                <w:tcPr>
                  <w:tcW w:w="900" w:type="dxa"/>
                  <w:tcBorders>
                    <w:top w:val="nil"/>
                    <w:left w:val="nil"/>
                    <w:bottom w:val="single" w:sz="8" w:space="0" w:color="FFFFFF"/>
                    <w:right w:val="single" w:sz="8" w:space="0" w:color="FFFFFF"/>
                  </w:tcBorders>
                  <w:shd w:val="clear" w:color="000000" w:fill="FCD5B4"/>
                  <w:noWrap/>
                  <w:vAlign w:val="center"/>
                  <w:hideMark/>
                </w:tcPr>
                <w:p w14:paraId="49D1548C"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3.93 </w:t>
                  </w:r>
                </w:p>
              </w:tc>
              <w:tc>
                <w:tcPr>
                  <w:tcW w:w="899" w:type="dxa"/>
                  <w:tcBorders>
                    <w:top w:val="nil"/>
                    <w:left w:val="nil"/>
                    <w:bottom w:val="single" w:sz="8" w:space="0" w:color="FFFFFF"/>
                    <w:right w:val="single" w:sz="8" w:space="0" w:color="FFFFFF"/>
                  </w:tcBorders>
                  <w:shd w:val="clear" w:color="000000" w:fill="FCD5B4"/>
                  <w:noWrap/>
                  <w:vAlign w:val="center"/>
                  <w:hideMark/>
                </w:tcPr>
                <w:p w14:paraId="7EA55360"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5.64 </w:t>
                  </w:r>
                </w:p>
              </w:tc>
              <w:tc>
                <w:tcPr>
                  <w:tcW w:w="1128" w:type="dxa"/>
                  <w:tcBorders>
                    <w:top w:val="nil"/>
                    <w:left w:val="nil"/>
                    <w:bottom w:val="single" w:sz="8" w:space="0" w:color="FFFFFF"/>
                    <w:right w:val="single" w:sz="8" w:space="0" w:color="FFFFFF"/>
                  </w:tcBorders>
                  <w:shd w:val="clear" w:color="000000" w:fill="FCD5B4"/>
                  <w:noWrap/>
                  <w:vAlign w:val="center"/>
                  <w:hideMark/>
                </w:tcPr>
                <w:p w14:paraId="277C85E2"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6F28FA4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0.72 </w:t>
                  </w:r>
                </w:p>
              </w:tc>
              <w:tc>
                <w:tcPr>
                  <w:tcW w:w="899" w:type="dxa"/>
                  <w:tcBorders>
                    <w:top w:val="nil"/>
                    <w:left w:val="nil"/>
                    <w:bottom w:val="single" w:sz="8" w:space="0" w:color="FFFFFF"/>
                    <w:right w:val="single" w:sz="8" w:space="0" w:color="FFFFFF"/>
                  </w:tcBorders>
                  <w:shd w:val="clear" w:color="000000" w:fill="FCD5B4"/>
                  <w:noWrap/>
                  <w:vAlign w:val="center"/>
                  <w:hideMark/>
                </w:tcPr>
                <w:p w14:paraId="1215709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0.84 </w:t>
                  </w:r>
                </w:p>
              </w:tc>
              <w:tc>
                <w:tcPr>
                  <w:tcW w:w="899" w:type="dxa"/>
                  <w:tcBorders>
                    <w:top w:val="nil"/>
                    <w:left w:val="nil"/>
                    <w:bottom w:val="single" w:sz="8" w:space="0" w:color="FFFFFF"/>
                    <w:right w:val="single" w:sz="8" w:space="0" w:color="FFFFFF"/>
                  </w:tcBorders>
                  <w:shd w:val="clear" w:color="000000" w:fill="FCD5B4"/>
                  <w:noWrap/>
                  <w:vAlign w:val="center"/>
                  <w:hideMark/>
                </w:tcPr>
                <w:p w14:paraId="5B8C6CA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0.98 </w:t>
                  </w:r>
                </w:p>
              </w:tc>
              <w:tc>
                <w:tcPr>
                  <w:tcW w:w="899" w:type="dxa"/>
                  <w:tcBorders>
                    <w:top w:val="nil"/>
                    <w:left w:val="nil"/>
                    <w:bottom w:val="single" w:sz="8" w:space="0" w:color="FFFFFF"/>
                    <w:right w:val="single" w:sz="8" w:space="0" w:color="FFFFFF"/>
                  </w:tcBorders>
                  <w:shd w:val="clear" w:color="000000" w:fill="FCD5B4"/>
                  <w:noWrap/>
                  <w:vAlign w:val="center"/>
                  <w:hideMark/>
                </w:tcPr>
                <w:p w14:paraId="3532084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2.69 </w:t>
                  </w:r>
                </w:p>
              </w:tc>
            </w:tr>
            <w:tr w:rsidR="00851C6B" w:rsidRPr="00851C6B" w14:paraId="051C7960"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46059EDC"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60AC483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3.99 </w:t>
                  </w:r>
                </w:p>
              </w:tc>
              <w:tc>
                <w:tcPr>
                  <w:tcW w:w="900" w:type="dxa"/>
                  <w:tcBorders>
                    <w:top w:val="nil"/>
                    <w:left w:val="nil"/>
                    <w:bottom w:val="single" w:sz="8" w:space="0" w:color="FFFFFF"/>
                    <w:right w:val="single" w:sz="8" w:space="0" w:color="FFFFFF"/>
                  </w:tcBorders>
                  <w:shd w:val="clear" w:color="000000" w:fill="FDE9D9"/>
                  <w:noWrap/>
                  <w:vAlign w:val="center"/>
                  <w:hideMark/>
                </w:tcPr>
                <w:p w14:paraId="4C5C690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4.11 </w:t>
                  </w:r>
                </w:p>
              </w:tc>
              <w:tc>
                <w:tcPr>
                  <w:tcW w:w="900" w:type="dxa"/>
                  <w:tcBorders>
                    <w:top w:val="nil"/>
                    <w:left w:val="nil"/>
                    <w:bottom w:val="single" w:sz="8" w:space="0" w:color="FFFFFF"/>
                    <w:right w:val="single" w:sz="8" w:space="0" w:color="FFFFFF"/>
                  </w:tcBorders>
                  <w:shd w:val="clear" w:color="000000" w:fill="FDE9D9"/>
                  <w:noWrap/>
                  <w:vAlign w:val="center"/>
                  <w:hideMark/>
                </w:tcPr>
                <w:p w14:paraId="10374BE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4.35 </w:t>
                  </w:r>
                </w:p>
              </w:tc>
              <w:tc>
                <w:tcPr>
                  <w:tcW w:w="899" w:type="dxa"/>
                  <w:tcBorders>
                    <w:top w:val="nil"/>
                    <w:left w:val="nil"/>
                    <w:bottom w:val="single" w:sz="8" w:space="0" w:color="FFFFFF"/>
                    <w:right w:val="single" w:sz="8" w:space="0" w:color="FFFFFF"/>
                  </w:tcBorders>
                  <w:shd w:val="clear" w:color="000000" w:fill="FDE9D9"/>
                  <w:noWrap/>
                  <w:vAlign w:val="center"/>
                  <w:hideMark/>
                </w:tcPr>
                <w:p w14:paraId="3468970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6.57 </w:t>
                  </w:r>
                </w:p>
              </w:tc>
              <w:tc>
                <w:tcPr>
                  <w:tcW w:w="1128" w:type="dxa"/>
                  <w:tcBorders>
                    <w:top w:val="nil"/>
                    <w:left w:val="nil"/>
                    <w:bottom w:val="single" w:sz="8" w:space="0" w:color="FFFFFF"/>
                    <w:right w:val="single" w:sz="8" w:space="0" w:color="FFFFFF"/>
                  </w:tcBorders>
                  <w:shd w:val="clear" w:color="000000" w:fill="FDE9D9"/>
                  <w:noWrap/>
                  <w:vAlign w:val="center"/>
                  <w:hideMark/>
                </w:tcPr>
                <w:p w14:paraId="2B765F14"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772A47F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1.01 </w:t>
                  </w:r>
                </w:p>
              </w:tc>
              <w:tc>
                <w:tcPr>
                  <w:tcW w:w="899" w:type="dxa"/>
                  <w:tcBorders>
                    <w:top w:val="nil"/>
                    <w:left w:val="nil"/>
                    <w:bottom w:val="single" w:sz="8" w:space="0" w:color="FFFFFF"/>
                    <w:right w:val="single" w:sz="8" w:space="0" w:color="FFFFFF"/>
                  </w:tcBorders>
                  <w:shd w:val="clear" w:color="000000" w:fill="FDE9D9"/>
                  <w:noWrap/>
                  <w:vAlign w:val="center"/>
                  <w:hideMark/>
                </w:tcPr>
                <w:p w14:paraId="2C170C4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1.13 </w:t>
                  </w:r>
                </w:p>
              </w:tc>
              <w:tc>
                <w:tcPr>
                  <w:tcW w:w="899" w:type="dxa"/>
                  <w:tcBorders>
                    <w:top w:val="nil"/>
                    <w:left w:val="nil"/>
                    <w:bottom w:val="single" w:sz="8" w:space="0" w:color="FFFFFF"/>
                    <w:right w:val="single" w:sz="8" w:space="0" w:color="FFFFFF"/>
                  </w:tcBorders>
                  <w:shd w:val="clear" w:color="000000" w:fill="FDE9D9"/>
                  <w:noWrap/>
                  <w:vAlign w:val="center"/>
                  <w:hideMark/>
                </w:tcPr>
                <w:p w14:paraId="0B3E8890"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1.38 </w:t>
                  </w:r>
                </w:p>
              </w:tc>
              <w:tc>
                <w:tcPr>
                  <w:tcW w:w="899" w:type="dxa"/>
                  <w:tcBorders>
                    <w:top w:val="nil"/>
                    <w:left w:val="nil"/>
                    <w:bottom w:val="single" w:sz="8" w:space="0" w:color="FFFFFF"/>
                    <w:right w:val="single" w:sz="8" w:space="0" w:color="FFFFFF"/>
                  </w:tcBorders>
                  <w:shd w:val="clear" w:color="000000" w:fill="FDE9D9"/>
                  <w:noWrap/>
                  <w:vAlign w:val="center"/>
                  <w:hideMark/>
                </w:tcPr>
                <w:p w14:paraId="7909B97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3.60 </w:t>
                  </w:r>
                </w:p>
              </w:tc>
            </w:tr>
            <w:tr w:rsidR="00851C6B" w:rsidRPr="00851C6B" w14:paraId="6A93052A" w14:textId="77777777" w:rsidTr="00851C6B">
              <w:trPr>
                <w:trHeight w:val="300"/>
              </w:trPr>
              <w:tc>
                <w:tcPr>
                  <w:tcW w:w="1316" w:type="dxa"/>
                  <w:tcBorders>
                    <w:top w:val="nil"/>
                    <w:left w:val="nil"/>
                    <w:bottom w:val="nil"/>
                    <w:right w:val="nil"/>
                  </w:tcBorders>
                  <w:shd w:val="clear" w:color="000000" w:fill="FCD5B4"/>
                  <w:noWrap/>
                  <w:vAlign w:val="center"/>
                  <w:hideMark/>
                </w:tcPr>
                <w:p w14:paraId="30691072"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49A8C49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4.22 </w:t>
                  </w:r>
                </w:p>
              </w:tc>
              <w:tc>
                <w:tcPr>
                  <w:tcW w:w="900" w:type="dxa"/>
                  <w:tcBorders>
                    <w:top w:val="nil"/>
                    <w:left w:val="nil"/>
                    <w:bottom w:val="single" w:sz="8" w:space="0" w:color="FFFFFF"/>
                    <w:right w:val="single" w:sz="8" w:space="0" w:color="FFFFFF"/>
                  </w:tcBorders>
                  <w:shd w:val="clear" w:color="000000" w:fill="FCD5B4"/>
                  <w:noWrap/>
                  <w:vAlign w:val="center"/>
                  <w:hideMark/>
                </w:tcPr>
                <w:p w14:paraId="6A8A091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4.42 </w:t>
                  </w:r>
                </w:p>
              </w:tc>
              <w:tc>
                <w:tcPr>
                  <w:tcW w:w="900" w:type="dxa"/>
                  <w:tcBorders>
                    <w:top w:val="nil"/>
                    <w:left w:val="nil"/>
                    <w:bottom w:val="single" w:sz="8" w:space="0" w:color="FFFFFF"/>
                    <w:right w:val="single" w:sz="8" w:space="0" w:color="FFFFFF"/>
                  </w:tcBorders>
                  <w:shd w:val="clear" w:color="000000" w:fill="FCD5B4"/>
                  <w:noWrap/>
                  <w:vAlign w:val="center"/>
                  <w:hideMark/>
                </w:tcPr>
                <w:p w14:paraId="4C8C122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4.74 </w:t>
                  </w:r>
                </w:p>
              </w:tc>
              <w:tc>
                <w:tcPr>
                  <w:tcW w:w="899" w:type="dxa"/>
                  <w:tcBorders>
                    <w:top w:val="nil"/>
                    <w:left w:val="nil"/>
                    <w:bottom w:val="single" w:sz="8" w:space="0" w:color="FFFFFF"/>
                    <w:right w:val="single" w:sz="8" w:space="0" w:color="FFFFFF"/>
                  </w:tcBorders>
                  <w:shd w:val="clear" w:color="000000" w:fill="FCD5B4"/>
                  <w:noWrap/>
                  <w:vAlign w:val="center"/>
                  <w:hideMark/>
                </w:tcPr>
                <w:p w14:paraId="34A0FE4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7.12 </w:t>
                  </w:r>
                </w:p>
              </w:tc>
              <w:tc>
                <w:tcPr>
                  <w:tcW w:w="1128" w:type="dxa"/>
                  <w:tcBorders>
                    <w:top w:val="nil"/>
                    <w:left w:val="nil"/>
                    <w:bottom w:val="nil"/>
                    <w:right w:val="nil"/>
                  </w:tcBorders>
                  <w:shd w:val="clear" w:color="000000" w:fill="FCD5B4"/>
                  <w:noWrap/>
                  <w:vAlign w:val="center"/>
                  <w:hideMark/>
                </w:tcPr>
                <w:p w14:paraId="1F4754F7"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0E934E8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0.97 </w:t>
                  </w:r>
                </w:p>
              </w:tc>
              <w:tc>
                <w:tcPr>
                  <w:tcW w:w="899" w:type="dxa"/>
                  <w:tcBorders>
                    <w:top w:val="nil"/>
                    <w:left w:val="nil"/>
                    <w:bottom w:val="single" w:sz="8" w:space="0" w:color="FFFFFF"/>
                    <w:right w:val="single" w:sz="8" w:space="0" w:color="FFFFFF"/>
                  </w:tcBorders>
                  <w:shd w:val="clear" w:color="000000" w:fill="FCD5B4"/>
                  <w:noWrap/>
                  <w:vAlign w:val="center"/>
                  <w:hideMark/>
                </w:tcPr>
                <w:p w14:paraId="4438D08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1.17 </w:t>
                  </w:r>
                </w:p>
              </w:tc>
              <w:tc>
                <w:tcPr>
                  <w:tcW w:w="899" w:type="dxa"/>
                  <w:tcBorders>
                    <w:top w:val="nil"/>
                    <w:left w:val="nil"/>
                    <w:bottom w:val="single" w:sz="8" w:space="0" w:color="FFFFFF"/>
                    <w:right w:val="single" w:sz="8" w:space="0" w:color="FFFFFF"/>
                  </w:tcBorders>
                  <w:shd w:val="clear" w:color="000000" w:fill="FCD5B4"/>
                  <w:noWrap/>
                  <w:vAlign w:val="center"/>
                  <w:hideMark/>
                </w:tcPr>
                <w:p w14:paraId="52A5E24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1.49 </w:t>
                  </w:r>
                </w:p>
              </w:tc>
              <w:tc>
                <w:tcPr>
                  <w:tcW w:w="899" w:type="dxa"/>
                  <w:tcBorders>
                    <w:top w:val="nil"/>
                    <w:left w:val="nil"/>
                    <w:bottom w:val="single" w:sz="8" w:space="0" w:color="FFFFFF"/>
                    <w:right w:val="single" w:sz="8" w:space="0" w:color="FFFFFF"/>
                  </w:tcBorders>
                  <w:shd w:val="clear" w:color="000000" w:fill="FCD5B4"/>
                  <w:noWrap/>
                  <w:vAlign w:val="center"/>
                  <w:hideMark/>
                </w:tcPr>
                <w:p w14:paraId="40E69FF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3.87 </w:t>
                  </w:r>
                </w:p>
              </w:tc>
            </w:tr>
            <w:tr w:rsidR="00851C6B" w:rsidRPr="00851C6B" w14:paraId="6E9571F1" w14:textId="77777777" w:rsidTr="00851C6B">
              <w:trPr>
                <w:trHeight w:val="300"/>
              </w:trPr>
              <w:tc>
                <w:tcPr>
                  <w:tcW w:w="1316" w:type="dxa"/>
                  <w:tcBorders>
                    <w:top w:val="nil"/>
                    <w:left w:val="nil"/>
                    <w:bottom w:val="single" w:sz="12" w:space="0" w:color="FFFFFF"/>
                    <w:right w:val="single" w:sz="8" w:space="0" w:color="FFFFFF"/>
                  </w:tcBorders>
                  <w:shd w:val="clear" w:color="000000" w:fill="F79646"/>
                  <w:noWrap/>
                  <w:vAlign w:val="center"/>
                  <w:hideMark/>
                </w:tcPr>
                <w:p w14:paraId="55D20DE0" w14:textId="77777777" w:rsidR="00851C6B" w:rsidRPr="00851C6B" w:rsidRDefault="00851C6B" w:rsidP="00851C6B">
                  <w:pPr>
                    <w:widowControl/>
                    <w:jc w:val="center"/>
                    <w:rPr>
                      <w:rFonts w:ascii="楷体" w:eastAsia="楷体" w:hAnsi="楷体" w:cs="宋体"/>
                      <w:b/>
                      <w:bCs/>
                      <w:color w:val="FFFFFF"/>
                      <w:kern w:val="0"/>
                      <w:sz w:val="20"/>
                      <w:szCs w:val="20"/>
                    </w:rPr>
                  </w:pPr>
                  <w:proofErr w:type="gramStart"/>
                  <w:r w:rsidRPr="00851C6B">
                    <w:rPr>
                      <w:rFonts w:ascii="楷体" w:eastAsia="楷体" w:hAnsi="楷体" w:cs="宋体" w:hint="eastAsia"/>
                      <w:b/>
                      <w:bCs/>
                      <w:color w:val="FFFFFF"/>
                      <w:kern w:val="0"/>
                      <w:sz w:val="20"/>
                      <w:szCs w:val="20"/>
                    </w:rPr>
                    <w:t>周变化</w:t>
                  </w:r>
                  <w:proofErr w:type="gramEnd"/>
                  <w:r w:rsidRPr="00851C6B">
                    <w:rPr>
                      <w:rFonts w:ascii="楷体" w:eastAsia="楷体" w:hAnsi="楷体" w:cs="宋体" w:hint="eastAsia"/>
                      <w:b/>
                      <w:bCs/>
                      <w:color w:val="FFFFFF"/>
                      <w:kern w:val="0"/>
                      <w:sz w:val="20"/>
                      <w:szCs w:val="20"/>
                    </w:rPr>
                    <w:t>(BP)</w:t>
                  </w:r>
                </w:p>
              </w:tc>
              <w:tc>
                <w:tcPr>
                  <w:tcW w:w="899" w:type="dxa"/>
                  <w:tcBorders>
                    <w:top w:val="nil"/>
                    <w:left w:val="nil"/>
                    <w:bottom w:val="single" w:sz="12" w:space="0" w:color="FFFFFF"/>
                    <w:right w:val="single" w:sz="8" w:space="0" w:color="FFFFFF"/>
                  </w:tcBorders>
                  <w:shd w:val="clear" w:color="000000" w:fill="F79646"/>
                  <w:noWrap/>
                  <w:vAlign w:val="center"/>
                  <w:hideMark/>
                </w:tcPr>
                <w:p w14:paraId="766B2662"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07AC7FE8"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7FB395F5"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278CDE6D"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14:paraId="623DD057"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786E8426"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42D0B13F"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B2C9913"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8F949EA"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r>
            <w:tr w:rsidR="00851C6B" w:rsidRPr="00851C6B" w14:paraId="054D6B9A" w14:textId="77777777" w:rsidTr="00851C6B">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14:paraId="764125E1"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3C57285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8.0 </w:t>
                  </w:r>
                </w:p>
              </w:tc>
              <w:tc>
                <w:tcPr>
                  <w:tcW w:w="900" w:type="dxa"/>
                  <w:tcBorders>
                    <w:top w:val="nil"/>
                    <w:left w:val="nil"/>
                    <w:bottom w:val="single" w:sz="8" w:space="0" w:color="FFFFFF"/>
                    <w:right w:val="single" w:sz="8" w:space="0" w:color="FFFFFF"/>
                  </w:tcBorders>
                  <w:shd w:val="clear" w:color="000000" w:fill="FCD5B4"/>
                  <w:noWrap/>
                  <w:vAlign w:val="center"/>
                  <w:hideMark/>
                </w:tcPr>
                <w:p w14:paraId="76B3785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6.0 </w:t>
                  </w:r>
                </w:p>
              </w:tc>
              <w:tc>
                <w:tcPr>
                  <w:tcW w:w="900" w:type="dxa"/>
                  <w:tcBorders>
                    <w:top w:val="nil"/>
                    <w:left w:val="nil"/>
                    <w:bottom w:val="single" w:sz="8" w:space="0" w:color="FFFFFF"/>
                    <w:right w:val="single" w:sz="8" w:space="0" w:color="FFFFFF"/>
                  </w:tcBorders>
                  <w:shd w:val="clear" w:color="000000" w:fill="FCD5B4"/>
                  <w:noWrap/>
                  <w:vAlign w:val="center"/>
                  <w:hideMark/>
                </w:tcPr>
                <w:p w14:paraId="5E1C2FD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4.0 </w:t>
                  </w:r>
                </w:p>
              </w:tc>
              <w:tc>
                <w:tcPr>
                  <w:tcW w:w="899" w:type="dxa"/>
                  <w:tcBorders>
                    <w:top w:val="nil"/>
                    <w:left w:val="nil"/>
                    <w:bottom w:val="single" w:sz="8" w:space="0" w:color="FFFFFF"/>
                    <w:right w:val="single" w:sz="8" w:space="0" w:color="FFFFFF"/>
                  </w:tcBorders>
                  <w:shd w:val="clear" w:color="000000" w:fill="FCD5B4"/>
                  <w:noWrap/>
                  <w:vAlign w:val="center"/>
                  <w:hideMark/>
                </w:tcPr>
                <w:p w14:paraId="7A6438B9"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4.0 </w:t>
                  </w:r>
                </w:p>
              </w:tc>
              <w:tc>
                <w:tcPr>
                  <w:tcW w:w="1128" w:type="dxa"/>
                  <w:tcBorders>
                    <w:top w:val="nil"/>
                    <w:left w:val="nil"/>
                    <w:bottom w:val="single" w:sz="8" w:space="0" w:color="FFFFFF"/>
                    <w:right w:val="single" w:sz="8" w:space="0" w:color="FFFFFF"/>
                  </w:tcBorders>
                  <w:shd w:val="clear" w:color="000000" w:fill="FCD5B4"/>
                  <w:noWrap/>
                  <w:vAlign w:val="center"/>
                  <w:hideMark/>
                </w:tcPr>
                <w:p w14:paraId="71E10771"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60E76C2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3.5 </w:t>
                  </w:r>
                </w:p>
              </w:tc>
              <w:tc>
                <w:tcPr>
                  <w:tcW w:w="899" w:type="dxa"/>
                  <w:tcBorders>
                    <w:top w:val="nil"/>
                    <w:left w:val="nil"/>
                    <w:bottom w:val="single" w:sz="8" w:space="0" w:color="FFFFFF"/>
                    <w:right w:val="single" w:sz="8" w:space="0" w:color="FFFFFF"/>
                  </w:tcBorders>
                  <w:shd w:val="clear" w:color="000000" w:fill="FCD5B4"/>
                  <w:noWrap/>
                  <w:vAlign w:val="center"/>
                  <w:hideMark/>
                </w:tcPr>
                <w:p w14:paraId="292D79A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1.4 </w:t>
                  </w:r>
                </w:p>
              </w:tc>
              <w:tc>
                <w:tcPr>
                  <w:tcW w:w="899" w:type="dxa"/>
                  <w:tcBorders>
                    <w:top w:val="nil"/>
                    <w:left w:val="nil"/>
                    <w:bottom w:val="single" w:sz="8" w:space="0" w:color="FFFFFF"/>
                    <w:right w:val="single" w:sz="8" w:space="0" w:color="FFFFFF"/>
                  </w:tcBorders>
                  <w:shd w:val="clear" w:color="000000" w:fill="FCD5B4"/>
                  <w:noWrap/>
                  <w:vAlign w:val="center"/>
                  <w:hideMark/>
                </w:tcPr>
                <w:p w14:paraId="50A1A35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-0.6 </w:t>
                  </w:r>
                </w:p>
              </w:tc>
              <w:tc>
                <w:tcPr>
                  <w:tcW w:w="899" w:type="dxa"/>
                  <w:tcBorders>
                    <w:top w:val="nil"/>
                    <w:left w:val="nil"/>
                    <w:bottom w:val="single" w:sz="8" w:space="0" w:color="FFFFFF"/>
                    <w:right w:val="single" w:sz="8" w:space="0" w:color="FFFFFF"/>
                  </w:tcBorders>
                  <w:shd w:val="clear" w:color="000000" w:fill="FCD5B4"/>
                  <w:noWrap/>
                  <w:vAlign w:val="center"/>
                  <w:hideMark/>
                </w:tcPr>
                <w:p w14:paraId="6403EAA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-0.6 </w:t>
                  </w:r>
                </w:p>
              </w:tc>
            </w:tr>
            <w:tr w:rsidR="00851C6B" w:rsidRPr="00851C6B" w14:paraId="0EA27E8B"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06259424"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6AB0EE7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0.8 </w:t>
                  </w:r>
                </w:p>
              </w:tc>
              <w:tc>
                <w:tcPr>
                  <w:tcW w:w="900" w:type="dxa"/>
                  <w:tcBorders>
                    <w:top w:val="nil"/>
                    <w:left w:val="nil"/>
                    <w:bottom w:val="single" w:sz="8" w:space="0" w:color="FFFFFF"/>
                    <w:right w:val="single" w:sz="8" w:space="0" w:color="FFFFFF"/>
                  </w:tcBorders>
                  <w:shd w:val="clear" w:color="000000" w:fill="FDE9D9"/>
                  <w:noWrap/>
                  <w:vAlign w:val="center"/>
                  <w:hideMark/>
                </w:tcPr>
                <w:p w14:paraId="20B9065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-1.2 </w:t>
                  </w:r>
                </w:p>
              </w:tc>
              <w:tc>
                <w:tcPr>
                  <w:tcW w:w="900" w:type="dxa"/>
                  <w:tcBorders>
                    <w:top w:val="nil"/>
                    <w:left w:val="nil"/>
                    <w:bottom w:val="single" w:sz="8" w:space="0" w:color="FFFFFF"/>
                    <w:right w:val="single" w:sz="8" w:space="0" w:color="FFFFFF"/>
                  </w:tcBorders>
                  <w:shd w:val="clear" w:color="000000" w:fill="FDE9D9"/>
                  <w:noWrap/>
                  <w:vAlign w:val="center"/>
                  <w:hideMark/>
                </w:tcPr>
                <w:p w14:paraId="75356A3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-2.2 </w:t>
                  </w:r>
                </w:p>
              </w:tc>
              <w:tc>
                <w:tcPr>
                  <w:tcW w:w="899" w:type="dxa"/>
                  <w:tcBorders>
                    <w:top w:val="nil"/>
                    <w:left w:val="nil"/>
                    <w:bottom w:val="single" w:sz="8" w:space="0" w:color="FFFFFF"/>
                    <w:right w:val="single" w:sz="8" w:space="0" w:color="FFFFFF"/>
                  </w:tcBorders>
                  <w:shd w:val="clear" w:color="000000" w:fill="FDE9D9"/>
                  <w:noWrap/>
                  <w:vAlign w:val="center"/>
                  <w:hideMark/>
                </w:tcPr>
                <w:p w14:paraId="1D395AD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-2.2 </w:t>
                  </w:r>
                </w:p>
              </w:tc>
              <w:tc>
                <w:tcPr>
                  <w:tcW w:w="1128" w:type="dxa"/>
                  <w:tcBorders>
                    <w:top w:val="nil"/>
                    <w:left w:val="nil"/>
                    <w:bottom w:val="single" w:sz="8" w:space="0" w:color="FFFFFF"/>
                    <w:right w:val="single" w:sz="8" w:space="0" w:color="FFFFFF"/>
                  </w:tcBorders>
                  <w:shd w:val="clear" w:color="000000" w:fill="FDE9D9"/>
                  <w:noWrap/>
                  <w:vAlign w:val="center"/>
                  <w:hideMark/>
                </w:tcPr>
                <w:p w14:paraId="3C5E91E5"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130FC2F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2.2 </w:t>
                  </w:r>
                </w:p>
              </w:tc>
              <w:tc>
                <w:tcPr>
                  <w:tcW w:w="899" w:type="dxa"/>
                  <w:tcBorders>
                    <w:top w:val="nil"/>
                    <w:left w:val="nil"/>
                    <w:bottom w:val="single" w:sz="8" w:space="0" w:color="FFFFFF"/>
                    <w:right w:val="single" w:sz="8" w:space="0" w:color="FFFFFF"/>
                  </w:tcBorders>
                  <w:shd w:val="clear" w:color="000000" w:fill="FDE9D9"/>
                  <w:noWrap/>
                  <w:vAlign w:val="center"/>
                  <w:hideMark/>
                </w:tcPr>
                <w:p w14:paraId="5EB7C0E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0.2 </w:t>
                  </w:r>
                </w:p>
              </w:tc>
              <w:tc>
                <w:tcPr>
                  <w:tcW w:w="899" w:type="dxa"/>
                  <w:tcBorders>
                    <w:top w:val="nil"/>
                    <w:left w:val="nil"/>
                    <w:bottom w:val="single" w:sz="8" w:space="0" w:color="FFFFFF"/>
                    <w:right w:val="single" w:sz="8" w:space="0" w:color="FFFFFF"/>
                  </w:tcBorders>
                  <w:shd w:val="clear" w:color="000000" w:fill="FDE9D9"/>
                  <w:noWrap/>
                  <w:vAlign w:val="center"/>
                  <w:hideMark/>
                </w:tcPr>
                <w:p w14:paraId="4A70D7E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-0.8 </w:t>
                  </w:r>
                </w:p>
              </w:tc>
              <w:tc>
                <w:tcPr>
                  <w:tcW w:w="899" w:type="dxa"/>
                  <w:tcBorders>
                    <w:top w:val="nil"/>
                    <w:left w:val="nil"/>
                    <w:bottom w:val="single" w:sz="8" w:space="0" w:color="FFFFFF"/>
                    <w:right w:val="single" w:sz="8" w:space="0" w:color="FFFFFF"/>
                  </w:tcBorders>
                  <w:shd w:val="clear" w:color="000000" w:fill="FDE9D9"/>
                  <w:noWrap/>
                  <w:vAlign w:val="center"/>
                  <w:hideMark/>
                </w:tcPr>
                <w:p w14:paraId="6616AAC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-0.8 </w:t>
                  </w:r>
                </w:p>
              </w:tc>
            </w:tr>
            <w:tr w:rsidR="00851C6B" w:rsidRPr="00851C6B" w14:paraId="1571549F" w14:textId="77777777" w:rsidTr="00851C6B">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0ADD63B4"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6A46B59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 </w:t>
                  </w:r>
                </w:p>
              </w:tc>
              <w:tc>
                <w:tcPr>
                  <w:tcW w:w="900" w:type="dxa"/>
                  <w:tcBorders>
                    <w:top w:val="nil"/>
                    <w:left w:val="nil"/>
                    <w:bottom w:val="single" w:sz="8" w:space="0" w:color="FFFFFF"/>
                    <w:right w:val="single" w:sz="8" w:space="0" w:color="FFFFFF"/>
                  </w:tcBorders>
                  <w:shd w:val="clear" w:color="000000" w:fill="FCD5B4"/>
                  <w:noWrap/>
                  <w:vAlign w:val="center"/>
                  <w:hideMark/>
                </w:tcPr>
                <w:p w14:paraId="35B28EAC"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-0.0 </w:t>
                  </w:r>
                </w:p>
              </w:tc>
              <w:tc>
                <w:tcPr>
                  <w:tcW w:w="900" w:type="dxa"/>
                  <w:tcBorders>
                    <w:top w:val="nil"/>
                    <w:left w:val="nil"/>
                    <w:bottom w:val="single" w:sz="8" w:space="0" w:color="FFFFFF"/>
                    <w:right w:val="single" w:sz="8" w:space="0" w:color="FFFFFF"/>
                  </w:tcBorders>
                  <w:shd w:val="clear" w:color="000000" w:fill="FCD5B4"/>
                  <w:noWrap/>
                  <w:vAlign w:val="center"/>
                  <w:hideMark/>
                </w:tcPr>
                <w:p w14:paraId="1E18244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 </w:t>
                  </w:r>
                </w:p>
              </w:tc>
              <w:tc>
                <w:tcPr>
                  <w:tcW w:w="899" w:type="dxa"/>
                  <w:tcBorders>
                    <w:top w:val="nil"/>
                    <w:left w:val="nil"/>
                    <w:bottom w:val="single" w:sz="8" w:space="0" w:color="FFFFFF"/>
                    <w:right w:val="single" w:sz="8" w:space="0" w:color="FFFFFF"/>
                  </w:tcBorders>
                  <w:shd w:val="clear" w:color="000000" w:fill="FCD5B4"/>
                  <w:noWrap/>
                  <w:vAlign w:val="center"/>
                  <w:hideMark/>
                </w:tcPr>
                <w:p w14:paraId="1F341EF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 </w:t>
                  </w:r>
                </w:p>
              </w:tc>
              <w:tc>
                <w:tcPr>
                  <w:tcW w:w="1128" w:type="dxa"/>
                  <w:tcBorders>
                    <w:top w:val="nil"/>
                    <w:left w:val="nil"/>
                    <w:bottom w:val="single" w:sz="8" w:space="0" w:color="FFFFFF"/>
                    <w:right w:val="single" w:sz="8" w:space="0" w:color="FFFFFF"/>
                  </w:tcBorders>
                  <w:shd w:val="clear" w:color="000000" w:fill="FCD5B4"/>
                  <w:noWrap/>
                  <w:vAlign w:val="center"/>
                  <w:hideMark/>
                </w:tcPr>
                <w:p w14:paraId="2D95CB65"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66A8A25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3.4 </w:t>
                  </w:r>
                </w:p>
              </w:tc>
              <w:tc>
                <w:tcPr>
                  <w:tcW w:w="899" w:type="dxa"/>
                  <w:tcBorders>
                    <w:top w:val="nil"/>
                    <w:left w:val="nil"/>
                    <w:bottom w:val="single" w:sz="8" w:space="0" w:color="FFFFFF"/>
                    <w:right w:val="single" w:sz="8" w:space="0" w:color="FFFFFF"/>
                  </w:tcBorders>
                  <w:shd w:val="clear" w:color="000000" w:fill="FCD5B4"/>
                  <w:noWrap/>
                  <w:vAlign w:val="center"/>
                  <w:hideMark/>
                </w:tcPr>
                <w:p w14:paraId="6E694D8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2.4 </w:t>
                  </w:r>
                </w:p>
              </w:tc>
              <w:tc>
                <w:tcPr>
                  <w:tcW w:w="899" w:type="dxa"/>
                  <w:tcBorders>
                    <w:top w:val="nil"/>
                    <w:left w:val="nil"/>
                    <w:bottom w:val="single" w:sz="8" w:space="0" w:color="FFFFFF"/>
                    <w:right w:val="single" w:sz="8" w:space="0" w:color="FFFFFF"/>
                  </w:tcBorders>
                  <w:shd w:val="clear" w:color="000000" w:fill="FCD5B4"/>
                  <w:noWrap/>
                  <w:vAlign w:val="center"/>
                  <w:hideMark/>
                </w:tcPr>
                <w:p w14:paraId="58D0376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3.4 </w:t>
                  </w:r>
                </w:p>
              </w:tc>
              <w:tc>
                <w:tcPr>
                  <w:tcW w:w="899" w:type="dxa"/>
                  <w:tcBorders>
                    <w:top w:val="nil"/>
                    <w:left w:val="nil"/>
                    <w:bottom w:val="single" w:sz="8" w:space="0" w:color="FFFFFF"/>
                    <w:right w:val="single" w:sz="8" w:space="0" w:color="FFFFFF"/>
                  </w:tcBorders>
                  <w:shd w:val="clear" w:color="000000" w:fill="FCD5B4"/>
                  <w:noWrap/>
                  <w:vAlign w:val="center"/>
                  <w:hideMark/>
                </w:tcPr>
                <w:p w14:paraId="46E9E13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3.4 </w:t>
                  </w:r>
                </w:p>
              </w:tc>
            </w:tr>
            <w:tr w:rsidR="00851C6B" w:rsidRPr="00851C6B" w14:paraId="6792CDDB"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37C80B3D"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1063F4D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1.6 </w:t>
                  </w:r>
                </w:p>
              </w:tc>
              <w:tc>
                <w:tcPr>
                  <w:tcW w:w="900" w:type="dxa"/>
                  <w:tcBorders>
                    <w:top w:val="nil"/>
                    <w:left w:val="nil"/>
                    <w:bottom w:val="single" w:sz="8" w:space="0" w:color="FFFFFF"/>
                    <w:right w:val="single" w:sz="8" w:space="0" w:color="FFFFFF"/>
                  </w:tcBorders>
                  <w:shd w:val="clear" w:color="000000" w:fill="FDE9D9"/>
                  <w:noWrap/>
                  <w:vAlign w:val="center"/>
                  <w:hideMark/>
                </w:tcPr>
                <w:p w14:paraId="65B468C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-0.4 </w:t>
                  </w:r>
                </w:p>
              </w:tc>
              <w:tc>
                <w:tcPr>
                  <w:tcW w:w="900" w:type="dxa"/>
                  <w:tcBorders>
                    <w:top w:val="nil"/>
                    <w:left w:val="nil"/>
                    <w:bottom w:val="single" w:sz="8" w:space="0" w:color="FFFFFF"/>
                    <w:right w:val="single" w:sz="8" w:space="0" w:color="FFFFFF"/>
                  </w:tcBorders>
                  <w:shd w:val="clear" w:color="000000" w:fill="FDE9D9"/>
                  <w:noWrap/>
                  <w:vAlign w:val="center"/>
                  <w:hideMark/>
                </w:tcPr>
                <w:p w14:paraId="55241BC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-1.4 </w:t>
                  </w:r>
                </w:p>
              </w:tc>
              <w:tc>
                <w:tcPr>
                  <w:tcW w:w="899" w:type="dxa"/>
                  <w:tcBorders>
                    <w:top w:val="nil"/>
                    <w:left w:val="nil"/>
                    <w:bottom w:val="single" w:sz="8" w:space="0" w:color="FFFFFF"/>
                    <w:right w:val="single" w:sz="8" w:space="0" w:color="FFFFFF"/>
                  </w:tcBorders>
                  <w:shd w:val="clear" w:color="000000" w:fill="FDE9D9"/>
                  <w:noWrap/>
                  <w:vAlign w:val="center"/>
                  <w:hideMark/>
                </w:tcPr>
                <w:p w14:paraId="654B067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-1.4 </w:t>
                  </w:r>
                </w:p>
              </w:tc>
              <w:tc>
                <w:tcPr>
                  <w:tcW w:w="1128" w:type="dxa"/>
                  <w:tcBorders>
                    <w:top w:val="nil"/>
                    <w:left w:val="nil"/>
                    <w:bottom w:val="single" w:sz="8" w:space="0" w:color="FFFFFF"/>
                    <w:right w:val="single" w:sz="8" w:space="0" w:color="FFFFFF"/>
                  </w:tcBorders>
                  <w:shd w:val="clear" w:color="000000" w:fill="FDE9D9"/>
                  <w:noWrap/>
                  <w:vAlign w:val="center"/>
                  <w:hideMark/>
                </w:tcPr>
                <w:p w14:paraId="0A45287B"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1A2EB13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3.0 </w:t>
                  </w:r>
                </w:p>
              </w:tc>
              <w:tc>
                <w:tcPr>
                  <w:tcW w:w="899" w:type="dxa"/>
                  <w:tcBorders>
                    <w:top w:val="nil"/>
                    <w:left w:val="nil"/>
                    <w:bottom w:val="single" w:sz="8" w:space="0" w:color="FFFFFF"/>
                    <w:right w:val="single" w:sz="8" w:space="0" w:color="FFFFFF"/>
                  </w:tcBorders>
                  <w:shd w:val="clear" w:color="000000" w:fill="FDE9D9"/>
                  <w:noWrap/>
                  <w:vAlign w:val="center"/>
                  <w:hideMark/>
                </w:tcPr>
                <w:p w14:paraId="0C50EC6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 </w:t>
                  </w:r>
                </w:p>
              </w:tc>
              <w:tc>
                <w:tcPr>
                  <w:tcW w:w="899" w:type="dxa"/>
                  <w:tcBorders>
                    <w:top w:val="nil"/>
                    <w:left w:val="nil"/>
                    <w:bottom w:val="single" w:sz="8" w:space="0" w:color="FFFFFF"/>
                    <w:right w:val="single" w:sz="8" w:space="0" w:color="FFFFFF"/>
                  </w:tcBorders>
                  <w:shd w:val="clear" w:color="000000" w:fill="FDE9D9"/>
                  <w:noWrap/>
                  <w:vAlign w:val="center"/>
                  <w:hideMark/>
                </w:tcPr>
                <w:p w14:paraId="178A4DC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-0.0 </w:t>
                  </w:r>
                </w:p>
              </w:tc>
              <w:tc>
                <w:tcPr>
                  <w:tcW w:w="899" w:type="dxa"/>
                  <w:tcBorders>
                    <w:top w:val="nil"/>
                    <w:left w:val="nil"/>
                    <w:bottom w:val="single" w:sz="8" w:space="0" w:color="FFFFFF"/>
                    <w:right w:val="single" w:sz="8" w:space="0" w:color="FFFFFF"/>
                  </w:tcBorders>
                  <w:shd w:val="clear" w:color="000000" w:fill="FDE9D9"/>
                  <w:noWrap/>
                  <w:vAlign w:val="center"/>
                  <w:hideMark/>
                </w:tcPr>
                <w:p w14:paraId="2FD7097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-0.0 </w:t>
                  </w:r>
                </w:p>
              </w:tc>
            </w:tr>
            <w:tr w:rsidR="00851C6B" w:rsidRPr="00851C6B" w14:paraId="0FB0D026" w14:textId="77777777" w:rsidTr="00851C6B">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05F02A2C"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698E84C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 </w:t>
                  </w:r>
                </w:p>
              </w:tc>
              <w:tc>
                <w:tcPr>
                  <w:tcW w:w="900" w:type="dxa"/>
                  <w:tcBorders>
                    <w:top w:val="nil"/>
                    <w:left w:val="nil"/>
                    <w:bottom w:val="single" w:sz="8" w:space="0" w:color="FFFFFF"/>
                    <w:right w:val="single" w:sz="8" w:space="0" w:color="FFFFFF"/>
                  </w:tcBorders>
                  <w:shd w:val="clear" w:color="000000" w:fill="FCD5B4"/>
                  <w:noWrap/>
                  <w:vAlign w:val="center"/>
                  <w:hideMark/>
                </w:tcPr>
                <w:p w14:paraId="1B88488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-0.0 </w:t>
                  </w:r>
                </w:p>
              </w:tc>
              <w:tc>
                <w:tcPr>
                  <w:tcW w:w="900" w:type="dxa"/>
                  <w:tcBorders>
                    <w:top w:val="nil"/>
                    <w:left w:val="nil"/>
                    <w:bottom w:val="single" w:sz="8" w:space="0" w:color="FFFFFF"/>
                    <w:right w:val="single" w:sz="8" w:space="0" w:color="FFFFFF"/>
                  </w:tcBorders>
                  <w:shd w:val="clear" w:color="000000" w:fill="FCD5B4"/>
                  <w:noWrap/>
                  <w:vAlign w:val="center"/>
                  <w:hideMark/>
                </w:tcPr>
                <w:p w14:paraId="5653C13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 </w:t>
                  </w:r>
                </w:p>
              </w:tc>
              <w:tc>
                <w:tcPr>
                  <w:tcW w:w="899" w:type="dxa"/>
                  <w:tcBorders>
                    <w:top w:val="nil"/>
                    <w:left w:val="nil"/>
                    <w:bottom w:val="single" w:sz="8" w:space="0" w:color="FFFFFF"/>
                    <w:right w:val="single" w:sz="8" w:space="0" w:color="FFFFFF"/>
                  </w:tcBorders>
                  <w:shd w:val="clear" w:color="000000" w:fill="FCD5B4"/>
                  <w:noWrap/>
                  <w:vAlign w:val="center"/>
                  <w:hideMark/>
                </w:tcPr>
                <w:p w14:paraId="6627D76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 </w:t>
                  </w:r>
                </w:p>
              </w:tc>
              <w:tc>
                <w:tcPr>
                  <w:tcW w:w="1128" w:type="dxa"/>
                  <w:tcBorders>
                    <w:top w:val="nil"/>
                    <w:left w:val="nil"/>
                    <w:bottom w:val="single" w:sz="8" w:space="0" w:color="FFFFFF"/>
                    <w:right w:val="single" w:sz="8" w:space="0" w:color="FFFFFF"/>
                  </w:tcBorders>
                  <w:shd w:val="clear" w:color="000000" w:fill="FCD5B4"/>
                  <w:noWrap/>
                  <w:vAlign w:val="center"/>
                  <w:hideMark/>
                </w:tcPr>
                <w:p w14:paraId="217EAF3C"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1415421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3.4 </w:t>
                  </w:r>
                </w:p>
              </w:tc>
              <w:tc>
                <w:tcPr>
                  <w:tcW w:w="899" w:type="dxa"/>
                  <w:tcBorders>
                    <w:top w:val="nil"/>
                    <w:left w:val="nil"/>
                    <w:bottom w:val="single" w:sz="8" w:space="0" w:color="FFFFFF"/>
                    <w:right w:val="single" w:sz="8" w:space="0" w:color="FFFFFF"/>
                  </w:tcBorders>
                  <w:shd w:val="clear" w:color="000000" w:fill="FCD5B4"/>
                  <w:noWrap/>
                  <w:vAlign w:val="center"/>
                  <w:hideMark/>
                </w:tcPr>
                <w:p w14:paraId="0E95A6D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2.4 </w:t>
                  </w:r>
                </w:p>
              </w:tc>
              <w:tc>
                <w:tcPr>
                  <w:tcW w:w="899" w:type="dxa"/>
                  <w:tcBorders>
                    <w:top w:val="nil"/>
                    <w:left w:val="nil"/>
                    <w:bottom w:val="single" w:sz="8" w:space="0" w:color="FFFFFF"/>
                    <w:right w:val="single" w:sz="8" w:space="0" w:color="FFFFFF"/>
                  </w:tcBorders>
                  <w:shd w:val="clear" w:color="000000" w:fill="FCD5B4"/>
                  <w:noWrap/>
                  <w:vAlign w:val="center"/>
                  <w:hideMark/>
                </w:tcPr>
                <w:p w14:paraId="1E2ED70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3.4 </w:t>
                  </w:r>
                </w:p>
              </w:tc>
              <w:tc>
                <w:tcPr>
                  <w:tcW w:w="899" w:type="dxa"/>
                  <w:tcBorders>
                    <w:top w:val="nil"/>
                    <w:left w:val="nil"/>
                    <w:bottom w:val="single" w:sz="8" w:space="0" w:color="FFFFFF"/>
                    <w:right w:val="single" w:sz="8" w:space="0" w:color="FFFFFF"/>
                  </w:tcBorders>
                  <w:shd w:val="clear" w:color="000000" w:fill="FCD5B4"/>
                  <w:noWrap/>
                  <w:vAlign w:val="center"/>
                  <w:hideMark/>
                </w:tcPr>
                <w:p w14:paraId="05FB2B17"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3.4 </w:t>
                  </w:r>
                </w:p>
              </w:tc>
            </w:tr>
            <w:tr w:rsidR="00851C6B" w:rsidRPr="00851C6B" w14:paraId="0DD008CA"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0D2DFD87"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3863CE9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 </w:t>
                  </w:r>
                </w:p>
              </w:tc>
              <w:tc>
                <w:tcPr>
                  <w:tcW w:w="900" w:type="dxa"/>
                  <w:tcBorders>
                    <w:top w:val="nil"/>
                    <w:left w:val="nil"/>
                    <w:bottom w:val="single" w:sz="8" w:space="0" w:color="FFFFFF"/>
                    <w:right w:val="single" w:sz="8" w:space="0" w:color="FFFFFF"/>
                  </w:tcBorders>
                  <w:shd w:val="clear" w:color="000000" w:fill="FDE9D9"/>
                  <w:noWrap/>
                  <w:vAlign w:val="center"/>
                  <w:hideMark/>
                </w:tcPr>
                <w:p w14:paraId="67F9CA60"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-1.0 </w:t>
                  </w:r>
                </w:p>
              </w:tc>
              <w:tc>
                <w:tcPr>
                  <w:tcW w:w="900" w:type="dxa"/>
                  <w:tcBorders>
                    <w:top w:val="nil"/>
                    <w:left w:val="nil"/>
                    <w:bottom w:val="single" w:sz="8" w:space="0" w:color="FFFFFF"/>
                    <w:right w:val="single" w:sz="8" w:space="0" w:color="FFFFFF"/>
                  </w:tcBorders>
                  <w:shd w:val="clear" w:color="000000" w:fill="FDE9D9"/>
                  <w:noWrap/>
                  <w:vAlign w:val="center"/>
                  <w:hideMark/>
                </w:tcPr>
                <w:p w14:paraId="74D5BC4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-0.0 </w:t>
                  </w:r>
                </w:p>
              </w:tc>
              <w:tc>
                <w:tcPr>
                  <w:tcW w:w="899" w:type="dxa"/>
                  <w:tcBorders>
                    <w:top w:val="nil"/>
                    <w:left w:val="nil"/>
                    <w:bottom w:val="single" w:sz="8" w:space="0" w:color="FFFFFF"/>
                    <w:right w:val="single" w:sz="8" w:space="0" w:color="FFFFFF"/>
                  </w:tcBorders>
                  <w:shd w:val="clear" w:color="000000" w:fill="FDE9D9"/>
                  <w:noWrap/>
                  <w:vAlign w:val="center"/>
                  <w:hideMark/>
                </w:tcPr>
                <w:p w14:paraId="46A6111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-0.0 </w:t>
                  </w:r>
                </w:p>
              </w:tc>
              <w:tc>
                <w:tcPr>
                  <w:tcW w:w="1128" w:type="dxa"/>
                  <w:tcBorders>
                    <w:top w:val="nil"/>
                    <w:left w:val="nil"/>
                    <w:bottom w:val="single" w:sz="8" w:space="0" w:color="FFFFFF"/>
                    <w:right w:val="single" w:sz="8" w:space="0" w:color="FFFFFF"/>
                  </w:tcBorders>
                  <w:shd w:val="clear" w:color="000000" w:fill="FDE9D9"/>
                  <w:noWrap/>
                  <w:vAlign w:val="center"/>
                  <w:hideMark/>
                </w:tcPr>
                <w:p w14:paraId="6BE9A871"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7DEFED2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1.1 </w:t>
                  </w:r>
                </w:p>
              </w:tc>
              <w:tc>
                <w:tcPr>
                  <w:tcW w:w="899" w:type="dxa"/>
                  <w:tcBorders>
                    <w:top w:val="nil"/>
                    <w:left w:val="nil"/>
                    <w:bottom w:val="single" w:sz="8" w:space="0" w:color="FFFFFF"/>
                    <w:right w:val="single" w:sz="8" w:space="0" w:color="FFFFFF"/>
                  </w:tcBorders>
                  <w:shd w:val="clear" w:color="000000" w:fill="FDE9D9"/>
                  <w:noWrap/>
                  <w:vAlign w:val="center"/>
                  <w:hideMark/>
                </w:tcPr>
                <w:p w14:paraId="78693BB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-0.9 </w:t>
                  </w:r>
                </w:p>
              </w:tc>
              <w:tc>
                <w:tcPr>
                  <w:tcW w:w="899" w:type="dxa"/>
                  <w:tcBorders>
                    <w:top w:val="nil"/>
                    <w:left w:val="nil"/>
                    <w:bottom w:val="single" w:sz="8" w:space="0" w:color="FFFFFF"/>
                    <w:right w:val="single" w:sz="8" w:space="0" w:color="FFFFFF"/>
                  </w:tcBorders>
                  <w:shd w:val="clear" w:color="000000" w:fill="FDE9D9"/>
                  <w:noWrap/>
                  <w:vAlign w:val="center"/>
                  <w:hideMark/>
                </w:tcPr>
                <w:p w14:paraId="7825D4B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0.1 </w:t>
                  </w:r>
                </w:p>
              </w:tc>
              <w:tc>
                <w:tcPr>
                  <w:tcW w:w="899" w:type="dxa"/>
                  <w:tcBorders>
                    <w:top w:val="nil"/>
                    <w:left w:val="nil"/>
                    <w:bottom w:val="single" w:sz="8" w:space="0" w:color="FFFFFF"/>
                    <w:right w:val="single" w:sz="8" w:space="0" w:color="FFFFFF"/>
                  </w:tcBorders>
                  <w:shd w:val="clear" w:color="000000" w:fill="FDE9D9"/>
                  <w:noWrap/>
                  <w:vAlign w:val="center"/>
                  <w:hideMark/>
                </w:tcPr>
                <w:p w14:paraId="5E5F6C7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0.1 </w:t>
                  </w:r>
                </w:p>
              </w:tc>
            </w:tr>
            <w:tr w:rsidR="00851C6B" w:rsidRPr="00851C6B" w14:paraId="39244E51" w14:textId="77777777" w:rsidTr="00851C6B">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00EDE9C7"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422E3A3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-1.0 </w:t>
                  </w:r>
                </w:p>
              </w:tc>
              <w:tc>
                <w:tcPr>
                  <w:tcW w:w="900" w:type="dxa"/>
                  <w:tcBorders>
                    <w:top w:val="nil"/>
                    <w:left w:val="nil"/>
                    <w:bottom w:val="single" w:sz="8" w:space="0" w:color="FFFFFF"/>
                    <w:right w:val="single" w:sz="8" w:space="0" w:color="FFFFFF"/>
                  </w:tcBorders>
                  <w:shd w:val="clear" w:color="000000" w:fill="FCD5B4"/>
                  <w:noWrap/>
                  <w:vAlign w:val="center"/>
                  <w:hideMark/>
                </w:tcPr>
                <w:p w14:paraId="027BBE9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FF0000"/>
                      <w:kern w:val="0"/>
                      <w:szCs w:val="21"/>
                    </w:rPr>
                    <w:t xml:space="preserve">-0.0 </w:t>
                  </w:r>
                </w:p>
              </w:tc>
              <w:tc>
                <w:tcPr>
                  <w:tcW w:w="900" w:type="dxa"/>
                  <w:tcBorders>
                    <w:top w:val="nil"/>
                    <w:left w:val="nil"/>
                    <w:bottom w:val="single" w:sz="8" w:space="0" w:color="FFFFFF"/>
                    <w:right w:val="single" w:sz="8" w:space="0" w:color="FFFFFF"/>
                  </w:tcBorders>
                  <w:shd w:val="clear" w:color="000000" w:fill="FCD5B4"/>
                  <w:noWrap/>
                  <w:vAlign w:val="center"/>
                  <w:hideMark/>
                </w:tcPr>
                <w:p w14:paraId="604BD37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 </w:t>
                  </w:r>
                </w:p>
              </w:tc>
              <w:tc>
                <w:tcPr>
                  <w:tcW w:w="899" w:type="dxa"/>
                  <w:tcBorders>
                    <w:top w:val="nil"/>
                    <w:left w:val="nil"/>
                    <w:bottom w:val="single" w:sz="8" w:space="0" w:color="FFFFFF"/>
                    <w:right w:val="single" w:sz="8" w:space="0" w:color="FFFFFF"/>
                  </w:tcBorders>
                  <w:shd w:val="clear" w:color="000000" w:fill="FCD5B4"/>
                  <w:noWrap/>
                  <w:vAlign w:val="center"/>
                  <w:hideMark/>
                </w:tcPr>
                <w:p w14:paraId="57FD4F6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1.0 </w:t>
                  </w:r>
                </w:p>
              </w:tc>
              <w:tc>
                <w:tcPr>
                  <w:tcW w:w="1128" w:type="dxa"/>
                  <w:tcBorders>
                    <w:top w:val="nil"/>
                    <w:left w:val="nil"/>
                    <w:bottom w:val="single" w:sz="8" w:space="0" w:color="FFFFFF"/>
                    <w:right w:val="single" w:sz="8" w:space="0" w:color="FFFFFF"/>
                  </w:tcBorders>
                  <w:shd w:val="clear" w:color="000000" w:fill="FCD5B4"/>
                  <w:noWrap/>
                  <w:vAlign w:val="center"/>
                  <w:hideMark/>
                </w:tcPr>
                <w:p w14:paraId="2BDD2AD2"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5EC0776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0.4 </w:t>
                  </w:r>
                </w:p>
              </w:tc>
              <w:tc>
                <w:tcPr>
                  <w:tcW w:w="899" w:type="dxa"/>
                  <w:tcBorders>
                    <w:top w:val="nil"/>
                    <w:left w:val="nil"/>
                    <w:bottom w:val="single" w:sz="8" w:space="0" w:color="FFFFFF"/>
                    <w:right w:val="single" w:sz="8" w:space="0" w:color="FFFFFF"/>
                  </w:tcBorders>
                  <w:shd w:val="clear" w:color="000000" w:fill="FCD5B4"/>
                  <w:noWrap/>
                  <w:vAlign w:val="center"/>
                  <w:hideMark/>
                </w:tcPr>
                <w:p w14:paraId="18B2993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1.4 </w:t>
                  </w:r>
                </w:p>
              </w:tc>
              <w:tc>
                <w:tcPr>
                  <w:tcW w:w="899" w:type="dxa"/>
                  <w:tcBorders>
                    <w:top w:val="nil"/>
                    <w:left w:val="nil"/>
                    <w:bottom w:val="single" w:sz="8" w:space="0" w:color="FFFFFF"/>
                    <w:right w:val="single" w:sz="8" w:space="0" w:color="FFFFFF"/>
                  </w:tcBorders>
                  <w:shd w:val="clear" w:color="000000" w:fill="FCD5B4"/>
                  <w:noWrap/>
                  <w:vAlign w:val="center"/>
                  <w:hideMark/>
                </w:tcPr>
                <w:p w14:paraId="16ABCBA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2.4 </w:t>
                  </w:r>
                </w:p>
              </w:tc>
              <w:tc>
                <w:tcPr>
                  <w:tcW w:w="899" w:type="dxa"/>
                  <w:tcBorders>
                    <w:top w:val="nil"/>
                    <w:left w:val="nil"/>
                    <w:bottom w:val="single" w:sz="8" w:space="0" w:color="FFFFFF"/>
                    <w:right w:val="single" w:sz="8" w:space="0" w:color="FFFFFF"/>
                  </w:tcBorders>
                  <w:shd w:val="clear" w:color="000000" w:fill="FCD5B4"/>
                  <w:noWrap/>
                  <w:vAlign w:val="center"/>
                  <w:hideMark/>
                </w:tcPr>
                <w:p w14:paraId="57B0EA9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2.4 </w:t>
                  </w:r>
                </w:p>
              </w:tc>
            </w:tr>
            <w:tr w:rsidR="00851C6B" w:rsidRPr="00851C6B" w14:paraId="670C26C0"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40DD3A64"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0215D45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1.2 </w:t>
                  </w:r>
                </w:p>
              </w:tc>
              <w:tc>
                <w:tcPr>
                  <w:tcW w:w="900" w:type="dxa"/>
                  <w:tcBorders>
                    <w:top w:val="nil"/>
                    <w:left w:val="nil"/>
                    <w:bottom w:val="single" w:sz="8" w:space="0" w:color="FFFFFF"/>
                    <w:right w:val="single" w:sz="8" w:space="0" w:color="FFFFFF"/>
                  </w:tcBorders>
                  <w:shd w:val="clear" w:color="000000" w:fill="FDE9D9"/>
                  <w:noWrap/>
                  <w:vAlign w:val="center"/>
                  <w:hideMark/>
                </w:tcPr>
                <w:p w14:paraId="1A7ECD9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0.2 </w:t>
                  </w:r>
                </w:p>
              </w:tc>
              <w:tc>
                <w:tcPr>
                  <w:tcW w:w="900" w:type="dxa"/>
                  <w:tcBorders>
                    <w:top w:val="nil"/>
                    <w:left w:val="nil"/>
                    <w:bottom w:val="single" w:sz="8" w:space="0" w:color="FFFFFF"/>
                    <w:right w:val="single" w:sz="8" w:space="0" w:color="FFFFFF"/>
                  </w:tcBorders>
                  <w:shd w:val="clear" w:color="000000" w:fill="FDE9D9"/>
                  <w:noWrap/>
                  <w:vAlign w:val="center"/>
                  <w:hideMark/>
                </w:tcPr>
                <w:p w14:paraId="0DA0F89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2.2 </w:t>
                  </w:r>
                </w:p>
              </w:tc>
              <w:tc>
                <w:tcPr>
                  <w:tcW w:w="899" w:type="dxa"/>
                  <w:tcBorders>
                    <w:top w:val="nil"/>
                    <w:left w:val="nil"/>
                    <w:bottom w:val="single" w:sz="8" w:space="0" w:color="FFFFFF"/>
                    <w:right w:val="single" w:sz="8" w:space="0" w:color="FFFFFF"/>
                  </w:tcBorders>
                  <w:shd w:val="clear" w:color="000000" w:fill="FDE9D9"/>
                  <w:noWrap/>
                  <w:vAlign w:val="center"/>
                  <w:hideMark/>
                </w:tcPr>
                <w:p w14:paraId="736E6DB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1.2 </w:t>
                  </w:r>
                </w:p>
              </w:tc>
              <w:tc>
                <w:tcPr>
                  <w:tcW w:w="1128" w:type="dxa"/>
                  <w:tcBorders>
                    <w:top w:val="nil"/>
                    <w:left w:val="nil"/>
                    <w:bottom w:val="single" w:sz="8" w:space="0" w:color="FFFFFF"/>
                    <w:right w:val="single" w:sz="8" w:space="0" w:color="FFFFFF"/>
                  </w:tcBorders>
                  <w:shd w:val="clear" w:color="000000" w:fill="FDE9D9"/>
                  <w:noWrap/>
                  <w:vAlign w:val="center"/>
                  <w:hideMark/>
                </w:tcPr>
                <w:p w14:paraId="6E73AE50"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66F3331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3.7 </w:t>
                  </w:r>
                </w:p>
              </w:tc>
              <w:tc>
                <w:tcPr>
                  <w:tcW w:w="899" w:type="dxa"/>
                  <w:tcBorders>
                    <w:top w:val="nil"/>
                    <w:left w:val="nil"/>
                    <w:bottom w:val="single" w:sz="8" w:space="0" w:color="FFFFFF"/>
                    <w:right w:val="single" w:sz="8" w:space="0" w:color="FFFFFF"/>
                  </w:tcBorders>
                  <w:shd w:val="clear" w:color="000000" w:fill="FDE9D9"/>
                  <w:noWrap/>
                  <w:vAlign w:val="center"/>
                  <w:hideMark/>
                </w:tcPr>
                <w:p w14:paraId="1AFCC9B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2.7 </w:t>
                  </w:r>
                </w:p>
              </w:tc>
              <w:tc>
                <w:tcPr>
                  <w:tcW w:w="899" w:type="dxa"/>
                  <w:tcBorders>
                    <w:top w:val="nil"/>
                    <w:left w:val="nil"/>
                    <w:bottom w:val="single" w:sz="8" w:space="0" w:color="FFFFFF"/>
                    <w:right w:val="single" w:sz="8" w:space="0" w:color="FFFFFF"/>
                  </w:tcBorders>
                  <w:shd w:val="clear" w:color="000000" w:fill="FDE9D9"/>
                  <w:noWrap/>
                  <w:vAlign w:val="center"/>
                  <w:hideMark/>
                </w:tcPr>
                <w:p w14:paraId="6ED30D5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4.7 </w:t>
                  </w:r>
                </w:p>
              </w:tc>
              <w:tc>
                <w:tcPr>
                  <w:tcW w:w="899" w:type="dxa"/>
                  <w:tcBorders>
                    <w:top w:val="nil"/>
                    <w:left w:val="nil"/>
                    <w:bottom w:val="single" w:sz="8" w:space="0" w:color="FFFFFF"/>
                    <w:right w:val="single" w:sz="8" w:space="0" w:color="FFFFFF"/>
                  </w:tcBorders>
                  <w:shd w:val="clear" w:color="000000" w:fill="FDE9D9"/>
                  <w:noWrap/>
                  <w:vAlign w:val="center"/>
                  <w:hideMark/>
                </w:tcPr>
                <w:p w14:paraId="31B4256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3.7 </w:t>
                  </w:r>
                </w:p>
              </w:tc>
            </w:tr>
            <w:tr w:rsidR="00851C6B" w:rsidRPr="00851C6B" w14:paraId="1A7D784C" w14:textId="77777777" w:rsidTr="00851C6B">
              <w:trPr>
                <w:trHeight w:val="300"/>
              </w:trPr>
              <w:tc>
                <w:tcPr>
                  <w:tcW w:w="1316" w:type="dxa"/>
                  <w:tcBorders>
                    <w:top w:val="nil"/>
                    <w:left w:val="nil"/>
                    <w:bottom w:val="nil"/>
                    <w:right w:val="nil"/>
                  </w:tcBorders>
                  <w:shd w:val="clear" w:color="000000" w:fill="FCD5B4"/>
                  <w:noWrap/>
                  <w:vAlign w:val="center"/>
                  <w:hideMark/>
                </w:tcPr>
                <w:p w14:paraId="58378C62"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6611765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1.4 </w:t>
                  </w:r>
                </w:p>
              </w:tc>
              <w:tc>
                <w:tcPr>
                  <w:tcW w:w="900" w:type="dxa"/>
                  <w:tcBorders>
                    <w:top w:val="nil"/>
                    <w:left w:val="nil"/>
                    <w:bottom w:val="single" w:sz="8" w:space="0" w:color="FFFFFF"/>
                    <w:right w:val="single" w:sz="8" w:space="0" w:color="FFFFFF"/>
                  </w:tcBorders>
                  <w:shd w:val="clear" w:color="000000" w:fill="FCD5B4"/>
                  <w:noWrap/>
                  <w:vAlign w:val="center"/>
                  <w:hideMark/>
                </w:tcPr>
                <w:p w14:paraId="46F7147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0.4 </w:t>
                  </w:r>
                </w:p>
              </w:tc>
              <w:tc>
                <w:tcPr>
                  <w:tcW w:w="900" w:type="dxa"/>
                  <w:tcBorders>
                    <w:top w:val="nil"/>
                    <w:left w:val="nil"/>
                    <w:bottom w:val="single" w:sz="8" w:space="0" w:color="FFFFFF"/>
                    <w:right w:val="single" w:sz="8" w:space="0" w:color="FFFFFF"/>
                  </w:tcBorders>
                  <w:shd w:val="clear" w:color="000000" w:fill="FCD5B4"/>
                  <w:noWrap/>
                  <w:vAlign w:val="center"/>
                  <w:hideMark/>
                </w:tcPr>
                <w:p w14:paraId="0FDA1AE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0.4 </w:t>
                  </w:r>
                </w:p>
              </w:tc>
              <w:tc>
                <w:tcPr>
                  <w:tcW w:w="899" w:type="dxa"/>
                  <w:tcBorders>
                    <w:top w:val="nil"/>
                    <w:left w:val="nil"/>
                    <w:bottom w:val="single" w:sz="8" w:space="0" w:color="FFFFFF"/>
                    <w:right w:val="single" w:sz="8" w:space="0" w:color="FFFFFF"/>
                  </w:tcBorders>
                  <w:shd w:val="clear" w:color="000000" w:fill="FCD5B4"/>
                  <w:noWrap/>
                  <w:vAlign w:val="center"/>
                  <w:hideMark/>
                </w:tcPr>
                <w:p w14:paraId="3D464CA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0.4 </w:t>
                  </w:r>
                </w:p>
              </w:tc>
              <w:tc>
                <w:tcPr>
                  <w:tcW w:w="1128" w:type="dxa"/>
                  <w:tcBorders>
                    <w:top w:val="nil"/>
                    <w:left w:val="nil"/>
                    <w:bottom w:val="nil"/>
                    <w:right w:val="nil"/>
                  </w:tcBorders>
                  <w:shd w:val="clear" w:color="000000" w:fill="FCD5B4"/>
                  <w:noWrap/>
                  <w:vAlign w:val="center"/>
                  <w:hideMark/>
                </w:tcPr>
                <w:p w14:paraId="4CF6B858"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300AEB7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1.5 </w:t>
                  </w:r>
                </w:p>
              </w:tc>
              <w:tc>
                <w:tcPr>
                  <w:tcW w:w="899" w:type="dxa"/>
                  <w:tcBorders>
                    <w:top w:val="nil"/>
                    <w:left w:val="nil"/>
                    <w:bottom w:val="single" w:sz="8" w:space="0" w:color="FFFFFF"/>
                    <w:right w:val="single" w:sz="8" w:space="0" w:color="FFFFFF"/>
                  </w:tcBorders>
                  <w:shd w:val="clear" w:color="000000" w:fill="FCD5B4"/>
                  <w:noWrap/>
                  <w:vAlign w:val="center"/>
                  <w:hideMark/>
                </w:tcPr>
                <w:p w14:paraId="2DF86330"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0.5 </w:t>
                  </w:r>
                </w:p>
              </w:tc>
              <w:tc>
                <w:tcPr>
                  <w:tcW w:w="899" w:type="dxa"/>
                  <w:tcBorders>
                    <w:top w:val="nil"/>
                    <w:left w:val="nil"/>
                    <w:bottom w:val="single" w:sz="8" w:space="0" w:color="FFFFFF"/>
                    <w:right w:val="single" w:sz="8" w:space="0" w:color="FFFFFF"/>
                  </w:tcBorders>
                  <w:shd w:val="clear" w:color="000000" w:fill="FCD5B4"/>
                  <w:noWrap/>
                  <w:vAlign w:val="center"/>
                  <w:hideMark/>
                </w:tcPr>
                <w:p w14:paraId="2D02074C"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0.5 </w:t>
                  </w:r>
                </w:p>
              </w:tc>
              <w:tc>
                <w:tcPr>
                  <w:tcW w:w="899" w:type="dxa"/>
                  <w:tcBorders>
                    <w:top w:val="nil"/>
                    <w:left w:val="nil"/>
                    <w:bottom w:val="single" w:sz="8" w:space="0" w:color="FFFFFF"/>
                    <w:right w:val="single" w:sz="8" w:space="0" w:color="FFFFFF"/>
                  </w:tcBorders>
                  <w:shd w:val="clear" w:color="000000" w:fill="FCD5B4"/>
                  <w:noWrap/>
                  <w:vAlign w:val="center"/>
                  <w:hideMark/>
                </w:tcPr>
                <w:p w14:paraId="41DEC6C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 xml:space="preserve">0.5 </w:t>
                  </w:r>
                </w:p>
              </w:tc>
            </w:tr>
            <w:tr w:rsidR="00851C6B" w:rsidRPr="00851C6B" w14:paraId="6226C05A" w14:textId="77777777" w:rsidTr="00851C6B">
              <w:trPr>
                <w:trHeight w:val="300"/>
              </w:trPr>
              <w:tc>
                <w:tcPr>
                  <w:tcW w:w="1316" w:type="dxa"/>
                  <w:tcBorders>
                    <w:top w:val="nil"/>
                    <w:left w:val="nil"/>
                    <w:bottom w:val="single" w:sz="12" w:space="0" w:color="FFFFFF"/>
                    <w:right w:val="single" w:sz="8" w:space="0" w:color="FFFFFF"/>
                  </w:tcBorders>
                  <w:shd w:val="clear" w:color="000000" w:fill="F79646"/>
                  <w:noWrap/>
                  <w:vAlign w:val="center"/>
                  <w:hideMark/>
                </w:tcPr>
                <w:p w14:paraId="6F03564E"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收益率分位</w:t>
                  </w:r>
                </w:p>
              </w:tc>
              <w:tc>
                <w:tcPr>
                  <w:tcW w:w="899" w:type="dxa"/>
                  <w:tcBorders>
                    <w:top w:val="nil"/>
                    <w:left w:val="nil"/>
                    <w:bottom w:val="single" w:sz="12" w:space="0" w:color="FFFFFF"/>
                    <w:right w:val="single" w:sz="8" w:space="0" w:color="FFFFFF"/>
                  </w:tcBorders>
                  <w:shd w:val="clear" w:color="000000" w:fill="F79646"/>
                  <w:noWrap/>
                  <w:vAlign w:val="center"/>
                  <w:hideMark/>
                </w:tcPr>
                <w:p w14:paraId="6E12E099"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14:paraId="653F4DEF"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14:paraId="489DA982"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637CB857"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14:paraId="42B8D2D3"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14:paraId="477CADBC"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14:paraId="1521F145"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231B417"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14:paraId="57D6AFE5" w14:textId="77777777" w:rsidR="00851C6B" w:rsidRPr="00851C6B" w:rsidRDefault="00851C6B" w:rsidP="00851C6B">
                  <w:pPr>
                    <w:widowControl/>
                    <w:jc w:val="center"/>
                    <w:rPr>
                      <w:rFonts w:ascii="楷体" w:eastAsia="楷体" w:hAnsi="楷体" w:cs="宋体"/>
                      <w:b/>
                      <w:bCs/>
                      <w:color w:val="FFFFFF"/>
                      <w:kern w:val="0"/>
                      <w:sz w:val="20"/>
                      <w:szCs w:val="20"/>
                    </w:rPr>
                  </w:pPr>
                  <w:r w:rsidRPr="00851C6B">
                    <w:rPr>
                      <w:rFonts w:ascii="楷体" w:eastAsia="楷体" w:hAnsi="楷体" w:cs="宋体" w:hint="eastAsia"/>
                      <w:b/>
                      <w:bCs/>
                      <w:color w:val="FFFFFF"/>
                      <w:kern w:val="0"/>
                      <w:sz w:val="20"/>
                      <w:szCs w:val="20"/>
                    </w:rPr>
                    <w:t>AA-</w:t>
                  </w:r>
                </w:p>
              </w:tc>
            </w:tr>
            <w:tr w:rsidR="00851C6B" w:rsidRPr="00851C6B" w14:paraId="29DC7BCD" w14:textId="77777777" w:rsidTr="00851C6B">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14:paraId="03AE2693"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4B0A7BC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38%</w:t>
                  </w:r>
                </w:p>
              </w:tc>
              <w:tc>
                <w:tcPr>
                  <w:tcW w:w="900" w:type="dxa"/>
                  <w:tcBorders>
                    <w:top w:val="nil"/>
                    <w:left w:val="nil"/>
                    <w:bottom w:val="single" w:sz="8" w:space="0" w:color="FFFFFF"/>
                    <w:right w:val="single" w:sz="8" w:space="0" w:color="FFFFFF"/>
                  </w:tcBorders>
                  <w:shd w:val="clear" w:color="000000" w:fill="FCD5B4"/>
                  <w:noWrap/>
                  <w:vAlign w:val="center"/>
                  <w:hideMark/>
                </w:tcPr>
                <w:p w14:paraId="6C3AE80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35%</w:t>
                  </w:r>
                </w:p>
              </w:tc>
              <w:tc>
                <w:tcPr>
                  <w:tcW w:w="900" w:type="dxa"/>
                  <w:tcBorders>
                    <w:top w:val="nil"/>
                    <w:left w:val="nil"/>
                    <w:bottom w:val="single" w:sz="8" w:space="0" w:color="FFFFFF"/>
                    <w:right w:val="single" w:sz="8" w:space="0" w:color="FFFFFF"/>
                  </w:tcBorders>
                  <w:shd w:val="clear" w:color="000000" w:fill="FCD5B4"/>
                  <w:noWrap/>
                  <w:vAlign w:val="center"/>
                  <w:hideMark/>
                </w:tcPr>
                <w:p w14:paraId="2AE4BFA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30%</w:t>
                  </w:r>
                </w:p>
              </w:tc>
              <w:tc>
                <w:tcPr>
                  <w:tcW w:w="899" w:type="dxa"/>
                  <w:tcBorders>
                    <w:top w:val="nil"/>
                    <w:left w:val="nil"/>
                    <w:bottom w:val="single" w:sz="8" w:space="0" w:color="FFFFFF"/>
                    <w:right w:val="single" w:sz="8" w:space="0" w:color="FFFFFF"/>
                  </w:tcBorders>
                  <w:shd w:val="clear" w:color="000000" w:fill="FCD5B4"/>
                  <w:noWrap/>
                  <w:vAlign w:val="center"/>
                  <w:hideMark/>
                </w:tcPr>
                <w:p w14:paraId="2499DCA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60%</w:t>
                  </w:r>
                </w:p>
              </w:tc>
              <w:tc>
                <w:tcPr>
                  <w:tcW w:w="1128" w:type="dxa"/>
                  <w:tcBorders>
                    <w:top w:val="nil"/>
                    <w:left w:val="nil"/>
                    <w:bottom w:val="single" w:sz="8" w:space="0" w:color="FFFFFF"/>
                    <w:right w:val="single" w:sz="8" w:space="0" w:color="FFFFFF"/>
                  </w:tcBorders>
                  <w:shd w:val="clear" w:color="000000" w:fill="FCD5B4"/>
                  <w:noWrap/>
                  <w:vAlign w:val="center"/>
                  <w:hideMark/>
                </w:tcPr>
                <w:p w14:paraId="3DB31B8F"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14:paraId="1B35007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3%</w:t>
                  </w:r>
                </w:p>
              </w:tc>
              <w:tc>
                <w:tcPr>
                  <w:tcW w:w="899" w:type="dxa"/>
                  <w:tcBorders>
                    <w:top w:val="nil"/>
                    <w:left w:val="nil"/>
                    <w:bottom w:val="single" w:sz="8" w:space="0" w:color="FFFFFF"/>
                    <w:right w:val="single" w:sz="8" w:space="0" w:color="FFFFFF"/>
                  </w:tcBorders>
                  <w:shd w:val="clear" w:color="000000" w:fill="FCD5B4"/>
                  <w:noWrap/>
                  <w:vAlign w:val="center"/>
                  <w:hideMark/>
                </w:tcPr>
                <w:p w14:paraId="5B5F7B98"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w:t>
                  </w:r>
                </w:p>
              </w:tc>
              <w:tc>
                <w:tcPr>
                  <w:tcW w:w="899" w:type="dxa"/>
                  <w:tcBorders>
                    <w:top w:val="nil"/>
                    <w:left w:val="nil"/>
                    <w:bottom w:val="single" w:sz="8" w:space="0" w:color="FFFFFF"/>
                    <w:right w:val="single" w:sz="8" w:space="0" w:color="FFFFFF"/>
                  </w:tcBorders>
                  <w:shd w:val="clear" w:color="000000" w:fill="FCD5B4"/>
                  <w:noWrap/>
                  <w:vAlign w:val="center"/>
                  <w:hideMark/>
                </w:tcPr>
                <w:p w14:paraId="7915500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0%</w:t>
                  </w:r>
                </w:p>
              </w:tc>
              <w:tc>
                <w:tcPr>
                  <w:tcW w:w="899" w:type="dxa"/>
                  <w:tcBorders>
                    <w:top w:val="nil"/>
                    <w:left w:val="nil"/>
                    <w:bottom w:val="single" w:sz="8" w:space="0" w:color="FFFFFF"/>
                    <w:right w:val="single" w:sz="8" w:space="0" w:color="FFFFFF"/>
                  </w:tcBorders>
                  <w:shd w:val="clear" w:color="000000" w:fill="FCD5B4"/>
                  <w:noWrap/>
                  <w:vAlign w:val="center"/>
                  <w:hideMark/>
                </w:tcPr>
                <w:p w14:paraId="41AD211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52%</w:t>
                  </w:r>
                </w:p>
              </w:tc>
            </w:tr>
            <w:tr w:rsidR="00851C6B" w:rsidRPr="00851C6B" w14:paraId="546ACBD7"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0A8643A3"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5BDD87B9"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31%</w:t>
                  </w:r>
                </w:p>
              </w:tc>
              <w:tc>
                <w:tcPr>
                  <w:tcW w:w="900" w:type="dxa"/>
                  <w:tcBorders>
                    <w:top w:val="nil"/>
                    <w:left w:val="nil"/>
                    <w:bottom w:val="single" w:sz="8" w:space="0" w:color="FFFFFF"/>
                    <w:right w:val="single" w:sz="8" w:space="0" w:color="FFFFFF"/>
                  </w:tcBorders>
                  <w:shd w:val="clear" w:color="000000" w:fill="FDE9D9"/>
                  <w:noWrap/>
                  <w:vAlign w:val="center"/>
                  <w:hideMark/>
                </w:tcPr>
                <w:p w14:paraId="5CACB74C"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27%</w:t>
                  </w:r>
                </w:p>
              </w:tc>
              <w:tc>
                <w:tcPr>
                  <w:tcW w:w="900" w:type="dxa"/>
                  <w:tcBorders>
                    <w:top w:val="nil"/>
                    <w:left w:val="nil"/>
                    <w:bottom w:val="single" w:sz="8" w:space="0" w:color="FFFFFF"/>
                    <w:right w:val="single" w:sz="8" w:space="0" w:color="FFFFFF"/>
                  </w:tcBorders>
                  <w:shd w:val="clear" w:color="000000" w:fill="FDE9D9"/>
                  <w:noWrap/>
                  <w:vAlign w:val="center"/>
                  <w:hideMark/>
                </w:tcPr>
                <w:p w14:paraId="6900B87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19%</w:t>
                  </w:r>
                </w:p>
              </w:tc>
              <w:tc>
                <w:tcPr>
                  <w:tcW w:w="899" w:type="dxa"/>
                  <w:tcBorders>
                    <w:top w:val="nil"/>
                    <w:left w:val="nil"/>
                    <w:bottom w:val="single" w:sz="8" w:space="0" w:color="FFFFFF"/>
                    <w:right w:val="single" w:sz="8" w:space="0" w:color="FFFFFF"/>
                  </w:tcBorders>
                  <w:shd w:val="clear" w:color="000000" w:fill="FDE9D9"/>
                  <w:noWrap/>
                  <w:vAlign w:val="center"/>
                  <w:hideMark/>
                </w:tcPr>
                <w:p w14:paraId="5BB0E57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53%</w:t>
                  </w:r>
                </w:p>
              </w:tc>
              <w:tc>
                <w:tcPr>
                  <w:tcW w:w="1128" w:type="dxa"/>
                  <w:tcBorders>
                    <w:top w:val="nil"/>
                    <w:left w:val="nil"/>
                    <w:bottom w:val="single" w:sz="8" w:space="0" w:color="FFFFFF"/>
                    <w:right w:val="single" w:sz="8" w:space="0" w:color="FFFFFF"/>
                  </w:tcBorders>
                  <w:shd w:val="clear" w:color="000000" w:fill="FDE9D9"/>
                  <w:noWrap/>
                  <w:vAlign w:val="center"/>
                  <w:hideMark/>
                </w:tcPr>
                <w:p w14:paraId="2C5F462B"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14:paraId="5E13ADD8"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13%</w:t>
                  </w:r>
                </w:p>
              </w:tc>
              <w:tc>
                <w:tcPr>
                  <w:tcW w:w="899" w:type="dxa"/>
                  <w:tcBorders>
                    <w:top w:val="nil"/>
                    <w:left w:val="nil"/>
                    <w:bottom w:val="single" w:sz="8" w:space="0" w:color="FFFFFF"/>
                    <w:right w:val="single" w:sz="8" w:space="0" w:color="FFFFFF"/>
                  </w:tcBorders>
                  <w:shd w:val="clear" w:color="000000" w:fill="FDE9D9"/>
                  <w:noWrap/>
                  <w:vAlign w:val="center"/>
                  <w:hideMark/>
                </w:tcPr>
                <w:p w14:paraId="3401299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DE9D9"/>
                  <w:noWrap/>
                  <w:vAlign w:val="center"/>
                  <w:hideMark/>
                </w:tcPr>
                <w:p w14:paraId="2BA52B79"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5%</w:t>
                  </w:r>
                </w:p>
              </w:tc>
              <w:tc>
                <w:tcPr>
                  <w:tcW w:w="899" w:type="dxa"/>
                  <w:tcBorders>
                    <w:top w:val="nil"/>
                    <w:left w:val="nil"/>
                    <w:bottom w:val="single" w:sz="8" w:space="0" w:color="FFFFFF"/>
                    <w:right w:val="single" w:sz="8" w:space="0" w:color="FFFFFF"/>
                  </w:tcBorders>
                  <w:shd w:val="clear" w:color="000000" w:fill="FDE9D9"/>
                  <w:noWrap/>
                  <w:vAlign w:val="center"/>
                  <w:hideMark/>
                </w:tcPr>
                <w:p w14:paraId="7A817B79"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47%</w:t>
                  </w:r>
                </w:p>
              </w:tc>
            </w:tr>
            <w:tr w:rsidR="00851C6B" w:rsidRPr="00851C6B" w14:paraId="03AEEA7E" w14:textId="77777777" w:rsidTr="00851C6B">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201ACCC0"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3F2DACD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29%</w:t>
                  </w:r>
                </w:p>
              </w:tc>
              <w:tc>
                <w:tcPr>
                  <w:tcW w:w="900" w:type="dxa"/>
                  <w:tcBorders>
                    <w:top w:val="nil"/>
                    <w:left w:val="nil"/>
                    <w:bottom w:val="single" w:sz="8" w:space="0" w:color="FFFFFF"/>
                    <w:right w:val="single" w:sz="8" w:space="0" w:color="FFFFFF"/>
                  </w:tcBorders>
                  <w:shd w:val="clear" w:color="000000" w:fill="FCD5B4"/>
                  <w:noWrap/>
                  <w:vAlign w:val="center"/>
                  <w:hideMark/>
                </w:tcPr>
                <w:p w14:paraId="564C1B0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21%</w:t>
                  </w:r>
                </w:p>
              </w:tc>
              <w:tc>
                <w:tcPr>
                  <w:tcW w:w="900" w:type="dxa"/>
                  <w:tcBorders>
                    <w:top w:val="nil"/>
                    <w:left w:val="nil"/>
                    <w:bottom w:val="single" w:sz="8" w:space="0" w:color="FFFFFF"/>
                    <w:right w:val="single" w:sz="8" w:space="0" w:color="FFFFFF"/>
                  </w:tcBorders>
                  <w:shd w:val="clear" w:color="000000" w:fill="FCD5B4"/>
                  <w:noWrap/>
                  <w:vAlign w:val="center"/>
                  <w:hideMark/>
                </w:tcPr>
                <w:p w14:paraId="40B4D4F9"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19%</w:t>
                  </w:r>
                </w:p>
              </w:tc>
              <w:tc>
                <w:tcPr>
                  <w:tcW w:w="899" w:type="dxa"/>
                  <w:tcBorders>
                    <w:top w:val="nil"/>
                    <w:left w:val="nil"/>
                    <w:bottom w:val="single" w:sz="8" w:space="0" w:color="FFFFFF"/>
                    <w:right w:val="single" w:sz="8" w:space="0" w:color="FFFFFF"/>
                  </w:tcBorders>
                  <w:shd w:val="clear" w:color="000000" w:fill="FCD5B4"/>
                  <w:noWrap/>
                  <w:vAlign w:val="center"/>
                  <w:hideMark/>
                </w:tcPr>
                <w:p w14:paraId="745B259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56%</w:t>
                  </w:r>
                </w:p>
              </w:tc>
              <w:tc>
                <w:tcPr>
                  <w:tcW w:w="1128" w:type="dxa"/>
                  <w:tcBorders>
                    <w:top w:val="nil"/>
                    <w:left w:val="nil"/>
                    <w:bottom w:val="single" w:sz="8" w:space="0" w:color="FFFFFF"/>
                    <w:right w:val="single" w:sz="8" w:space="0" w:color="FFFFFF"/>
                  </w:tcBorders>
                  <w:shd w:val="clear" w:color="000000" w:fill="FCD5B4"/>
                  <w:noWrap/>
                  <w:vAlign w:val="center"/>
                  <w:hideMark/>
                </w:tcPr>
                <w:p w14:paraId="67BE7A48"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14:paraId="1166076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28%</w:t>
                  </w:r>
                </w:p>
              </w:tc>
              <w:tc>
                <w:tcPr>
                  <w:tcW w:w="899" w:type="dxa"/>
                  <w:tcBorders>
                    <w:top w:val="nil"/>
                    <w:left w:val="nil"/>
                    <w:bottom w:val="single" w:sz="8" w:space="0" w:color="FFFFFF"/>
                    <w:right w:val="single" w:sz="8" w:space="0" w:color="FFFFFF"/>
                  </w:tcBorders>
                  <w:shd w:val="clear" w:color="000000" w:fill="FCD5B4"/>
                  <w:noWrap/>
                  <w:vAlign w:val="center"/>
                  <w:hideMark/>
                </w:tcPr>
                <w:p w14:paraId="1235EB4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CD5B4"/>
                  <w:noWrap/>
                  <w:vAlign w:val="center"/>
                  <w:hideMark/>
                </w:tcPr>
                <w:p w14:paraId="3990EBB9"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CD5B4"/>
                  <w:noWrap/>
                  <w:vAlign w:val="center"/>
                  <w:hideMark/>
                </w:tcPr>
                <w:p w14:paraId="07AFF0A0"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68%</w:t>
                  </w:r>
                </w:p>
              </w:tc>
            </w:tr>
            <w:tr w:rsidR="00851C6B" w:rsidRPr="00851C6B" w14:paraId="6DBDC379"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6866985F"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42F061FB"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32%</w:t>
                  </w:r>
                </w:p>
              </w:tc>
              <w:tc>
                <w:tcPr>
                  <w:tcW w:w="900" w:type="dxa"/>
                  <w:tcBorders>
                    <w:top w:val="nil"/>
                    <w:left w:val="nil"/>
                    <w:bottom w:val="single" w:sz="8" w:space="0" w:color="FFFFFF"/>
                    <w:right w:val="single" w:sz="8" w:space="0" w:color="FFFFFF"/>
                  </w:tcBorders>
                  <w:shd w:val="clear" w:color="000000" w:fill="FDE9D9"/>
                  <w:noWrap/>
                  <w:vAlign w:val="center"/>
                  <w:hideMark/>
                </w:tcPr>
                <w:p w14:paraId="1AEBC27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25%</w:t>
                  </w:r>
                </w:p>
              </w:tc>
              <w:tc>
                <w:tcPr>
                  <w:tcW w:w="900" w:type="dxa"/>
                  <w:tcBorders>
                    <w:top w:val="nil"/>
                    <w:left w:val="nil"/>
                    <w:bottom w:val="single" w:sz="8" w:space="0" w:color="FFFFFF"/>
                    <w:right w:val="single" w:sz="8" w:space="0" w:color="FFFFFF"/>
                  </w:tcBorders>
                  <w:shd w:val="clear" w:color="000000" w:fill="FDE9D9"/>
                  <w:noWrap/>
                  <w:vAlign w:val="center"/>
                  <w:hideMark/>
                </w:tcPr>
                <w:p w14:paraId="6190E2E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DE9D9"/>
                  <w:noWrap/>
                  <w:vAlign w:val="center"/>
                  <w:hideMark/>
                </w:tcPr>
                <w:p w14:paraId="0E5D287C"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48%</w:t>
                  </w:r>
                </w:p>
              </w:tc>
              <w:tc>
                <w:tcPr>
                  <w:tcW w:w="1128" w:type="dxa"/>
                  <w:tcBorders>
                    <w:top w:val="nil"/>
                    <w:left w:val="nil"/>
                    <w:bottom w:val="single" w:sz="8" w:space="0" w:color="FFFFFF"/>
                    <w:right w:val="single" w:sz="8" w:space="0" w:color="FFFFFF"/>
                  </w:tcBorders>
                  <w:shd w:val="clear" w:color="000000" w:fill="FDE9D9"/>
                  <w:noWrap/>
                  <w:vAlign w:val="center"/>
                  <w:hideMark/>
                </w:tcPr>
                <w:p w14:paraId="26E6E6DA"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14:paraId="03330FD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13%</w:t>
                  </w:r>
                </w:p>
              </w:tc>
              <w:tc>
                <w:tcPr>
                  <w:tcW w:w="899" w:type="dxa"/>
                  <w:tcBorders>
                    <w:top w:val="nil"/>
                    <w:left w:val="nil"/>
                    <w:bottom w:val="single" w:sz="8" w:space="0" w:color="FFFFFF"/>
                    <w:right w:val="single" w:sz="8" w:space="0" w:color="FFFFFF"/>
                  </w:tcBorders>
                  <w:shd w:val="clear" w:color="000000" w:fill="FDE9D9"/>
                  <w:noWrap/>
                  <w:vAlign w:val="center"/>
                  <w:hideMark/>
                </w:tcPr>
                <w:p w14:paraId="58F27780"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DE9D9"/>
                  <w:noWrap/>
                  <w:vAlign w:val="center"/>
                  <w:hideMark/>
                </w:tcPr>
                <w:p w14:paraId="68DF5AA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DE9D9"/>
                  <w:noWrap/>
                  <w:vAlign w:val="center"/>
                  <w:hideMark/>
                </w:tcPr>
                <w:p w14:paraId="5BA5410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46%</w:t>
                  </w:r>
                </w:p>
              </w:tc>
            </w:tr>
            <w:tr w:rsidR="00851C6B" w:rsidRPr="00851C6B" w14:paraId="70888AD5" w14:textId="77777777" w:rsidTr="00851C6B">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2400EFCC"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52FC1BE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30%</w:t>
                  </w:r>
                </w:p>
              </w:tc>
              <w:tc>
                <w:tcPr>
                  <w:tcW w:w="900" w:type="dxa"/>
                  <w:tcBorders>
                    <w:top w:val="nil"/>
                    <w:left w:val="nil"/>
                    <w:bottom w:val="single" w:sz="8" w:space="0" w:color="FFFFFF"/>
                    <w:right w:val="single" w:sz="8" w:space="0" w:color="FFFFFF"/>
                  </w:tcBorders>
                  <w:shd w:val="clear" w:color="000000" w:fill="FCD5B4"/>
                  <w:noWrap/>
                  <w:vAlign w:val="center"/>
                  <w:hideMark/>
                </w:tcPr>
                <w:p w14:paraId="2CC67E7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23%</w:t>
                  </w:r>
                </w:p>
              </w:tc>
              <w:tc>
                <w:tcPr>
                  <w:tcW w:w="900" w:type="dxa"/>
                  <w:tcBorders>
                    <w:top w:val="nil"/>
                    <w:left w:val="nil"/>
                    <w:bottom w:val="single" w:sz="8" w:space="0" w:color="FFFFFF"/>
                    <w:right w:val="single" w:sz="8" w:space="0" w:color="FFFFFF"/>
                  </w:tcBorders>
                  <w:shd w:val="clear" w:color="000000" w:fill="FCD5B4"/>
                  <w:noWrap/>
                  <w:vAlign w:val="center"/>
                  <w:hideMark/>
                </w:tcPr>
                <w:p w14:paraId="55EECBD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19%</w:t>
                  </w:r>
                </w:p>
              </w:tc>
              <w:tc>
                <w:tcPr>
                  <w:tcW w:w="899" w:type="dxa"/>
                  <w:tcBorders>
                    <w:top w:val="nil"/>
                    <w:left w:val="nil"/>
                    <w:bottom w:val="single" w:sz="8" w:space="0" w:color="FFFFFF"/>
                    <w:right w:val="single" w:sz="8" w:space="0" w:color="FFFFFF"/>
                  </w:tcBorders>
                  <w:shd w:val="clear" w:color="000000" w:fill="FCD5B4"/>
                  <w:noWrap/>
                  <w:vAlign w:val="center"/>
                  <w:hideMark/>
                </w:tcPr>
                <w:p w14:paraId="450EAF7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53%</w:t>
                  </w:r>
                </w:p>
              </w:tc>
              <w:tc>
                <w:tcPr>
                  <w:tcW w:w="1128" w:type="dxa"/>
                  <w:tcBorders>
                    <w:top w:val="nil"/>
                    <w:left w:val="nil"/>
                    <w:bottom w:val="single" w:sz="8" w:space="0" w:color="FFFFFF"/>
                    <w:right w:val="single" w:sz="8" w:space="0" w:color="FFFFFF"/>
                  </w:tcBorders>
                  <w:shd w:val="clear" w:color="000000" w:fill="FCD5B4"/>
                  <w:noWrap/>
                  <w:vAlign w:val="center"/>
                  <w:hideMark/>
                </w:tcPr>
                <w:p w14:paraId="5F6DBF65"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14:paraId="10545FC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28%</w:t>
                  </w:r>
                </w:p>
              </w:tc>
              <w:tc>
                <w:tcPr>
                  <w:tcW w:w="899" w:type="dxa"/>
                  <w:tcBorders>
                    <w:top w:val="nil"/>
                    <w:left w:val="nil"/>
                    <w:bottom w:val="single" w:sz="8" w:space="0" w:color="FFFFFF"/>
                    <w:right w:val="single" w:sz="8" w:space="0" w:color="FFFFFF"/>
                  </w:tcBorders>
                  <w:shd w:val="clear" w:color="000000" w:fill="FCD5B4"/>
                  <w:noWrap/>
                  <w:vAlign w:val="center"/>
                  <w:hideMark/>
                </w:tcPr>
                <w:p w14:paraId="0FEA55B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CD5B4"/>
                  <w:noWrap/>
                  <w:vAlign w:val="center"/>
                  <w:hideMark/>
                </w:tcPr>
                <w:p w14:paraId="2BE6345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10%</w:t>
                  </w:r>
                </w:p>
              </w:tc>
              <w:tc>
                <w:tcPr>
                  <w:tcW w:w="899" w:type="dxa"/>
                  <w:tcBorders>
                    <w:top w:val="nil"/>
                    <w:left w:val="nil"/>
                    <w:bottom w:val="single" w:sz="8" w:space="0" w:color="FFFFFF"/>
                    <w:right w:val="single" w:sz="8" w:space="0" w:color="FFFFFF"/>
                  </w:tcBorders>
                  <w:shd w:val="clear" w:color="000000" w:fill="FCD5B4"/>
                  <w:noWrap/>
                  <w:vAlign w:val="center"/>
                  <w:hideMark/>
                </w:tcPr>
                <w:p w14:paraId="397249D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66%</w:t>
                  </w:r>
                </w:p>
              </w:tc>
            </w:tr>
            <w:tr w:rsidR="00851C6B" w:rsidRPr="00851C6B" w14:paraId="232AF697"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41430EA1"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44951D11"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27%</w:t>
                  </w:r>
                </w:p>
              </w:tc>
              <w:tc>
                <w:tcPr>
                  <w:tcW w:w="900" w:type="dxa"/>
                  <w:tcBorders>
                    <w:top w:val="nil"/>
                    <w:left w:val="nil"/>
                    <w:bottom w:val="single" w:sz="8" w:space="0" w:color="FFFFFF"/>
                    <w:right w:val="single" w:sz="8" w:space="0" w:color="FFFFFF"/>
                  </w:tcBorders>
                  <w:shd w:val="clear" w:color="000000" w:fill="FDE9D9"/>
                  <w:noWrap/>
                  <w:vAlign w:val="center"/>
                  <w:hideMark/>
                </w:tcPr>
                <w:p w14:paraId="2788E23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19%</w:t>
                  </w:r>
                </w:p>
              </w:tc>
              <w:tc>
                <w:tcPr>
                  <w:tcW w:w="900" w:type="dxa"/>
                  <w:tcBorders>
                    <w:top w:val="nil"/>
                    <w:left w:val="nil"/>
                    <w:bottom w:val="single" w:sz="8" w:space="0" w:color="FFFFFF"/>
                    <w:right w:val="single" w:sz="8" w:space="0" w:color="FFFFFF"/>
                  </w:tcBorders>
                  <w:shd w:val="clear" w:color="000000" w:fill="FDE9D9"/>
                  <w:noWrap/>
                  <w:vAlign w:val="center"/>
                  <w:hideMark/>
                </w:tcPr>
                <w:p w14:paraId="495AB43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15%</w:t>
                  </w:r>
                </w:p>
              </w:tc>
              <w:tc>
                <w:tcPr>
                  <w:tcW w:w="899" w:type="dxa"/>
                  <w:tcBorders>
                    <w:top w:val="nil"/>
                    <w:left w:val="nil"/>
                    <w:bottom w:val="single" w:sz="8" w:space="0" w:color="FFFFFF"/>
                    <w:right w:val="single" w:sz="8" w:space="0" w:color="FFFFFF"/>
                  </w:tcBorders>
                  <w:shd w:val="clear" w:color="000000" w:fill="FDE9D9"/>
                  <w:noWrap/>
                  <w:vAlign w:val="center"/>
                  <w:hideMark/>
                </w:tcPr>
                <w:p w14:paraId="37C16FB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50%</w:t>
                  </w:r>
                </w:p>
              </w:tc>
              <w:tc>
                <w:tcPr>
                  <w:tcW w:w="1128" w:type="dxa"/>
                  <w:tcBorders>
                    <w:top w:val="nil"/>
                    <w:left w:val="nil"/>
                    <w:bottom w:val="single" w:sz="8" w:space="0" w:color="FFFFFF"/>
                    <w:right w:val="single" w:sz="8" w:space="0" w:color="FFFFFF"/>
                  </w:tcBorders>
                  <w:shd w:val="clear" w:color="000000" w:fill="FDE9D9"/>
                  <w:noWrap/>
                  <w:vAlign w:val="center"/>
                  <w:hideMark/>
                </w:tcPr>
                <w:p w14:paraId="12E77402" w14:textId="77777777" w:rsidR="00851C6B" w:rsidRPr="00851C6B" w:rsidRDefault="00851C6B" w:rsidP="00851C6B">
                  <w:pPr>
                    <w:widowControl/>
                    <w:jc w:val="center"/>
                    <w:rPr>
                      <w:rFonts w:ascii="楷体" w:eastAsia="楷体" w:hAnsi="楷体" w:cs="宋体"/>
                      <w:color w:val="000000"/>
                      <w:kern w:val="0"/>
                      <w:sz w:val="20"/>
                      <w:szCs w:val="20"/>
                    </w:rPr>
                  </w:pPr>
                  <w:r w:rsidRPr="00851C6B">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14:paraId="545A30D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19%</w:t>
                  </w:r>
                </w:p>
              </w:tc>
              <w:tc>
                <w:tcPr>
                  <w:tcW w:w="899" w:type="dxa"/>
                  <w:tcBorders>
                    <w:top w:val="nil"/>
                    <w:left w:val="nil"/>
                    <w:bottom w:val="single" w:sz="8" w:space="0" w:color="FFFFFF"/>
                    <w:right w:val="single" w:sz="8" w:space="0" w:color="FFFFFF"/>
                  </w:tcBorders>
                  <w:shd w:val="clear" w:color="000000" w:fill="FDE9D9"/>
                  <w:noWrap/>
                  <w:vAlign w:val="center"/>
                  <w:hideMark/>
                </w:tcPr>
                <w:p w14:paraId="23117AB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6%</w:t>
                  </w:r>
                </w:p>
              </w:tc>
              <w:tc>
                <w:tcPr>
                  <w:tcW w:w="899" w:type="dxa"/>
                  <w:tcBorders>
                    <w:top w:val="nil"/>
                    <w:left w:val="nil"/>
                    <w:bottom w:val="single" w:sz="8" w:space="0" w:color="FFFFFF"/>
                    <w:right w:val="single" w:sz="8" w:space="0" w:color="FFFFFF"/>
                  </w:tcBorders>
                  <w:shd w:val="clear" w:color="000000" w:fill="FDE9D9"/>
                  <w:noWrap/>
                  <w:vAlign w:val="center"/>
                  <w:hideMark/>
                </w:tcPr>
                <w:p w14:paraId="709D4539"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DE9D9"/>
                  <w:noWrap/>
                  <w:vAlign w:val="center"/>
                  <w:hideMark/>
                </w:tcPr>
                <w:p w14:paraId="5C7582E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54%</w:t>
                  </w:r>
                </w:p>
              </w:tc>
            </w:tr>
            <w:tr w:rsidR="00851C6B" w:rsidRPr="00851C6B" w14:paraId="52C0CFDA" w14:textId="77777777" w:rsidTr="00851C6B">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14:paraId="4242B434"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1408155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25%</w:t>
                  </w:r>
                </w:p>
              </w:tc>
              <w:tc>
                <w:tcPr>
                  <w:tcW w:w="900" w:type="dxa"/>
                  <w:tcBorders>
                    <w:top w:val="nil"/>
                    <w:left w:val="nil"/>
                    <w:bottom w:val="single" w:sz="8" w:space="0" w:color="FFFFFF"/>
                    <w:right w:val="single" w:sz="8" w:space="0" w:color="FFFFFF"/>
                  </w:tcBorders>
                  <w:shd w:val="clear" w:color="000000" w:fill="FCD5B4"/>
                  <w:noWrap/>
                  <w:vAlign w:val="center"/>
                  <w:hideMark/>
                </w:tcPr>
                <w:p w14:paraId="1526A9E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22%</w:t>
                  </w:r>
                </w:p>
              </w:tc>
              <w:tc>
                <w:tcPr>
                  <w:tcW w:w="900" w:type="dxa"/>
                  <w:tcBorders>
                    <w:top w:val="nil"/>
                    <w:left w:val="nil"/>
                    <w:bottom w:val="single" w:sz="8" w:space="0" w:color="FFFFFF"/>
                    <w:right w:val="single" w:sz="8" w:space="0" w:color="FFFFFF"/>
                  </w:tcBorders>
                  <w:shd w:val="clear" w:color="000000" w:fill="FCD5B4"/>
                  <w:noWrap/>
                  <w:vAlign w:val="center"/>
                  <w:hideMark/>
                </w:tcPr>
                <w:p w14:paraId="074FF45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CD5B4"/>
                  <w:noWrap/>
                  <w:vAlign w:val="center"/>
                  <w:hideMark/>
                </w:tcPr>
                <w:p w14:paraId="215D215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37%</w:t>
                  </w:r>
                </w:p>
              </w:tc>
              <w:tc>
                <w:tcPr>
                  <w:tcW w:w="1128" w:type="dxa"/>
                  <w:tcBorders>
                    <w:top w:val="nil"/>
                    <w:left w:val="nil"/>
                    <w:bottom w:val="single" w:sz="8" w:space="0" w:color="FFFFFF"/>
                    <w:right w:val="single" w:sz="8" w:space="0" w:color="FFFFFF"/>
                  </w:tcBorders>
                  <w:shd w:val="clear" w:color="000000" w:fill="FCD5B4"/>
                  <w:noWrap/>
                  <w:vAlign w:val="center"/>
                  <w:hideMark/>
                </w:tcPr>
                <w:p w14:paraId="0CD4025C"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3Y</w:t>
                  </w:r>
                </w:p>
              </w:tc>
              <w:tc>
                <w:tcPr>
                  <w:tcW w:w="899" w:type="dxa"/>
                  <w:tcBorders>
                    <w:top w:val="nil"/>
                    <w:left w:val="nil"/>
                    <w:bottom w:val="single" w:sz="8" w:space="0" w:color="FFFFFF"/>
                    <w:right w:val="single" w:sz="8" w:space="0" w:color="FFFFFF"/>
                  </w:tcBorders>
                  <w:shd w:val="clear" w:color="000000" w:fill="FCD5B4"/>
                  <w:noWrap/>
                  <w:vAlign w:val="center"/>
                  <w:hideMark/>
                </w:tcPr>
                <w:p w14:paraId="3C6B4669"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CD5B4"/>
                  <w:noWrap/>
                  <w:vAlign w:val="center"/>
                  <w:hideMark/>
                </w:tcPr>
                <w:p w14:paraId="7A78EC7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11%</w:t>
                  </w:r>
                </w:p>
              </w:tc>
              <w:tc>
                <w:tcPr>
                  <w:tcW w:w="899" w:type="dxa"/>
                  <w:tcBorders>
                    <w:top w:val="nil"/>
                    <w:left w:val="nil"/>
                    <w:bottom w:val="single" w:sz="8" w:space="0" w:color="FFFFFF"/>
                    <w:right w:val="single" w:sz="8" w:space="0" w:color="FFFFFF"/>
                  </w:tcBorders>
                  <w:shd w:val="clear" w:color="000000" w:fill="FCD5B4"/>
                  <w:noWrap/>
                  <w:vAlign w:val="center"/>
                  <w:hideMark/>
                </w:tcPr>
                <w:p w14:paraId="0C1414D5"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9%</w:t>
                  </w:r>
                </w:p>
              </w:tc>
              <w:tc>
                <w:tcPr>
                  <w:tcW w:w="899" w:type="dxa"/>
                  <w:tcBorders>
                    <w:top w:val="nil"/>
                    <w:left w:val="nil"/>
                    <w:bottom w:val="single" w:sz="8" w:space="0" w:color="FFFFFF"/>
                    <w:right w:val="single" w:sz="8" w:space="0" w:color="FFFFFF"/>
                  </w:tcBorders>
                  <w:shd w:val="clear" w:color="000000" w:fill="FCD5B4"/>
                  <w:noWrap/>
                  <w:vAlign w:val="center"/>
                  <w:hideMark/>
                </w:tcPr>
                <w:p w14:paraId="796FD810"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32%</w:t>
                  </w:r>
                </w:p>
              </w:tc>
            </w:tr>
            <w:tr w:rsidR="00851C6B" w:rsidRPr="00851C6B" w14:paraId="07778E24" w14:textId="77777777" w:rsidTr="00851C6B">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14:paraId="49F2C9B8"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0231646D"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22%</w:t>
                  </w:r>
                </w:p>
              </w:tc>
              <w:tc>
                <w:tcPr>
                  <w:tcW w:w="900" w:type="dxa"/>
                  <w:tcBorders>
                    <w:top w:val="nil"/>
                    <w:left w:val="nil"/>
                    <w:bottom w:val="single" w:sz="8" w:space="0" w:color="FFFFFF"/>
                    <w:right w:val="single" w:sz="8" w:space="0" w:color="FFFFFF"/>
                  </w:tcBorders>
                  <w:shd w:val="clear" w:color="000000" w:fill="FDE9D9"/>
                  <w:noWrap/>
                  <w:vAlign w:val="center"/>
                  <w:hideMark/>
                </w:tcPr>
                <w:p w14:paraId="3BE64F2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19%</w:t>
                  </w:r>
                </w:p>
              </w:tc>
              <w:tc>
                <w:tcPr>
                  <w:tcW w:w="900" w:type="dxa"/>
                  <w:tcBorders>
                    <w:top w:val="nil"/>
                    <w:left w:val="nil"/>
                    <w:bottom w:val="single" w:sz="8" w:space="0" w:color="FFFFFF"/>
                    <w:right w:val="single" w:sz="8" w:space="0" w:color="FFFFFF"/>
                  </w:tcBorders>
                  <w:shd w:val="clear" w:color="000000" w:fill="FDE9D9"/>
                  <w:noWrap/>
                  <w:vAlign w:val="center"/>
                  <w:hideMark/>
                </w:tcPr>
                <w:p w14:paraId="0D76CBA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DE9D9"/>
                  <w:noWrap/>
                  <w:vAlign w:val="center"/>
                  <w:hideMark/>
                </w:tcPr>
                <w:p w14:paraId="216ECF2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47%</w:t>
                  </w:r>
                </w:p>
              </w:tc>
              <w:tc>
                <w:tcPr>
                  <w:tcW w:w="1128" w:type="dxa"/>
                  <w:tcBorders>
                    <w:top w:val="nil"/>
                    <w:left w:val="nil"/>
                    <w:bottom w:val="single" w:sz="8" w:space="0" w:color="FFFFFF"/>
                    <w:right w:val="single" w:sz="8" w:space="0" w:color="FFFFFF"/>
                  </w:tcBorders>
                  <w:shd w:val="clear" w:color="000000" w:fill="FDE9D9"/>
                  <w:noWrap/>
                  <w:vAlign w:val="center"/>
                  <w:hideMark/>
                </w:tcPr>
                <w:p w14:paraId="330D178E"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5Y</w:t>
                  </w:r>
                </w:p>
              </w:tc>
              <w:tc>
                <w:tcPr>
                  <w:tcW w:w="899" w:type="dxa"/>
                  <w:tcBorders>
                    <w:top w:val="nil"/>
                    <w:left w:val="nil"/>
                    <w:bottom w:val="single" w:sz="8" w:space="0" w:color="FFFFFF"/>
                    <w:right w:val="single" w:sz="8" w:space="0" w:color="FFFFFF"/>
                  </w:tcBorders>
                  <w:shd w:val="clear" w:color="000000" w:fill="FDE9D9"/>
                  <w:noWrap/>
                  <w:vAlign w:val="center"/>
                  <w:hideMark/>
                </w:tcPr>
                <w:p w14:paraId="184D720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21%</w:t>
                  </w:r>
                </w:p>
              </w:tc>
              <w:tc>
                <w:tcPr>
                  <w:tcW w:w="899" w:type="dxa"/>
                  <w:tcBorders>
                    <w:top w:val="nil"/>
                    <w:left w:val="nil"/>
                    <w:bottom w:val="single" w:sz="8" w:space="0" w:color="FFFFFF"/>
                    <w:right w:val="single" w:sz="8" w:space="0" w:color="FFFFFF"/>
                  </w:tcBorders>
                  <w:shd w:val="clear" w:color="000000" w:fill="FDE9D9"/>
                  <w:noWrap/>
                  <w:vAlign w:val="center"/>
                  <w:hideMark/>
                </w:tcPr>
                <w:p w14:paraId="6E1BA53E"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DE9D9"/>
                  <w:noWrap/>
                  <w:vAlign w:val="center"/>
                  <w:hideMark/>
                </w:tcPr>
                <w:p w14:paraId="359F38A8"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DE9D9"/>
                  <w:noWrap/>
                  <w:vAlign w:val="center"/>
                  <w:hideMark/>
                </w:tcPr>
                <w:p w14:paraId="384D45B2"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64%</w:t>
                  </w:r>
                </w:p>
              </w:tc>
            </w:tr>
            <w:tr w:rsidR="00851C6B" w:rsidRPr="00851C6B" w14:paraId="635E5747" w14:textId="77777777" w:rsidTr="00851C6B">
              <w:trPr>
                <w:trHeight w:val="300"/>
              </w:trPr>
              <w:tc>
                <w:tcPr>
                  <w:tcW w:w="1316" w:type="dxa"/>
                  <w:tcBorders>
                    <w:top w:val="nil"/>
                    <w:left w:val="nil"/>
                    <w:bottom w:val="nil"/>
                    <w:right w:val="nil"/>
                  </w:tcBorders>
                  <w:shd w:val="clear" w:color="000000" w:fill="FCD5B4"/>
                  <w:noWrap/>
                  <w:vAlign w:val="center"/>
                  <w:hideMark/>
                </w:tcPr>
                <w:p w14:paraId="1094B1B4"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337209D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21%</w:t>
                  </w:r>
                </w:p>
              </w:tc>
              <w:tc>
                <w:tcPr>
                  <w:tcW w:w="900" w:type="dxa"/>
                  <w:tcBorders>
                    <w:top w:val="nil"/>
                    <w:left w:val="nil"/>
                    <w:bottom w:val="single" w:sz="8" w:space="0" w:color="FFFFFF"/>
                    <w:right w:val="single" w:sz="8" w:space="0" w:color="FFFFFF"/>
                  </w:tcBorders>
                  <w:shd w:val="clear" w:color="000000" w:fill="FCD5B4"/>
                  <w:noWrap/>
                  <w:vAlign w:val="center"/>
                  <w:hideMark/>
                </w:tcPr>
                <w:p w14:paraId="38EFCFC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18%</w:t>
                  </w:r>
                </w:p>
              </w:tc>
              <w:tc>
                <w:tcPr>
                  <w:tcW w:w="900" w:type="dxa"/>
                  <w:tcBorders>
                    <w:top w:val="nil"/>
                    <w:left w:val="nil"/>
                    <w:bottom w:val="single" w:sz="8" w:space="0" w:color="FFFFFF"/>
                    <w:right w:val="single" w:sz="8" w:space="0" w:color="FFFFFF"/>
                  </w:tcBorders>
                  <w:shd w:val="clear" w:color="000000" w:fill="FCD5B4"/>
                  <w:noWrap/>
                  <w:vAlign w:val="center"/>
                  <w:hideMark/>
                </w:tcPr>
                <w:p w14:paraId="6302BCE3"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CD5B4"/>
                  <w:noWrap/>
                  <w:vAlign w:val="center"/>
                  <w:hideMark/>
                </w:tcPr>
                <w:p w14:paraId="7B15481F"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56%</w:t>
                  </w:r>
                </w:p>
              </w:tc>
              <w:tc>
                <w:tcPr>
                  <w:tcW w:w="1128" w:type="dxa"/>
                  <w:tcBorders>
                    <w:top w:val="nil"/>
                    <w:left w:val="nil"/>
                    <w:bottom w:val="nil"/>
                    <w:right w:val="nil"/>
                  </w:tcBorders>
                  <w:shd w:val="clear" w:color="000000" w:fill="FCD5B4"/>
                  <w:noWrap/>
                  <w:vAlign w:val="center"/>
                  <w:hideMark/>
                </w:tcPr>
                <w:p w14:paraId="7A7CD088" w14:textId="77777777" w:rsidR="00851C6B" w:rsidRPr="00851C6B" w:rsidRDefault="00851C6B" w:rsidP="00851C6B">
                  <w:pPr>
                    <w:widowControl/>
                    <w:jc w:val="center"/>
                    <w:rPr>
                      <w:rFonts w:ascii="楷体" w:eastAsia="楷体" w:hAnsi="楷体" w:cs="宋体"/>
                      <w:color w:val="000000"/>
                      <w:kern w:val="0"/>
                      <w:sz w:val="20"/>
                      <w:szCs w:val="20"/>
                    </w:rPr>
                  </w:pPr>
                  <w:proofErr w:type="gramStart"/>
                  <w:r w:rsidRPr="00851C6B">
                    <w:rPr>
                      <w:rFonts w:ascii="楷体" w:eastAsia="楷体" w:hAnsi="楷体" w:cs="宋体" w:hint="eastAsia"/>
                      <w:color w:val="000000"/>
                      <w:kern w:val="0"/>
                      <w:sz w:val="20"/>
                      <w:szCs w:val="20"/>
                    </w:rPr>
                    <w:t>城投债</w:t>
                  </w:r>
                  <w:proofErr w:type="gramEnd"/>
                  <w:r w:rsidRPr="00851C6B">
                    <w:rPr>
                      <w:rFonts w:ascii="楷体" w:eastAsia="楷体" w:hAnsi="楷体" w:cs="宋体" w:hint="eastAsia"/>
                      <w:color w:val="000000"/>
                      <w:kern w:val="0"/>
                      <w:sz w:val="20"/>
                      <w:szCs w:val="20"/>
                    </w:rPr>
                    <w:t>7Y</w:t>
                  </w:r>
                </w:p>
              </w:tc>
              <w:tc>
                <w:tcPr>
                  <w:tcW w:w="899" w:type="dxa"/>
                  <w:tcBorders>
                    <w:top w:val="nil"/>
                    <w:left w:val="nil"/>
                    <w:bottom w:val="single" w:sz="8" w:space="0" w:color="FFFFFF"/>
                    <w:right w:val="single" w:sz="8" w:space="0" w:color="FFFFFF"/>
                  </w:tcBorders>
                  <w:shd w:val="clear" w:color="000000" w:fill="FCD5B4"/>
                  <w:noWrap/>
                  <w:vAlign w:val="center"/>
                  <w:hideMark/>
                </w:tcPr>
                <w:p w14:paraId="2158FA9A"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15%</w:t>
                  </w:r>
                </w:p>
              </w:tc>
              <w:tc>
                <w:tcPr>
                  <w:tcW w:w="899" w:type="dxa"/>
                  <w:tcBorders>
                    <w:top w:val="nil"/>
                    <w:left w:val="nil"/>
                    <w:bottom w:val="single" w:sz="8" w:space="0" w:color="FFFFFF"/>
                    <w:right w:val="single" w:sz="8" w:space="0" w:color="FFFFFF"/>
                  </w:tcBorders>
                  <w:shd w:val="clear" w:color="000000" w:fill="FCD5B4"/>
                  <w:noWrap/>
                  <w:vAlign w:val="center"/>
                  <w:hideMark/>
                </w:tcPr>
                <w:p w14:paraId="6D92AFE6"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13%</w:t>
                  </w:r>
                </w:p>
              </w:tc>
              <w:tc>
                <w:tcPr>
                  <w:tcW w:w="899" w:type="dxa"/>
                  <w:tcBorders>
                    <w:top w:val="nil"/>
                    <w:left w:val="nil"/>
                    <w:bottom w:val="single" w:sz="8" w:space="0" w:color="FFFFFF"/>
                    <w:right w:val="single" w:sz="8" w:space="0" w:color="FFFFFF"/>
                  </w:tcBorders>
                  <w:shd w:val="clear" w:color="000000" w:fill="FCD5B4"/>
                  <w:noWrap/>
                  <w:vAlign w:val="center"/>
                  <w:hideMark/>
                </w:tcPr>
                <w:p w14:paraId="2F72EF1C"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CD5B4"/>
                  <w:noWrap/>
                  <w:vAlign w:val="center"/>
                  <w:hideMark/>
                </w:tcPr>
                <w:p w14:paraId="674BD604" w14:textId="77777777" w:rsidR="00851C6B" w:rsidRPr="00851C6B" w:rsidRDefault="00851C6B" w:rsidP="00851C6B">
                  <w:pPr>
                    <w:widowControl/>
                    <w:jc w:val="center"/>
                    <w:rPr>
                      <w:rFonts w:eastAsia="等线" w:cs="Calibri"/>
                      <w:color w:val="000000"/>
                      <w:kern w:val="0"/>
                      <w:szCs w:val="21"/>
                    </w:rPr>
                  </w:pPr>
                  <w:r w:rsidRPr="00851C6B">
                    <w:rPr>
                      <w:rFonts w:eastAsia="等线" w:cs="Calibri"/>
                      <w:color w:val="000000"/>
                      <w:kern w:val="0"/>
                      <w:szCs w:val="21"/>
                    </w:rPr>
                    <w:t>64%</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649273E6" w:rsidR="00C37204" w:rsidRPr="00C16434" w:rsidRDefault="003931FA" w:rsidP="00416C5F">
      <w:pPr>
        <w:pStyle w:val="Body-text"/>
        <w:spacing w:after="240"/>
        <w:ind w:firstLineChars="200" w:firstLine="480"/>
        <w:rPr>
          <w:rFonts w:ascii="华文楷体" w:hAnsi="华文楷体"/>
          <w:sz w:val="24"/>
          <w:szCs w:val="24"/>
          <w:lang w:eastAsia="zh-CN"/>
        </w:rPr>
      </w:pPr>
      <w:bookmarkStart w:id="1" w:name="_GoBack"/>
      <w:bookmarkEnd w:id="1"/>
      <w:r w:rsidRPr="003931FA">
        <w:rPr>
          <w:rFonts w:ascii="华文楷体" w:hAnsi="华文楷体" w:hint="eastAsia"/>
          <w:sz w:val="24"/>
          <w:szCs w:val="24"/>
          <w:lang w:eastAsia="zh-CN"/>
        </w:rPr>
        <w:t>本周</w:t>
      </w:r>
      <w:r w:rsidR="00591DD3">
        <w:rPr>
          <w:rFonts w:ascii="华文楷体" w:hAnsi="华文楷体" w:hint="eastAsia"/>
          <w:sz w:val="24"/>
          <w:szCs w:val="24"/>
          <w:lang w:eastAsia="zh-CN"/>
        </w:rPr>
        <w:t>权益市场</w:t>
      </w:r>
      <w:r w:rsidR="00171997">
        <w:rPr>
          <w:rFonts w:ascii="华文楷体" w:hAnsi="华文楷体" w:hint="eastAsia"/>
          <w:sz w:val="24"/>
          <w:szCs w:val="24"/>
          <w:lang w:eastAsia="zh-CN"/>
        </w:rPr>
        <w:t>涨跌互现</w:t>
      </w:r>
      <w:r w:rsidR="006B343C">
        <w:rPr>
          <w:rFonts w:ascii="华文楷体" w:hAnsi="华文楷体" w:hint="eastAsia"/>
          <w:sz w:val="24"/>
          <w:szCs w:val="24"/>
          <w:lang w:eastAsia="zh-CN"/>
        </w:rPr>
        <w:t>，</w:t>
      </w:r>
      <w:r w:rsidR="00171997">
        <w:rPr>
          <w:rFonts w:ascii="华文楷体" w:hAnsi="华文楷体" w:hint="eastAsia"/>
          <w:sz w:val="24"/>
          <w:szCs w:val="24"/>
          <w:lang w:eastAsia="zh-CN"/>
        </w:rPr>
        <w:t>创业板上涨反弹，</w:t>
      </w:r>
      <w:r w:rsidR="006B343C">
        <w:rPr>
          <w:rFonts w:ascii="华文楷体" w:hAnsi="华文楷体" w:hint="eastAsia"/>
          <w:sz w:val="24"/>
          <w:szCs w:val="24"/>
          <w:lang w:eastAsia="zh-CN"/>
        </w:rPr>
        <w:t>成交量</w:t>
      </w:r>
      <w:r w:rsidR="00171997">
        <w:rPr>
          <w:rFonts w:ascii="华文楷体" w:hAnsi="华文楷体" w:hint="eastAsia"/>
          <w:sz w:val="24"/>
          <w:szCs w:val="24"/>
          <w:lang w:eastAsia="zh-CN"/>
        </w:rPr>
        <w:t>较上周增加，转债市场爆炒行情受到</w:t>
      </w:r>
      <w:r w:rsidR="001901C5">
        <w:rPr>
          <w:rFonts w:ascii="华文楷体" w:hAnsi="华文楷体" w:hint="eastAsia"/>
          <w:sz w:val="24"/>
          <w:szCs w:val="24"/>
          <w:lang w:eastAsia="zh-CN"/>
        </w:rPr>
        <w:t>监管密切关注</w:t>
      </w:r>
      <w:r w:rsidR="00171997">
        <w:rPr>
          <w:rFonts w:ascii="华文楷体" w:hAnsi="华文楷体" w:hint="eastAsia"/>
          <w:sz w:val="24"/>
          <w:szCs w:val="24"/>
          <w:lang w:eastAsia="zh-CN"/>
        </w:rPr>
        <w:t>，有一定好转但情绪仍维持较高热度</w:t>
      </w:r>
      <w:r w:rsidR="00591DD3">
        <w:rPr>
          <w:rFonts w:ascii="华文楷体" w:hAnsi="华文楷体" w:hint="eastAsia"/>
          <w:sz w:val="24"/>
          <w:szCs w:val="24"/>
          <w:lang w:eastAsia="zh-CN"/>
        </w:rPr>
        <w:t>。</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方面本周仍关注行业景气度、业绩较好、估值较低的品种</w:t>
      </w:r>
      <w:r w:rsidR="00591011" w:rsidRPr="00591011">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696F26">
        <w:rPr>
          <w:rFonts w:ascii="华文楷体" w:hAnsi="华文楷体" w:hint="eastAsia"/>
          <w:sz w:val="24"/>
          <w:szCs w:val="24"/>
          <w:lang w:eastAsia="zh-CN"/>
        </w:rPr>
        <w:t>-</w:t>
      </w:r>
      <w:r w:rsidR="00FC5211">
        <w:rPr>
          <w:rFonts w:ascii="华文楷体" w:hAnsi="华文楷体" w:hint="eastAsia"/>
          <w:sz w:val="24"/>
          <w:szCs w:val="24"/>
          <w:lang w:eastAsia="zh-CN"/>
        </w:rPr>
        <w:t>1.6</w:t>
      </w:r>
      <w:r w:rsidR="00AC28BB">
        <w:rPr>
          <w:rFonts w:ascii="华文楷体" w:hAnsi="华文楷体"/>
          <w:sz w:val="24"/>
          <w:szCs w:val="24"/>
          <w:lang w:eastAsia="zh-CN"/>
        </w:rPr>
        <w:t>%、</w:t>
      </w:r>
      <w:r w:rsidR="00FC5211">
        <w:rPr>
          <w:rFonts w:ascii="华文楷体" w:hAnsi="华文楷体" w:hint="eastAsia"/>
          <w:sz w:val="24"/>
          <w:szCs w:val="24"/>
          <w:lang w:eastAsia="zh-CN"/>
        </w:rPr>
        <w:t>2.1</w:t>
      </w:r>
      <w:r w:rsidR="00AC28BB">
        <w:rPr>
          <w:rFonts w:ascii="华文楷体" w:hAnsi="华文楷体"/>
          <w:sz w:val="24"/>
          <w:szCs w:val="24"/>
          <w:lang w:eastAsia="zh-CN"/>
        </w:rPr>
        <w:t>%、</w:t>
      </w:r>
      <w:r w:rsidR="00696F26">
        <w:rPr>
          <w:rFonts w:ascii="华文楷体" w:hAnsi="华文楷体" w:hint="eastAsia"/>
          <w:sz w:val="24"/>
          <w:szCs w:val="24"/>
          <w:lang w:eastAsia="zh-CN"/>
        </w:rPr>
        <w:t>-</w:t>
      </w:r>
      <w:r w:rsidR="00FC5211">
        <w:rPr>
          <w:rFonts w:ascii="华文楷体" w:hAnsi="华文楷体" w:hint="eastAsia"/>
          <w:sz w:val="24"/>
          <w:szCs w:val="24"/>
          <w:lang w:eastAsia="zh-CN"/>
        </w:rPr>
        <w:t>2</w:t>
      </w:r>
      <w:r w:rsidR="00696F26">
        <w:rPr>
          <w:rFonts w:ascii="华文楷体" w:hAnsi="华文楷体"/>
          <w:sz w:val="24"/>
          <w:szCs w:val="24"/>
          <w:lang w:eastAsia="zh-CN"/>
        </w:rPr>
        <w:t>.0</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696F26">
        <w:rPr>
          <w:rFonts w:ascii="华文楷体" w:hAnsi="华文楷体" w:hint="eastAsia"/>
          <w:sz w:val="24"/>
          <w:szCs w:val="24"/>
          <w:lang w:eastAsia="zh-CN"/>
        </w:rPr>
        <w:t>-</w:t>
      </w:r>
      <w:r w:rsidR="00FC5211">
        <w:rPr>
          <w:rFonts w:ascii="华文楷体" w:hAnsi="华文楷体" w:hint="eastAsia"/>
          <w:sz w:val="24"/>
          <w:szCs w:val="24"/>
          <w:lang w:eastAsia="zh-CN"/>
        </w:rPr>
        <w:t>0</w:t>
      </w:r>
      <w:r w:rsidR="00696F26">
        <w:rPr>
          <w:rFonts w:ascii="华文楷体" w:hAnsi="华文楷体"/>
          <w:sz w:val="24"/>
          <w:szCs w:val="24"/>
          <w:lang w:eastAsia="zh-CN"/>
        </w:rPr>
        <w:t>.5</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696F26">
        <w:rPr>
          <w:rFonts w:ascii="华文楷体" w:hAnsi="华文楷体" w:hint="eastAsia"/>
          <w:sz w:val="24"/>
          <w:szCs w:val="24"/>
          <w:lang w:eastAsia="zh-CN"/>
        </w:rPr>
        <w:t>下行0</w:t>
      </w:r>
      <w:r w:rsidR="00696F26">
        <w:rPr>
          <w:rFonts w:ascii="华文楷体" w:hAnsi="华文楷体"/>
          <w:sz w:val="24"/>
          <w:szCs w:val="24"/>
          <w:lang w:eastAsia="zh-CN"/>
        </w:rPr>
        <w:t>.</w:t>
      </w:r>
      <w:r w:rsidR="00FC5211">
        <w:rPr>
          <w:rFonts w:ascii="华文楷体" w:hAnsi="华文楷体" w:hint="eastAsia"/>
          <w:sz w:val="24"/>
          <w:szCs w:val="24"/>
          <w:lang w:eastAsia="zh-CN"/>
        </w:rPr>
        <w:t>3</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905F50">
        <w:tblPrEx>
          <w:tblCellMar>
            <w:left w:w="108" w:type="dxa"/>
            <w:right w:w="108" w:type="dxa"/>
          </w:tblCellMar>
        </w:tblPrEx>
        <w:trPr>
          <w:jc w:val="center"/>
        </w:trPr>
        <w:tc>
          <w:tcPr>
            <w:tcW w:w="4939" w:type="dxa"/>
            <w:vAlign w:val="center"/>
          </w:tcPr>
          <w:p w14:paraId="5C83721A" w14:textId="793E2C9B" w:rsidR="00E0626C" w:rsidRPr="007E0340" w:rsidRDefault="00905F50" w:rsidP="009A2BA0">
            <w:pPr>
              <w:jc w:val="center"/>
              <w:rPr>
                <w:noProof/>
              </w:rPr>
            </w:pPr>
            <w:r w:rsidRPr="00905F50">
              <w:rPr>
                <w:noProof/>
              </w:rPr>
              <w:drawing>
                <wp:inline distT="0" distB="0" distL="0" distR="0" wp14:anchorId="7EA4BD49" wp14:editId="5DAA905B">
                  <wp:extent cx="3113505" cy="1756824"/>
                  <wp:effectExtent l="0" t="0" r="0" b="0"/>
                  <wp:docPr id="15" name="图片 15" descr="C:\Users\Tang\AppData\Local\Temp\WeChat Files\89e451074ddbeedd4cf631228dec4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WeChat Files\89e451074ddbeedd4cf631228dec49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31138" cy="1766773"/>
                          </a:xfrm>
                          <a:prstGeom prst="rect">
                            <a:avLst/>
                          </a:prstGeom>
                          <a:noFill/>
                          <a:ln>
                            <a:noFill/>
                          </a:ln>
                        </pic:spPr>
                      </pic:pic>
                    </a:graphicData>
                  </a:graphic>
                </wp:inline>
              </w:drawing>
            </w:r>
          </w:p>
        </w:tc>
        <w:tc>
          <w:tcPr>
            <w:tcW w:w="4938" w:type="dxa"/>
            <w:vAlign w:val="center"/>
          </w:tcPr>
          <w:p w14:paraId="39BD4383" w14:textId="67C399C5" w:rsidR="00E0626C" w:rsidRPr="007E0340" w:rsidRDefault="00905F50" w:rsidP="009A2BA0">
            <w:pPr>
              <w:jc w:val="center"/>
              <w:rPr>
                <w:noProof/>
                <w:szCs w:val="18"/>
              </w:rPr>
            </w:pPr>
            <w:r>
              <w:rPr>
                <w:noProof/>
              </w:rPr>
              <w:drawing>
                <wp:inline distT="0" distB="0" distL="0" distR="0" wp14:anchorId="55EEFC6C" wp14:editId="14412942">
                  <wp:extent cx="2998470" cy="1757238"/>
                  <wp:effectExtent l="0" t="0" r="0" b="0"/>
                  <wp:docPr id="16" name="图表 1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78CE5AA3"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BD227B" w:rsidRPr="00BD227B">
        <w:rPr>
          <w:rFonts w:ascii="华文楷体" w:hAnsi="华文楷体" w:hint="eastAsia"/>
          <w:bCs/>
          <w:sz w:val="24"/>
          <w:szCs w:val="24"/>
          <w:lang w:eastAsia="zh-CN"/>
        </w:rPr>
        <w:t>10月中旬重点电厂发电耗煤同比增速为-4.9%，较上旬有所回升。上周生产</w:t>
      </w:r>
      <w:proofErr w:type="gramStart"/>
      <w:r w:rsidR="00BD227B" w:rsidRPr="00BD227B">
        <w:rPr>
          <w:rFonts w:ascii="华文楷体" w:hAnsi="华文楷体" w:hint="eastAsia"/>
          <w:bCs/>
          <w:sz w:val="24"/>
          <w:szCs w:val="24"/>
          <w:lang w:eastAsia="zh-CN"/>
        </w:rPr>
        <w:t>端其他</w:t>
      </w:r>
      <w:proofErr w:type="gramEnd"/>
      <w:r w:rsidR="00BD227B" w:rsidRPr="00BD227B">
        <w:rPr>
          <w:rFonts w:ascii="华文楷体" w:hAnsi="华文楷体" w:hint="eastAsia"/>
          <w:bCs/>
          <w:sz w:val="24"/>
          <w:szCs w:val="24"/>
          <w:lang w:eastAsia="zh-CN"/>
        </w:rPr>
        <w:t>指标多数回升，浙电日均耗煤同比增速回升至5.4%,高炉开工率环比回升0.1%，焦炉生产率回升0.5%</w:t>
      </w:r>
      <w:r w:rsidR="0063487B">
        <w:rPr>
          <w:rFonts w:ascii="华文楷体" w:hAnsi="华文楷体" w:hint="eastAsia"/>
          <w:bCs/>
          <w:sz w:val="24"/>
          <w:szCs w:val="24"/>
          <w:lang w:eastAsia="zh-CN"/>
        </w:rPr>
        <w:t>。</w:t>
      </w:r>
      <w:r w:rsidR="00B805A8" w:rsidRPr="00B805A8">
        <w:rPr>
          <w:rFonts w:ascii="华文楷体" w:hAnsi="华文楷体" w:hint="eastAsia"/>
          <w:bCs/>
          <w:sz w:val="24"/>
          <w:szCs w:val="24"/>
          <w:lang w:eastAsia="zh-CN"/>
        </w:rPr>
        <w:t>本周主要港口动力煤平均价环比回升0.17%，煤价整体处于偏高位置。PTA产业链负荷率环比继续回落0.25%，近期纺织服装订单有所增加，但由于当前PTA社会库存仍处于偏高位置。中国玻璃综合指数回落0.03%，周内玻璃价格稳中有降。</w:t>
      </w:r>
    </w:p>
    <w:p w14:paraId="21425444" w14:textId="23327424"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CC2F5D" w:rsidRPr="00D67BD7">
        <w:rPr>
          <w:rFonts w:ascii="华文楷体" w:hAnsi="华文楷体" w:hint="eastAsia"/>
          <w:b/>
          <w:bCs/>
          <w:sz w:val="24"/>
          <w:szCs w:val="24"/>
          <w:lang w:eastAsia="zh-CN"/>
        </w:rPr>
        <w:t>：</w:t>
      </w:r>
      <w:r w:rsidR="00AE5436" w:rsidRPr="00AE5436">
        <w:rPr>
          <w:rFonts w:ascii="华文楷体" w:hAnsi="华文楷体" w:hint="eastAsia"/>
          <w:bCs/>
          <w:sz w:val="24"/>
          <w:szCs w:val="24"/>
          <w:lang w:eastAsia="zh-CN"/>
        </w:rPr>
        <w:t>10月第四周30大中城市商品房成交面积继续小幅回升，其中二线城市受限购政策影响销售小幅回落，一、三线城市则小幅回升，地产销售依然强劲</w:t>
      </w:r>
      <w:r w:rsidR="00AE5436">
        <w:rPr>
          <w:rFonts w:ascii="华文楷体" w:hAnsi="华文楷体" w:hint="eastAsia"/>
          <w:bCs/>
          <w:sz w:val="24"/>
          <w:szCs w:val="24"/>
          <w:lang w:eastAsia="zh-CN"/>
        </w:rPr>
        <w:t>。</w:t>
      </w:r>
      <w:r w:rsidR="00AE5436" w:rsidRPr="00AE5436">
        <w:rPr>
          <w:rFonts w:ascii="华文楷体" w:hAnsi="华文楷体" w:hint="eastAsia"/>
          <w:bCs/>
          <w:sz w:val="24"/>
          <w:szCs w:val="24"/>
          <w:lang w:eastAsia="zh-CN"/>
        </w:rPr>
        <w:t>拿地方面，本周100大中城市土地成交面积表现偏弱，各线城市拿地均有所下行，一线城市下行幅度较大</w:t>
      </w:r>
      <w:r w:rsidR="00AE5436">
        <w:rPr>
          <w:rFonts w:ascii="华文楷体" w:hAnsi="华文楷体" w:hint="eastAsia"/>
          <w:bCs/>
          <w:sz w:val="24"/>
          <w:szCs w:val="24"/>
          <w:lang w:eastAsia="zh-CN"/>
        </w:rPr>
        <w:t>。</w:t>
      </w:r>
      <w:r w:rsidR="00AE5436" w:rsidRPr="00AE5436">
        <w:rPr>
          <w:rFonts w:ascii="华文楷体" w:hAnsi="华文楷体" w:hint="eastAsia"/>
          <w:bCs/>
          <w:sz w:val="24"/>
          <w:szCs w:val="24"/>
          <w:lang w:eastAsia="zh-CN"/>
        </w:rPr>
        <w:t>地产信托发行数据来看，本周地产信托发行量为190.8亿，较上周的发行147.75亿明显上行</w:t>
      </w:r>
      <w:r w:rsidR="00AE5436">
        <w:rPr>
          <w:rFonts w:ascii="华文楷体" w:hAnsi="华文楷体" w:hint="eastAsia"/>
          <w:bCs/>
          <w:sz w:val="24"/>
          <w:szCs w:val="24"/>
          <w:lang w:eastAsia="zh-CN"/>
        </w:rPr>
        <w:t>。</w:t>
      </w:r>
    </w:p>
    <w:p w14:paraId="3BDE386D" w14:textId="77782A04" w:rsidR="003B54C0" w:rsidRPr="00682A95" w:rsidRDefault="005D478C" w:rsidP="0007254B">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AE5436" w:rsidRPr="00AE5436">
        <w:rPr>
          <w:rFonts w:ascii="华文楷体" w:hAnsi="华文楷体" w:hint="eastAsia"/>
          <w:bCs/>
          <w:sz w:val="24"/>
          <w:szCs w:val="24"/>
          <w:lang w:eastAsia="zh-CN"/>
        </w:rPr>
        <w:t>波罗的海干散货指数较上周回落2.05%，中国进口干散货运价指数走势较上周回升0.34%。</w:t>
      </w:r>
      <w:r w:rsidR="002547B9" w:rsidRPr="00AE5436">
        <w:rPr>
          <w:rFonts w:ascii="华文楷体" w:hAnsi="华文楷体" w:hint="eastAsia"/>
          <w:bCs/>
          <w:sz w:val="24"/>
          <w:szCs w:val="24"/>
          <w:lang w:eastAsia="zh-CN"/>
        </w:rPr>
        <w:t>出口方面，</w:t>
      </w:r>
      <w:r w:rsidR="00AE5436" w:rsidRPr="00AE5436">
        <w:rPr>
          <w:rFonts w:ascii="华文楷体" w:hAnsi="华文楷体" w:hint="eastAsia"/>
          <w:bCs/>
          <w:sz w:val="24"/>
          <w:szCs w:val="24"/>
          <w:lang w:eastAsia="zh-CN"/>
        </w:rPr>
        <w:t>上海出口集装箱指数（SCFI）本周回升4.15%，中国出口集装箱运价指数（CCFI）本周上行1.88%</w:t>
      </w:r>
      <w:r w:rsidR="00AE5436">
        <w:rPr>
          <w:rFonts w:ascii="华文楷体" w:hAnsi="华文楷体" w:hint="eastAsia"/>
          <w:bCs/>
          <w:sz w:val="24"/>
          <w:szCs w:val="24"/>
          <w:lang w:eastAsia="zh-CN"/>
        </w:rPr>
        <w:t>。</w:t>
      </w:r>
    </w:p>
    <w:p w14:paraId="0542DAC4" w14:textId="4909B005"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食品价格方面，猪肉价格本周回落4.38%，跌幅有所走扩，</w:t>
      </w:r>
      <w:proofErr w:type="gramStart"/>
      <w:r w:rsidR="00AE5436" w:rsidRPr="00AE5436">
        <w:rPr>
          <w:rFonts w:ascii="华文楷体" w:hAnsi="华文楷体" w:hint="eastAsia"/>
          <w:bCs/>
          <w:sz w:val="24"/>
          <w:szCs w:val="24"/>
          <w:lang w:eastAsia="zh-CN"/>
        </w:rPr>
        <w:t>周度数据</w:t>
      </w:r>
      <w:proofErr w:type="gramEnd"/>
      <w:r w:rsidR="00AE5436" w:rsidRPr="00AE5436">
        <w:rPr>
          <w:rFonts w:ascii="华文楷体" w:hAnsi="华文楷体" w:hint="eastAsia"/>
          <w:bCs/>
          <w:sz w:val="24"/>
          <w:szCs w:val="24"/>
          <w:lang w:eastAsia="zh-CN"/>
        </w:rPr>
        <w:t>来看，农业部公布的全国平均批发价较上周末回落至39.51元/公斤左右。蔬菜方面，价格转为回升1.05%；水果价格则继续小幅上行，较上周回升0.59%，主要受秋冬季水果上市影响；鸡蛋方面，价格回落0.9%，价格继续回落；水产品本周价格回升0.36%。</w:t>
      </w:r>
      <w:r w:rsidR="0063487B" w:rsidRPr="0063487B">
        <w:rPr>
          <w:rFonts w:ascii="华文楷体" w:hAnsi="华文楷体" w:hint="eastAsia"/>
          <w:bCs/>
          <w:sz w:val="24"/>
          <w:szCs w:val="24"/>
          <w:lang w:eastAsia="zh-CN"/>
        </w:rPr>
        <w:t>工业品价格方面，</w:t>
      </w:r>
      <w:r w:rsidR="00AE5436" w:rsidRPr="00AE5436">
        <w:rPr>
          <w:rFonts w:ascii="华文楷体" w:hAnsi="华文楷体" w:hint="eastAsia"/>
          <w:bCs/>
          <w:sz w:val="24"/>
          <w:szCs w:val="24"/>
          <w:lang w:eastAsia="zh-CN"/>
        </w:rPr>
        <w:t>本周</w:t>
      </w:r>
      <w:proofErr w:type="spellStart"/>
      <w:r w:rsidR="00AE5436" w:rsidRPr="00AE5436">
        <w:rPr>
          <w:rFonts w:ascii="华文楷体" w:hAnsi="华文楷体" w:hint="eastAsia"/>
          <w:bCs/>
          <w:sz w:val="24"/>
          <w:szCs w:val="24"/>
          <w:lang w:eastAsia="zh-CN"/>
        </w:rPr>
        <w:t>Myspic</w:t>
      </w:r>
      <w:proofErr w:type="spellEnd"/>
      <w:r w:rsidR="00AE5436" w:rsidRPr="00AE5436">
        <w:rPr>
          <w:rFonts w:ascii="华文楷体" w:hAnsi="华文楷体" w:hint="eastAsia"/>
          <w:bCs/>
          <w:sz w:val="24"/>
          <w:szCs w:val="24"/>
          <w:lang w:eastAsia="zh-CN"/>
        </w:rPr>
        <w:t>综合全国钢铁价格指数上行0.23%，较上周有所回升。主要品种中，螺纹钢、热卷、高线价格本周均有所回升，分别变动0.4%、0.03%、0.42%；从库存来看，螺纹钢、热卷、线材库存分别变动-7.63%、-3.28%、-12.12%，库存继续明显回落。</w:t>
      </w:r>
    </w:p>
    <w:p w14:paraId="29155A05" w14:textId="1B101E83"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AE5436" w:rsidRPr="00AE5436">
        <w:rPr>
          <w:rFonts w:ascii="华文楷体" w:hAnsi="华文楷体" w:hint="eastAsia"/>
          <w:bCs/>
          <w:sz w:val="24"/>
          <w:szCs w:val="24"/>
          <w:lang w:eastAsia="zh-CN"/>
        </w:rPr>
        <w:t>乘联会最新数据显示，10月第四周的日均零售是5.3万辆，同比增长19%，表现平稳较强；批发方面，10月第四周主要厂商批发销量达到日均6.2万辆，同比去年10月增长22%，10月环比9月第四周下降3%。</w:t>
      </w:r>
    </w:p>
    <w:p w14:paraId="6C0621FD" w14:textId="10968EEF"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AE5436" w:rsidRPr="00AE5436">
        <w:rPr>
          <w:rFonts w:ascii="华文楷体" w:hAnsi="华文楷体" w:hint="eastAsia"/>
          <w:bCs/>
          <w:sz w:val="24"/>
          <w:szCs w:val="24"/>
          <w:lang w:eastAsia="zh-CN"/>
        </w:rPr>
        <w:t>本周国际油价大幅下跌，WTI原油价格回落9.2%，至36.17美元/桶；布伦</w:t>
      </w:r>
      <w:proofErr w:type="gramStart"/>
      <w:r w:rsidR="00AE5436" w:rsidRPr="00AE5436">
        <w:rPr>
          <w:rFonts w:ascii="华文楷体" w:hAnsi="华文楷体" w:hint="eastAsia"/>
          <w:bCs/>
          <w:sz w:val="24"/>
          <w:szCs w:val="24"/>
          <w:lang w:eastAsia="zh-CN"/>
        </w:rPr>
        <w:t>特</w:t>
      </w:r>
      <w:proofErr w:type="gramEnd"/>
      <w:r w:rsidR="00AE5436" w:rsidRPr="00AE5436">
        <w:rPr>
          <w:rFonts w:ascii="华文楷体" w:hAnsi="华文楷体" w:hint="eastAsia"/>
          <w:bCs/>
          <w:sz w:val="24"/>
          <w:szCs w:val="24"/>
          <w:lang w:eastAsia="zh-CN"/>
        </w:rPr>
        <w:t>原油价格下跌9.9%，至37.65美元/桶，主要受海外疫情影响。</w:t>
      </w:r>
    </w:p>
    <w:p w14:paraId="6197476A" w14:textId="09E874C2" w:rsidR="00A058AB"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lastRenderedPageBreak/>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proofErr w:type="gramStart"/>
      <w:r w:rsidR="0063487B">
        <w:rPr>
          <w:rFonts w:ascii="Helvetica" w:hAnsi="Helvetica" w:hint="eastAsia"/>
          <w:color w:val="000000"/>
          <w:spacing w:val="8"/>
          <w:sz w:val="23"/>
          <w:szCs w:val="23"/>
          <w:shd w:val="clear" w:color="auto" w:fill="FFFFFF"/>
          <w:lang w:eastAsia="zh-CN"/>
        </w:rPr>
        <w:t>财新</w:t>
      </w:r>
      <w:proofErr w:type="gramEnd"/>
      <w:r w:rsidR="007A596F" w:rsidRPr="007A596F">
        <w:rPr>
          <w:rFonts w:ascii="Helvetica" w:hAnsi="Helvetica" w:hint="eastAsia"/>
          <w:color w:val="000000"/>
          <w:spacing w:val="8"/>
          <w:sz w:val="23"/>
          <w:szCs w:val="23"/>
          <w:shd w:val="clear" w:color="auto" w:fill="FFFFFF"/>
          <w:lang w:eastAsia="zh-CN"/>
        </w:rPr>
        <w:t>PMI</w:t>
      </w:r>
      <w:r w:rsidR="007A596F" w:rsidRPr="007A596F">
        <w:rPr>
          <w:rFonts w:ascii="Helvetica" w:hAnsi="Helvetica" w:hint="eastAsia"/>
          <w:color w:val="000000"/>
          <w:spacing w:val="8"/>
          <w:sz w:val="23"/>
          <w:szCs w:val="23"/>
          <w:shd w:val="clear" w:color="auto" w:fill="FFFFFF"/>
          <w:lang w:eastAsia="zh-CN"/>
        </w:rPr>
        <w:t>数据，</w:t>
      </w:r>
      <w:r w:rsidR="00AE5436">
        <w:rPr>
          <w:rFonts w:ascii="Helvetica" w:hAnsi="Helvetica" w:hint="eastAsia"/>
          <w:color w:val="000000"/>
          <w:spacing w:val="8"/>
          <w:sz w:val="23"/>
          <w:szCs w:val="23"/>
          <w:shd w:val="clear" w:color="auto" w:fill="FFFFFF"/>
          <w:lang w:eastAsia="zh-CN"/>
        </w:rPr>
        <w:t>进出口数据、外汇储备、美联储议息会议</w:t>
      </w:r>
    </w:p>
    <w:p w14:paraId="35D3E229" w14:textId="77777777" w:rsidR="00DA6262" w:rsidRPr="005C6814" w:rsidRDefault="00DA6262" w:rsidP="00F07541">
      <w:pPr>
        <w:pStyle w:val="Body-text"/>
        <w:ind w:firstLineChars="200" w:firstLine="480"/>
        <w:rPr>
          <w:rFonts w:ascii="华文楷体"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73E15D03"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101F9D" w:rsidRPr="00101F9D">
        <w:rPr>
          <w:rFonts w:ascii="华文楷体" w:hAnsi="华文楷体" w:hint="eastAsia"/>
          <w:sz w:val="24"/>
          <w:szCs w:val="24"/>
          <w:lang w:eastAsia="zh-CN"/>
        </w:rPr>
        <w:t>经济数据利空落地以及利率债供需失衡有所缓解对债市的短期反弹有利，资金面收紧但市场对央行的预期反而阶段性缓和。但债市趋势性机会仍难言，存单压力是否根本性的缓和仍是短期关注点。随着美国大选临近，疫情反复，权益市场近期波动明显加大，交易需要注重安全边际。</w:t>
      </w:r>
    </w:p>
    <w:p w14:paraId="2C3F4BD1" w14:textId="0C17C762"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3B3058">
        <w:rPr>
          <w:rFonts w:ascii="华文楷体" w:hAnsi="华文楷体"/>
          <w:sz w:val="24"/>
          <w:szCs w:val="24"/>
          <w:lang w:eastAsia="zh-CN"/>
        </w:rPr>
        <w:t>信用</w:t>
      </w:r>
      <w:proofErr w:type="gramStart"/>
      <w:r w:rsidR="003B3058">
        <w:rPr>
          <w:rFonts w:ascii="华文楷体" w:hAnsi="华文楷体" w:hint="eastAsia"/>
          <w:sz w:val="24"/>
          <w:szCs w:val="24"/>
          <w:lang w:eastAsia="zh-CN"/>
        </w:rPr>
        <w:t>债</w:t>
      </w:r>
      <w:r w:rsidR="00F106F6">
        <w:rPr>
          <w:rFonts w:ascii="华文楷体" w:hAnsi="华文楷体" w:hint="eastAsia"/>
          <w:sz w:val="24"/>
          <w:szCs w:val="24"/>
          <w:lang w:eastAsia="zh-CN"/>
        </w:rPr>
        <w:t>情绪</w:t>
      </w:r>
      <w:proofErr w:type="gramEnd"/>
      <w:r w:rsidR="0024073D">
        <w:rPr>
          <w:rFonts w:ascii="华文楷体" w:hAnsi="华文楷体" w:hint="eastAsia"/>
          <w:sz w:val="24"/>
          <w:szCs w:val="24"/>
          <w:lang w:eastAsia="zh-CN"/>
        </w:rPr>
        <w:t>持续较好,</w:t>
      </w:r>
      <w:r w:rsidR="00D30FEC">
        <w:rPr>
          <w:rFonts w:ascii="华文楷体" w:hAnsi="华文楷体" w:hint="eastAsia"/>
          <w:sz w:val="24"/>
          <w:szCs w:val="24"/>
          <w:lang w:eastAsia="zh-CN"/>
        </w:rPr>
        <w:t>仍</w:t>
      </w:r>
      <w:r w:rsidR="00F106F6">
        <w:rPr>
          <w:rFonts w:ascii="华文楷体" w:hAnsi="华文楷体" w:hint="eastAsia"/>
          <w:sz w:val="24"/>
          <w:szCs w:val="24"/>
          <w:lang w:eastAsia="zh-CN"/>
        </w:rPr>
        <w:t>坚持</w:t>
      </w:r>
      <w:r w:rsidR="00D30FEC">
        <w:rPr>
          <w:rFonts w:ascii="华文楷体" w:hAnsi="华文楷体" w:hint="eastAsia"/>
          <w:sz w:val="24"/>
          <w:szCs w:val="24"/>
          <w:lang w:eastAsia="zh-CN"/>
        </w:rPr>
        <w:t>挖掘行业和个</w:t>
      </w:r>
      <w:proofErr w:type="gramStart"/>
      <w:r w:rsidR="00D30FEC">
        <w:rPr>
          <w:rFonts w:ascii="华文楷体" w:hAnsi="华文楷体" w:hint="eastAsia"/>
          <w:sz w:val="24"/>
          <w:szCs w:val="24"/>
          <w:lang w:eastAsia="zh-CN"/>
        </w:rPr>
        <w:t>券</w:t>
      </w:r>
      <w:proofErr w:type="gramEnd"/>
      <w:r w:rsidR="00D30FEC">
        <w:rPr>
          <w:rFonts w:ascii="华文楷体" w:hAnsi="华文楷体" w:hint="eastAsia"/>
          <w:sz w:val="24"/>
          <w:szCs w:val="24"/>
          <w:lang w:eastAsia="zh-CN"/>
        </w:rPr>
        <w:t>机会为主，关注绝对收益价值配置为主</w:t>
      </w:r>
      <w:r w:rsidR="00F106F6">
        <w:rPr>
          <w:rFonts w:ascii="华文楷体" w:hAnsi="华文楷体" w:hint="eastAsia"/>
          <w:sz w:val="24"/>
          <w:szCs w:val="24"/>
          <w:lang w:eastAsia="zh-CN"/>
        </w:rPr>
        <w:t>，防范信用风险暴露</w:t>
      </w:r>
      <w:r w:rsidR="00D30FEC">
        <w:rPr>
          <w:rFonts w:ascii="华文楷体" w:hAnsi="华文楷体" w:hint="eastAsia"/>
          <w:sz w:val="24"/>
          <w:szCs w:val="24"/>
          <w:lang w:eastAsia="zh-CN"/>
        </w:rPr>
        <w:t>。</w:t>
      </w:r>
      <w:r w:rsidR="003B3058" w:rsidRPr="003B3058">
        <w:rPr>
          <w:rFonts w:ascii="华文楷体" w:hAnsi="华文楷体"/>
          <w:sz w:val="24"/>
          <w:szCs w:val="24"/>
          <w:lang w:eastAsia="zh-CN"/>
        </w:rPr>
        <w:t>市场</w:t>
      </w:r>
      <w:r w:rsidR="003B3058" w:rsidRPr="003B3058">
        <w:rPr>
          <w:rFonts w:ascii="华文楷体" w:hAnsi="华文楷体" w:hint="eastAsia"/>
          <w:sz w:val="24"/>
          <w:szCs w:val="24"/>
          <w:lang w:eastAsia="zh-CN"/>
        </w:rPr>
        <w:t>策略</w:t>
      </w:r>
      <w:r w:rsidR="003B3058" w:rsidRPr="003B3058">
        <w:rPr>
          <w:rFonts w:ascii="华文楷体" w:hAnsi="华文楷体"/>
          <w:sz w:val="24"/>
          <w:szCs w:val="24"/>
          <w:lang w:eastAsia="zh-CN"/>
        </w:rPr>
        <w:t>方面，</w:t>
      </w:r>
      <w:r w:rsidR="00D30FEC">
        <w:rPr>
          <w:rFonts w:ascii="华文楷体" w:hAnsi="华文楷体" w:hint="eastAsia"/>
          <w:sz w:val="24"/>
          <w:szCs w:val="24"/>
          <w:lang w:eastAsia="zh-CN"/>
        </w:rPr>
        <w:t>过剩行业头部、</w:t>
      </w:r>
      <w:r w:rsidR="00B5564B">
        <w:rPr>
          <w:rFonts w:ascii="华文楷体" w:hAnsi="华文楷体" w:hint="eastAsia"/>
          <w:sz w:val="24"/>
          <w:szCs w:val="24"/>
          <w:lang w:eastAsia="zh-CN"/>
        </w:rPr>
        <w:t>基建投资和城</w:t>
      </w:r>
      <w:proofErr w:type="gramStart"/>
      <w:r w:rsidR="00B5564B">
        <w:rPr>
          <w:rFonts w:ascii="华文楷体" w:hAnsi="华文楷体" w:hint="eastAsia"/>
          <w:sz w:val="24"/>
          <w:szCs w:val="24"/>
          <w:lang w:eastAsia="zh-CN"/>
        </w:rPr>
        <w:t>投相关</w:t>
      </w:r>
      <w:proofErr w:type="gramEnd"/>
      <w:r w:rsidR="00B5564B">
        <w:rPr>
          <w:rFonts w:ascii="华文楷体" w:hAnsi="华文楷体" w:hint="eastAsia"/>
          <w:sz w:val="24"/>
          <w:szCs w:val="24"/>
          <w:lang w:eastAsia="zh-CN"/>
        </w:rPr>
        <w:t>品种</w:t>
      </w:r>
      <w:r w:rsidR="00573EEF">
        <w:rPr>
          <w:rFonts w:ascii="华文楷体" w:hAnsi="华文楷体" w:hint="eastAsia"/>
          <w:sz w:val="24"/>
          <w:szCs w:val="24"/>
          <w:lang w:eastAsia="zh-CN"/>
        </w:rPr>
        <w:t>持续</w:t>
      </w:r>
      <w:r w:rsidR="001D4BE8">
        <w:rPr>
          <w:rFonts w:ascii="华文楷体" w:hAnsi="华文楷体" w:hint="eastAsia"/>
          <w:sz w:val="24"/>
          <w:szCs w:val="24"/>
          <w:lang w:eastAsia="zh-CN"/>
        </w:rPr>
        <w:t>受到市场较高关注</w:t>
      </w:r>
      <w:r w:rsidR="00B5564B">
        <w:rPr>
          <w:rFonts w:ascii="华文楷体" w:hAnsi="华文楷体" w:hint="eastAsia"/>
          <w:sz w:val="24"/>
          <w:szCs w:val="24"/>
          <w:lang w:eastAsia="zh-CN"/>
        </w:rPr>
        <w:t>，城</w:t>
      </w:r>
      <w:proofErr w:type="gramStart"/>
      <w:r w:rsidR="00B5564B">
        <w:rPr>
          <w:rFonts w:ascii="华文楷体" w:hAnsi="华文楷体" w:hint="eastAsia"/>
          <w:sz w:val="24"/>
          <w:szCs w:val="24"/>
          <w:lang w:eastAsia="zh-CN"/>
        </w:rPr>
        <w:t>投债</w:t>
      </w:r>
      <w:r w:rsidR="00573EEF">
        <w:rPr>
          <w:rFonts w:ascii="华文楷体" w:hAnsi="华文楷体" w:hint="eastAsia"/>
          <w:sz w:val="24"/>
          <w:szCs w:val="24"/>
          <w:lang w:eastAsia="zh-CN"/>
        </w:rPr>
        <w:t>继续</w:t>
      </w:r>
      <w:proofErr w:type="gramEnd"/>
      <w:r w:rsidR="00573EEF">
        <w:rPr>
          <w:rFonts w:ascii="华文楷体" w:hAnsi="华文楷体" w:hint="eastAsia"/>
          <w:sz w:val="24"/>
          <w:szCs w:val="24"/>
          <w:lang w:eastAsia="zh-CN"/>
        </w:rPr>
        <w:t>挖掘区域机会</w:t>
      </w:r>
      <w:r w:rsidR="00B5564B">
        <w:rPr>
          <w:rFonts w:ascii="华文楷体" w:hAnsi="华文楷体" w:hint="eastAsia"/>
          <w:sz w:val="24"/>
          <w:szCs w:val="24"/>
          <w:lang w:eastAsia="zh-CN"/>
        </w:rPr>
        <w:t>。</w:t>
      </w:r>
      <w:r w:rsidR="0024073D">
        <w:rPr>
          <w:rFonts w:ascii="华文楷体" w:hAnsi="华文楷体" w:hint="eastAsia"/>
          <w:sz w:val="24"/>
          <w:szCs w:val="24"/>
          <w:lang w:eastAsia="zh-CN"/>
        </w:rPr>
        <w:t>继续</w:t>
      </w:r>
      <w:r w:rsidR="00B5564B">
        <w:rPr>
          <w:rFonts w:ascii="华文楷体" w:hAnsi="华文楷体" w:hint="eastAsia"/>
          <w:sz w:val="24"/>
          <w:szCs w:val="24"/>
          <w:lang w:eastAsia="zh-CN"/>
        </w:rPr>
        <w:t>关注</w:t>
      </w:r>
      <w:r w:rsidR="004E34DD">
        <w:rPr>
          <w:rFonts w:ascii="华文楷体" w:hAnsi="华文楷体" w:hint="eastAsia"/>
          <w:sz w:val="24"/>
          <w:szCs w:val="24"/>
          <w:lang w:eastAsia="zh-CN"/>
        </w:rPr>
        <w:t>政策影响更突出的行业和区域，票息策略为主</w:t>
      </w:r>
      <w:r w:rsidR="000105FB">
        <w:rPr>
          <w:rFonts w:ascii="华文楷体" w:hAnsi="华文楷体" w:hint="eastAsia"/>
          <w:sz w:val="24"/>
          <w:szCs w:val="24"/>
          <w:lang w:eastAsia="zh-CN"/>
        </w:rPr>
        <w:t>，信用资质不建议过度下沉</w:t>
      </w:r>
      <w:r w:rsidR="004133A5" w:rsidRPr="004133A5">
        <w:rPr>
          <w:rFonts w:ascii="华文楷体" w:hAnsi="华文楷体" w:hint="eastAsia"/>
          <w:sz w:val="24"/>
          <w:szCs w:val="24"/>
          <w:lang w:eastAsia="zh-CN"/>
        </w:rPr>
        <w:t>。</w:t>
      </w:r>
    </w:p>
    <w:p w14:paraId="4C893BAE" w14:textId="08E7C0BF"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0E64E3" w:rsidRPr="000E64E3">
        <w:rPr>
          <w:rFonts w:ascii="华文楷体" w:hAnsi="华文楷体" w:hint="eastAsia"/>
          <w:sz w:val="24"/>
          <w:szCs w:val="24"/>
          <w:lang w:eastAsia="zh-CN"/>
        </w:rPr>
        <w:t>十四五规划是近期市场关注热点，转债爆炒行情较上周有所收敛，但仍表现一定热度。行业上持续</w:t>
      </w:r>
      <w:proofErr w:type="gramStart"/>
      <w:r w:rsidR="000E64E3" w:rsidRPr="000E64E3">
        <w:rPr>
          <w:rFonts w:ascii="华文楷体" w:hAnsi="华文楷体" w:hint="eastAsia"/>
          <w:sz w:val="24"/>
          <w:szCs w:val="24"/>
          <w:lang w:eastAsia="zh-CN"/>
        </w:rPr>
        <w:t>关注受</w:t>
      </w:r>
      <w:proofErr w:type="gramEnd"/>
      <w:r w:rsidR="000E64E3" w:rsidRPr="000E64E3">
        <w:rPr>
          <w:rFonts w:ascii="华文楷体" w:hAnsi="华文楷体" w:hint="eastAsia"/>
          <w:sz w:val="24"/>
          <w:szCs w:val="24"/>
          <w:lang w:eastAsia="zh-CN"/>
        </w:rPr>
        <w:t>政策影响利好明显的板块，策略上</w:t>
      </w:r>
      <w:r w:rsidR="00101F9D" w:rsidRPr="00101F9D">
        <w:rPr>
          <w:rFonts w:ascii="华文楷体" w:hAnsi="华文楷体" w:hint="eastAsia"/>
          <w:sz w:val="24"/>
          <w:szCs w:val="24"/>
          <w:lang w:eastAsia="zh-CN"/>
        </w:rPr>
        <w:t>转债阶段性规避爆炒的负面影响，坚持业绩优先和估值挖掘。</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4EC73191" w:rsidR="001D35B3" w:rsidRPr="006A5F34" w:rsidRDefault="001D35B3" w:rsidP="006E5744">
            <w:pPr>
              <w:pStyle w:val="ChartHeading"/>
              <w:jc w:val="both"/>
            </w:pPr>
            <w:r w:rsidRPr="006A5F34">
              <w:rPr>
                <w:rFonts w:hint="eastAsia"/>
              </w:rPr>
              <w:t>图表</w:t>
            </w:r>
            <w:r w:rsidRPr="006A5F34">
              <w:t>.</w:t>
            </w:r>
            <w:r w:rsidR="00411668">
              <w:rPr>
                <w:rFonts w:hint="eastAsia"/>
              </w:rPr>
              <w:t>高炉开工</w:t>
            </w:r>
            <w:r w:rsidR="009E3C2E">
              <w:rPr>
                <w:rFonts w:hint="eastAsia"/>
              </w:rPr>
              <w:t>表现平稳</w:t>
            </w:r>
          </w:p>
        </w:tc>
        <w:tc>
          <w:tcPr>
            <w:tcW w:w="4938" w:type="dxa"/>
            <w:vAlign w:val="center"/>
          </w:tcPr>
          <w:p w14:paraId="02A10F26" w14:textId="674DD1D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411668">
              <w:rPr>
                <w:rFonts w:hint="eastAsia"/>
              </w:rPr>
              <w:t>持续修复</w:t>
            </w:r>
          </w:p>
        </w:tc>
      </w:tr>
      <w:tr w:rsidR="001D35B3" w:rsidRPr="006A5F34" w14:paraId="205667F1" w14:textId="77777777" w:rsidTr="00F03925">
        <w:tblPrEx>
          <w:tblCellMar>
            <w:left w:w="108" w:type="dxa"/>
            <w:right w:w="108" w:type="dxa"/>
          </w:tblCellMar>
        </w:tblPrEx>
        <w:trPr>
          <w:jc w:val="center"/>
        </w:trPr>
        <w:tc>
          <w:tcPr>
            <w:tcW w:w="4939" w:type="dxa"/>
            <w:vAlign w:val="center"/>
          </w:tcPr>
          <w:p w14:paraId="56C782C2" w14:textId="08CA9F64" w:rsidR="001D35B3" w:rsidRPr="007E0340" w:rsidRDefault="00F03925" w:rsidP="009A2BA0">
            <w:pPr>
              <w:jc w:val="center"/>
              <w:rPr>
                <w:noProof/>
              </w:rPr>
            </w:pPr>
            <w:r>
              <w:rPr>
                <w:noProof/>
              </w:rPr>
              <w:drawing>
                <wp:inline distT="0" distB="0" distL="0" distR="0" wp14:anchorId="60517101" wp14:editId="7BDDBEBD">
                  <wp:extent cx="2999105" cy="1734903"/>
                  <wp:effectExtent l="0" t="0" r="0" b="0"/>
                  <wp:docPr id="2" name="图表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34DF3FA3" w:rsidR="001D35B3" w:rsidRPr="007E0340" w:rsidRDefault="00F03925" w:rsidP="009A2BA0">
            <w:pPr>
              <w:jc w:val="center"/>
              <w:rPr>
                <w:noProof/>
                <w:szCs w:val="18"/>
              </w:rPr>
            </w:pPr>
            <w:r>
              <w:rPr>
                <w:noProof/>
              </w:rPr>
              <w:drawing>
                <wp:inline distT="0" distB="0" distL="0" distR="0" wp14:anchorId="7399275B" wp14:editId="1330C63F">
                  <wp:extent cx="2998470" cy="1713230"/>
                  <wp:effectExtent l="0" t="0" r="0" b="1270"/>
                  <wp:docPr id="3" name="图表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56138FEF" w:rsidR="001D35B3" w:rsidRPr="006A5F34" w:rsidRDefault="001D35B3" w:rsidP="00411668">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F03925">
              <w:rPr>
                <w:rFonts w:hint="eastAsia"/>
              </w:rPr>
              <w:t>调整下行</w:t>
            </w:r>
          </w:p>
        </w:tc>
        <w:tc>
          <w:tcPr>
            <w:tcW w:w="4938" w:type="dxa"/>
            <w:vAlign w:val="center"/>
          </w:tcPr>
          <w:p w14:paraId="07575C0F" w14:textId="5FBEC0E1" w:rsidR="001D35B3" w:rsidRPr="006A5F34" w:rsidRDefault="001D35B3" w:rsidP="006E5744">
            <w:pPr>
              <w:pStyle w:val="ChartHeading"/>
              <w:jc w:val="both"/>
            </w:pPr>
            <w:r w:rsidRPr="006A5F34">
              <w:rPr>
                <w:rFonts w:hint="eastAsia"/>
              </w:rPr>
              <w:t>图表</w:t>
            </w:r>
            <w:r w:rsidRPr="006A5F34">
              <w:t xml:space="preserve">. </w:t>
            </w:r>
            <w:r w:rsidR="00411668">
              <w:rPr>
                <w:rFonts w:hint="eastAsia"/>
              </w:rPr>
              <w:t>猪肉价格持续下行</w:t>
            </w:r>
          </w:p>
        </w:tc>
      </w:tr>
      <w:tr w:rsidR="001D35B3" w:rsidRPr="006A5F34" w14:paraId="49BBD33E" w14:textId="77777777" w:rsidTr="00F03925">
        <w:tblPrEx>
          <w:tblCellMar>
            <w:left w:w="108" w:type="dxa"/>
            <w:right w:w="108" w:type="dxa"/>
          </w:tblCellMar>
        </w:tblPrEx>
        <w:trPr>
          <w:trHeight w:val="2987"/>
          <w:jc w:val="center"/>
        </w:trPr>
        <w:tc>
          <w:tcPr>
            <w:tcW w:w="4939" w:type="dxa"/>
            <w:vAlign w:val="center"/>
          </w:tcPr>
          <w:p w14:paraId="0BAC1731" w14:textId="11CEAF0A" w:rsidR="001D35B3" w:rsidRPr="007E0340" w:rsidRDefault="00F03925" w:rsidP="009A2BA0">
            <w:pPr>
              <w:jc w:val="center"/>
              <w:rPr>
                <w:noProof/>
              </w:rPr>
            </w:pPr>
            <w:r>
              <w:rPr>
                <w:noProof/>
              </w:rPr>
              <w:drawing>
                <wp:inline distT="0" distB="0" distL="0" distR="0" wp14:anchorId="411DC0F0" wp14:editId="4D5A48EA">
                  <wp:extent cx="2999105" cy="1862124"/>
                  <wp:effectExtent l="0" t="0" r="0" b="5080"/>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5CF141E1" w:rsidR="001D35B3" w:rsidRPr="007E0340" w:rsidRDefault="00F03925" w:rsidP="009A2BA0">
            <w:pPr>
              <w:jc w:val="center"/>
              <w:rPr>
                <w:noProof/>
                <w:szCs w:val="18"/>
              </w:rPr>
            </w:pPr>
            <w:r>
              <w:rPr>
                <w:noProof/>
              </w:rPr>
              <w:drawing>
                <wp:inline distT="0" distB="0" distL="0" distR="0" wp14:anchorId="2E793BD7" wp14:editId="3C42E79C">
                  <wp:extent cx="2998470" cy="1872422"/>
                  <wp:effectExtent l="0" t="0" r="0" b="0"/>
                  <wp:docPr id="6" name="图表 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40E0E436" w14:textId="77777777" w:rsidR="001A1299" w:rsidRDefault="001A1299" w:rsidP="009A2BA0">
      <w:pPr>
        <w:widowControl/>
        <w:jc w:val="left"/>
      </w:pPr>
      <w:r>
        <w:br w:type="page"/>
      </w:r>
    </w:p>
    <w:p w14:paraId="0E9FBC78" w14:textId="77777777" w:rsidR="002E1393" w:rsidRPr="001D69C6" w:rsidRDefault="002E1393" w:rsidP="009A2BA0">
      <w:pPr>
        <w:widowControl/>
        <w:ind w:firstLineChars="200" w:firstLine="420"/>
      </w:pPr>
    </w:p>
    <w:p w14:paraId="1EF1A1F1" w14:textId="6A2F6779" w:rsidR="0028459A" w:rsidRPr="001A1299" w:rsidRDefault="0053263D" w:rsidP="0053263D">
      <w:pPr>
        <w:pStyle w:val="Body-text"/>
        <w:ind w:firstLineChars="200" w:firstLine="400"/>
        <w:rPr>
          <w:rFonts w:ascii="华文楷体" w:hAnsi="华文楷体"/>
          <w:sz w:val="24"/>
          <w:szCs w:val="24"/>
          <w:lang w:eastAsia="zh-CN"/>
        </w:rPr>
      </w:pPr>
      <w:r w:rsidRPr="00591BAF">
        <w:rPr>
          <w:rFonts w:hint="eastAsia"/>
        </w:rPr>
        <w:t>风险提示：</w:t>
      </w:r>
      <w:r w:rsidRPr="00591BAF">
        <w:t>1</w:t>
      </w:r>
      <w:r w:rsidRPr="00591BAF">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r w:rsidRPr="00591BAF">
        <w:t>2</w:t>
      </w:r>
      <w:r w:rsidRPr="00591BAF">
        <w:t>、本报告中的资料、观点和预测等仅供参考，在任何时候均不构成对任何人的个人推荐。市场有风险，投资需谨慎。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94115D" w14:textId="77777777" w:rsidR="00483D04" w:rsidRDefault="00483D04">
      <w:r>
        <w:separator/>
      </w:r>
    </w:p>
  </w:endnote>
  <w:endnote w:type="continuationSeparator" w:id="0">
    <w:p w14:paraId="7BF47043" w14:textId="77777777" w:rsidR="00483D04" w:rsidRDefault="00483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171997" w:rsidRDefault="00171997">
        <w:pPr>
          <w:pStyle w:val="a4"/>
          <w:jc w:val="right"/>
        </w:pPr>
        <w:r>
          <w:fldChar w:fldCharType="begin"/>
        </w:r>
        <w:r>
          <w:instrText>PAGE   \* MERGEFORMAT</w:instrText>
        </w:r>
        <w:r>
          <w:fldChar w:fldCharType="separate"/>
        </w:r>
        <w:r w:rsidR="00255AA3" w:rsidRPr="00255AA3">
          <w:rPr>
            <w:noProof/>
            <w:lang w:val="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8E6C73" w14:textId="77777777" w:rsidR="00483D04" w:rsidRDefault="00483D04">
      <w:r>
        <w:separator/>
      </w:r>
    </w:p>
  </w:footnote>
  <w:footnote w:type="continuationSeparator" w:id="0">
    <w:p w14:paraId="0E2FE094" w14:textId="77777777" w:rsidR="00483D04" w:rsidRDefault="00483D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171997" w:rsidRDefault="00171997"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9D2"/>
    <w:rsid w:val="00162C39"/>
    <w:rsid w:val="001644C8"/>
    <w:rsid w:val="0016453E"/>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A3"/>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58B1"/>
    <w:rsid w:val="00365C46"/>
    <w:rsid w:val="00365F8E"/>
    <w:rsid w:val="00366556"/>
    <w:rsid w:val="00366CEA"/>
    <w:rsid w:val="003673CA"/>
    <w:rsid w:val="00367DA6"/>
    <w:rsid w:val="003708C4"/>
    <w:rsid w:val="00370BFD"/>
    <w:rsid w:val="0037137A"/>
    <w:rsid w:val="00371885"/>
    <w:rsid w:val="00371BBF"/>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D04"/>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3D"/>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AA4"/>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CA7"/>
    <w:rsid w:val="00836DCF"/>
    <w:rsid w:val="00836DD1"/>
    <w:rsid w:val="00836F32"/>
    <w:rsid w:val="00837550"/>
    <w:rsid w:val="008378E9"/>
    <w:rsid w:val="00837CF8"/>
    <w:rsid w:val="00837F45"/>
    <w:rsid w:val="0084009C"/>
    <w:rsid w:val="008402CD"/>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F24"/>
    <w:rsid w:val="00A071AD"/>
    <w:rsid w:val="00A07267"/>
    <w:rsid w:val="00A0728A"/>
    <w:rsid w:val="00A07AE8"/>
    <w:rsid w:val="00A07B90"/>
    <w:rsid w:val="00A1035E"/>
    <w:rsid w:val="00A1102D"/>
    <w:rsid w:val="00A112DB"/>
    <w:rsid w:val="00A11343"/>
    <w:rsid w:val="00A11791"/>
    <w:rsid w:val="00A11829"/>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4DE3"/>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1F9"/>
    <w:rsid w:val="00CC3B25"/>
    <w:rsid w:val="00CC4226"/>
    <w:rsid w:val="00CC425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E24"/>
    <w:rsid w:val="00DA55E3"/>
    <w:rsid w:val="00DA6262"/>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EF9"/>
    <w:rsid w:val="00F1378A"/>
    <w:rsid w:val="00F1383A"/>
    <w:rsid w:val="00F14009"/>
    <w:rsid w:val="00F14175"/>
    <w:rsid w:val="00F14439"/>
    <w:rsid w:val="00F14456"/>
    <w:rsid w:val="00F1459D"/>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2CF9"/>
    <w:rsid w:val="00F62F43"/>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D3C"/>
    <w:rsid w:val="00FE5D61"/>
    <w:rsid w:val="00FE5F1D"/>
    <w:rsid w:val="00FE5FC8"/>
    <w:rsid w:val="00FE725C"/>
    <w:rsid w:val="00FE76AB"/>
    <w:rsid w:val="00FE7821"/>
    <w:rsid w:val="00FE7C86"/>
    <w:rsid w:val="00FF0A80"/>
    <w:rsid w:val="00FF0B12"/>
    <w:rsid w:val="00FF0D40"/>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5022681766727072"/>
          <c:y val="0.11896535603074802"/>
          <c:w val="0.86467847769028872"/>
          <c:h val="0.7847988145058694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43980</c:v>
                </c:pt>
                <c:pt idx="1">
                  <c:v>43987</c:v>
                </c:pt>
                <c:pt idx="2">
                  <c:v>43994</c:v>
                </c:pt>
                <c:pt idx="3">
                  <c:v>44001</c:v>
                </c:pt>
                <c:pt idx="4">
                  <c:v>44008</c:v>
                </c:pt>
                <c:pt idx="5">
                  <c:v>44015</c:v>
                </c:pt>
                <c:pt idx="6">
                  <c:v>44022</c:v>
                </c:pt>
                <c:pt idx="7">
                  <c:v>44029</c:v>
                </c:pt>
                <c:pt idx="8">
                  <c:v>44036</c:v>
                </c:pt>
                <c:pt idx="9">
                  <c:v>44043</c:v>
                </c:pt>
                <c:pt idx="10">
                  <c:v>44050</c:v>
                </c:pt>
                <c:pt idx="11">
                  <c:v>44057</c:v>
                </c:pt>
                <c:pt idx="12">
                  <c:v>44064</c:v>
                </c:pt>
                <c:pt idx="13">
                  <c:v>44071</c:v>
                </c:pt>
                <c:pt idx="14">
                  <c:v>44078</c:v>
                </c:pt>
                <c:pt idx="15">
                  <c:v>44085</c:v>
                </c:pt>
                <c:pt idx="16">
                  <c:v>44092</c:v>
                </c:pt>
                <c:pt idx="17">
                  <c:v>44099</c:v>
                </c:pt>
                <c:pt idx="18">
                  <c:v>44106</c:v>
                </c:pt>
                <c:pt idx="19">
                  <c:v>44113</c:v>
                </c:pt>
                <c:pt idx="20">
                  <c:v>44120</c:v>
                </c:pt>
                <c:pt idx="21">
                  <c:v>44127</c:v>
                </c:pt>
                <c:pt idx="22">
                  <c:v>44134</c:v>
                </c:pt>
              </c:numCache>
            </c:numRef>
          </c:cat>
          <c:val>
            <c:numRef>
              <c:f>央行!$B$5:$B$27</c:f>
              <c:numCache>
                <c:formatCode>###,###,###,###,##0.00</c:formatCode>
                <c:ptCount val="23"/>
                <c:pt idx="0">
                  <c:v>6750</c:v>
                </c:pt>
                <c:pt idx="1">
                  <c:v>2200</c:v>
                </c:pt>
                <c:pt idx="2">
                  <c:v>4200</c:v>
                </c:pt>
                <c:pt idx="3">
                  <c:v>3000</c:v>
                </c:pt>
                <c:pt idx="4">
                  <c:v>5050</c:v>
                </c:pt>
                <c:pt idx="5">
                  <c:v>1025</c:v>
                </c:pt>
                <c:pt idx="6">
                  <c:v>0</c:v>
                </c:pt>
                <c:pt idx="7">
                  <c:v>3300</c:v>
                </c:pt>
                <c:pt idx="8">
                  <c:v>1650</c:v>
                </c:pt>
                <c:pt idx="9">
                  <c:v>2800</c:v>
                </c:pt>
                <c:pt idx="10">
                  <c:v>100</c:v>
                </c:pt>
                <c:pt idx="11">
                  <c:v>5000</c:v>
                </c:pt>
                <c:pt idx="12">
                  <c:v>6600</c:v>
                </c:pt>
                <c:pt idx="13">
                  <c:v>8150</c:v>
                </c:pt>
                <c:pt idx="14">
                  <c:v>2800</c:v>
                </c:pt>
                <c:pt idx="15">
                  <c:v>6200</c:v>
                </c:pt>
                <c:pt idx="16">
                  <c:v>4800</c:v>
                </c:pt>
                <c:pt idx="17">
                  <c:v>9000</c:v>
                </c:pt>
                <c:pt idx="18">
                  <c:v>2150</c:v>
                </c:pt>
                <c:pt idx="19">
                  <c:v>0</c:v>
                </c:pt>
                <c:pt idx="20">
                  <c:v>1000</c:v>
                </c:pt>
                <c:pt idx="21">
                  <c:v>3200</c:v>
                </c:pt>
                <c:pt idx="22">
                  <c:v>5150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43980</c:v>
                </c:pt>
                <c:pt idx="1">
                  <c:v>43987</c:v>
                </c:pt>
                <c:pt idx="2">
                  <c:v>43994</c:v>
                </c:pt>
                <c:pt idx="3">
                  <c:v>44001</c:v>
                </c:pt>
                <c:pt idx="4">
                  <c:v>44008</c:v>
                </c:pt>
                <c:pt idx="5">
                  <c:v>44015</c:v>
                </c:pt>
                <c:pt idx="6">
                  <c:v>44022</c:v>
                </c:pt>
                <c:pt idx="7">
                  <c:v>44029</c:v>
                </c:pt>
                <c:pt idx="8">
                  <c:v>44036</c:v>
                </c:pt>
                <c:pt idx="9">
                  <c:v>44043</c:v>
                </c:pt>
                <c:pt idx="10">
                  <c:v>44050</c:v>
                </c:pt>
                <c:pt idx="11">
                  <c:v>44057</c:v>
                </c:pt>
                <c:pt idx="12">
                  <c:v>44064</c:v>
                </c:pt>
                <c:pt idx="13">
                  <c:v>44071</c:v>
                </c:pt>
                <c:pt idx="14">
                  <c:v>44078</c:v>
                </c:pt>
                <c:pt idx="15">
                  <c:v>44085</c:v>
                </c:pt>
                <c:pt idx="16">
                  <c:v>44092</c:v>
                </c:pt>
                <c:pt idx="17">
                  <c:v>44099</c:v>
                </c:pt>
                <c:pt idx="18">
                  <c:v>44106</c:v>
                </c:pt>
                <c:pt idx="19">
                  <c:v>44113</c:v>
                </c:pt>
                <c:pt idx="20">
                  <c:v>44120</c:v>
                </c:pt>
                <c:pt idx="21">
                  <c:v>44127</c:v>
                </c:pt>
                <c:pt idx="22">
                  <c:v>44134</c:v>
                </c:pt>
              </c:numCache>
            </c:numRef>
          </c:cat>
          <c:val>
            <c:numRef>
              <c:f>央行!$C$5:$C$27</c:f>
              <c:numCache>
                <c:formatCode>###,###,###,###,##0.00</c:formatCode>
                <c:ptCount val="23"/>
                <c:pt idx="0">
                  <c:v>-50</c:v>
                </c:pt>
                <c:pt idx="1">
                  <c:v>-6700</c:v>
                </c:pt>
                <c:pt idx="2">
                  <c:v>-2200</c:v>
                </c:pt>
                <c:pt idx="3">
                  <c:v>-4200</c:v>
                </c:pt>
                <c:pt idx="4">
                  <c:v>-1200</c:v>
                </c:pt>
                <c:pt idx="5">
                  <c:v>-4950</c:v>
                </c:pt>
                <c:pt idx="6">
                  <c:v>-2900</c:v>
                </c:pt>
                <c:pt idx="7">
                  <c:v>0</c:v>
                </c:pt>
                <c:pt idx="8">
                  <c:v>-3300</c:v>
                </c:pt>
                <c:pt idx="9">
                  <c:v>-1650</c:v>
                </c:pt>
                <c:pt idx="10">
                  <c:v>-2800</c:v>
                </c:pt>
                <c:pt idx="11">
                  <c:v>-100</c:v>
                </c:pt>
                <c:pt idx="12">
                  <c:v>-5000</c:v>
                </c:pt>
                <c:pt idx="13">
                  <c:v>-6150</c:v>
                </c:pt>
                <c:pt idx="14">
                  <c:v>-7500</c:v>
                </c:pt>
                <c:pt idx="15">
                  <c:v>-3900</c:v>
                </c:pt>
                <c:pt idx="16">
                  <c:v>-6200</c:v>
                </c:pt>
                <c:pt idx="17">
                  <c:v>-4200</c:v>
                </c:pt>
                <c:pt idx="18">
                  <c:v>-4650</c:v>
                </c:pt>
                <c:pt idx="19">
                  <c:v>-5000</c:v>
                </c:pt>
                <c:pt idx="20">
                  <c:v>-2100</c:v>
                </c:pt>
                <c:pt idx="21">
                  <c:v>-1000</c:v>
                </c:pt>
                <c:pt idx="22">
                  <c:v>-3250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239292800"/>
        <c:axId val="23929472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43980</c:v>
                </c:pt>
                <c:pt idx="1">
                  <c:v>43987</c:v>
                </c:pt>
                <c:pt idx="2">
                  <c:v>43994</c:v>
                </c:pt>
                <c:pt idx="3">
                  <c:v>44001</c:v>
                </c:pt>
                <c:pt idx="4">
                  <c:v>44008</c:v>
                </c:pt>
                <c:pt idx="5">
                  <c:v>44015</c:v>
                </c:pt>
                <c:pt idx="6">
                  <c:v>44022</c:v>
                </c:pt>
                <c:pt idx="7">
                  <c:v>44029</c:v>
                </c:pt>
                <c:pt idx="8">
                  <c:v>44036</c:v>
                </c:pt>
                <c:pt idx="9">
                  <c:v>44043</c:v>
                </c:pt>
                <c:pt idx="10">
                  <c:v>44050</c:v>
                </c:pt>
                <c:pt idx="11">
                  <c:v>44057</c:v>
                </c:pt>
                <c:pt idx="12">
                  <c:v>44064</c:v>
                </c:pt>
                <c:pt idx="13">
                  <c:v>44071</c:v>
                </c:pt>
                <c:pt idx="14">
                  <c:v>44078</c:v>
                </c:pt>
                <c:pt idx="15">
                  <c:v>44085</c:v>
                </c:pt>
                <c:pt idx="16">
                  <c:v>44092</c:v>
                </c:pt>
                <c:pt idx="17">
                  <c:v>44099</c:v>
                </c:pt>
                <c:pt idx="18">
                  <c:v>44106</c:v>
                </c:pt>
                <c:pt idx="19">
                  <c:v>44113</c:v>
                </c:pt>
                <c:pt idx="20">
                  <c:v>44120</c:v>
                </c:pt>
                <c:pt idx="21">
                  <c:v>44127</c:v>
                </c:pt>
                <c:pt idx="22">
                  <c:v>44134</c:v>
                </c:pt>
              </c:numCache>
            </c:numRef>
          </c:cat>
          <c:val>
            <c:numRef>
              <c:f>央行!$D$5:$D$27</c:f>
              <c:numCache>
                <c:formatCode>###,###,###,###,##0.00</c:formatCode>
                <c:ptCount val="23"/>
                <c:pt idx="0">
                  <c:v>6700</c:v>
                </c:pt>
                <c:pt idx="1">
                  <c:v>-4500</c:v>
                </c:pt>
                <c:pt idx="2">
                  <c:v>2000</c:v>
                </c:pt>
                <c:pt idx="3">
                  <c:v>-1200</c:v>
                </c:pt>
                <c:pt idx="4">
                  <c:v>3850</c:v>
                </c:pt>
                <c:pt idx="5">
                  <c:v>-3925</c:v>
                </c:pt>
                <c:pt idx="6">
                  <c:v>-2900</c:v>
                </c:pt>
                <c:pt idx="7">
                  <c:v>3300</c:v>
                </c:pt>
                <c:pt idx="8">
                  <c:v>-1650</c:v>
                </c:pt>
                <c:pt idx="9">
                  <c:v>1150</c:v>
                </c:pt>
                <c:pt idx="10">
                  <c:v>-2700</c:v>
                </c:pt>
                <c:pt idx="11">
                  <c:v>4900</c:v>
                </c:pt>
                <c:pt idx="12">
                  <c:v>1600</c:v>
                </c:pt>
                <c:pt idx="13">
                  <c:v>2000</c:v>
                </c:pt>
                <c:pt idx="14">
                  <c:v>-4700</c:v>
                </c:pt>
                <c:pt idx="15">
                  <c:v>2300</c:v>
                </c:pt>
                <c:pt idx="16">
                  <c:v>-1400</c:v>
                </c:pt>
                <c:pt idx="17">
                  <c:v>4800</c:v>
                </c:pt>
                <c:pt idx="18">
                  <c:v>-2500</c:v>
                </c:pt>
                <c:pt idx="19">
                  <c:v>-5000</c:v>
                </c:pt>
                <c:pt idx="20">
                  <c:v>-1100</c:v>
                </c:pt>
                <c:pt idx="21">
                  <c:v>2200</c:v>
                </c:pt>
                <c:pt idx="22">
                  <c:v>1900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239292800"/>
        <c:axId val="239294720"/>
      </c:lineChart>
      <c:catAx>
        <c:axId val="23929280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9294720"/>
        <c:crosses val="autoZero"/>
        <c:auto val="0"/>
        <c:lblAlgn val="ctr"/>
        <c:lblOffset val="0"/>
        <c:tickMarkSkip val="2"/>
        <c:noMultiLvlLbl val="0"/>
      </c:catAx>
      <c:valAx>
        <c:axId val="23929472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929280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8485994523873845"/>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44134</c:v>
                </c:pt>
                <c:pt idx="1">
                  <c:v>44133</c:v>
                </c:pt>
                <c:pt idx="2">
                  <c:v>44132</c:v>
                </c:pt>
                <c:pt idx="3">
                  <c:v>44131</c:v>
                </c:pt>
                <c:pt idx="4">
                  <c:v>44130</c:v>
                </c:pt>
                <c:pt idx="5">
                  <c:v>44127</c:v>
                </c:pt>
                <c:pt idx="6">
                  <c:v>44126</c:v>
                </c:pt>
                <c:pt idx="7">
                  <c:v>44125</c:v>
                </c:pt>
                <c:pt idx="8">
                  <c:v>44124</c:v>
                </c:pt>
                <c:pt idx="9">
                  <c:v>44123</c:v>
                </c:pt>
                <c:pt idx="10">
                  <c:v>44120</c:v>
                </c:pt>
                <c:pt idx="11">
                  <c:v>44119</c:v>
                </c:pt>
                <c:pt idx="12">
                  <c:v>44118</c:v>
                </c:pt>
                <c:pt idx="13">
                  <c:v>44117</c:v>
                </c:pt>
                <c:pt idx="14">
                  <c:v>44116</c:v>
                </c:pt>
                <c:pt idx="15">
                  <c:v>44114</c:v>
                </c:pt>
                <c:pt idx="16">
                  <c:v>44113</c:v>
                </c:pt>
                <c:pt idx="17">
                  <c:v>44104</c:v>
                </c:pt>
                <c:pt idx="18">
                  <c:v>44103</c:v>
                </c:pt>
                <c:pt idx="19">
                  <c:v>44102</c:v>
                </c:pt>
                <c:pt idx="20">
                  <c:v>44101</c:v>
                </c:pt>
                <c:pt idx="21">
                  <c:v>44099</c:v>
                </c:pt>
                <c:pt idx="22">
                  <c:v>44098</c:v>
                </c:pt>
                <c:pt idx="23">
                  <c:v>44097</c:v>
                </c:pt>
                <c:pt idx="24">
                  <c:v>44096</c:v>
                </c:pt>
                <c:pt idx="25">
                  <c:v>44095</c:v>
                </c:pt>
                <c:pt idx="26">
                  <c:v>44092</c:v>
                </c:pt>
                <c:pt idx="27">
                  <c:v>44091</c:v>
                </c:pt>
                <c:pt idx="28">
                  <c:v>44090</c:v>
                </c:pt>
                <c:pt idx="29">
                  <c:v>44089</c:v>
                </c:pt>
                <c:pt idx="30">
                  <c:v>44088</c:v>
                </c:pt>
                <c:pt idx="31">
                  <c:v>44085</c:v>
                </c:pt>
                <c:pt idx="32">
                  <c:v>44084</c:v>
                </c:pt>
                <c:pt idx="33">
                  <c:v>44083</c:v>
                </c:pt>
                <c:pt idx="34">
                  <c:v>44082</c:v>
                </c:pt>
                <c:pt idx="35">
                  <c:v>44081</c:v>
                </c:pt>
                <c:pt idx="36">
                  <c:v>44078</c:v>
                </c:pt>
                <c:pt idx="37">
                  <c:v>44077</c:v>
                </c:pt>
                <c:pt idx="38">
                  <c:v>44076</c:v>
                </c:pt>
                <c:pt idx="39">
                  <c:v>44075</c:v>
                </c:pt>
                <c:pt idx="40">
                  <c:v>44074</c:v>
                </c:pt>
                <c:pt idx="41">
                  <c:v>44071</c:v>
                </c:pt>
                <c:pt idx="42">
                  <c:v>44070</c:v>
                </c:pt>
                <c:pt idx="43">
                  <c:v>44069</c:v>
                </c:pt>
                <c:pt idx="44">
                  <c:v>44068</c:v>
                </c:pt>
                <c:pt idx="45">
                  <c:v>44067</c:v>
                </c:pt>
                <c:pt idx="46">
                  <c:v>44064</c:v>
                </c:pt>
                <c:pt idx="47">
                  <c:v>44063</c:v>
                </c:pt>
                <c:pt idx="48">
                  <c:v>44062</c:v>
                </c:pt>
                <c:pt idx="49">
                  <c:v>44061</c:v>
                </c:pt>
                <c:pt idx="50">
                  <c:v>44060</c:v>
                </c:pt>
                <c:pt idx="51">
                  <c:v>44057</c:v>
                </c:pt>
                <c:pt idx="52">
                  <c:v>44056</c:v>
                </c:pt>
                <c:pt idx="53">
                  <c:v>44055</c:v>
                </c:pt>
                <c:pt idx="54">
                  <c:v>44054</c:v>
                </c:pt>
                <c:pt idx="55">
                  <c:v>44053</c:v>
                </c:pt>
                <c:pt idx="56">
                  <c:v>44050</c:v>
                </c:pt>
                <c:pt idx="57">
                  <c:v>44049</c:v>
                </c:pt>
                <c:pt idx="58">
                  <c:v>44048</c:v>
                </c:pt>
              </c:numCache>
            </c:numRef>
          </c:cat>
          <c:val>
            <c:numRef>
              <c:f>资金!$B$3:$B$61</c:f>
              <c:numCache>
                <c:formatCode>###,###,###,###,##0.0000</c:formatCode>
                <c:ptCount val="59"/>
                <c:pt idx="0">
                  <c:v>2.9178999999999999</c:v>
                </c:pt>
                <c:pt idx="1">
                  <c:v>2.2277999999999998</c:v>
                </c:pt>
                <c:pt idx="2">
                  <c:v>2.6492</c:v>
                </c:pt>
                <c:pt idx="3">
                  <c:v>2.6776</c:v>
                </c:pt>
                <c:pt idx="4">
                  <c:v>2.3357999999999999</c:v>
                </c:pt>
                <c:pt idx="5">
                  <c:v>2.2181999999999999</c:v>
                </c:pt>
                <c:pt idx="6">
                  <c:v>1.9681</c:v>
                </c:pt>
                <c:pt idx="7">
                  <c:v>2.0144000000000002</c:v>
                </c:pt>
                <c:pt idx="8">
                  <c:v>2.2193000000000001</c:v>
                </c:pt>
                <c:pt idx="9">
                  <c:v>2.2770000000000001</c:v>
                </c:pt>
                <c:pt idx="10">
                  <c:v>2.0550000000000002</c:v>
                </c:pt>
                <c:pt idx="11">
                  <c:v>2.1076000000000001</c:v>
                </c:pt>
                <c:pt idx="12">
                  <c:v>2.04</c:v>
                </c:pt>
                <c:pt idx="13">
                  <c:v>1.7559</c:v>
                </c:pt>
                <c:pt idx="14">
                  <c:v>1.5719000000000001</c:v>
                </c:pt>
                <c:pt idx="15">
                  <c:v>1.5667</c:v>
                </c:pt>
                <c:pt idx="16">
                  <c:v>2.0432999999999999</c:v>
                </c:pt>
                <c:pt idx="17">
                  <c:v>2.5255999999999998</c:v>
                </c:pt>
                <c:pt idx="18">
                  <c:v>1.0124</c:v>
                </c:pt>
                <c:pt idx="19">
                  <c:v>0.68540000000000001</c:v>
                </c:pt>
                <c:pt idx="20">
                  <c:v>0.67789999999999995</c:v>
                </c:pt>
                <c:pt idx="21">
                  <c:v>1.0967</c:v>
                </c:pt>
                <c:pt idx="22">
                  <c:v>1.4666999999999999</c:v>
                </c:pt>
                <c:pt idx="23">
                  <c:v>1.9109</c:v>
                </c:pt>
                <c:pt idx="24">
                  <c:v>2.4359999999999999</c:v>
                </c:pt>
                <c:pt idx="25">
                  <c:v>2.4319999999999999</c:v>
                </c:pt>
                <c:pt idx="26">
                  <c:v>2.2553000000000001</c:v>
                </c:pt>
                <c:pt idx="27">
                  <c:v>1.8871</c:v>
                </c:pt>
                <c:pt idx="28">
                  <c:v>1.4536</c:v>
                </c:pt>
                <c:pt idx="29">
                  <c:v>1.7635000000000001</c:v>
                </c:pt>
                <c:pt idx="30">
                  <c:v>1.6466000000000001</c:v>
                </c:pt>
                <c:pt idx="31">
                  <c:v>1.5072000000000001</c:v>
                </c:pt>
                <c:pt idx="32">
                  <c:v>1.3864000000000001</c:v>
                </c:pt>
                <c:pt idx="33">
                  <c:v>1.6471</c:v>
                </c:pt>
                <c:pt idx="34">
                  <c:v>2.0707</c:v>
                </c:pt>
                <c:pt idx="35">
                  <c:v>2.1291000000000002</c:v>
                </c:pt>
                <c:pt idx="36">
                  <c:v>2.0886</c:v>
                </c:pt>
                <c:pt idx="37">
                  <c:v>1.7948999999999999</c:v>
                </c:pt>
                <c:pt idx="38">
                  <c:v>2.1187</c:v>
                </c:pt>
                <c:pt idx="39">
                  <c:v>2.1785999999999999</c:v>
                </c:pt>
                <c:pt idx="40">
                  <c:v>1.9719</c:v>
                </c:pt>
                <c:pt idx="41">
                  <c:v>1.3997999999999999</c:v>
                </c:pt>
                <c:pt idx="42">
                  <c:v>1.5077</c:v>
                </c:pt>
                <c:pt idx="43">
                  <c:v>1.6649</c:v>
                </c:pt>
                <c:pt idx="44">
                  <c:v>1.9847999999999999</c:v>
                </c:pt>
                <c:pt idx="45">
                  <c:v>2.4039999999999999</c:v>
                </c:pt>
                <c:pt idx="46">
                  <c:v>2.3462000000000001</c:v>
                </c:pt>
                <c:pt idx="47">
                  <c:v>2.2711000000000001</c:v>
                </c:pt>
                <c:pt idx="48">
                  <c:v>2.2111999999999998</c:v>
                </c:pt>
                <c:pt idx="49">
                  <c:v>2.1659000000000002</c:v>
                </c:pt>
                <c:pt idx="50">
                  <c:v>2.1669</c:v>
                </c:pt>
                <c:pt idx="51">
                  <c:v>2.2214999999999998</c:v>
                </c:pt>
                <c:pt idx="52">
                  <c:v>2.2246000000000001</c:v>
                </c:pt>
                <c:pt idx="53">
                  <c:v>2.2063999999999999</c:v>
                </c:pt>
                <c:pt idx="54">
                  <c:v>2.2568999999999999</c:v>
                </c:pt>
                <c:pt idx="55">
                  <c:v>2.1943000000000001</c:v>
                </c:pt>
                <c:pt idx="56">
                  <c:v>2.1122000000000001</c:v>
                </c:pt>
                <c:pt idx="57">
                  <c:v>1.7108000000000001</c:v>
                </c:pt>
                <c:pt idx="58">
                  <c:v>1.7210000000000001</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44134</c:v>
                </c:pt>
                <c:pt idx="1">
                  <c:v>44133</c:v>
                </c:pt>
                <c:pt idx="2">
                  <c:v>44132</c:v>
                </c:pt>
                <c:pt idx="3">
                  <c:v>44131</c:v>
                </c:pt>
                <c:pt idx="4">
                  <c:v>44130</c:v>
                </c:pt>
                <c:pt idx="5">
                  <c:v>44127</c:v>
                </c:pt>
                <c:pt idx="6">
                  <c:v>44126</c:v>
                </c:pt>
                <c:pt idx="7">
                  <c:v>44125</c:v>
                </c:pt>
                <c:pt idx="8">
                  <c:v>44124</c:v>
                </c:pt>
                <c:pt idx="9">
                  <c:v>44123</c:v>
                </c:pt>
                <c:pt idx="10">
                  <c:v>44120</c:v>
                </c:pt>
                <c:pt idx="11">
                  <c:v>44119</c:v>
                </c:pt>
                <c:pt idx="12">
                  <c:v>44118</c:v>
                </c:pt>
                <c:pt idx="13">
                  <c:v>44117</c:v>
                </c:pt>
                <c:pt idx="14">
                  <c:v>44116</c:v>
                </c:pt>
                <c:pt idx="15">
                  <c:v>44114</c:v>
                </c:pt>
                <c:pt idx="16">
                  <c:v>44113</c:v>
                </c:pt>
                <c:pt idx="17">
                  <c:v>44104</c:v>
                </c:pt>
                <c:pt idx="18">
                  <c:v>44103</c:v>
                </c:pt>
                <c:pt idx="19">
                  <c:v>44102</c:v>
                </c:pt>
                <c:pt idx="20">
                  <c:v>44101</c:v>
                </c:pt>
                <c:pt idx="21">
                  <c:v>44099</c:v>
                </c:pt>
                <c:pt idx="22">
                  <c:v>44098</c:v>
                </c:pt>
                <c:pt idx="23">
                  <c:v>44097</c:v>
                </c:pt>
                <c:pt idx="24">
                  <c:v>44096</c:v>
                </c:pt>
                <c:pt idx="25">
                  <c:v>44095</c:v>
                </c:pt>
                <c:pt idx="26">
                  <c:v>44092</c:v>
                </c:pt>
                <c:pt idx="27">
                  <c:v>44091</c:v>
                </c:pt>
                <c:pt idx="28">
                  <c:v>44090</c:v>
                </c:pt>
                <c:pt idx="29">
                  <c:v>44089</c:v>
                </c:pt>
                <c:pt idx="30">
                  <c:v>44088</c:v>
                </c:pt>
                <c:pt idx="31">
                  <c:v>44085</c:v>
                </c:pt>
                <c:pt idx="32">
                  <c:v>44084</c:v>
                </c:pt>
                <c:pt idx="33">
                  <c:v>44083</c:v>
                </c:pt>
                <c:pt idx="34">
                  <c:v>44082</c:v>
                </c:pt>
                <c:pt idx="35">
                  <c:v>44081</c:v>
                </c:pt>
                <c:pt idx="36">
                  <c:v>44078</c:v>
                </c:pt>
                <c:pt idx="37">
                  <c:v>44077</c:v>
                </c:pt>
                <c:pt idx="38">
                  <c:v>44076</c:v>
                </c:pt>
                <c:pt idx="39">
                  <c:v>44075</c:v>
                </c:pt>
                <c:pt idx="40">
                  <c:v>44074</c:v>
                </c:pt>
                <c:pt idx="41">
                  <c:v>44071</c:v>
                </c:pt>
                <c:pt idx="42">
                  <c:v>44070</c:v>
                </c:pt>
                <c:pt idx="43">
                  <c:v>44069</c:v>
                </c:pt>
                <c:pt idx="44">
                  <c:v>44068</c:v>
                </c:pt>
                <c:pt idx="45">
                  <c:v>44067</c:v>
                </c:pt>
                <c:pt idx="46">
                  <c:v>44064</c:v>
                </c:pt>
                <c:pt idx="47">
                  <c:v>44063</c:v>
                </c:pt>
                <c:pt idx="48">
                  <c:v>44062</c:v>
                </c:pt>
                <c:pt idx="49">
                  <c:v>44061</c:v>
                </c:pt>
                <c:pt idx="50">
                  <c:v>44060</c:v>
                </c:pt>
                <c:pt idx="51">
                  <c:v>44057</c:v>
                </c:pt>
                <c:pt idx="52">
                  <c:v>44056</c:v>
                </c:pt>
                <c:pt idx="53">
                  <c:v>44055</c:v>
                </c:pt>
                <c:pt idx="54">
                  <c:v>44054</c:v>
                </c:pt>
                <c:pt idx="55">
                  <c:v>44053</c:v>
                </c:pt>
                <c:pt idx="56">
                  <c:v>44050</c:v>
                </c:pt>
                <c:pt idx="57">
                  <c:v>44049</c:v>
                </c:pt>
                <c:pt idx="58">
                  <c:v>44048</c:v>
                </c:pt>
              </c:numCache>
            </c:numRef>
          </c:cat>
          <c:val>
            <c:numRef>
              <c:f>资金!$C$3:$C$61</c:f>
              <c:numCache>
                <c:formatCode>###,###,###,###,##0.0000</c:formatCode>
                <c:ptCount val="59"/>
                <c:pt idx="0">
                  <c:v>3.3693</c:v>
                </c:pt>
                <c:pt idx="1">
                  <c:v>3.1760000000000002</c:v>
                </c:pt>
                <c:pt idx="2">
                  <c:v>3.2090000000000001</c:v>
                </c:pt>
                <c:pt idx="3">
                  <c:v>3.2181000000000002</c:v>
                </c:pt>
                <c:pt idx="4">
                  <c:v>2.9083999999999999</c:v>
                </c:pt>
                <c:pt idx="5">
                  <c:v>2.3586999999999998</c:v>
                </c:pt>
                <c:pt idx="6">
                  <c:v>2.3241999999999998</c:v>
                </c:pt>
                <c:pt idx="7">
                  <c:v>2.4226999999999999</c:v>
                </c:pt>
                <c:pt idx="8">
                  <c:v>2.5091999999999999</c:v>
                </c:pt>
                <c:pt idx="9">
                  <c:v>2.4037999999999999</c:v>
                </c:pt>
                <c:pt idx="10">
                  <c:v>2.3121</c:v>
                </c:pt>
                <c:pt idx="11">
                  <c:v>2.3601999999999999</c:v>
                </c:pt>
                <c:pt idx="12">
                  <c:v>2.3079000000000001</c:v>
                </c:pt>
                <c:pt idx="13">
                  <c:v>2.2389000000000001</c:v>
                </c:pt>
                <c:pt idx="14">
                  <c:v>2.2442000000000002</c:v>
                </c:pt>
                <c:pt idx="15">
                  <c:v>2.0114999999999998</c:v>
                </c:pt>
                <c:pt idx="16">
                  <c:v>2.2972999999999999</c:v>
                </c:pt>
                <c:pt idx="17">
                  <c:v>2.5514000000000001</c:v>
                </c:pt>
                <c:pt idx="18">
                  <c:v>3.0106999999999999</c:v>
                </c:pt>
                <c:pt idx="19">
                  <c:v>2.7132000000000001</c:v>
                </c:pt>
                <c:pt idx="20">
                  <c:v>1.89</c:v>
                </c:pt>
                <c:pt idx="21">
                  <c:v>1.968</c:v>
                </c:pt>
                <c:pt idx="22">
                  <c:v>2.1869000000000001</c:v>
                </c:pt>
                <c:pt idx="23">
                  <c:v>2.3142</c:v>
                </c:pt>
                <c:pt idx="24">
                  <c:v>2.9742999999999999</c:v>
                </c:pt>
                <c:pt idx="25">
                  <c:v>2.8206000000000002</c:v>
                </c:pt>
                <c:pt idx="26">
                  <c:v>2.6425999999999998</c:v>
                </c:pt>
                <c:pt idx="27">
                  <c:v>2.3935</c:v>
                </c:pt>
                <c:pt idx="28">
                  <c:v>2.2740999999999998</c:v>
                </c:pt>
                <c:pt idx="29">
                  <c:v>2.2704</c:v>
                </c:pt>
                <c:pt idx="30">
                  <c:v>2.2275999999999998</c:v>
                </c:pt>
                <c:pt idx="31">
                  <c:v>2.1873999999999998</c:v>
                </c:pt>
                <c:pt idx="32">
                  <c:v>2.2033</c:v>
                </c:pt>
                <c:pt idx="33">
                  <c:v>2.2875999999999999</c:v>
                </c:pt>
                <c:pt idx="34">
                  <c:v>2.3258999999999999</c:v>
                </c:pt>
                <c:pt idx="35">
                  <c:v>2.3267000000000002</c:v>
                </c:pt>
                <c:pt idx="36">
                  <c:v>2.3408000000000002</c:v>
                </c:pt>
                <c:pt idx="37">
                  <c:v>2.3216000000000001</c:v>
                </c:pt>
                <c:pt idx="38">
                  <c:v>2.3963000000000001</c:v>
                </c:pt>
                <c:pt idx="39">
                  <c:v>2.4113000000000002</c:v>
                </c:pt>
                <c:pt idx="40">
                  <c:v>2.5141</c:v>
                </c:pt>
                <c:pt idx="41">
                  <c:v>2.4836999999999998</c:v>
                </c:pt>
                <c:pt idx="42">
                  <c:v>2.4744999999999999</c:v>
                </c:pt>
                <c:pt idx="43">
                  <c:v>2.4973999999999998</c:v>
                </c:pt>
                <c:pt idx="44">
                  <c:v>2.5918000000000001</c:v>
                </c:pt>
                <c:pt idx="45">
                  <c:v>2.5108000000000001</c:v>
                </c:pt>
                <c:pt idx="46">
                  <c:v>2.5731999999999999</c:v>
                </c:pt>
                <c:pt idx="47">
                  <c:v>2.4491000000000001</c:v>
                </c:pt>
                <c:pt idx="48">
                  <c:v>2.3744999999999998</c:v>
                </c:pt>
                <c:pt idx="49">
                  <c:v>2.3515999999999999</c:v>
                </c:pt>
                <c:pt idx="50">
                  <c:v>2.3788999999999998</c:v>
                </c:pt>
                <c:pt idx="51">
                  <c:v>2.3742999999999999</c:v>
                </c:pt>
                <c:pt idx="52">
                  <c:v>2.3693</c:v>
                </c:pt>
                <c:pt idx="53">
                  <c:v>2.3672</c:v>
                </c:pt>
                <c:pt idx="54">
                  <c:v>2.3639000000000001</c:v>
                </c:pt>
                <c:pt idx="55">
                  <c:v>2.2854000000000001</c:v>
                </c:pt>
                <c:pt idx="56">
                  <c:v>2.2219000000000002</c:v>
                </c:pt>
                <c:pt idx="57">
                  <c:v>2.1051000000000002</c:v>
                </c:pt>
                <c:pt idx="58">
                  <c:v>2.1356000000000002</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239179264"/>
        <c:axId val="239180800"/>
      </c:lineChart>
      <c:dateAx>
        <c:axId val="23917926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9180800"/>
        <c:crosses val="autoZero"/>
        <c:auto val="0"/>
        <c:lblOffset val="0"/>
        <c:baseTimeUnit val="days"/>
        <c:majorUnit val="14"/>
        <c:majorTimeUnit val="days"/>
        <c:minorUnit val="7"/>
        <c:minorTimeUnit val="days"/>
      </c:dateAx>
      <c:valAx>
        <c:axId val="239180800"/>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917926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8.8699999999999779</c:v>
                </c:pt>
                <c:pt idx="1">
                  <c:v>2.6100000000000012</c:v>
                </c:pt>
                <c:pt idx="2">
                  <c:v>4.5199999999999907</c:v>
                </c:pt>
                <c:pt idx="3">
                  <c:v>-1.4100000000000001</c:v>
                </c:pt>
                <c:pt idx="4">
                  <c:v>-2.4500000000000188</c:v>
                </c:pt>
                <c:pt idx="5">
                  <c:v>-0.1000000000000334</c:v>
                </c:pt>
                <c:pt idx="6">
                  <c:v>-1.4699999999999935</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239601152"/>
        <c:axId val="239603072"/>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2.0800999999999998</c:v>
                </c:pt>
                <c:pt idx="1">
                  <c:v>2.6619999999999999</c:v>
                </c:pt>
                <c:pt idx="2">
                  <c:v>2.7273000000000001</c:v>
                </c:pt>
                <c:pt idx="3">
                  <c:v>2.9459</c:v>
                </c:pt>
                <c:pt idx="4">
                  <c:v>2.9754999999999998</c:v>
                </c:pt>
                <c:pt idx="5">
                  <c:v>3.2410999999999999</c:v>
                </c:pt>
                <c:pt idx="6">
                  <c:v>3.181</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1.9914000000000001</c:v>
                </c:pt>
                <c:pt idx="1">
                  <c:v>2.6358999999999999</c:v>
                </c:pt>
                <c:pt idx="2">
                  <c:v>2.6821000000000002</c:v>
                </c:pt>
                <c:pt idx="3">
                  <c:v>2.96</c:v>
                </c:pt>
                <c:pt idx="4">
                  <c:v>3</c:v>
                </c:pt>
                <c:pt idx="5">
                  <c:v>3.2421000000000002</c:v>
                </c:pt>
                <c:pt idx="6">
                  <c:v>3.1957</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239647360"/>
        <c:axId val="239645824"/>
      </c:lineChart>
      <c:dateAx>
        <c:axId val="23960115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9603072"/>
        <c:crosses val="autoZero"/>
        <c:auto val="0"/>
        <c:lblOffset val="0"/>
        <c:baseTimeUnit val="days"/>
      </c:dateAx>
      <c:valAx>
        <c:axId val="23960307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9601152"/>
        <c:crosses val="autoZero"/>
        <c:crossBetween val="between"/>
      </c:valAx>
      <c:valAx>
        <c:axId val="239645824"/>
        <c:scaling>
          <c:orientation val="minMax"/>
        </c:scaling>
        <c:delete val="0"/>
        <c:axPos val="r"/>
        <c:numFmt formatCode="#,##0.0_);[Red]\(#,##0.0\)" sourceLinked="0"/>
        <c:majorTickMark val="out"/>
        <c:minorTickMark val="none"/>
        <c:tickLblPos val="nextTo"/>
        <c:spPr>
          <a:ln w="3175">
            <a:solidFill>
              <a:sysClr val="windowText" lastClr="000000"/>
            </a:solidFill>
          </a:ln>
        </c:spPr>
        <c:crossAx val="239647360"/>
        <c:crosses val="max"/>
        <c:crossBetween val="between"/>
      </c:valAx>
      <c:dateAx>
        <c:axId val="239647360"/>
        <c:scaling>
          <c:orientation val="minMax"/>
        </c:scaling>
        <c:delete val="1"/>
        <c:axPos val="b"/>
        <c:numFmt formatCode="General" sourceLinked="1"/>
        <c:majorTickMark val="out"/>
        <c:minorTickMark val="none"/>
        <c:tickLblPos val="nextTo"/>
        <c:crossAx val="239645824"/>
        <c:crosses val="autoZero"/>
        <c:auto val="0"/>
        <c:lblOffset val="100"/>
        <c:baseTimeUnit val="years"/>
      </c:dateAx>
    </c:plotArea>
    <c:legend>
      <c:legendPos val="r"/>
      <c:layout>
        <c:manualLayout>
          <c:xMode val="edge"/>
          <c:yMode val="edge"/>
          <c:x val="0.10566952474154788"/>
          <c:y val="2.3335613115175748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2293299938814838"/>
          <c:w val="0.86463429571303585"/>
          <c:h val="0.78504280102242119"/>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8.8699999999999779</c:v>
                </c:pt>
                <c:pt idx="1">
                  <c:v>9.1300000000000381</c:v>
                </c:pt>
                <c:pt idx="2">
                  <c:v>1.4799999999999702</c:v>
                </c:pt>
                <c:pt idx="3">
                  <c:v>-0.28999999999999027</c:v>
                </c:pt>
                <c:pt idx="4">
                  <c:v>-3.9200000000000124</c:v>
                </c:pt>
                <c:pt idx="5">
                  <c:v>-4.0599999999999969</c:v>
                </c:pt>
                <c:pt idx="6">
                  <c:v>-5.9899999999999842</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239789952"/>
        <c:axId val="23979622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2.1116999999999999</c:v>
                </c:pt>
                <c:pt idx="1">
                  <c:v>2.7381000000000002</c:v>
                </c:pt>
                <c:pt idx="2">
                  <c:v>2.8521999999999998</c:v>
                </c:pt>
                <c:pt idx="3">
                  <c:v>3.2462</c:v>
                </c:pt>
                <c:pt idx="4">
                  <c:v>3.4316</c:v>
                </c:pt>
                <c:pt idx="5">
                  <c:v>3.6027</c:v>
                </c:pt>
                <c:pt idx="6">
                  <c:v>3.6575000000000002</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2.0230000000000001</c:v>
                </c:pt>
                <c:pt idx="1">
                  <c:v>2.6467999999999998</c:v>
                </c:pt>
                <c:pt idx="2">
                  <c:v>2.8374000000000001</c:v>
                </c:pt>
                <c:pt idx="3">
                  <c:v>3.2490999999999999</c:v>
                </c:pt>
                <c:pt idx="4">
                  <c:v>3.4708000000000001</c:v>
                </c:pt>
                <c:pt idx="5">
                  <c:v>3.6433</c:v>
                </c:pt>
                <c:pt idx="6">
                  <c:v>3.7174</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239799296"/>
        <c:axId val="239797760"/>
      </c:lineChart>
      <c:dateAx>
        <c:axId val="23978995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9796224"/>
        <c:crosses val="autoZero"/>
        <c:auto val="0"/>
        <c:lblOffset val="0"/>
        <c:baseTimeUnit val="days"/>
      </c:dateAx>
      <c:valAx>
        <c:axId val="23979622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9789952"/>
        <c:crosses val="autoZero"/>
        <c:crossBetween val="between"/>
      </c:valAx>
      <c:valAx>
        <c:axId val="239797760"/>
        <c:scaling>
          <c:orientation val="minMax"/>
        </c:scaling>
        <c:delete val="0"/>
        <c:axPos val="r"/>
        <c:numFmt formatCode="#,##0.0_);[Red]\(#,##0.0\)" sourceLinked="0"/>
        <c:majorTickMark val="out"/>
        <c:minorTickMark val="none"/>
        <c:tickLblPos val="nextTo"/>
        <c:spPr>
          <a:ln w="3175">
            <a:solidFill>
              <a:sysClr val="windowText" lastClr="000000"/>
            </a:solidFill>
          </a:ln>
        </c:spPr>
        <c:crossAx val="239799296"/>
        <c:crosses val="max"/>
        <c:crossBetween val="between"/>
      </c:valAx>
      <c:dateAx>
        <c:axId val="239799296"/>
        <c:scaling>
          <c:orientation val="minMax"/>
        </c:scaling>
        <c:delete val="1"/>
        <c:axPos val="b"/>
        <c:numFmt formatCode="General" sourceLinked="1"/>
        <c:majorTickMark val="out"/>
        <c:minorTickMark val="none"/>
        <c:tickLblPos val="nextTo"/>
        <c:crossAx val="239797760"/>
        <c:crosses val="autoZero"/>
        <c:auto val="0"/>
        <c:lblOffset val="100"/>
        <c:baseTimeUnit val="years"/>
      </c:dateAx>
    </c:plotArea>
    <c:legend>
      <c:legendPos val="r"/>
      <c:layout>
        <c:manualLayout>
          <c:xMode val="edge"/>
          <c:yMode val="edge"/>
          <c:x val="0.13107251364862746"/>
          <c:y val="2.3340623002913912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44134</c:v>
                </c:pt>
                <c:pt idx="1">
                  <c:v>44127</c:v>
                </c:pt>
                <c:pt idx="2">
                  <c:v>44120</c:v>
                </c:pt>
                <c:pt idx="3">
                  <c:v>44113</c:v>
                </c:pt>
                <c:pt idx="4">
                  <c:v>44104</c:v>
                </c:pt>
                <c:pt idx="5">
                  <c:v>44099</c:v>
                </c:pt>
                <c:pt idx="6">
                  <c:v>44092</c:v>
                </c:pt>
                <c:pt idx="7">
                  <c:v>44085</c:v>
                </c:pt>
                <c:pt idx="8">
                  <c:v>44078</c:v>
                </c:pt>
                <c:pt idx="9">
                  <c:v>44071</c:v>
                </c:pt>
                <c:pt idx="10">
                  <c:v>44064</c:v>
                </c:pt>
                <c:pt idx="11">
                  <c:v>44057</c:v>
                </c:pt>
                <c:pt idx="12">
                  <c:v>44050</c:v>
                </c:pt>
                <c:pt idx="13">
                  <c:v>44043</c:v>
                </c:pt>
                <c:pt idx="14">
                  <c:v>44036</c:v>
                </c:pt>
                <c:pt idx="15">
                  <c:v>44029</c:v>
                </c:pt>
                <c:pt idx="16">
                  <c:v>44022</c:v>
                </c:pt>
                <c:pt idx="17">
                  <c:v>44015</c:v>
                </c:pt>
                <c:pt idx="18">
                  <c:v>44006</c:v>
                </c:pt>
                <c:pt idx="19">
                  <c:v>44001</c:v>
                </c:pt>
                <c:pt idx="20">
                  <c:v>43994</c:v>
                </c:pt>
                <c:pt idx="21">
                  <c:v>43987</c:v>
                </c:pt>
                <c:pt idx="22">
                  <c:v>43980</c:v>
                </c:pt>
                <c:pt idx="23">
                  <c:v>43973</c:v>
                </c:pt>
              </c:numCache>
            </c:numRef>
          </c:cat>
          <c:val>
            <c:numRef>
              <c:f>转债!$H$5:$H$28</c:f>
              <c:numCache>
                <c:formatCode>General</c:formatCode>
                <c:ptCount val="24"/>
                <c:pt idx="0">
                  <c:v>7.8486961535808364</c:v>
                </c:pt>
                <c:pt idx="1">
                  <c:v>8.1461437641833001</c:v>
                </c:pt>
                <c:pt idx="2">
                  <c:v>8.6355320479901909</c:v>
                </c:pt>
                <c:pt idx="3">
                  <c:v>6.9310009981740528</c:v>
                </c:pt>
                <c:pt idx="4">
                  <c:v>5.8938256479434736</c:v>
                </c:pt>
                <c:pt idx="5">
                  <c:v>4.869120103390312</c:v>
                </c:pt>
                <c:pt idx="6">
                  <c:v>7.1224700002417318</c:v>
                </c:pt>
                <c:pt idx="7">
                  <c:v>6.9947355605251449</c:v>
                </c:pt>
                <c:pt idx="8">
                  <c:v>9.841152952926624</c:v>
                </c:pt>
                <c:pt idx="9">
                  <c:v>9.5555266001885464</c:v>
                </c:pt>
                <c:pt idx="10">
                  <c:v>9.6709681109040204</c:v>
                </c:pt>
                <c:pt idx="11">
                  <c:v>9.5513405188500258</c:v>
                </c:pt>
                <c:pt idx="12">
                  <c:v>10.014845849028697</c:v>
                </c:pt>
                <c:pt idx="13">
                  <c:v>8.8163294905892808</c:v>
                </c:pt>
                <c:pt idx="14">
                  <c:v>6.3973640658523623</c:v>
                </c:pt>
                <c:pt idx="15">
                  <c:v>5.9244547923851032</c:v>
                </c:pt>
                <c:pt idx="16">
                  <c:v>9.749147601817576</c:v>
                </c:pt>
                <c:pt idx="17">
                  <c:v>5.5356798579326627</c:v>
                </c:pt>
                <c:pt idx="18">
                  <c:v>1.2166462177575887</c:v>
                </c:pt>
                <c:pt idx="19">
                  <c:v>1.73825553609257</c:v>
                </c:pt>
                <c:pt idx="20">
                  <c:v>0.85885418109930001</c:v>
                </c:pt>
                <c:pt idx="21">
                  <c:v>1.2084509317568326</c:v>
                </c:pt>
                <c:pt idx="22">
                  <c:v>0.79099249630181223</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44134</c:v>
                </c:pt>
                <c:pt idx="1">
                  <c:v>44127</c:v>
                </c:pt>
                <c:pt idx="2">
                  <c:v>44120</c:v>
                </c:pt>
                <c:pt idx="3">
                  <c:v>44113</c:v>
                </c:pt>
                <c:pt idx="4">
                  <c:v>44104</c:v>
                </c:pt>
                <c:pt idx="5">
                  <c:v>44099</c:v>
                </c:pt>
                <c:pt idx="6">
                  <c:v>44092</c:v>
                </c:pt>
                <c:pt idx="7">
                  <c:v>44085</c:v>
                </c:pt>
                <c:pt idx="8">
                  <c:v>44078</c:v>
                </c:pt>
                <c:pt idx="9">
                  <c:v>44071</c:v>
                </c:pt>
                <c:pt idx="10">
                  <c:v>44064</c:v>
                </c:pt>
                <c:pt idx="11">
                  <c:v>44057</c:v>
                </c:pt>
                <c:pt idx="12">
                  <c:v>44050</c:v>
                </c:pt>
                <c:pt idx="13">
                  <c:v>44043</c:v>
                </c:pt>
                <c:pt idx="14">
                  <c:v>44036</c:v>
                </c:pt>
                <c:pt idx="15">
                  <c:v>44029</c:v>
                </c:pt>
                <c:pt idx="16">
                  <c:v>44022</c:v>
                </c:pt>
                <c:pt idx="17">
                  <c:v>44015</c:v>
                </c:pt>
                <c:pt idx="18">
                  <c:v>44006</c:v>
                </c:pt>
                <c:pt idx="19">
                  <c:v>44001</c:v>
                </c:pt>
                <c:pt idx="20">
                  <c:v>43994</c:v>
                </c:pt>
                <c:pt idx="21">
                  <c:v>43987</c:v>
                </c:pt>
                <c:pt idx="22">
                  <c:v>43980</c:v>
                </c:pt>
                <c:pt idx="23">
                  <c:v>43973</c:v>
                </c:pt>
              </c:numCache>
            </c:numRef>
          </c:cat>
          <c:val>
            <c:numRef>
              <c:f>转债!$I$5:$I$28</c:f>
              <c:numCache>
                <c:formatCode>General</c:formatCode>
                <c:ptCount val="24"/>
                <c:pt idx="0">
                  <c:v>-3.8443336931927474</c:v>
                </c:pt>
                <c:pt idx="1">
                  <c:v>-3.9493337671364537</c:v>
                </c:pt>
                <c:pt idx="2">
                  <c:v>-4.1874325263609347</c:v>
                </c:pt>
                <c:pt idx="3">
                  <c:v>-4.1146390478678736</c:v>
                </c:pt>
                <c:pt idx="4">
                  <c:v>-3.9174558104148938</c:v>
                </c:pt>
                <c:pt idx="5">
                  <c:v>-3.8182890739124953</c:v>
                </c:pt>
                <c:pt idx="6">
                  <c:v>-3.8210825031097517</c:v>
                </c:pt>
                <c:pt idx="7">
                  <c:v>-3.8394862719386968</c:v>
                </c:pt>
                <c:pt idx="8">
                  <c:v>-3.8656130509012065</c:v>
                </c:pt>
                <c:pt idx="9">
                  <c:v>-3.6260354173958453</c:v>
                </c:pt>
                <c:pt idx="10">
                  <c:v>-3.1505773360873346</c:v>
                </c:pt>
                <c:pt idx="11">
                  <c:v>-2.929732110139982</c:v>
                </c:pt>
                <c:pt idx="12">
                  <c:v>-3.1313519704356585</c:v>
                </c:pt>
                <c:pt idx="13">
                  <c:v>-2.9256241260263827</c:v>
                </c:pt>
                <c:pt idx="14">
                  <c:v>-2.3942153010905964</c:v>
                </c:pt>
                <c:pt idx="15">
                  <c:v>-3.0281594095019404</c:v>
                </c:pt>
                <c:pt idx="16">
                  <c:v>-3.2527839808337955</c:v>
                </c:pt>
                <c:pt idx="17">
                  <c:v>-2.042982659377468</c:v>
                </c:pt>
                <c:pt idx="18">
                  <c:v>-2.0831587440085064</c:v>
                </c:pt>
                <c:pt idx="19">
                  <c:v>-2.0259756051471456</c:v>
                </c:pt>
                <c:pt idx="20">
                  <c:v>-1.5152710201439157</c:v>
                </c:pt>
                <c:pt idx="21">
                  <c:v>-1.9741328456334584</c:v>
                </c:pt>
                <c:pt idx="22">
                  <c:v>-0.74880334422771089</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44134</c:v>
                </c:pt>
                <c:pt idx="1">
                  <c:v>44127</c:v>
                </c:pt>
                <c:pt idx="2">
                  <c:v>44120</c:v>
                </c:pt>
                <c:pt idx="3">
                  <c:v>44113</c:v>
                </c:pt>
                <c:pt idx="4">
                  <c:v>44104</c:v>
                </c:pt>
                <c:pt idx="5">
                  <c:v>44099</c:v>
                </c:pt>
                <c:pt idx="6">
                  <c:v>44092</c:v>
                </c:pt>
                <c:pt idx="7">
                  <c:v>44085</c:v>
                </c:pt>
                <c:pt idx="8">
                  <c:v>44078</c:v>
                </c:pt>
                <c:pt idx="9">
                  <c:v>44071</c:v>
                </c:pt>
                <c:pt idx="10">
                  <c:v>44064</c:v>
                </c:pt>
                <c:pt idx="11">
                  <c:v>44057</c:v>
                </c:pt>
                <c:pt idx="12">
                  <c:v>44050</c:v>
                </c:pt>
                <c:pt idx="13">
                  <c:v>44043</c:v>
                </c:pt>
                <c:pt idx="14">
                  <c:v>44036</c:v>
                </c:pt>
                <c:pt idx="15">
                  <c:v>44029</c:v>
                </c:pt>
                <c:pt idx="16">
                  <c:v>44022</c:v>
                </c:pt>
                <c:pt idx="17">
                  <c:v>44015</c:v>
                </c:pt>
                <c:pt idx="18">
                  <c:v>44006</c:v>
                </c:pt>
                <c:pt idx="19">
                  <c:v>44001</c:v>
                </c:pt>
                <c:pt idx="20">
                  <c:v>43994</c:v>
                </c:pt>
                <c:pt idx="21">
                  <c:v>43987</c:v>
                </c:pt>
                <c:pt idx="22">
                  <c:v>43980</c:v>
                </c:pt>
                <c:pt idx="23">
                  <c:v>43973</c:v>
                </c:pt>
              </c:numCache>
            </c:numRef>
          </c:cat>
          <c:val>
            <c:numRef>
              <c:f>转债!$J$5:$J$28</c:f>
              <c:numCache>
                <c:formatCode>General</c:formatCode>
                <c:ptCount val="24"/>
                <c:pt idx="0">
                  <c:v>22.783870772037297</c:v>
                </c:pt>
                <c:pt idx="1">
                  <c:v>23.389360115311874</c:v>
                </c:pt>
                <c:pt idx="2">
                  <c:v>25.303237602717953</c:v>
                </c:pt>
                <c:pt idx="3">
                  <c:v>22.412731586082259</c:v>
                </c:pt>
                <c:pt idx="4">
                  <c:v>19.961258493581703</c:v>
                </c:pt>
                <c:pt idx="5">
                  <c:v>19.506932938360876</c:v>
                </c:pt>
                <c:pt idx="6">
                  <c:v>23.875769338588483</c:v>
                </c:pt>
                <c:pt idx="7">
                  <c:v>21.00431896537296</c:v>
                </c:pt>
                <c:pt idx="8">
                  <c:v>24.742132976853949</c:v>
                </c:pt>
                <c:pt idx="9">
                  <c:v>26.678455172298364</c:v>
                </c:pt>
                <c:pt idx="10">
                  <c:v>23.398643432745892</c:v>
                </c:pt>
                <c:pt idx="11">
                  <c:v>23.026936787668852</c:v>
                </c:pt>
                <c:pt idx="12">
                  <c:v>23.11316442402638</c:v>
                </c:pt>
                <c:pt idx="13">
                  <c:v>22.77634997740623</c:v>
                </c:pt>
                <c:pt idx="14">
                  <c:v>17.822050049371583</c:v>
                </c:pt>
                <c:pt idx="15">
                  <c:v>18.84478659352984</c:v>
                </c:pt>
                <c:pt idx="16">
                  <c:v>24.295338676340151</c:v>
                </c:pt>
                <c:pt idx="17">
                  <c:v>15.573261849174092</c:v>
                </c:pt>
                <c:pt idx="18">
                  <c:v>8.2353616466670054</c:v>
                </c:pt>
                <c:pt idx="19">
                  <c:v>7.1820319952804246</c:v>
                </c:pt>
                <c:pt idx="20">
                  <c:v>4.6813782405315418</c:v>
                </c:pt>
                <c:pt idx="21">
                  <c:v>4.633471092534025</c:v>
                </c:pt>
                <c:pt idx="22">
                  <c:v>1.1233912403139756</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239858432"/>
        <c:axId val="239859968"/>
      </c:lineChart>
      <c:dateAx>
        <c:axId val="23985843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500"/>
            </a:pPr>
            <a:endParaRPr lang="zh-CN"/>
          </a:p>
        </c:txPr>
        <c:crossAx val="239859968"/>
        <c:crosses val="autoZero"/>
        <c:auto val="0"/>
        <c:lblOffset val="0"/>
        <c:baseTimeUnit val="days"/>
        <c:majorUnit val="14"/>
        <c:majorTimeUnit val="days"/>
      </c:dateAx>
      <c:valAx>
        <c:axId val="23985996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985843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高炉!$H$1</c:f>
              <c:strCache>
                <c:ptCount val="1"/>
                <c:pt idx="0">
                  <c:v>2018</c:v>
                </c:pt>
              </c:strCache>
            </c:strRef>
          </c:tx>
          <c:spPr>
            <a:ln w="28575">
              <a:solidFill>
                <a:srgbClr val="E7E6E6">
                  <a:lumMod val="75000"/>
                </a:srgbClr>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高炉!$H$2:$H$366</c:f>
              <c:numCache>
                <c:formatCode>General</c:formatCode>
                <c:ptCount val="365"/>
                <c:pt idx="0">
                  <c:v>#N/A</c:v>
                </c:pt>
                <c:pt idx="1">
                  <c:v>#N/A</c:v>
                </c:pt>
                <c:pt idx="2">
                  <c:v>#N/A</c:v>
                </c:pt>
                <c:pt idx="3">
                  <c:v>#N/A</c:v>
                </c:pt>
                <c:pt idx="4">
                  <c:v>63.12</c:v>
                </c:pt>
                <c:pt idx="5">
                  <c:v>#N/A</c:v>
                </c:pt>
                <c:pt idx="6">
                  <c:v>#N/A</c:v>
                </c:pt>
                <c:pt idx="7">
                  <c:v>#N/A</c:v>
                </c:pt>
                <c:pt idx="8">
                  <c:v>#N/A</c:v>
                </c:pt>
                <c:pt idx="9">
                  <c:v>#N/A</c:v>
                </c:pt>
                <c:pt idx="10">
                  <c:v>#N/A</c:v>
                </c:pt>
                <c:pt idx="11">
                  <c:v>64.09</c:v>
                </c:pt>
                <c:pt idx="12">
                  <c:v>#N/A</c:v>
                </c:pt>
                <c:pt idx="13">
                  <c:v>#N/A</c:v>
                </c:pt>
                <c:pt idx="14">
                  <c:v>#N/A</c:v>
                </c:pt>
                <c:pt idx="15">
                  <c:v>#N/A</c:v>
                </c:pt>
                <c:pt idx="16">
                  <c:v>#N/A</c:v>
                </c:pt>
                <c:pt idx="17">
                  <c:v>#N/A</c:v>
                </c:pt>
                <c:pt idx="18">
                  <c:v>64.09</c:v>
                </c:pt>
                <c:pt idx="19">
                  <c:v>#N/A</c:v>
                </c:pt>
                <c:pt idx="20">
                  <c:v>#N/A</c:v>
                </c:pt>
                <c:pt idx="21">
                  <c:v>#N/A</c:v>
                </c:pt>
                <c:pt idx="22">
                  <c:v>#N/A</c:v>
                </c:pt>
                <c:pt idx="23">
                  <c:v>#N/A</c:v>
                </c:pt>
                <c:pt idx="24">
                  <c:v>#N/A</c:v>
                </c:pt>
                <c:pt idx="25">
                  <c:v>64.09</c:v>
                </c:pt>
                <c:pt idx="26">
                  <c:v>#N/A</c:v>
                </c:pt>
                <c:pt idx="27">
                  <c:v>#N/A</c:v>
                </c:pt>
                <c:pt idx="28">
                  <c:v>#N/A</c:v>
                </c:pt>
                <c:pt idx="29">
                  <c:v>#N/A</c:v>
                </c:pt>
                <c:pt idx="30">
                  <c:v>#N/A</c:v>
                </c:pt>
                <c:pt idx="31">
                  <c:v>#N/A</c:v>
                </c:pt>
                <c:pt idx="32">
                  <c:v>63.67</c:v>
                </c:pt>
                <c:pt idx="33">
                  <c:v>#N/A</c:v>
                </c:pt>
                <c:pt idx="34">
                  <c:v>#N/A</c:v>
                </c:pt>
                <c:pt idx="35">
                  <c:v>#N/A</c:v>
                </c:pt>
                <c:pt idx="36">
                  <c:v>#N/A</c:v>
                </c:pt>
                <c:pt idx="37">
                  <c:v>#N/A</c:v>
                </c:pt>
                <c:pt idx="38">
                  <c:v>#N/A</c:v>
                </c:pt>
                <c:pt idx="39">
                  <c:v>63.67</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63.81</c:v>
                </c:pt>
                <c:pt idx="54">
                  <c:v>#N/A</c:v>
                </c:pt>
                <c:pt idx="55">
                  <c:v>#N/A</c:v>
                </c:pt>
                <c:pt idx="56">
                  <c:v>#N/A</c:v>
                </c:pt>
                <c:pt idx="57">
                  <c:v>#N/A</c:v>
                </c:pt>
                <c:pt idx="58">
                  <c:v>#N/A</c:v>
                </c:pt>
                <c:pt idx="59">
                  <c:v>#N/A</c:v>
                </c:pt>
                <c:pt idx="60">
                  <c:v>63.26</c:v>
                </c:pt>
                <c:pt idx="61">
                  <c:v>#N/A</c:v>
                </c:pt>
                <c:pt idx="62">
                  <c:v>#N/A</c:v>
                </c:pt>
                <c:pt idx="63">
                  <c:v>#N/A</c:v>
                </c:pt>
                <c:pt idx="64">
                  <c:v>#N/A</c:v>
                </c:pt>
                <c:pt idx="65">
                  <c:v>#N/A</c:v>
                </c:pt>
                <c:pt idx="66">
                  <c:v>#N/A</c:v>
                </c:pt>
                <c:pt idx="67">
                  <c:v>62.57</c:v>
                </c:pt>
                <c:pt idx="68">
                  <c:v>#N/A</c:v>
                </c:pt>
                <c:pt idx="69">
                  <c:v>#N/A</c:v>
                </c:pt>
                <c:pt idx="70">
                  <c:v>#N/A</c:v>
                </c:pt>
                <c:pt idx="71">
                  <c:v>#N/A</c:v>
                </c:pt>
                <c:pt idx="72">
                  <c:v>#N/A</c:v>
                </c:pt>
                <c:pt idx="73">
                  <c:v>#N/A</c:v>
                </c:pt>
                <c:pt idx="74">
                  <c:v>62.02</c:v>
                </c:pt>
                <c:pt idx="75">
                  <c:v>#N/A</c:v>
                </c:pt>
                <c:pt idx="76">
                  <c:v>#N/A</c:v>
                </c:pt>
                <c:pt idx="77">
                  <c:v>#N/A</c:v>
                </c:pt>
                <c:pt idx="78">
                  <c:v>#N/A</c:v>
                </c:pt>
                <c:pt idx="79">
                  <c:v>#N/A</c:v>
                </c:pt>
                <c:pt idx="80">
                  <c:v>#N/A</c:v>
                </c:pt>
                <c:pt idx="81">
                  <c:v>63.12</c:v>
                </c:pt>
                <c:pt idx="82">
                  <c:v>#N/A</c:v>
                </c:pt>
                <c:pt idx="83">
                  <c:v>#N/A</c:v>
                </c:pt>
                <c:pt idx="84">
                  <c:v>#N/A</c:v>
                </c:pt>
                <c:pt idx="85">
                  <c:v>#N/A</c:v>
                </c:pt>
                <c:pt idx="86">
                  <c:v>#N/A</c:v>
                </c:pt>
                <c:pt idx="87">
                  <c:v>#N/A</c:v>
                </c:pt>
                <c:pt idx="88">
                  <c:v>64.5</c:v>
                </c:pt>
                <c:pt idx="89">
                  <c:v>#N/A</c:v>
                </c:pt>
                <c:pt idx="90">
                  <c:v>#N/A</c:v>
                </c:pt>
                <c:pt idx="91">
                  <c:v>#N/A</c:v>
                </c:pt>
                <c:pt idx="92">
                  <c:v>#N/A</c:v>
                </c:pt>
                <c:pt idx="93">
                  <c:v>#N/A</c:v>
                </c:pt>
                <c:pt idx="94">
                  <c:v>#N/A</c:v>
                </c:pt>
                <c:pt idx="95">
                  <c:v>#N/A</c:v>
                </c:pt>
                <c:pt idx="96">
                  <c:v>#N/A</c:v>
                </c:pt>
                <c:pt idx="97">
                  <c:v>#N/A</c:v>
                </c:pt>
                <c:pt idx="98">
                  <c:v>65.06</c:v>
                </c:pt>
                <c:pt idx="99">
                  <c:v>#N/A</c:v>
                </c:pt>
                <c:pt idx="100">
                  <c:v>#N/A</c:v>
                </c:pt>
                <c:pt idx="101">
                  <c:v>#N/A</c:v>
                </c:pt>
                <c:pt idx="102">
                  <c:v>66.989999999999995</c:v>
                </c:pt>
                <c:pt idx="103">
                  <c:v>#N/A</c:v>
                </c:pt>
                <c:pt idx="104">
                  <c:v>#N/A</c:v>
                </c:pt>
                <c:pt idx="105">
                  <c:v>#N/A</c:v>
                </c:pt>
                <c:pt idx="106">
                  <c:v>#N/A</c:v>
                </c:pt>
                <c:pt idx="107">
                  <c:v>#N/A</c:v>
                </c:pt>
                <c:pt idx="108">
                  <c:v>#N/A</c:v>
                </c:pt>
                <c:pt idx="109">
                  <c:v>67.27</c:v>
                </c:pt>
                <c:pt idx="110">
                  <c:v>#N/A</c:v>
                </c:pt>
                <c:pt idx="111">
                  <c:v>#N/A</c:v>
                </c:pt>
                <c:pt idx="112">
                  <c:v>#N/A</c:v>
                </c:pt>
                <c:pt idx="113">
                  <c:v>#N/A</c:v>
                </c:pt>
                <c:pt idx="114">
                  <c:v>#N/A</c:v>
                </c:pt>
                <c:pt idx="115">
                  <c:v>#N/A</c:v>
                </c:pt>
                <c:pt idx="116">
                  <c:v>67.680000000000007</c:v>
                </c:pt>
                <c:pt idx="117">
                  <c:v>#N/A</c:v>
                </c:pt>
                <c:pt idx="118">
                  <c:v>#N/A</c:v>
                </c:pt>
                <c:pt idx="119">
                  <c:v>#N/A</c:v>
                </c:pt>
                <c:pt idx="120">
                  <c:v>#N/A</c:v>
                </c:pt>
                <c:pt idx="121">
                  <c:v>#N/A</c:v>
                </c:pt>
                <c:pt idx="122">
                  <c:v>#N/A</c:v>
                </c:pt>
                <c:pt idx="123">
                  <c:v>68.92</c:v>
                </c:pt>
                <c:pt idx="124">
                  <c:v>#N/A</c:v>
                </c:pt>
                <c:pt idx="125">
                  <c:v>#N/A</c:v>
                </c:pt>
                <c:pt idx="126">
                  <c:v>#N/A</c:v>
                </c:pt>
                <c:pt idx="127">
                  <c:v>#N/A</c:v>
                </c:pt>
                <c:pt idx="128">
                  <c:v>#N/A</c:v>
                </c:pt>
                <c:pt idx="129">
                  <c:v>#N/A</c:v>
                </c:pt>
                <c:pt idx="130">
                  <c:v>69.98</c:v>
                </c:pt>
                <c:pt idx="131">
                  <c:v>#N/A</c:v>
                </c:pt>
                <c:pt idx="132">
                  <c:v>#N/A</c:v>
                </c:pt>
                <c:pt idx="133">
                  <c:v>#N/A</c:v>
                </c:pt>
                <c:pt idx="134">
                  <c:v>#N/A</c:v>
                </c:pt>
                <c:pt idx="135">
                  <c:v>#N/A</c:v>
                </c:pt>
                <c:pt idx="136">
                  <c:v>#N/A</c:v>
                </c:pt>
                <c:pt idx="137">
                  <c:v>70.17</c:v>
                </c:pt>
                <c:pt idx="138">
                  <c:v>#N/A</c:v>
                </c:pt>
                <c:pt idx="139">
                  <c:v>#N/A</c:v>
                </c:pt>
                <c:pt idx="140">
                  <c:v>#N/A</c:v>
                </c:pt>
                <c:pt idx="141">
                  <c:v>#N/A</c:v>
                </c:pt>
                <c:pt idx="142">
                  <c:v>#N/A</c:v>
                </c:pt>
                <c:pt idx="143">
                  <c:v>#N/A</c:v>
                </c:pt>
                <c:pt idx="144">
                  <c:v>71.959999999999994</c:v>
                </c:pt>
                <c:pt idx="145">
                  <c:v>#N/A</c:v>
                </c:pt>
                <c:pt idx="146">
                  <c:v>#N/A</c:v>
                </c:pt>
                <c:pt idx="147">
                  <c:v>#N/A</c:v>
                </c:pt>
                <c:pt idx="148">
                  <c:v>#N/A</c:v>
                </c:pt>
                <c:pt idx="149">
                  <c:v>#N/A</c:v>
                </c:pt>
                <c:pt idx="150">
                  <c:v>#N/A</c:v>
                </c:pt>
                <c:pt idx="151">
                  <c:v>71.819999999999993</c:v>
                </c:pt>
                <c:pt idx="152">
                  <c:v>#N/A</c:v>
                </c:pt>
                <c:pt idx="153">
                  <c:v>#N/A</c:v>
                </c:pt>
                <c:pt idx="154">
                  <c:v>#N/A</c:v>
                </c:pt>
                <c:pt idx="155">
                  <c:v>#N/A</c:v>
                </c:pt>
                <c:pt idx="156">
                  <c:v>#N/A</c:v>
                </c:pt>
                <c:pt idx="157">
                  <c:v>#N/A</c:v>
                </c:pt>
                <c:pt idx="158">
                  <c:v>71.41</c:v>
                </c:pt>
                <c:pt idx="159">
                  <c:v>#N/A</c:v>
                </c:pt>
                <c:pt idx="160">
                  <c:v>#N/A</c:v>
                </c:pt>
                <c:pt idx="161">
                  <c:v>#N/A</c:v>
                </c:pt>
                <c:pt idx="162">
                  <c:v>#N/A</c:v>
                </c:pt>
                <c:pt idx="163">
                  <c:v>#N/A</c:v>
                </c:pt>
                <c:pt idx="164">
                  <c:v>#N/A</c:v>
                </c:pt>
                <c:pt idx="165">
                  <c:v>71.41</c:v>
                </c:pt>
                <c:pt idx="166">
                  <c:v>#N/A</c:v>
                </c:pt>
                <c:pt idx="167">
                  <c:v>#N/A</c:v>
                </c:pt>
                <c:pt idx="168">
                  <c:v>#N/A</c:v>
                </c:pt>
                <c:pt idx="169">
                  <c:v>#N/A</c:v>
                </c:pt>
                <c:pt idx="170">
                  <c:v>#N/A</c:v>
                </c:pt>
                <c:pt idx="171">
                  <c:v>#N/A</c:v>
                </c:pt>
                <c:pt idx="172">
                  <c:v>71.55</c:v>
                </c:pt>
                <c:pt idx="173">
                  <c:v>#N/A</c:v>
                </c:pt>
                <c:pt idx="174">
                  <c:v>#N/A</c:v>
                </c:pt>
                <c:pt idx="175">
                  <c:v>#N/A</c:v>
                </c:pt>
                <c:pt idx="176">
                  <c:v>#N/A</c:v>
                </c:pt>
                <c:pt idx="177">
                  <c:v>#N/A</c:v>
                </c:pt>
                <c:pt idx="178">
                  <c:v>#N/A</c:v>
                </c:pt>
                <c:pt idx="179">
                  <c:v>71.27</c:v>
                </c:pt>
                <c:pt idx="180">
                  <c:v>#N/A</c:v>
                </c:pt>
                <c:pt idx="181">
                  <c:v>#N/A</c:v>
                </c:pt>
                <c:pt idx="182">
                  <c:v>#N/A</c:v>
                </c:pt>
                <c:pt idx="183">
                  <c:v>#N/A</c:v>
                </c:pt>
                <c:pt idx="184">
                  <c:v>#N/A</c:v>
                </c:pt>
                <c:pt idx="185">
                  <c:v>#N/A</c:v>
                </c:pt>
                <c:pt idx="186">
                  <c:v>71.55</c:v>
                </c:pt>
                <c:pt idx="187">
                  <c:v>#N/A</c:v>
                </c:pt>
                <c:pt idx="188">
                  <c:v>#N/A</c:v>
                </c:pt>
                <c:pt idx="189">
                  <c:v>#N/A</c:v>
                </c:pt>
                <c:pt idx="190">
                  <c:v>#N/A</c:v>
                </c:pt>
                <c:pt idx="191">
                  <c:v>#N/A</c:v>
                </c:pt>
                <c:pt idx="192">
                  <c:v>#N/A</c:v>
                </c:pt>
                <c:pt idx="193">
                  <c:v>70.86</c:v>
                </c:pt>
                <c:pt idx="194">
                  <c:v>#N/A</c:v>
                </c:pt>
                <c:pt idx="195">
                  <c:v>#N/A</c:v>
                </c:pt>
                <c:pt idx="196">
                  <c:v>#N/A</c:v>
                </c:pt>
                <c:pt idx="197">
                  <c:v>#N/A</c:v>
                </c:pt>
                <c:pt idx="198">
                  <c:v>#N/A</c:v>
                </c:pt>
                <c:pt idx="199">
                  <c:v>#N/A</c:v>
                </c:pt>
                <c:pt idx="200">
                  <c:v>70.989999999999995</c:v>
                </c:pt>
                <c:pt idx="201">
                  <c:v>#N/A</c:v>
                </c:pt>
                <c:pt idx="202">
                  <c:v>#N/A</c:v>
                </c:pt>
                <c:pt idx="203">
                  <c:v>#N/A</c:v>
                </c:pt>
                <c:pt idx="204">
                  <c:v>#N/A</c:v>
                </c:pt>
                <c:pt idx="205">
                  <c:v>#N/A</c:v>
                </c:pt>
                <c:pt idx="206">
                  <c:v>#N/A</c:v>
                </c:pt>
                <c:pt idx="207">
                  <c:v>67.400000000000006</c:v>
                </c:pt>
                <c:pt idx="208">
                  <c:v>#N/A</c:v>
                </c:pt>
                <c:pt idx="209">
                  <c:v>#N/A</c:v>
                </c:pt>
                <c:pt idx="210">
                  <c:v>#N/A</c:v>
                </c:pt>
                <c:pt idx="211">
                  <c:v>#N/A</c:v>
                </c:pt>
                <c:pt idx="212">
                  <c:v>#N/A</c:v>
                </c:pt>
                <c:pt idx="213">
                  <c:v>#N/A</c:v>
                </c:pt>
                <c:pt idx="214">
                  <c:v>66.989999999999995</c:v>
                </c:pt>
                <c:pt idx="215">
                  <c:v>#N/A</c:v>
                </c:pt>
                <c:pt idx="216">
                  <c:v>#N/A</c:v>
                </c:pt>
                <c:pt idx="217">
                  <c:v>#N/A</c:v>
                </c:pt>
                <c:pt idx="218">
                  <c:v>#N/A</c:v>
                </c:pt>
                <c:pt idx="219">
                  <c:v>#N/A</c:v>
                </c:pt>
                <c:pt idx="220">
                  <c:v>#N/A</c:v>
                </c:pt>
                <c:pt idx="221">
                  <c:v>66.16</c:v>
                </c:pt>
                <c:pt idx="222">
                  <c:v>#N/A</c:v>
                </c:pt>
                <c:pt idx="223">
                  <c:v>#N/A</c:v>
                </c:pt>
                <c:pt idx="224">
                  <c:v>#N/A</c:v>
                </c:pt>
                <c:pt idx="225">
                  <c:v>#N/A</c:v>
                </c:pt>
                <c:pt idx="226">
                  <c:v>#N/A</c:v>
                </c:pt>
                <c:pt idx="227">
                  <c:v>#N/A</c:v>
                </c:pt>
                <c:pt idx="228">
                  <c:v>66.16</c:v>
                </c:pt>
                <c:pt idx="229">
                  <c:v>#N/A</c:v>
                </c:pt>
                <c:pt idx="230">
                  <c:v>#N/A</c:v>
                </c:pt>
                <c:pt idx="231">
                  <c:v>#N/A</c:v>
                </c:pt>
                <c:pt idx="232">
                  <c:v>#N/A</c:v>
                </c:pt>
                <c:pt idx="233">
                  <c:v>#N/A</c:v>
                </c:pt>
                <c:pt idx="234">
                  <c:v>#N/A</c:v>
                </c:pt>
                <c:pt idx="235">
                  <c:v>66.44</c:v>
                </c:pt>
                <c:pt idx="236">
                  <c:v>#N/A</c:v>
                </c:pt>
                <c:pt idx="237">
                  <c:v>#N/A</c:v>
                </c:pt>
                <c:pt idx="238">
                  <c:v>#N/A</c:v>
                </c:pt>
                <c:pt idx="239">
                  <c:v>#N/A</c:v>
                </c:pt>
                <c:pt idx="240">
                  <c:v>#N/A</c:v>
                </c:pt>
                <c:pt idx="241">
                  <c:v>#N/A</c:v>
                </c:pt>
                <c:pt idx="242">
                  <c:v>66.709999999999994</c:v>
                </c:pt>
                <c:pt idx="243">
                  <c:v>#N/A</c:v>
                </c:pt>
                <c:pt idx="244">
                  <c:v>#N/A</c:v>
                </c:pt>
                <c:pt idx="245">
                  <c:v>#N/A</c:v>
                </c:pt>
                <c:pt idx="246">
                  <c:v>#N/A</c:v>
                </c:pt>
                <c:pt idx="247">
                  <c:v>#N/A</c:v>
                </c:pt>
                <c:pt idx="248">
                  <c:v>#N/A</c:v>
                </c:pt>
                <c:pt idx="249">
                  <c:v>67.540000000000006</c:v>
                </c:pt>
                <c:pt idx="250">
                  <c:v>#N/A</c:v>
                </c:pt>
                <c:pt idx="251">
                  <c:v>#N/A</c:v>
                </c:pt>
                <c:pt idx="252">
                  <c:v>#N/A</c:v>
                </c:pt>
                <c:pt idx="253">
                  <c:v>#N/A</c:v>
                </c:pt>
                <c:pt idx="254">
                  <c:v>#N/A</c:v>
                </c:pt>
                <c:pt idx="255">
                  <c:v>#N/A</c:v>
                </c:pt>
                <c:pt idx="256">
                  <c:v>68.23</c:v>
                </c:pt>
                <c:pt idx="257">
                  <c:v>#N/A</c:v>
                </c:pt>
                <c:pt idx="258">
                  <c:v>#N/A</c:v>
                </c:pt>
                <c:pt idx="259">
                  <c:v>#N/A</c:v>
                </c:pt>
                <c:pt idx="260">
                  <c:v>#N/A</c:v>
                </c:pt>
                <c:pt idx="261">
                  <c:v>#N/A</c:v>
                </c:pt>
                <c:pt idx="262">
                  <c:v>#N/A</c:v>
                </c:pt>
                <c:pt idx="263">
                  <c:v>67.959999999999994</c:v>
                </c:pt>
                <c:pt idx="264">
                  <c:v>#N/A</c:v>
                </c:pt>
                <c:pt idx="265">
                  <c:v>#N/A</c:v>
                </c:pt>
                <c:pt idx="266">
                  <c:v>#N/A</c:v>
                </c:pt>
                <c:pt idx="267">
                  <c:v>#N/A</c:v>
                </c:pt>
                <c:pt idx="268">
                  <c:v>#N/A</c:v>
                </c:pt>
                <c:pt idx="269">
                  <c:v>#N/A</c:v>
                </c:pt>
                <c:pt idx="270">
                  <c:v>68.09</c:v>
                </c:pt>
                <c:pt idx="271">
                  <c:v>#N/A</c:v>
                </c:pt>
                <c:pt idx="272">
                  <c:v>#N/A</c:v>
                </c:pt>
                <c:pt idx="273">
                  <c:v>#N/A</c:v>
                </c:pt>
                <c:pt idx="274">
                  <c:v>#N/A</c:v>
                </c:pt>
                <c:pt idx="275">
                  <c:v>#N/A</c:v>
                </c:pt>
                <c:pt idx="276">
                  <c:v>#N/A</c:v>
                </c:pt>
                <c:pt idx="277">
                  <c:v>68.09</c:v>
                </c:pt>
                <c:pt idx="278">
                  <c:v>#N/A</c:v>
                </c:pt>
                <c:pt idx="279">
                  <c:v>#N/A</c:v>
                </c:pt>
                <c:pt idx="280">
                  <c:v>#N/A</c:v>
                </c:pt>
                <c:pt idx="281">
                  <c:v>#N/A</c:v>
                </c:pt>
                <c:pt idx="282">
                  <c:v>#N/A</c:v>
                </c:pt>
                <c:pt idx="283">
                  <c:v>#N/A</c:v>
                </c:pt>
                <c:pt idx="284">
                  <c:v>68.650000000000006</c:v>
                </c:pt>
                <c:pt idx="285">
                  <c:v>#N/A</c:v>
                </c:pt>
                <c:pt idx="286">
                  <c:v>#N/A</c:v>
                </c:pt>
                <c:pt idx="287">
                  <c:v>#N/A</c:v>
                </c:pt>
                <c:pt idx="288">
                  <c:v>#N/A</c:v>
                </c:pt>
                <c:pt idx="289">
                  <c:v>#N/A</c:v>
                </c:pt>
                <c:pt idx="290">
                  <c:v>#N/A</c:v>
                </c:pt>
                <c:pt idx="291">
                  <c:v>68.37</c:v>
                </c:pt>
                <c:pt idx="292">
                  <c:v>#N/A</c:v>
                </c:pt>
                <c:pt idx="293">
                  <c:v>#N/A</c:v>
                </c:pt>
                <c:pt idx="294">
                  <c:v>#N/A</c:v>
                </c:pt>
                <c:pt idx="295">
                  <c:v>#N/A</c:v>
                </c:pt>
                <c:pt idx="296">
                  <c:v>#N/A</c:v>
                </c:pt>
                <c:pt idx="297">
                  <c:v>#N/A</c:v>
                </c:pt>
                <c:pt idx="298">
                  <c:v>68.23</c:v>
                </c:pt>
                <c:pt idx="299">
                  <c:v>#N/A</c:v>
                </c:pt>
                <c:pt idx="300">
                  <c:v>#N/A</c:v>
                </c:pt>
                <c:pt idx="301">
                  <c:v>#N/A</c:v>
                </c:pt>
                <c:pt idx="302">
                  <c:v>#N/A</c:v>
                </c:pt>
                <c:pt idx="303">
                  <c:v>#N/A</c:v>
                </c:pt>
                <c:pt idx="304">
                  <c:v>#N/A</c:v>
                </c:pt>
                <c:pt idx="305">
                  <c:v>67.540000000000006</c:v>
                </c:pt>
                <c:pt idx="306">
                  <c:v>#N/A</c:v>
                </c:pt>
                <c:pt idx="307">
                  <c:v>#N/A</c:v>
                </c:pt>
                <c:pt idx="308">
                  <c:v>#N/A</c:v>
                </c:pt>
                <c:pt idx="309">
                  <c:v>#N/A</c:v>
                </c:pt>
                <c:pt idx="310">
                  <c:v>#N/A</c:v>
                </c:pt>
                <c:pt idx="311">
                  <c:v>#N/A</c:v>
                </c:pt>
                <c:pt idx="312">
                  <c:v>67.680000000000007</c:v>
                </c:pt>
                <c:pt idx="313">
                  <c:v>#N/A</c:v>
                </c:pt>
                <c:pt idx="314">
                  <c:v>#N/A</c:v>
                </c:pt>
                <c:pt idx="315">
                  <c:v>#N/A</c:v>
                </c:pt>
                <c:pt idx="316">
                  <c:v>#N/A</c:v>
                </c:pt>
                <c:pt idx="317">
                  <c:v>#N/A</c:v>
                </c:pt>
                <c:pt idx="318">
                  <c:v>#N/A</c:v>
                </c:pt>
                <c:pt idx="319">
                  <c:v>67.819999999999993</c:v>
                </c:pt>
                <c:pt idx="320">
                  <c:v>#N/A</c:v>
                </c:pt>
                <c:pt idx="321">
                  <c:v>#N/A</c:v>
                </c:pt>
                <c:pt idx="322">
                  <c:v>#N/A</c:v>
                </c:pt>
                <c:pt idx="323">
                  <c:v>#N/A</c:v>
                </c:pt>
                <c:pt idx="324">
                  <c:v>#N/A</c:v>
                </c:pt>
                <c:pt idx="325">
                  <c:v>#N/A</c:v>
                </c:pt>
                <c:pt idx="326">
                  <c:v>67.540000000000006</c:v>
                </c:pt>
                <c:pt idx="327">
                  <c:v>#N/A</c:v>
                </c:pt>
                <c:pt idx="328">
                  <c:v>#N/A</c:v>
                </c:pt>
                <c:pt idx="329">
                  <c:v>#N/A</c:v>
                </c:pt>
                <c:pt idx="330">
                  <c:v>#N/A</c:v>
                </c:pt>
                <c:pt idx="331">
                  <c:v>#N/A</c:v>
                </c:pt>
                <c:pt idx="332">
                  <c:v>#N/A</c:v>
                </c:pt>
                <c:pt idx="333">
                  <c:v>66.709999999999994</c:v>
                </c:pt>
                <c:pt idx="334">
                  <c:v>#N/A</c:v>
                </c:pt>
                <c:pt idx="335">
                  <c:v>#N/A</c:v>
                </c:pt>
                <c:pt idx="336">
                  <c:v>#N/A</c:v>
                </c:pt>
                <c:pt idx="337">
                  <c:v>#N/A</c:v>
                </c:pt>
                <c:pt idx="338">
                  <c:v>#N/A</c:v>
                </c:pt>
                <c:pt idx="339">
                  <c:v>#N/A</c:v>
                </c:pt>
                <c:pt idx="340">
                  <c:v>65.88</c:v>
                </c:pt>
                <c:pt idx="341">
                  <c:v>#N/A</c:v>
                </c:pt>
                <c:pt idx="342">
                  <c:v>#N/A</c:v>
                </c:pt>
                <c:pt idx="343">
                  <c:v>#N/A</c:v>
                </c:pt>
                <c:pt idx="344">
                  <c:v>#N/A</c:v>
                </c:pt>
                <c:pt idx="345">
                  <c:v>#N/A</c:v>
                </c:pt>
                <c:pt idx="346">
                  <c:v>#N/A</c:v>
                </c:pt>
                <c:pt idx="347">
                  <c:v>65.75</c:v>
                </c:pt>
                <c:pt idx="348">
                  <c:v>#N/A</c:v>
                </c:pt>
                <c:pt idx="349">
                  <c:v>#N/A</c:v>
                </c:pt>
                <c:pt idx="350">
                  <c:v>#N/A</c:v>
                </c:pt>
                <c:pt idx="351">
                  <c:v>#N/A</c:v>
                </c:pt>
                <c:pt idx="352">
                  <c:v>#N/A</c:v>
                </c:pt>
                <c:pt idx="353">
                  <c:v>#N/A</c:v>
                </c:pt>
                <c:pt idx="354">
                  <c:v>65.06</c:v>
                </c:pt>
                <c:pt idx="355">
                  <c:v>#N/A</c:v>
                </c:pt>
                <c:pt idx="356">
                  <c:v>#N/A</c:v>
                </c:pt>
                <c:pt idx="357">
                  <c:v>#N/A</c:v>
                </c:pt>
                <c:pt idx="358">
                  <c:v>#N/A</c:v>
                </c:pt>
                <c:pt idx="359">
                  <c:v>#N/A</c:v>
                </c:pt>
                <c:pt idx="360">
                  <c:v>#N/A</c:v>
                </c:pt>
                <c:pt idx="361">
                  <c:v>64.92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579-4DB1-9565-2C2AA0C05B53}"/>
            </c:ext>
          </c:extLst>
        </c:ser>
        <c:ser>
          <c:idx val="2"/>
          <c:order val="1"/>
          <c:tx>
            <c:strRef>
              <c:f>高炉!$I$1</c:f>
              <c:strCache>
                <c:ptCount val="1"/>
                <c:pt idx="0">
                  <c:v>2019</c:v>
                </c:pt>
              </c:strCache>
            </c:strRef>
          </c:tx>
          <c:spPr>
            <a:ln w="28575">
              <a:solidFill>
                <a:srgbClr val="F8CBAD"/>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高炉!$I$2:$I$366</c:f>
              <c:numCache>
                <c:formatCode>General</c:formatCode>
                <c:ptCount val="365"/>
                <c:pt idx="0">
                  <c:v>#N/A</c:v>
                </c:pt>
                <c:pt idx="1">
                  <c:v>#N/A</c:v>
                </c:pt>
                <c:pt idx="2">
                  <c:v>#N/A</c:v>
                </c:pt>
                <c:pt idx="3">
                  <c:v>64.23</c:v>
                </c:pt>
                <c:pt idx="4">
                  <c:v>#N/A</c:v>
                </c:pt>
                <c:pt idx="5">
                  <c:v>#N/A</c:v>
                </c:pt>
                <c:pt idx="6">
                  <c:v>#N/A</c:v>
                </c:pt>
                <c:pt idx="7">
                  <c:v>#N/A</c:v>
                </c:pt>
                <c:pt idx="8">
                  <c:v>#N/A</c:v>
                </c:pt>
                <c:pt idx="9">
                  <c:v>#N/A</c:v>
                </c:pt>
                <c:pt idx="10">
                  <c:v>64.36</c:v>
                </c:pt>
                <c:pt idx="11">
                  <c:v>#N/A</c:v>
                </c:pt>
                <c:pt idx="12">
                  <c:v>#N/A</c:v>
                </c:pt>
                <c:pt idx="13">
                  <c:v>#N/A</c:v>
                </c:pt>
                <c:pt idx="14">
                  <c:v>#N/A</c:v>
                </c:pt>
                <c:pt idx="15">
                  <c:v>#N/A</c:v>
                </c:pt>
                <c:pt idx="16">
                  <c:v>#N/A</c:v>
                </c:pt>
                <c:pt idx="17">
                  <c:v>64.92</c:v>
                </c:pt>
                <c:pt idx="18">
                  <c:v>#N/A</c:v>
                </c:pt>
                <c:pt idx="19">
                  <c:v>#N/A</c:v>
                </c:pt>
                <c:pt idx="20">
                  <c:v>#N/A</c:v>
                </c:pt>
                <c:pt idx="21">
                  <c:v>#N/A</c:v>
                </c:pt>
                <c:pt idx="22">
                  <c:v>#N/A</c:v>
                </c:pt>
                <c:pt idx="23">
                  <c:v>#N/A</c:v>
                </c:pt>
                <c:pt idx="24">
                  <c:v>65.47</c:v>
                </c:pt>
                <c:pt idx="25">
                  <c:v>#N/A</c:v>
                </c:pt>
                <c:pt idx="26">
                  <c:v>#N/A</c:v>
                </c:pt>
                <c:pt idx="27">
                  <c:v>#N/A</c:v>
                </c:pt>
                <c:pt idx="28">
                  <c:v>#N/A</c:v>
                </c:pt>
                <c:pt idx="29">
                  <c:v>#N/A</c:v>
                </c:pt>
                <c:pt idx="30">
                  <c:v>#N/A</c:v>
                </c:pt>
                <c:pt idx="31">
                  <c:v>65.75</c:v>
                </c:pt>
                <c:pt idx="32">
                  <c:v>#N/A</c:v>
                </c:pt>
                <c:pt idx="33">
                  <c:v>#N/A</c:v>
                </c:pt>
                <c:pt idx="34">
                  <c:v>#N/A</c:v>
                </c:pt>
                <c:pt idx="35">
                  <c:v>#N/A</c:v>
                </c:pt>
                <c:pt idx="36">
                  <c:v>#N/A</c:v>
                </c:pt>
                <c:pt idx="37">
                  <c:v>#N/A</c:v>
                </c:pt>
                <c:pt idx="38">
                  <c:v>#N/A</c:v>
                </c:pt>
                <c:pt idx="39">
                  <c:v>#N/A</c:v>
                </c:pt>
                <c:pt idx="40">
                  <c:v>#N/A</c:v>
                </c:pt>
                <c:pt idx="41">
                  <c:v>65.75</c:v>
                </c:pt>
                <c:pt idx="42">
                  <c:v>#N/A</c:v>
                </c:pt>
                <c:pt idx="43">
                  <c:v>#N/A</c:v>
                </c:pt>
                <c:pt idx="44">
                  <c:v>#N/A</c:v>
                </c:pt>
                <c:pt idx="45">
                  <c:v>65.61</c:v>
                </c:pt>
                <c:pt idx="46">
                  <c:v>#N/A</c:v>
                </c:pt>
                <c:pt idx="47">
                  <c:v>#N/A</c:v>
                </c:pt>
                <c:pt idx="48">
                  <c:v>#N/A</c:v>
                </c:pt>
                <c:pt idx="49">
                  <c:v>#N/A</c:v>
                </c:pt>
                <c:pt idx="50">
                  <c:v>#N/A</c:v>
                </c:pt>
                <c:pt idx="51">
                  <c:v>#N/A</c:v>
                </c:pt>
                <c:pt idx="52">
                  <c:v>65.75</c:v>
                </c:pt>
                <c:pt idx="53">
                  <c:v>#N/A</c:v>
                </c:pt>
                <c:pt idx="54">
                  <c:v>#N/A</c:v>
                </c:pt>
                <c:pt idx="55">
                  <c:v>#N/A</c:v>
                </c:pt>
                <c:pt idx="56">
                  <c:v>#N/A</c:v>
                </c:pt>
                <c:pt idx="57">
                  <c:v>#N/A</c:v>
                </c:pt>
                <c:pt idx="58">
                  <c:v>#N/A</c:v>
                </c:pt>
                <c:pt idx="59">
                  <c:v>65.75</c:v>
                </c:pt>
                <c:pt idx="60">
                  <c:v>#N/A</c:v>
                </c:pt>
                <c:pt idx="61">
                  <c:v>#N/A</c:v>
                </c:pt>
                <c:pt idx="62">
                  <c:v>#N/A</c:v>
                </c:pt>
                <c:pt idx="63">
                  <c:v>#N/A</c:v>
                </c:pt>
                <c:pt idx="64">
                  <c:v>#N/A</c:v>
                </c:pt>
                <c:pt idx="65">
                  <c:v>#N/A</c:v>
                </c:pt>
                <c:pt idx="66">
                  <c:v>62.98</c:v>
                </c:pt>
                <c:pt idx="67">
                  <c:v>#N/A</c:v>
                </c:pt>
                <c:pt idx="68">
                  <c:v>#N/A</c:v>
                </c:pt>
                <c:pt idx="69">
                  <c:v>#N/A</c:v>
                </c:pt>
                <c:pt idx="70">
                  <c:v>#N/A</c:v>
                </c:pt>
                <c:pt idx="71">
                  <c:v>#N/A</c:v>
                </c:pt>
                <c:pt idx="72">
                  <c:v>#N/A</c:v>
                </c:pt>
                <c:pt idx="73">
                  <c:v>62.29</c:v>
                </c:pt>
                <c:pt idx="74">
                  <c:v>#N/A</c:v>
                </c:pt>
                <c:pt idx="75">
                  <c:v>#N/A</c:v>
                </c:pt>
                <c:pt idx="76">
                  <c:v>#N/A</c:v>
                </c:pt>
                <c:pt idx="77">
                  <c:v>#N/A</c:v>
                </c:pt>
                <c:pt idx="78">
                  <c:v>#N/A</c:v>
                </c:pt>
                <c:pt idx="79">
                  <c:v>#N/A</c:v>
                </c:pt>
                <c:pt idx="80">
                  <c:v>63.4</c:v>
                </c:pt>
                <c:pt idx="81">
                  <c:v>#N/A</c:v>
                </c:pt>
                <c:pt idx="82">
                  <c:v>#N/A</c:v>
                </c:pt>
                <c:pt idx="83">
                  <c:v>#N/A</c:v>
                </c:pt>
                <c:pt idx="84">
                  <c:v>#N/A</c:v>
                </c:pt>
                <c:pt idx="85">
                  <c:v>#N/A</c:v>
                </c:pt>
                <c:pt idx="86">
                  <c:v>#N/A</c:v>
                </c:pt>
                <c:pt idx="87">
                  <c:v>64.64</c:v>
                </c:pt>
                <c:pt idx="88">
                  <c:v>#N/A</c:v>
                </c:pt>
                <c:pt idx="89">
                  <c:v>#N/A</c:v>
                </c:pt>
                <c:pt idx="90">
                  <c:v>#N/A</c:v>
                </c:pt>
                <c:pt idx="91">
                  <c:v>#N/A</c:v>
                </c:pt>
                <c:pt idx="92">
                  <c:v>#N/A</c:v>
                </c:pt>
                <c:pt idx="93">
                  <c:v>67.680000000000007</c:v>
                </c:pt>
                <c:pt idx="94">
                  <c:v>#N/A</c:v>
                </c:pt>
                <c:pt idx="95">
                  <c:v>#N/A</c:v>
                </c:pt>
                <c:pt idx="96">
                  <c:v>#N/A</c:v>
                </c:pt>
                <c:pt idx="97">
                  <c:v>#N/A</c:v>
                </c:pt>
                <c:pt idx="98">
                  <c:v>#N/A</c:v>
                </c:pt>
                <c:pt idx="99">
                  <c:v>#N/A</c:v>
                </c:pt>
                <c:pt idx="100">
                  <c:v>#N/A</c:v>
                </c:pt>
                <c:pt idx="101">
                  <c:v>69.48</c:v>
                </c:pt>
                <c:pt idx="102">
                  <c:v>#N/A</c:v>
                </c:pt>
                <c:pt idx="103">
                  <c:v>#N/A</c:v>
                </c:pt>
                <c:pt idx="104">
                  <c:v>#N/A</c:v>
                </c:pt>
                <c:pt idx="105">
                  <c:v>#N/A</c:v>
                </c:pt>
                <c:pt idx="106">
                  <c:v>#N/A</c:v>
                </c:pt>
                <c:pt idx="107">
                  <c:v>#N/A</c:v>
                </c:pt>
                <c:pt idx="108">
                  <c:v>70.03</c:v>
                </c:pt>
                <c:pt idx="109">
                  <c:v>#N/A</c:v>
                </c:pt>
                <c:pt idx="110">
                  <c:v>#N/A</c:v>
                </c:pt>
                <c:pt idx="111">
                  <c:v>#N/A</c:v>
                </c:pt>
                <c:pt idx="112">
                  <c:v>#N/A</c:v>
                </c:pt>
                <c:pt idx="113">
                  <c:v>#N/A</c:v>
                </c:pt>
                <c:pt idx="114">
                  <c:v>#N/A</c:v>
                </c:pt>
                <c:pt idx="115">
                  <c:v>70.58</c:v>
                </c:pt>
                <c:pt idx="116">
                  <c:v>#N/A</c:v>
                </c:pt>
                <c:pt idx="117">
                  <c:v>#N/A</c:v>
                </c:pt>
                <c:pt idx="118">
                  <c:v>#N/A</c:v>
                </c:pt>
                <c:pt idx="119">
                  <c:v>#N/A</c:v>
                </c:pt>
                <c:pt idx="120">
                  <c:v>#N/A</c:v>
                </c:pt>
                <c:pt idx="121">
                  <c:v>#N/A</c:v>
                </c:pt>
                <c:pt idx="122">
                  <c:v>#N/A</c:v>
                </c:pt>
                <c:pt idx="123">
                  <c:v>#N/A</c:v>
                </c:pt>
                <c:pt idx="124">
                  <c:v>70.58</c:v>
                </c:pt>
                <c:pt idx="125">
                  <c:v>#N/A</c:v>
                </c:pt>
                <c:pt idx="126">
                  <c:v>#N/A</c:v>
                </c:pt>
                <c:pt idx="127">
                  <c:v>#N/A</c:v>
                </c:pt>
                <c:pt idx="128">
                  <c:v>#N/A</c:v>
                </c:pt>
                <c:pt idx="129">
                  <c:v>68.78</c:v>
                </c:pt>
                <c:pt idx="130">
                  <c:v>#N/A</c:v>
                </c:pt>
                <c:pt idx="131">
                  <c:v>#N/A</c:v>
                </c:pt>
                <c:pt idx="132">
                  <c:v>#N/A</c:v>
                </c:pt>
                <c:pt idx="133">
                  <c:v>#N/A</c:v>
                </c:pt>
                <c:pt idx="134">
                  <c:v>#N/A</c:v>
                </c:pt>
                <c:pt idx="135">
                  <c:v>#N/A</c:v>
                </c:pt>
                <c:pt idx="136">
                  <c:v>69.06</c:v>
                </c:pt>
                <c:pt idx="137">
                  <c:v>#N/A</c:v>
                </c:pt>
                <c:pt idx="138">
                  <c:v>#N/A</c:v>
                </c:pt>
                <c:pt idx="139">
                  <c:v>#N/A</c:v>
                </c:pt>
                <c:pt idx="140">
                  <c:v>#N/A</c:v>
                </c:pt>
                <c:pt idx="141">
                  <c:v>#N/A</c:v>
                </c:pt>
                <c:pt idx="142">
                  <c:v>#N/A</c:v>
                </c:pt>
                <c:pt idx="143">
                  <c:v>71.13</c:v>
                </c:pt>
                <c:pt idx="144">
                  <c:v>#N/A</c:v>
                </c:pt>
                <c:pt idx="145">
                  <c:v>#N/A</c:v>
                </c:pt>
                <c:pt idx="146">
                  <c:v>#N/A</c:v>
                </c:pt>
                <c:pt idx="147">
                  <c:v>#N/A</c:v>
                </c:pt>
                <c:pt idx="148">
                  <c:v>#N/A</c:v>
                </c:pt>
                <c:pt idx="149">
                  <c:v>#N/A</c:v>
                </c:pt>
                <c:pt idx="150">
                  <c:v>71.69</c:v>
                </c:pt>
                <c:pt idx="151">
                  <c:v>#N/A</c:v>
                </c:pt>
                <c:pt idx="152">
                  <c:v>#N/A</c:v>
                </c:pt>
                <c:pt idx="153">
                  <c:v>#N/A</c:v>
                </c:pt>
                <c:pt idx="154">
                  <c:v>#N/A</c:v>
                </c:pt>
                <c:pt idx="155">
                  <c:v>#N/A</c:v>
                </c:pt>
                <c:pt idx="156">
                  <c:v>71.41</c:v>
                </c:pt>
                <c:pt idx="157">
                  <c:v>#N/A</c:v>
                </c:pt>
                <c:pt idx="158">
                  <c:v>#N/A</c:v>
                </c:pt>
                <c:pt idx="159">
                  <c:v>#N/A</c:v>
                </c:pt>
                <c:pt idx="160">
                  <c:v>#N/A</c:v>
                </c:pt>
                <c:pt idx="161">
                  <c:v>#N/A</c:v>
                </c:pt>
                <c:pt idx="162">
                  <c:v>#N/A</c:v>
                </c:pt>
                <c:pt idx="163">
                  <c:v>#N/A</c:v>
                </c:pt>
                <c:pt idx="164">
                  <c:v>71.13</c:v>
                </c:pt>
                <c:pt idx="165">
                  <c:v>#N/A</c:v>
                </c:pt>
                <c:pt idx="166">
                  <c:v>#N/A</c:v>
                </c:pt>
                <c:pt idx="167">
                  <c:v>#N/A</c:v>
                </c:pt>
                <c:pt idx="168">
                  <c:v>#N/A</c:v>
                </c:pt>
                <c:pt idx="169">
                  <c:v>#N/A</c:v>
                </c:pt>
                <c:pt idx="170">
                  <c:v>#N/A</c:v>
                </c:pt>
                <c:pt idx="171">
                  <c:v>71.13</c:v>
                </c:pt>
                <c:pt idx="172">
                  <c:v>#N/A</c:v>
                </c:pt>
                <c:pt idx="173">
                  <c:v>#N/A</c:v>
                </c:pt>
                <c:pt idx="174">
                  <c:v>#N/A</c:v>
                </c:pt>
                <c:pt idx="175">
                  <c:v>#N/A</c:v>
                </c:pt>
                <c:pt idx="176">
                  <c:v>#N/A</c:v>
                </c:pt>
                <c:pt idx="177">
                  <c:v>#N/A</c:v>
                </c:pt>
                <c:pt idx="178">
                  <c:v>67.959999999999994</c:v>
                </c:pt>
                <c:pt idx="179">
                  <c:v>#N/A</c:v>
                </c:pt>
                <c:pt idx="180">
                  <c:v>#N/A</c:v>
                </c:pt>
                <c:pt idx="181">
                  <c:v>#N/A</c:v>
                </c:pt>
                <c:pt idx="182">
                  <c:v>#N/A</c:v>
                </c:pt>
                <c:pt idx="183">
                  <c:v>#N/A</c:v>
                </c:pt>
                <c:pt idx="184">
                  <c:v>#N/A</c:v>
                </c:pt>
                <c:pt idx="185">
                  <c:v>66.3</c:v>
                </c:pt>
                <c:pt idx="186">
                  <c:v>#N/A</c:v>
                </c:pt>
                <c:pt idx="187">
                  <c:v>#N/A</c:v>
                </c:pt>
                <c:pt idx="188">
                  <c:v>#N/A</c:v>
                </c:pt>
                <c:pt idx="189">
                  <c:v>#N/A</c:v>
                </c:pt>
                <c:pt idx="190">
                  <c:v>#N/A</c:v>
                </c:pt>
                <c:pt idx="191">
                  <c:v>#N/A</c:v>
                </c:pt>
                <c:pt idx="192">
                  <c:v>66.02</c:v>
                </c:pt>
                <c:pt idx="193">
                  <c:v>#N/A</c:v>
                </c:pt>
                <c:pt idx="194">
                  <c:v>#N/A</c:v>
                </c:pt>
                <c:pt idx="195">
                  <c:v>#N/A</c:v>
                </c:pt>
                <c:pt idx="196">
                  <c:v>#N/A</c:v>
                </c:pt>
                <c:pt idx="197">
                  <c:v>#N/A</c:v>
                </c:pt>
                <c:pt idx="198">
                  <c:v>#N/A</c:v>
                </c:pt>
                <c:pt idx="199">
                  <c:v>66.709999999999994</c:v>
                </c:pt>
                <c:pt idx="200">
                  <c:v>#N/A</c:v>
                </c:pt>
                <c:pt idx="201">
                  <c:v>#N/A</c:v>
                </c:pt>
                <c:pt idx="202">
                  <c:v>#N/A</c:v>
                </c:pt>
                <c:pt idx="203">
                  <c:v>#N/A</c:v>
                </c:pt>
                <c:pt idx="204">
                  <c:v>#N/A</c:v>
                </c:pt>
                <c:pt idx="205">
                  <c:v>#N/A</c:v>
                </c:pt>
                <c:pt idx="206">
                  <c:v>66.709999999999994</c:v>
                </c:pt>
                <c:pt idx="207">
                  <c:v>#N/A</c:v>
                </c:pt>
                <c:pt idx="208">
                  <c:v>#N/A</c:v>
                </c:pt>
                <c:pt idx="209">
                  <c:v>#N/A</c:v>
                </c:pt>
                <c:pt idx="210">
                  <c:v>#N/A</c:v>
                </c:pt>
                <c:pt idx="211">
                  <c:v>#N/A</c:v>
                </c:pt>
                <c:pt idx="212">
                  <c:v>#N/A</c:v>
                </c:pt>
                <c:pt idx="213">
                  <c:v>67.27</c:v>
                </c:pt>
                <c:pt idx="214">
                  <c:v>#N/A</c:v>
                </c:pt>
                <c:pt idx="215">
                  <c:v>#N/A</c:v>
                </c:pt>
                <c:pt idx="216">
                  <c:v>#N/A</c:v>
                </c:pt>
                <c:pt idx="217">
                  <c:v>#N/A</c:v>
                </c:pt>
                <c:pt idx="218">
                  <c:v>#N/A</c:v>
                </c:pt>
                <c:pt idx="219">
                  <c:v>#N/A</c:v>
                </c:pt>
                <c:pt idx="220">
                  <c:v>69.48</c:v>
                </c:pt>
                <c:pt idx="221">
                  <c:v>#N/A</c:v>
                </c:pt>
                <c:pt idx="222">
                  <c:v>#N/A</c:v>
                </c:pt>
                <c:pt idx="223">
                  <c:v>#N/A</c:v>
                </c:pt>
                <c:pt idx="224">
                  <c:v>#N/A</c:v>
                </c:pt>
                <c:pt idx="225">
                  <c:v>#N/A</c:v>
                </c:pt>
                <c:pt idx="226">
                  <c:v>#N/A</c:v>
                </c:pt>
                <c:pt idx="227">
                  <c:v>68.09</c:v>
                </c:pt>
                <c:pt idx="228">
                  <c:v>#N/A</c:v>
                </c:pt>
                <c:pt idx="229">
                  <c:v>#N/A</c:v>
                </c:pt>
                <c:pt idx="230">
                  <c:v>#N/A</c:v>
                </c:pt>
                <c:pt idx="231">
                  <c:v>#N/A</c:v>
                </c:pt>
                <c:pt idx="232">
                  <c:v>#N/A</c:v>
                </c:pt>
                <c:pt idx="233">
                  <c:v>#N/A</c:v>
                </c:pt>
                <c:pt idx="234">
                  <c:v>68.23</c:v>
                </c:pt>
                <c:pt idx="235">
                  <c:v>#N/A</c:v>
                </c:pt>
                <c:pt idx="236">
                  <c:v>#N/A</c:v>
                </c:pt>
                <c:pt idx="237">
                  <c:v>#N/A</c:v>
                </c:pt>
                <c:pt idx="238">
                  <c:v>#N/A</c:v>
                </c:pt>
                <c:pt idx="239">
                  <c:v>#N/A</c:v>
                </c:pt>
                <c:pt idx="240">
                  <c:v>#N/A</c:v>
                </c:pt>
                <c:pt idx="241">
                  <c:v>67.959999999999994</c:v>
                </c:pt>
                <c:pt idx="242">
                  <c:v>#N/A</c:v>
                </c:pt>
                <c:pt idx="243">
                  <c:v>#N/A</c:v>
                </c:pt>
                <c:pt idx="244">
                  <c:v>#N/A</c:v>
                </c:pt>
                <c:pt idx="245">
                  <c:v>#N/A</c:v>
                </c:pt>
                <c:pt idx="246">
                  <c:v>#N/A</c:v>
                </c:pt>
                <c:pt idx="247">
                  <c:v>#N/A</c:v>
                </c:pt>
                <c:pt idx="248">
                  <c:v>68.23</c:v>
                </c:pt>
                <c:pt idx="249">
                  <c:v>#N/A</c:v>
                </c:pt>
                <c:pt idx="250">
                  <c:v>#N/A</c:v>
                </c:pt>
                <c:pt idx="251">
                  <c:v>#N/A</c:v>
                </c:pt>
                <c:pt idx="252">
                  <c:v>#N/A</c:v>
                </c:pt>
                <c:pt idx="253">
                  <c:v>#N/A</c:v>
                </c:pt>
                <c:pt idx="254">
                  <c:v>68.09</c:v>
                </c:pt>
                <c:pt idx="255">
                  <c:v>#N/A</c:v>
                </c:pt>
                <c:pt idx="256">
                  <c:v>#N/A</c:v>
                </c:pt>
                <c:pt idx="257">
                  <c:v>#N/A</c:v>
                </c:pt>
                <c:pt idx="258">
                  <c:v>#N/A</c:v>
                </c:pt>
                <c:pt idx="259">
                  <c:v>#N/A</c:v>
                </c:pt>
                <c:pt idx="260">
                  <c:v>#N/A</c:v>
                </c:pt>
                <c:pt idx="261">
                  <c:v>#N/A</c:v>
                </c:pt>
                <c:pt idx="262">
                  <c:v>68.09</c:v>
                </c:pt>
                <c:pt idx="263">
                  <c:v>#N/A</c:v>
                </c:pt>
                <c:pt idx="264">
                  <c:v>#N/A</c:v>
                </c:pt>
                <c:pt idx="265">
                  <c:v>#N/A</c:v>
                </c:pt>
                <c:pt idx="266">
                  <c:v>#N/A</c:v>
                </c:pt>
                <c:pt idx="267">
                  <c:v>#N/A</c:v>
                </c:pt>
                <c:pt idx="268">
                  <c:v>#N/A</c:v>
                </c:pt>
                <c:pt idx="269">
                  <c:v>57.6</c:v>
                </c:pt>
                <c:pt idx="270">
                  <c:v>#N/A</c:v>
                </c:pt>
                <c:pt idx="271">
                  <c:v>#N/A</c:v>
                </c:pt>
                <c:pt idx="272">
                  <c:v>#N/A</c:v>
                </c:pt>
                <c:pt idx="273">
                  <c:v>#N/A</c:v>
                </c:pt>
                <c:pt idx="274">
                  <c:v>#N/A</c:v>
                </c:pt>
                <c:pt idx="275">
                  <c:v>#N/A</c:v>
                </c:pt>
                <c:pt idx="276">
                  <c:v>56.22</c:v>
                </c:pt>
                <c:pt idx="277">
                  <c:v>#N/A</c:v>
                </c:pt>
                <c:pt idx="278">
                  <c:v>#N/A</c:v>
                </c:pt>
                <c:pt idx="279">
                  <c:v>#N/A</c:v>
                </c:pt>
                <c:pt idx="280">
                  <c:v>#N/A</c:v>
                </c:pt>
                <c:pt idx="281">
                  <c:v>#N/A</c:v>
                </c:pt>
                <c:pt idx="282">
                  <c:v>#N/A</c:v>
                </c:pt>
                <c:pt idx="283">
                  <c:v>64.36</c:v>
                </c:pt>
                <c:pt idx="284">
                  <c:v>#N/A</c:v>
                </c:pt>
                <c:pt idx="285">
                  <c:v>#N/A</c:v>
                </c:pt>
                <c:pt idx="286">
                  <c:v>#N/A</c:v>
                </c:pt>
                <c:pt idx="287">
                  <c:v>#N/A</c:v>
                </c:pt>
                <c:pt idx="288">
                  <c:v>#N/A</c:v>
                </c:pt>
                <c:pt idx="289">
                  <c:v>#N/A</c:v>
                </c:pt>
                <c:pt idx="290">
                  <c:v>63.54</c:v>
                </c:pt>
                <c:pt idx="291">
                  <c:v>#N/A</c:v>
                </c:pt>
                <c:pt idx="292">
                  <c:v>#N/A</c:v>
                </c:pt>
                <c:pt idx="293">
                  <c:v>#N/A</c:v>
                </c:pt>
                <c:pt idx="294">
                  <c:v>#N/A</c:v>
                </c:pt>
                <c:pt idx="295">
                  <c:v>#N/A</c:v>
                </c:pt>
                <c:pt idx="296">
                  <c:v>#N/A</c:v>
                </c:pt>
                <c:pt idx="297">
                  <c:v>63.54</c:v>
                </c:pt>
                <c:pt idx="298">
                  <c:v>#N/A</c:v>
                </c:pt>
                <c:pt idx="299">
                  <c:v>#N/A</c:v>
                </c:pt>
                <c:pt idx="300">
                  <c:v>#N/A</c:v>
                </c:pt>
                <c:pt idx="301">
                  <c:v>#N/A</c:v>
                </c:pt>
                <c:pt idx="302">
                  <c:v>#N/A</c:v>
                </c:pt>
                <c:pt idx="303">
                  <c:v>#N/A</c:v>
                </c:pt>
                <c:pt idx="304">
                  <c:v>64.92</c:v>
                </c:pt>
                <c:pt idx="305">
                  <c:v>#N/A</c:v>
                </c:pt>
                <c:pt idx="306">
                  <c:v>#N/A</c:v>
                </c:pt>
                <c:pt idx="307">
                  <c:v>#N/A</c:v>
                </c:pt>
                <c:pt idx="308">
                  <c:v>#N/A</c:v>
                </c:pt>
                <c:pt idx="309">
                  <c:v>#N/A</c:v>
                </c:pt>
                <c:pt idx="310">
                  <c:v>#N/A</c:v>
                </c:pt>
                <c:pt idx="311">
                  <c:v>64.23</c:v>
                </c:pt>
                <c:pt idx="312">
                  <c:v>#N/A</c:v>
                </c:pt>
                <c:pt idx="313">
                  <c:v>#N/A</c:v>
                </c:pt>
                <c:pt idx="314">
                  <c:v>#N/A</c:v>
                </c:pt>
                <c:pt idx="315">
                  <c:v>#N/A</c:v>
                </c:pt>
                <c:pt idx="316">
                  <c:v>#N/A</c:v>
                </c:pt>
                <c:pt idx="317">
                  <c:v>#N/A</c:v>
                </c:pt>
                <c:pt idx="318">
                  <c:v>66.02</c:v>
                </c:pt>
                <c:pt idx="319">
                  <c:v>#N/A</c:v>
                </c:pt>
                <c:pt idx="320">
                  <c:v>#N/A</c:v>
                </c:pt>
                <c:pt idx="321">
                  <c:v>#N/A</c:v>
                </c:pt>
                <c:pt idx="322">
                  <c:v>#N/A</c:v>
                </c:pt>
                <c:pt idx="323">
                  <c:v>#N/A</c:v>
                </c:pt>
                <c:pt idx="324">
                  <c:v>#N/A</c:v>
                </c:pt>
                <c:pt idx="325">
                  <c:v>65.33</c:v>
                </c:pt>
                <c:pt idx="326">
                  <c:v>#N/A</c:v>
                </c:pt>
                <c:pt idx="327">
                  <c:v>#N/A</c:v>
                </c:pt>
                <c:pt idx="328">
                  <c:v>#N/A</c:v>
                </c:pt>
                <c:pt idx="329">
                  <c:v>#N/A</c:v>
                </c:pt>
                <c:pt idx="330">
                  <c:v>#N/A</c:v>
                </c:pt>
                <c:pt idx="331">
                  <c:v>#N/A</c:v>
                </c:pt>
                <c:pt idx="332">
                  <c:v>65.88</c:v>
                </c:pt>
                <c:pt idx="333">
                  <c:v>#N/A</c:v>
                </c:pt>
                <c:pt idx="334">
                  <c:v>#N/A</c:v>
                </c:pt>
                <c:pt idx="335">
                  <c:v>#N/A</c:v>
                </c:pt>
                <c:pt idx="336">
                  <c:v>#N/A</c:v>
                </c:pt>
                <c:pt idx="337">
                  <c:v>#N/A</c:v>
                </c:pt>
                <c:pt idx="338">
                  <c:v>#N/A</c:v>
                </c:pt>
                <c:pt idx="339">
                  <c:v>66.849999999999994</c:v>
                </c:pt>
                <c:pt idx="340">
                  <c:v>#N/A</c:v>
                </c:pt>
                <c:pt idx="341">
                  <c:v>#N/A</c:v>
                </c:pt>
                <c:pt idx="342">
                  <c:v>#N/A</c:v>
                </c:pt>
                <c:pt idx="343">
                  <c:v>#N/A</c:v>
                </c:pt>
                <c:pt idx="344">
                  <c:v>#N/A</c:v>
                </c:pt>
                <c:pt idx="345">
                  <c:v>#N/A</c:v>
                </c:pt>
                <c:pt idx="346">
                  <c:v>65.88</c:v>
                </c:pt>
                <c:pt idx="347">
                  <c:v>#N/A</c:v>
                </c:pt>
                <c:pt idx="348">
                  <c:v>#N/A</c:v>
                </c:pt>
                <c:pt idx="349">
                  <c:v>#N/A</c:v>
                </c:pt>
                <c:pt idx="350">
                  <c:v>#N/A</c:v>
                </c:pt>
                <c:pt idx="351">
                  <c:v>#N/A</c:v>
                </c:pt>
                <c:pt idx="352">
                  <c:v>#N/A</c:v>
                </c:pt>
                <c:pt idx="353">
                  <c:v>65.75</c:v>
                </c:pt>
                <c:pt idx="354">
                  <c:v>#N/A</c:v>
                </c:pt>
                <c:pt idx="355">
                  <c:v>#N/A</c:v>
                </c:pt>
                <c:pt idx="356">
                  <c:v>#N/A</c:v>
                </c:pt>
                <c:pt idx="357">
                  <c:v>#N/A</c:v>
                </c:pt>
                <c:pt idx="358">
                  <c:v>#N/A</c:v>
                </c:pt>
                <c:pt idx="359">
                  <c:v>#N/A</c:v>
                </c:pt>
                <c:pt idx="360">
                  <c:v>65.33</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579-4DB1-9565-2C2AA0C05B53}"/>
            </c:ext>
          </c:extLst>
        </c:ser>
        <c:ser>
          <c:idx val="1"/>
          <c:order val="2"/>
          <c:tx>
            <c:strRef>
              <c:f>高炉!$J$1</c:f>
              <c:strCache>
                <c:ptCount val="1"/>
                <c:pt idx="0">
                  <c:v>2020</c:v>
                </c:pt>
              </c:strCache>
            </c:strRef>
          </c:tx>
          <c:spPr>
            <a:ln w="28575">
              <a:solidFill>
                <a:srgbClr val="BF5711"/>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高炉!$J$2:$J$366</c:f>
              <c:numCache>
                <c:formatCode>General</c:formatCode>
                <c:ptCount val="365"/>
                <c:pt idx="0">
                  <c:v>#N/A</c:v>
                </c:pt>
                <c:pt idx="1">
                  <c:v>#N/A</c:v>
                </c:pt>
                <c:pt idx="2">
                  <c:v>66.709999999999994</c:v>
                </c:pt>
                <c:pt idx="3">
                  <c:v>#N/A</c:v>
                </c:pt>
                <c:pt idx="4">
                  <c:v>#N/A</c:v>
                </c:pt>
                <c:pt idx="5">
                  <c:v>#N/A</c:v>
                </c:pt>
                <c:pt idx="6">
                  <c:v>#N/A</c:v>
                </c:pt>
                <c:pt idx="7">
                  <c:v>#N/A</c:v>
                </c:pt>
                <c:pt idx="8">
                  <c:v>#N/A</c:v>
                </c:pt>
                <c:pt idx="9">
                  <c:v>66.569999999999993</c:v>
                </c:pt>
                <c:pt idx="10">
                  <c:v>#N/A</c:v>
                </c:pt>
                <c:pt idx="11">
                  <c:v>#N/A</c:v>
                </c:pt>
                <c:pt idx="12">
                  <c:v>#N/A</c:v>
                </c:pt>
                <c:pt idx="13">
                  <c:v>#N/A</c:v>
                </c:pt>
                <c:pt idx="14">
                  <c:v>#N/A</c:v>
                </c:pt>
                <c:pt idx="15">
                  <c:v>#N/A</c:v>
                </c:pt>
                <c:pt idx="16">
                  <c:v>66.709999999999994</c:v>
                </c:pt>
                <c:pt idx="17">
                  <c:v>#N/A</c:v>
                </c:pt>
                <c:pt idx="18">
                  <c:v>#N/A</c:v>
                </c:pt>
                <c:pt idx="19">
                  <c:v>#N/A</c:v>
                </c:pt>
                <c:pt idx="20">
                  <c:v>#N/A</c:v>
                </c:pt>
                <c:pt idx="21">
                  <c:v>#N/A</c:v>
                </c:pt>
                <c:pt idx="22">
                  <c:v>66.849999999999994</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64.09</c:v>
                </c:pt>
                <c:pt idx="38">
                  <c:v>#N/A</c:v>
                </c:pt>
                <c:pt idx="39">
                  <c:v>#N/A</c:v>
                </c:pt>
                <c:pt idx="40">
                  <c:v>#N/A</c:v>
                </c:pt>
                <c:pt idx="41">
                  <c:v>#N/A</c:v>
                </c:pt>
                <c:pt idx="42">
                  <c:v>#N/A</c:v>
                </c:pt>
                <c:pt idx="43">
                  <c:v>#N/A</c:v>
                </c:pt>
                <c:pt idx="44">
                  <c:v>62.71</c:v>
                </c:pt>
                <c:pt idx="45">
                  <c:v>#N/A</c:v>
                </c:pt>
                <c:pt idx="46">
                  <c:v>#N/A</c:v>
                </c:pt>
                <c:pt idx="47">
                  <c:v>#N/A</c:v>
                </c:pt>
                <c:pt idx="48">
                  <c:v>#N/A</c:v>
                </c:pt>
                <c:pt idx="49">
                  <c:v>#N/A</c:v>
                </c:pt>
                <c:pt idx="50">
                  <c:v>#N/A</c:v>
                </c:pt>
                <c:pt idx="51">
                  <c:v>61.88</c:v>
                </c:pt>
                <c:pt idx="52">
                  <c:v>#N/A</c:v>
                </c:pt>
                <c:pt idx="53">
                  <c:v>#N/A</c:v>
                </c:pt>
                <c:pt idx="54">
                  <c:v>#N/A</c:v>
                </c:pt>
                <c:pt idx="55">
                  <c:v>#N/A</c:v>
                </c:pt>
                <c:pt idx="56">
                  <c:v>#N/A</c:v>
                </c:pt>
                <c:pt idx="57">
                  <c:v>#N/A</c:v>
                </c:pt>
                <c:pt idx="58">
                  <c:v>62.85</c:v>
                </c:pt>
                <c:pt idx="59">
                  <c:v>#N/A</c:v>
                </c:pt>
                <c:pt idx="60">
                  <c:v>#N/A</c:v>
                </c:pt>
                <c:pt idx="61">
                  <c:v>#N/A</c:v>
                </c:pt>
                <c:pt idx="62">
                  <c:v>#N/A</c:v>
                </c:pt>
                <c:pt idx="63">
                  <c:v>#N/A</c:v>
                </c:pt>
                <c:pt idx="64">
                  <c:v>#N/A</c:v>
                </c:pt>
                <c:pt idx="65">
                  <c:v>63.54</c:v>
                </c:pt>
                <c:pt idx="66">
                  <c:v>#N/A</c:v>
                </c:pt>
                <c:pt idx="67">
                  <c:v>#N/A</c:v>
                </c:pt>
                <c:pt idx="68">
                  <c:v>#N/A</c:v>
                </c:pt>
                <c:pt idx="69">
                  <c:v>#N/A</c:v>
                </c:pt>
                <c:pt idx="70">
                  <c:v>#N/A</c:v>
                </c:pt>
                <c:pt idx="71">
                  <c:v>#N/A</c:v>
                </c:pt>
                <c:pt idx="72">
                  <c:v>64.5</c:v>
                </c:pt>
                <c:pt idx="73">
                  <c:v>#N/A</c:v>
                </c:pt>
                <c:pt idx="74">
                  <c:v>#N/A</c:v>
                </c:pt>
                <c:pt idx="75">
                  <c:v>#N/A</c:v>
                </c:pt>
                <c:pt idx="76">
                  <c:v>#N/A</c:v>
                </c:pt>
                <c:pt idx="77">
                  <c:v>#N/A</c:v>
                </c:pt>
                <c:pt idx="78">
                  <c:v>#N/A</c:v>
                </c:pt>
                <c:pt idx="79">
                  <c:v>65.06</c:v>
                </c:pt>
                <c:pt idx="80">
                  <c:v>#N/A</c:v>
                </c:pt>
                <c:pt idx="81">
                  <c:v>#N/A</c:v>
                </c:pt>
                <c:pt idx="82">
                  <c:v>#N/A</c:v>
                </c:pt>
                <c:pt idx="83">
                  <c:v>#N/A</c:v>
                </c:pt>
                <c:pt idx="84">
                  <c:v>#N/A</c:v>
                </c:pt>
                <c:pt idx="85">
                  <c:v>#N/A</c:v>
                </c:pt>
                <c:pt idx="86">
                  <c:v>65.88</c:v>
                </c:pt>
                <c:pt idx="87">
                  <c:v>#N/A</c:v>
                </c:pt>
                <c:pt idx="88">
                  <c:v>#N/A</c:v>
                </c:pt>
                <c:pt idx="89">
                  <c:v>#N/A</c:v>
                </c:pt>
                <c:pt idx="90">
                  <c:v>#N/A</c:v>
                </c:pt>
                <c:pt idx="91">
                  <c:v>#N/A</c:v>
                </c:pt>
                <c:pt idx="92">
                  <c:v>#N/A</c:v>
                </c:pt>
                <c:pt idx="93">
                  <c:v>66.989999999999995</c:v>
                </c:pt>
                <c:pt idx="94">
                  <c:v>#N/A</c:v>
                </c:pt>
                <c:pt idx="95">
                  <c:v>#N/A</c:v>
                </c:pt>
                <c:pt idx="96">
                  <c:v>#N/A</c:v>
                </c:pt>
                <c:pt idx="97">
                  <c:v>#N/A</c:v>
                </c:pt>
                <c:pt idx="98">
                  <c:v>#N/A</c:v>
                </c:pt>
                <c:pt idx="99">
                  <c:v>#N/A</c:v>
                </c:pt>
                <c:pt idx="100">
                  <c:v>68.09</c:v>
                </c:pt>
                <c:pt idx="101">
                  <c:v>#N/A</c:v>
                </c:pt>
                <c:pt idx="102">
                  <c:v>#N/A</c:v>
                </c:pt>
                <c:pt idx="103">
                  <c:v>#N/A</c:v>
                </c:pt>
                <c:pt idx="104">
                  <c:v>#N/A</c:v>
                </c:pt>
                <c:pt idx="105">
                  <c:v>#N/A</c:v>
                </c:pt>
                <c:pt idx="106">
                  <c:v>#N/A</c:v>
                </c:pt>
                <c:pt idx="107">
                  <c:v>68.650000000000006</c:v>
                </c:pt>
                <c:pt idx="108">
                  <c:v>#N/A</c:v>
                </c:pt>
                <c:pt idx="109">
                  <c:v>#N/A</c:v>
                </c:pt>
                <c:pt idx="110">
                  <c:v>#N/A</c:v>
                </c:pt>
                <c:pt idx="111">
                  <c:v>#N/A</c:v>
                </c:pt>
                <c:pt idx="112">
                  <c:v>#N/A</c:v>
                </c:pt>
                <c:pt idx="113">
                  <c:v>#N/A</c:v>
                </c:pt>
                <c:pt idx="114">
                  <c:v>68.650000000000006</c:v>
                </c:pt>
                <c:pt idx="115">
                  <c:v>#N/A</c:v>
                </c:pt>
                <c:pt idx="116">
                  <c:v>#N/A</c:v>
                </c:pt>
                <c:pt idx="117">
                  <c:v>#N/A</c:v>
                </c:pt>
                <c:pt idx="118">
                  <c:v>#N/A</c:v>
                </c:pt>
                <c:pt idx="119">
                  <c:v>#N/A</c:v>
                </c:pt>
                <c:pt idx="120">
                  <c:v>69.06</c:v>
                </c:pt>
                <c:pt idx="121">
                  <c:v>#N/A</c:v>
                </c:pt>
                <c:pt idx="122">
                  <c:v>#N/A</c:v>
                </c:pt>
                <c:pt idx="123">
                  <c:v>#N/A</c:v>
                </c:pt>
                <c:pt idx="124">
                  <c:v>#N/A</c:v>
                </c:pt>
                <c:pt idx="125">
                  <c:v>#N/A</c:v>
                </c:pt>
                <c:pt idx="126">
                  <c:v>#N/A</c:v>
                </c:pt>
                <c:pt idx="127">
                  <c:v>#N/A</c:v>
                </c:pt>
                <c:pt idx="128">
                  <c:v>69.06</c:v>
                </c:pt>
                <c:pt idx="129">
                  <c:v>#N/A</c:v>
                </c:pt>
                <c:pt idx="130">
                  <c:v>#N/A</c:v>
                </c:pt>
                <c:pt idx="131">
                  <c:v>#N/A</c:v>
                </c:pt>
                <c:pt idx="132">
                  <c:v>#N/A</c:v>
                </c:pt>
                <c:pt idx="133">
                  <c:v>#N/A</c:v>
                </c:pt>
                <c:pt idx="134">
                  <c:v>#N/A</c:v>
                </c:pt>
                <c:pt idx="135">
                  <c:v>70.44</c:v>
                </c:pt>
                <c:pt idx="136">
                  <c:v>#N/A</c:v>
                </c:pt>
                <c:pt idx="137">
                  <c:v>#N/A</c:v>
                </c:pt>
                <c:pt idx="138">
                  <c:v>#N/A</c:v>
                </c:pt>
                <c:pt idx="139">
                  <c:v>#N/A</c:v>
                </c:pt>
                <c:pt idx="140">
                  <c:v>#N/A</c:v>
                </c:pt>
                <c:pt idx="141">
                  <c:v>#N/A</c:v>
                </c:pt>
                <c:pt idx="142">
                  <c:v>70.44</c:v>
                </c:pt>
                <c:pt idx="143">
                  <c:v>#N/A</c:v>
                </c:pt>
                <c:pt idx="144">
                  <c:v>#N/A</c:v>
                </c:pt>
                <c:pt idx="145">
                  <c:v>#N/A</c:v>
                </c:pt>
                <c:pt idx="146">
                  <c:v>#N/A</c:v>
                </c:pt>
                <c:pt idx="147">
                  <c:v>#N/A</c:v>
                </c:pt>
                <c:pt idx="148">
                  <c:v>#N/A</c:v>
                </c:pt>
                <c:pt idx="149">
                  <c:v>70.58</c:v>
                </c:pt>
                <c:pt idx="150">
                  <c:v>#N/A</c:v>
                </c:pt>
                <c:pt idx="151">
                  <c:v>#N/A</c:v>
                </c:pt>
                <c:pt idx="152">
                  <c:v>#N/A</c:v>
                </c:pt>
                <c:pt idx="153">
                  <c:v>#N/A</c:v>
                </c:pt>
                <c:pt idx="154">
                  <c:v>#N/A</c:v>
                </c:pt>
                <c:pt idx="155">
                  <c:v>#N/A</c:v>
                </c:pt>
                <c:pt idx="156">
                  <c:v>70.44</c:v>
                </c:pt>
                <c:pt idx="157">
                  <c:v>#N/A</c:v>
                </c:pt>
                <c:pt idx="158">
                  <c:v>#N/A</c:v>
                </c:pt>
                <c:pt idx="159">
                  <c:v>#N/A</c:v>
                </c:pt>
                <c:pt idx="160">
                  <c:v>#N/A</c:v>
                </c:pt>
                <c:pt idx="161">
                  <c:v>#N/A</c:v>
                </c:pt>
                <c:pt idx="162">
                  <c:v>#N/A</c:v>
                </c:pt>
                <c:pt idx="163">
                  <c:v>70.72</c:v>
                </c:pt>
                <c:pt idx="164">
                  <c:v>#N/A</c:v>
                </c:pt>
                <c:pt idx="165">
                  <c:v>#N/A</c:v>
                </c:pt>
                <c:pt idx="166">
                  <c:v>#N/A</c:v>
                </c:pt>
                <c:pt idx="167">
                  <c:v>#N/A</c:v>
                </c:pt>
                <c:pt idx="168">
                  <c:v>#N/A</c:v>
                </c:pt>
                <c:pt idx="169">
                  <c:v>#N/A</c:v>
                </c:pt>
                <c:pt idx="170">
                  <c:v>70.03</c:v>
                </c:pt>
                <c:pt idx="171">
                  <c:v>#N/A</c:v>
                </c:pt>
                <c:pt idx="172">
                  <c:v>#N/A</c:v>
                </c:pt>
                <c:pt idx="173">
                  <c:v>#N/A</c:v>
                </c:pt>
                <c:pt idx="174">
                  <c:v>#N/A</c:v>
                </c:pt>
                <c:pt idx="175">
                  <c:v>#N/A</c:v>
                </c:pt>
                <c:pt idx="176">
                  <c:v>#N/A</c:v>
                </c:pt>
                <c:pt idx="177">
                  <c:v>70.44</c:v>
                </c:pt>
                <c:pt idx="178">
                  <c:v>#N/A</c:v>
                </c:pt>
                <c:pt idx="179">
                  <c:v>#N/A</c:v>
                </c:pt>
                <c:pt idx="180">
                  <c:v>#N/A</c:v>
                </c:pt>
                <c:pt idx="181">
                  <c:v>#N/A</c:v>
                </c:pt>
                <c:pt idx="182">
                  <c:v>#N/A</c:v>
                </c:pt>
                <c:pt idx="183">
                  <c:v>#N/A</c:v>
                </c:pt>
                <c:pt idx="184">
                  <c:v>70.44</c:v>
                </c:pt>
                <c:pt idx="185">
                  <c:v>#N/A</c:v>
                </c:pt>
                <c:pt idx="186">
                  <c:v>#N/A</c:v>
                </c:pt>
                <c:pt idx="187">
                  <c:v>#N/A</c:v>
                </c:pt>
                <c:pt idx="188">
                  <c:v>#N/A</c:v>
                </c:pt>
                <c:pt idx="189">
                  <c:v>#N/A</c:v>
                </c:pt>
                <c:pt idx="190">
                  <c:v>#N/A</c:v>
                </c:pt>
                <c:pt idx="191">
                  <c:v>70.03</c:v>
                </c:pt>
                <c:pt idx="192">
                  <c:v>#N/A</c:v>
                </c:pt>
                <c:pt idx="193">
                  <c:v>#N/A</c:v>
                </c:pt>
                <c:pt idx="194">
                  <c:v>#N/A</c:v>
                </c:pt>
                <c:pt idx="195">
                  <c:v>#N/A</c:v>
                </c:pt>
                <c:pt idx="196">
                  <c:v>#N/A</c:v>
                </c:pt>
                <c:pt idx="197">
                  <c:v>#N/A</c:v>
                </c:pt>
                <c:pt idx="198">
                  <c:v>69.89</c:v>
                </c:pt>
                <c:pt idx="199">
                  <c:v>#N/A</c:v>
                </c:pt>
                <c:pt idx="200">
                  <c:v>#N/A</c:v>
                </c:pt>
                <c:pt idx="201">
                  <c:v>#N/A</c:v>
                </c:pt>
                <c:pt idx="202">
                  <c:v>#N/A</c:v>
                </c:pt>
                <c:pt idx="203">
                  <c:v>#N/A</c:v>
                </c:pt>
                <c:pt idx="204">
                  <c:v>#N/A</c:v>
                </c:pt>
                <c:pt idx="205">
                  <c:v>70.17</c:v>
                </c:pt>
                <c:pt idx="206">
                  <c:v>#N/A</c:v>
                </c:pt>
                <c:pt idx="207">
                  <c:v>#N/A</c:v>
                </c:pt>
                <c:pt idx="208">
                  <c:v>#N/A</c:v>
                </c:pt>
                <c:pt idx="209">
                  <c:v>#N/A</c:v>
                </c:pt>
                <c:pt idx="210">
                  <c:v>#N/A</c:v>
                </c:pt>
                <c:pt idx="211">
                  <c:v>#N/A</c:v>
                </c:pt>
                <c:pt idx="212">
                  <c:v>70.3</c:v>
                </c:pt>
                <c:pt idx="213">
                  <c:v>#N/A</c:v>
                </c:pt>
                <c:pt idx="214">
                  <c:v>#N/A</c:v>
                </c:pt>
                <c:pt idx="215">
                  <c:v>#N/A</c:v>
                </c:pt>
                <c:pt idx="216">
                  <c:v>#N/A</c:v>
                </c:pt>
                <c:pt idx="217">
                  <c:v>#N/A</c:v>
                </c:pt>
                <c:pt idx="218">
                  <c:v>#N/A</c:v>
                </c:pt>
                <c:pt idx="219">
                  <c:v>70.86</c:v>
                </c:pt>
                <c:pt idx="220">
                  <c:v>#N/A</c:v>
                </c:pt>
                <c:pt idx="221">
                  <c:v>#N/A</c:v>
                </c:pt>
                <c:pt idx="222">
                  <c:v>#N/A</c:v>
                </c:pt>
                <c:pt idx="223">
                  <c:v>#N/A</c:v>
                </c:pt>
                <c:pt idx="224">
                  <c:v>#N/A</c:v>
                </c:pt>
                <c:pt idx="225">
                  <c:v>#N/A</c:v>
                </c:pt>
                <c:pt idx="226">
                  <c:v>71.27</c:v>
                </c:pt>
                <c:pt idx="227">
                  <c:v>#N/A</c:v>
                </c:pt>
                <c:pt idx="228">
                  <c:v>#N/A</c:v>
                </c:pt>
                <c:pt idx="229">
                  <c:v>#N/A</c:v>
                </c:pt>
                <c:pt idx="230">
                  <c:v>#N/A</c:v>
                </c:pt>
                <c:pt idx="231">
                  <c:v>#N/A</c:v>
                </c:pt>
                <c:pt idx="232">
                  <c:v>#N/A</c:v>
                </c:pt>
                <c:pt idx="233">
                  <c:v>71.13</c:v>
                </c:pt>
                <c:pt idx="234">
                  <c:v>#N/A</c:v>
                </c:pt>
                <c:pt idx="235">
                  <c:v>#N/A</c:v>
                </c:pt>
                <c:pt idx="236">
                  <c:v>#N/A</c:v>
                </c:pt>
                <c:pt idx="237">
                  <c:v>#N/A</c:v>
                </c:pt>
                <c:pt idx="238">
                  <c:v>#N/A</c:v>
                </c:pt>
                <c:pt idx="239">
                  <c:v>#N/A</c:v>
                </c:pt>
                <c:pt idx="240">
                  <c:v>70.989999999999995</c:v>
                </c:pt>
                <c:pt idx="241">
                  <c:v>#N/A</c:v>
                </c:pt>
                <c:pt idx="242">
                  <c:v>#N/A</c:v>
                </c:pt>
                <c:pt idx="243">
                  <c:v>#N/A</c:v>
                </c:pt>
                <c:pt idx="244">
                  <c:v>#N/A</c:v>
                </c:pt>
                <c:pt idx="245">
                  <c:v>#N/A</c:v>
                </c:pt>
                <c:pt idx="246">
                  <c:v>#N/A</c:v>
                </c:pt>
                <c:pt idx="247">
                  <c:v>70.72</c:v>
                </c:pt>
                <c:pt idx="248">
                  <c:v>#N/A</c:v>
                </c:pt>
                <c:pt idx="249">
                  <c:v>#N/A</c:v>
                </c:pt>
                <c:pt idx="250">
                  <c:v>#N/A</c:v>
                </c:pt>
                <c:pt idx="251">
                  <c:v>#N/A</c:v>
                </c:pt>
                <c:pt idx="252">
                  <c:v>#N/A</c:v>
                </c:pt>
                <c:pt idx="253">
                  <c:v>#N/A</c:v>
                </c:pt>
                <c:pt idx="254">
                  <c:v>70.17</c:v>
                </c:pt>
                <c:pt idx="255">
                  <c:v>#N/A</c:v>
                </c:pt>
                <c:pt idx="256">
                  <c:v>#N/A</c:v>
                </c:pt>
                <c:pt idx="257">
                  <c:v>#N/A</c:v>
                </c:pt>
                <c:pt idx="258">
                  <c:v>#N/A</c:v>
                </c:pt>
                <c:pt idx="259">
                  <c:v>#N/A</c:v>
                </c:pt>
                <c:pt idx="260">
                  <c:v>#N/A</c:v>
                </c:pt>
                <c:pt idx="261">
                  <c:v>69.89</c:v>
                </c:pt>
                <c:pt idx="262">
                  <c:v>#N/A</c:v>
                </c:pt>
                <c:pt idx="263">
                  <c:v>#N/A</c:v>
                </c:pt>
                <c:pt idx="264">
                  <c:v>#N/A</c:v>
                </c:pt>
                <c:pt idx="265">
                  <c:v>#N/A</c:v>
                </c:pt>
                <c:pt idx="266">
                  <c:v>#N/A</c:v>
                </c:pt>
                <c:pt idx="267">
                  <c:v>#N/A</c:v>
                </c:pt>
                <c:pt idx="268">
                  <c:v>68.650000000000006</c:v>
                </c:pt>
                <c:pt idx="269">
                  <c:v>#N/A</c:v>
                </c:pt>
                <c:pt idx="270">
                  <c:v>#N/A</c:v>
                </c:pt>
                <c:pt idx="271">
                  <c:v>#N/A</c:v>
                </c:pt>
                <c:pt idx="272">
                  <c:v>#N/A</c:v>
                </c:pt>
                <c:pt idx="273">
                  <c:v>68.09</c:v>
                </c:pt>
                <c:pt idx="274">
                  <c:v>#N/A</c:v>
                </c:pt>
                <c:pt idx="275">
                  <c:v>#N/A</c:v>
                </c:pt>
                <c:pt idx="276">
                  <c:v>#N/A</c:v>
                </c:pt>
                <c:pt idx="277">
                  <c:v>#N/A</c:v>
                </c:pt>
                <c:pt idx="278">
                  <c:v>#N/A</c:v>
                </c:pt>
                <c:pt idx="279">
                  <c:v>#N/A</c:v>
                </c:pt>
                <c:pt idx="280">
                  <c:v>#N/A</c:v>
                </c:pt>
                <c:pt idx="281">
                  <c:v>#N/A</c:v>
                </c:pt>
                <c:pt idx="282">
                  <c:v>68.78</c:v>
                </c:pt>
                <c:pt idx="283">
                  <c:v>#N/A</c:v>
                </c:pt>
                <c:pt idx="284">
                  <c:v>#N/A</c:v>
                </c:pt>
                <c:pt idx="285">
                  <c:v>#N/A</c:v>
                </c:pt>
                <c:pt idx="286">
                  <c:v>#N/A</c:v>
                </c:pt>
                <c:pt idx="287">
                  <c:v>#N/A</c:v>
                </c:pt>
                <c:pt idx="288">
                  <c:v>#N/A</c:v>
                </c:pt>
                <c:pt idx="289">
                  <c:v>68.23</c:v>
                </c:pt>
                <c:pt idx="290">
                  <c:v>#N/A</c:v>
                </c:pt>
                <c:pt idx="291">
                  <c:v>#N/A</c:v>
                </c:pt>
                <c:pt idx="292">
                  <c:v>#N/A</c:v>
                </c:pt>
                <c:pt idx="293">
                  <c:v>#N/A</c:v>
                </c:pt>
                <c:pt idx="294">
                  <c:v>#N/A</c:v>
                </c:pt>
                <c:pt idx="295">
                  <c:v>#N/A</c:v>
                </c:pt>
                <c:pt idx="296">
                  <c:v>68.37</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579-4DB1-9565-2C2AA0C05B53}"/>
            </c:ext>
          </c:extLst>
        </c:ser>
        <c:dLbls>
          <c:showLegendKey val="0"/>
          <c:showVal val="0"/>
          <c:showCatName val="0"/>
          <c:showSerName val="0"/>
          <c:showPercent val="0"/>
          <c:showBubbleSize val="0"/>
        </c:dLbls>
        <c:marker val="1"/>
        <c:smooth val="0"/>
        <c:axId val="240847488"/>
        <c:axId val="240849280"/>
      </c:lineChart>
      <c:dateAx>
        <c:axId val="24084748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40849280"/>
        <c:crosses val="autoZero"/>
        <c:auto val="0"/>
        <c:lblOffset val="0"/>
        <c:baseTimeUnit val="days"/>
        <c:majorUnit val="1"/>
        <c:majorTimeUnit val="months"/>
      </c:dateAx>
      <c:valAx>
        <c:axId val="240849280"/>
        <c:scaling>
          <c:orientation val="minMax"/>
          <c:min val="5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4084748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3043-4092-BF7A-E1E234CED765}"/>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3043-4092-BF7A-E1E234CED765}"/>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3043-4092-BF7A-E1E234CED765}"/>
            </c:ext>
          </c:extLst>
        </c:ser>
        <c:dLbls>
          <c:showLegendKey val="0"/>
          <c:showVal val="0"/>
          <c:showCatName val="0"/>
          <c:showSerName val="0"/>
          <c:showPercent val="0"/>
          <c:showBubbleSize val="0"/>
        </c:dLbls>
        <c:marker val="1"/>
        <c:smooth val="0"/>
        <c:axId val="242834432"/>
        <c:axId val="242848512"/>
      </c:lineChart>
      <c:dateAx>
        <c:axId val="24283443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42848512"/>
        <c:crosses val="autoZero"/>
        <c:auto val="0"/>
        <c:lblOffset val="0"/>
        <c:baseTimeUnit val="days"/>
        <c:majorUnit val="1"/>
        <c:majorTimeUnit val="months"/>
      </c:dateAx>
      <c:valAx>
        <c:axId val="242848512"/>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4283443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F01E-4BB1-9126-913E98CF5CEC}"/>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F01E-4BB1-9126-913E98CF5CEC}"/>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F01E-4BB1-9126-913E98CF5CEC}"/>
            </c:ext>
          </c:extLst>
        </c:ser>
        <c:dLbls>
          <c:showLegendKey val="0"/>
          <c:showVal val="0"/>
          <c:showCatName val="0"/>
          <c:showSerName val="0"/>
          <c:showPercent val="0"/>
          <c:showBubbleSize val="0"/>
        </c:dLbls>
        <c:marker val="1"/>
        <c:smooth val="0"/>
        <c:axId val="242875392"/>
        <c:axId val="243479296"/>
      </c:lineChart>
      <c:dateAx>
        <c:axId val="24287539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43479296"/>
        <c:crosses val="autoZero"/>
        <c:auto val="0"/>
        <c:lblOffset val="0"/>
        <c:baseTimeUnit val="days"/>
        <c:majorUnit val="1"/>
        <c:majorTimeUnit val="months"/>
      </c:dateAx>
      <c:valAx>
        <c:axId val="243479296"/>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4287539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0AC4-456C-9678-4DF6D76F0B53}"/>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0AC4-456C-9678-4DF6D76F0B53}"/>
            </c:ext>
          </c:extLst>
        </c:ser>
        <c:dLbls>
          <c:showLegendKey val="0"/>
          <c:showVal val="0"/>
          <c:showCatName val="0"/>
          <c:showSerName val="0"/>
          <c:showPercent val="0"/>
          <c:showBubbleSize val="0"/>
        </c:dLbls>
        <c:marker val="1"/>
        <c:smooth val="0"/>
        <c:axId val="243521408"/>
        <c:axId val="243522944"/>
      </c:lineChart>
      <c:dateAx>
        <c:axId val="24352140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43522944"/>
        <c:crosses val="autoZero"/>
        <c:auto val="0"/>
        <c:lblOffset val="0"/>
        <c:baseTimeUnit val="days"/>
        <c:majorUnit val="1"/>
        <c:majorTimeUnit val="months"/>
      </c:dateAx>
      <c:valAx>
        <c:axId val="243522944"/>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4352140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0.01856</cdr:x>
      <cdr:y>0</cdr:y>
    </cdr:from>
    <cdr:to>
      <cdr:x>0.0761</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55659" y="-3403158"/>
          <a:ext cx="172532" cy="14313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0.03977</cdr:x>
      <cdr:y>0</cdr:y>
    </cdr:from>
    <cdr:to>
      <cdr:x>0.09731</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119269" y="-7172077"/>
          <a:ext cx="172569" cy="14255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0.91595</cdr:x>
      <cdr:y>0</cdr:y>
    </cdr:from>
    <cdr:to>
      <cdr:x>0.97349</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2747023" y="-7172077"/>
          <a:ext cx="172569" cy="14255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楷体" panose="02010609060101010101" pitchFamily="49" charset="-122"/>
              <a:ea typeface="楷体" panose="02010609060101010101" pitchFamily="49" charset="-122"/>
            </a:rPr>
            <a:t>%</a:t>
          </a:r>
          <a:endParaRPr lang="zh-CN" altLang="en-US" sz="1000" b="0" i="0" u="none" strike="noStrike" baseline="0">
            <a:solidFill>
              <a:srgbClr val="000000"/>
            </a:solidFill>
            <a:latin typeface="楷体" panose="02010609060101010101" pitchFamily="49" charset="-122"/>
            <a:ea typeface="楷体" panose="02010609060101010101" pitchFamily="49"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0.00425</cdr:y>
    </cdr:from>
    <cdr:to>
      <cdr:x>0.1538</cdr:x>
      <cdr:y>0.06796</cdr:y>
    </cdr:to>
    <cdr:sp macro="" textlink="">
      <cdr:nvSpPr>
        <cdr:cNvPr id="5" name="Text Box 1"/>
        <cdr:cNvSpPr txBox="1">
          <a:spLocks xmlns:a="http://schemas.openxmlformats.org/drawingml/2006/main" noChangeArrowheads="1"/>
        </cdr:cNvSpPr>
      </cdr:nvSpPr>
      <cdr:spPr bwMode="auto">
        <a:xfrm xmlns:a="http://schemas.openxmlformats.org/drawingml/2006/main">
          <a:off x="-3848431" y="7952"/>
          <a:ext cx="461174" cy="119271"/>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6D433A-7F0B-4A8B-A872-8547F44BA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778</Words>
  <Characters>4441</Characters>
  <Application>Microsoft Office Word</Application>
  <DocSecurity>0</DocSecurity>
  <Lines>37</Lines>
  <Paragraphs>10</Paragraphs>
  <ScaleCrop>false</ScaleCrop>
  <Company>Microsoft</Company>
  <LinksUpToDate>false</LinksUpToDate>
  <CharactersWithSpaces>5209</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2020-11-02T05:03:00Z</dcterms:created>
  <dcterms:modified xsi:type="dcterms:W3CDTF">2020-11-02T06:09:00Z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