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charts/chart2.xml" ContentType="application/vnd.openxmlformats-officedocument.drawingml.chart+xml"/>
  <Override PartName="/word/theme/themeOverride2.xml" ContentType="application/vnd.openxmlformats-officedocument.themeOverride+xml"/>
  <Override PartName="/word/drawings/drawing2.xml" ContentType="application/vnd.openxmlformats-officedocument.drawingml.chartshapes+xml"/>
  <Override PartName="/word/charts/chart3.xml" ContentType="application/vnd.openxmlformats-officedocument.drawingml.chart+xml"/>
  <Override PartName="/word/theme/themeOverride3.xml" ContentType="application/vnd.openxmlformats-officedocument.themeOverride+xml"/>
  <Override PartName="/word/drawings/drawing3.xml" ContentType="application/vnd.openxmlformats-officedocument.drawingml.chartshapes+xml"/>
  <Override PartName="/word/charts/chart4.xml" ContentType="application/vnd.openxmlformats-officedocument.drawingml.chart+xml"/>
  <Override PartName="/word/theme/themeOverride4.xml" ContentType="application/vnd.openxmlformats-officedocument.themeOverride+xml"/>
  <Override PartName="/word/drawings/drawing4.xml" ContentType="application/vnd.openxmlformats-officedocument.drawingml.chartshapes+xml"/>
  <Override PartName="/word/charts/chart5.xml" ContentType="application/vnd.openxmlformats-officedocument.drawingml.chart+xml"/>
  <Override PartName="/word/theme/themeOverride5.xml" ContentType="application/vnd.openxmlformats-officedocument.themeOverride+xml"/>
  <Override PartName="/word/drawings/drawing5.xml" ContentType="application/vnd.openxmlformats-officedocument.drawingml.chartshapes+xml"/>
  <Override PartName="/word/charts/chart6.xml" ContentType="application/vnd.openxmlformats-officedocument.drawingml.chart+xml"/>
  <Override PartName="/word/theme/themeOverride6.xml" ContentType="application/vnd.openxmlformats-officedocument.themeOverride+xml"/>
  <Override PartName="/word/drawings/drawing6.xml" ContentType="application/vnd.openxmlformats-officedocument.drawingml.chartshapes+xml"/>
  <Override PartName="/word/charts/chart7.xml" ContentType="application/vnd.openxmlformats-officedocument.drawingml.chart+xml"/>
  <Override PartName="/word/theme/themeOverride7.xml" ContentType="application/vnd.openxmlformats-officedocument.themeOverride+xml"/>
  <Override PartName="/word/charts/chart8.xml" ContentType="application/vnd.openxmlformats-officedocument.drawingml.chart+xml"/>
  <Override PartName="/word/theme/themeOverride8.xml" ContentType="application/vnd.openxmlformats-officedocument.themeOverride+xml"/>
  <Override PartName="/word/drawings/drawing7.xml" ContentType="application/vnd.openxmlformats-officedocument.drawingml.chartshapes+xml"/>
  <Override PartName="/word/charts/chart9.xml" ContentType="application/vnd.openxmlformats-officedocument.drawingml.chart+xml"/>
  <Override PartName="/word/theme/themeOverride9.xml" ContentType="application/vnd.openxmlformats-officedocument.themeOverride+xml"/>
  <Override PartName="/word/drawings/drawing8.xml" ContentType="application/vnd.openxmlformats-officedocument.drawingml.chartshap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7AE04533" w14:textId="77777777" w:rsidR="00960960" w:rsidRDefault="001357FD" w:rsidP="009A2BA0">
      <w:pPr>
        <w:spacing w:beforeLines="100" w:before="312"/>
        <w:jc w:val="center"/>
        <w:rPr>
          <w:rFonts w:ascii="楷体" w:eastAsia="楷体" w:hAnsi="楷体"/>
          <w:b/>
          <w:sz w:val="44"/>
          <w:szCs w:val="44"/>
        </w:rPr>
      </w:pPr>
      <w:r w:rsidRPr="00BB4A92">
        <w:rPr>
          <w:rFonts w:ascii="楷体" w:eastAsia="楷体" w:hAnsi="楷体" w:hint="eastAsia"/>
          <w:b/>
          <w:sz w:val="44"/>
          <w:szCs w:val="44"/>
        </w:rPr>
        <w:t>富</w:t>
      </w:r>
      <w:proofErr w:type="gramStart"/>
      <w:r w:rsidRPr="00BB4A92">
        <w:rPr>
          <w:rFonts w:ascii="楷体" w:eastAsia="楷体" w:hAnsi="楷体" w:hint="eastAsia"/>
          <w:b/>
          <w:sz w:val="44"/>
          <w:szCs w:val="44"/>
        </w:rPr>
        <w:t>荣基金</w:t>
      </w:r>
      <w:proofErr w:type="gramEnd"/>
      <w:r w:rsidR="00960960" w:rsidRPr="00BB4A92">
        <w:rPr>
          <w:rFonts w:ascii="楷体" w:eastAsia="楷体" w:hAnsi="楷体" w:hint="eastAsia"/>
          <w:b/>
          <w:sz w:val="44"/>
          <w:szCs w:val="44"/>
        </w:rPr>
        <w:t>固定收益</w:t>
      </w:r>
      <w:r w:rsidR="00F24889" w:rsidRPr="00BB4A92">
        <w:rPr>
          <w:rFonts w:ascii="楷体" w:eastAsia="楷体" w:hAnsi="楷体" w:hint="eastAsia"/>
          <w:b/>
          <w:sz w:val="44"/>
          <w:szCs w:val="44"/>
        </w:rPr>
        <w:t>周报</w:t>
      </w:r>
    </w:p>
    <w:p w14:paraId="08CBB8BB" w14:textId="0F8E76D0" w:rsidR="00832986" w:rsidRPr="00541553" w:rsidRDefault="00832986" w:rsidP="00E543BE">
      <w:pPr>
        <w:widowControl/>
        <w:jc w:val="center"/>
        <w:rPr>
          <w:rFonts w:ascii="楷体" w:eastAsia="楷体" w:hAnsi="楷体"/>
          <w:sz w:val="28"/>
          <w:szCs w:val="28"/>
        </w:rPr>
      </w:pPr>
      <w:r w:rsidRPr="00541553">
        <w:rPr>
          <w:rFonts w:ascii="楷体" w:eastAsia="楷体" w:hAnsi="楷体" w:hint="eastAsia"/>
          <w:sz w:val="28"/>
          <w:szCs w:val="28"/>
        </w:rPr>
        <w:t>——</w:t>
      </w:r>
      <w:r w:rsidR="009D7EB8">
        <w:rPr>
          <w:rFonts w:ascii="楷体" w:eastAsia="楷体" w:hAnsi="楷体" w:hint="eastAsia"/>
          <w:sz w:val="28"/>
          <w:szCs w:val="28"/>
        </w:rPr>
        <w:t>市场</w:t>
      </w:r>
      <w:r w:rsidR="009D7EB8">
        <w:rPr>
          <w:rFonts w:ascii="楷体" w:eastAsia="楷体" w:hAnsi="楷体"/>
          <w:sz w:val="28"/>
          <w:szCs w:val="28"/>
        </w:rPr>
        <w:t>进入短暂窗口期，关注年末行情</w:t>
      </w:r>
    </w:p>
    <w:p w14:paraId="0A7A9383" w14:textId="5AAD0C58" w:rsidR="00FF57FB" w:rsidRPr="00FA6C01" w:rsidRDefault="00DD41CD" w:rsidP="009A2BA0">
      <w:pPr>
        <w:tabs>
          <w:tab w:val="center" w:pos="4873"/>
          <w:tab w:val="left" w:pos="8920"/>
        </w:tabs>
        <w:spacing w:afterLines="50" w:after="156"/>
        <w:jc w:val="center"/>
        <w:rPr>
          <w:rFonts w:ascii="楷体" w:eastAsia="楷体" w:hAnsi="楷体"/>
          <w:sz w:val="28"/>
          <w:szCs w:val="28"/>
        </w:rPr>
      </w:pPr>
      <w:r>
        <w:rPr>
          <w:rFonts w:ascii="楷体" w:eastAsia="楷体" w:hAnsi="楷体"/>
          <w:sz w:val="28"/>
          <w:szCs w:val="28"/>
        </w:rPr>
        <w:t>2020</w:t>
      </w:r>
      <w:r w:rsidR="009C30E2" w:rsidRPr="00FA6C01">
        <w:rPr>
          <w:rFonts w:ascii="楷体" w:eastAsia="楷体" w:hAnsi="楷体"/>
          <w:sz w:val="28"/>
          <w:szCs w:val="28"/>
        </w:rPr>
        <w:t>年</w:t>
      </w:r>
      <w:r w:rsidR="009D7EB8">
        <w:rPr>
          <w:rFonts w:ascii="楷体" w:eastAsia="楷体" w:hAnsi="楷体"/>
          <w:sz w:val="28"/>
          <w:szCs w:val="28"/>
        </w:rPr>
        <w:t>11</w:t>
      </w:r>
      <w:r w:rsidR="009C30E2" w:rsidRPr="00FA6C01">
        <w:rPr>
          <w:rFonts w:ascii="楷体" w:eastAsia="楷体" w:hAnsi="楷体"/>
          <w:sz w:val="28"/>
          <w:szCs w:val="28"/>
        </w:rPr>
        <w:t>月</w:t>
      </w:r>
      <w:r w:rsidR="009D7EB8">
        <w:rPr>
          <w:rFonts w:ascii="楷体" w:eastAsia="楷体" w:hAnsi="楷体"/>
          <w:sz w:val="28"/>
          <w:szCs w:val="28"/>
        </w:rPr>
        <w:t>6</w:t>
      </w:r>
      <w:r w:rsidR="00F82A54">
        <w:rPr>
          <w:rFonts w:ascii="楷体" w:eastAsia="楷体" w:hAnsi="楷体" w:hint="eastAsia"/>
          <w:sz w:val="28"/>
          <w:szCs w:val="28"/>
        </w:rPr>
        <w:t>日</w:t>
      </w:r>
    </w:p>
    <w:p w14:paraId="1B2C4A22" w14:textId="38EB0549" w:rsidR="005E5CB1" w:rsidRDefault="005E5CB1" w:rsidP="005E5CB1">
      <w:pPr>
        <w:pStyle w:val="Header1"/>
        <w:spacing w:before="240"/>
        <w:rPr>
          <w:color w:val="C45911" w:themeColor="accent2" w:themeShade="BF"/>
        </w:rPr>
      </w:pPr>
      <w:r>
        <w:rPr>
          <w:rFonts w:hint="eastAsia"/>
          <w:color w:val="C45911" w:themeColor="accent2" w:themeShade="BF"/>
        </w:rPr>
        <w:t>一</w:t>
      </w:r>
      <w:r w:rsidRPr="004C5268">
        <w:rPr>
          <w:rFonts w:hint="eastAsia"/>
          <w:color w:val="C45911" w:themeColor="accent2" w:themeShade="BF"/>
        </w:rPr>
        <w:t>、</w:t>
      </w:r>
      <w:r w:rsidR="008F4A92">
        <w:rPr>
          <w:rFonts w:hint="eastAsia"/>
          <w:color w:val="C45911" w:themeColor="accent2" w:themeShade="BF"/>
        </w:rPr>
        <w:t>本周关注：</w:t>
      </w:r>
      <w:r w:rsidR="009D7EB8">
        <w:rPr>
          <w:rFonts w:hint="eastAsia"/>
          <w:color w:val="C45911" w:themeColor="accent2" w:themeShade="BF"/>
        </w:rPr>
        <w:t xml:space="preserve"> </w:t>
      </w:r>
    </w:p>
    <w:p w14:paraId="698F14FE" w14:textId="64550417" w:rsidR="00D37A7B" w:rsidRDefault="002D7959" w:rsidP="008B2560">
      <w:pPr>
        <w:pStyle w:val="Body-text"/>
        <w:spacing w:after="240"/>
        <w:ind w:firstLineChars="200" w:firstLine="480"/>
        <w:rPr>
          <w:rFonts w:ascii="华文楷体" w:hAnsi="华文楷体"/>
          <w:sz w:val="24"/>
          <w:szCs w:val="24"/>
          <w:lang w:eastAsia="zh-CN"/>
        </w:rPr>
      </w:pPr>
      <w:r w:rsidRPr="002D7959">
        <w:rPr>
          <w:rFonts w:ascii="华文楷体" w:hAnsi="华文楷体" w:hint="eastAsia"/>
          <w:sz w:val="24"/>
          <w:szCs w:val="24"/>
          <w:lang w:eastAsia="zh-CN"/>
        </w:rPr>
        <w:t>本周公布进出口数据: 中国10月（以美元计）出口同比增11.4%，预期增10.2%，前值增9.9%；进口同比增4.7%，预期增10.2%，前值增13.2%；贸易顺差584.4亿美元，前值370亿美元。</w:t>
      </w:r>
    </w:p>
    <w:p w14:paraId="001AC100" w14:textId="46207889" w:rsidR="002D7959" w:rsidRDefault="002D7959" w:rsidP="008B2560">
      <w:pPr>
        <w:pStyle w:val="Body-text"/>
        <w:spacing w:after="240"/>
        <w:ind w:firstLineChars="200" w:firstLine="480"/>
        <w:rPr>
          <w:rFonts w:ascii="华文楷体" w:hAnsi="华文楷体"/>
          <w:sz w:val="24"/>
          <w:szCs w:val="24"/>
          <w:lang w:eastAsia="zh-CN"/>
        </w:rPr>
      </w:pPr>
      <w:r w:rsidRPr="002D7959">
        <w:rPr>
          <w:rFonts w:ascii="华文楷体" w:hAnsi="华文楷体" w:hint="eastAsia"/>
          <w:sz w:val="24"/>
          <w:szCs w:val="24"/>
          <w:lang w:eastAsia="zh-CN"/>
        </w:rPr>
        <w:t>出口方面：按美元计价（下同），10月单月增速11.4%，连续5个月回升；</w:t>
      </w:r>
      <w:proofErr w:type="gramStart"/>
      <w:r w:rsidRPr="002D7959">
        <w:rPr>
          <w:rFonts w:ascii="华文楷体" w:hAnsi="华文楷体" w:hint="eastAsia"/>
          <w:sz w:val="24"/>
          <w:szCs w:val="24"/>
          <w:lang w:eastAsia="zh-CN"/>
        </w:rPr>
        <w:t>分贸易</w:t>
      </w:r>
      <w:proofErr w:type="gramEnd"/>
      <w:r w:rsidRPr="002D7959">
        <w:rPr>
          <w:rFonts w:ascii="华文楷体" w:hAnsi="华文楷体" w:hint="eastAsia"/>
          <w:sz w:val="24"/>
          <w:szCs w:val="24"/>
          <w:lang w:eastAsia="zh-CN"/>
        </w:rPr>
        <w:t>类型来看，一般贸易增速16.5%，较上月上升1.5%，加工贸易增速-2.4%，较上月改善3.5%，但仍负增长。分目的地来看，对美出口增速仍然最高，达到22.5%，较上月继续上行2%，对欧盟负增长7%，显示欧洲需求仍然低迷，对日本增长5.7%，下半年首次转正，对东盟和非洲分别增长7.3%和10.6%，维持高增，但增速水平较上月有所回落。分产品类型来看，</w:t>
      </w:r>
      <w:proofErr w:type="gramStart"/>
      <w:r w:rsidRPr="002D7959">
        <w:rPr>
          <w:rFonts w:ascii="华文楷体" w:hAnsi="华文楷体" w:hint="eastAsia"/>
          <w:sz w:val="24"/>
          <w:szCs w:val="24"/>
          <w:lang w:eastAsia="zh-CN"/>
        </w:rPr>
        <w:t>纺服家居</w:t>
      </w:r>
      <w:proofErr w:type="gramEnd"/>
      <w:r w:rsidRPr="002D7959">
        <w:rPr>
          <w:rFonts w:ascii="华文楷体" w:hAnsi="华文楷体" w:hint="eastAsia"/>
          <w:sz w:val="24"/>
          <w:szCs w:val="24"/>
          <w:lang w:eastAsia="zh-CN"/>
        </w:rPr>
        <w:t>等</w:t>
      </w:r>
      <w:proofErr w:type="gramStart"/>
      <w:r w:rsidRPr="002D7959">
        <w:rPr>
          <w:rFonts w:ascii="华文楷体" w:hAnsi="华文楷体" w:hint="eastAsia"/>
          <w:sz w:val="24"/>
          <w:szCs w:val="24"/>
          <w:lang w:eastAsia="zh-CN"/>
        </w:rPr>
        <w:t>偏生活类用品</w:t>
      </w:r>
      <w:proofErr w:type="gramEnd"/>
      <w:r w:rsidRPr="002D7959">
        <w:rPr>
          <w:rFonts w:ascii="华文楷体" w:hAnsi="华文楷体" w:hint="eastAsia"/>
          <w:sz w:val="24"/>
          <w:szCs w:val="24"/>
          <w:lang w:eastAsia="zh-CN"/>
        </w:rPr>
        <w:t>增速仍最好，但绝对水平有所回落，显示医疗相关用品需求边际放缓，高新技术与机电产品增速继续改善，分别达到12.9%和4.2%，集成电路除去防疫物资影响，整体出口依然处于改善中。</w:t>
      </w:r>
    </w:p>
    <w:p w14:paraId="4A0667B7" w14:textId="24952F72" w:rsidR="002D7959" w:rsidRPr="002D7959" w:rsidRDefault="002D7959" w:rsidP="002D7959">
      <w:pPr>
        <w:pStyle w:val="Body-text"/>
        <w:spacing w:after="240"/>
        <w:ind w:firstLineChars="200" w:firstLine="480"/>
        <w:rPr>
          <w:rFonts w:ascii="华文楷体" w:hAnsi="华文楷体"/>
          <w:sz w:val="24"/>
          <w:szCs w:val="24"/>
          <w:lang w:eastAsia="zh-CN"/>
        </w:rPr>
      </w:pPr>
      <w:r w:rsidRPr="002D7959">
        <w:rPr>
          <w:rFonts w:ascii="华文楷体" w:hAnsi="华文楷体" w:hint="eastAsia"/>
          <w:sz w:val="24"/>
          <w:szCs w:val="24"/>
          <w:lang w:eastAsia="zh-CN"/>
        </w:rPr>
        <w:t>进口方面：10月单月增速4.7%，增幅较上月收窄，但连续两个月正增长；</w:t>
      </w:r>
      <w:proofErr w:type="gramStart"/>
      <w:r w:rsidRPr="002D7959">
        <w:rPr>
          <w:rFonts w:ascii="华文楷体" w:hAnsi="华文楷体" w:hint="eastAsia"/>
          <w:sz w:val="24"/>
          <w:szCs w:val="24"/>
          <w:lang w:eastAsia="zh-CN"/>
        </w:rPr>
        <w:t>分贸易</w:t>
      </w:r>
      <w:proofErr w:type="gramEnd"/>
      <w:r w:rsidRPr="002D7959">
        <w:rPr>
          <w:rFonts w:ascii="华文楷体" w:hAnsi="华文楷体" w:hint="eastAsia"/>
          <w:sz w:val="24"/>
          <w:szCs w:val="24"/>
          <w:lang w:eastAsia="zh-CN"/>
        </w:rPr>
        <w:t>类型来看，一般贸易进口增速8.1%，加工贸易增速1%，均较上月有所回落；分国别来看，除了对美国进口增速继续上升至33%外，对其他主要国家和地区进口增速均有明显放缓，中美第一阶段贸易采购协议可能有加速迹象；分产品来看，铁矿砂增速14.9%，较上月改善5.8%，原油和铜材均回落20%左右，汽车底盘维持高</w:t>
      </w:r>
      <w:proofErr w:type="gramStart"/>
      <w:r w:rsidRPr="002D7959">
        <w:rPr>
          <w:rFonts w:ascii="华文楷体" w:hAnsi="华文楷体" w:hint="eastAsia"/>
          <w:sz w:val="24"/>
          <w:szCs w:val="24"/>
          <w:lang w:eastAsia="zh-CN"/>
        </w:rPr>
        <w:t>增达到</w:t>
      </w:r>
      <w:proofErr w:type="gramEnd"/>
      <w:r w:rsidRPr="002D7959">
        <w:rPr>
          <w:rFonts w:ascii="华文楷体" w:hAnsi="华文楷体" w:hint="eastAsia"/>
          <w:sz w:val="24"/>
          <w:szCs w:val="24"/>
          <w:lang w:eastAsia="zh-CN"/>
        </w:rPr>
        <w:t>58%，创近年来高点，集成电路虽也有所回落，但仍维持在20%上下的水平。</w:t>
      </w:r>
    </w:p>
    <w:p w14:paraId="66BD04C5" w14:textId="72C5AD45" w:rsidR="002D7959" w:rsidRDefault="002D7959" w:rsidP="002D7959">
      <w:pPr>
        <w:pStyle w:val="Body-text"/>
        <w:spacing w:after="240"/>
        <w:ind w:firstLineChars="200" w:firstLine="480"/>
        <w:rPr>
          <w:rFonts w:ascii="华文楷体" w:hAnsi="华文楷体"/>
          <w:sz w:val="24"/>
          <w:szCs w:val="24"/>
          <w:lang w:eastAsia="zh-CN"/>
        </w:rPr>
      </w:pPr>
      <w:r w:rsidRPr="002D7959">
        <w:rPr>
          <w:rFonts w:ascii="华文楷体" w:hAnsi="华文楷体" w:hint="eastAsia"/>
          <w:sz w:val="24"/>
          <w:szCs w:val="24"/>
          <w:lang w:eastAsia="zh-CN"/>
        </w:rPr>
        <w:t>贸易差额：由于出口增速继续修复，而进口增速有所回落，本月贸易差额</w:t>
      </w:r>
      <w:proofErr w:type="gramStart"/>
      <w:r w:rsidRPr="002D7959">
        <w:rPr>
          <w:rFonts w:ascii="华文楷体" w:hAnsi="华文楷体" w:hint="eastAsia"/>
          <w:sz w:val="24"/>
          <w:szCs w:val="24"/>
          <w:lang w:eastAsia="zh-CN"/>
        </w:rPr>
        <w:t>再度走阔至</w:t>
      </w:r>
      <w:proofErr w:type="gramEnd"/>
      <w:r w:rsidRPr="002D7959">
        <w:rPr>
          <w:rFonts w:ascii="华文楷体" w:hAnsi="华文楷体" w:hint="eastAsia"/>
          <w:sz w:val="24"/>
          <w:szCs w:val="24"/>
          <w:lang w:eastAsia="zh-CN"/>
        </w:rPr>
        <w:t>584亿美元，较去年同期上升161亿美元。其中，对美顺差依然是最大贡献者，达到314亿美元，尽管对美进口增幅最大，但本月逆差仍小幅扩大6亿美元。对日本、韩国继续呈现贸易逆差，但幅度均较上月有所收窄。</w:t>
      </w:r>
    </w:p>
    <w:p w14:paraId="0A49FA2A" w14:textId="42CD121B" w:rsidR="002D7959" w:rsidRDefault="002D7959" w:rsidP="002D7959">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从数据方面看主要呈现几个要点：首先，</w:t>
      </w:r>
      <w:r w:rsidRPr="002D7959">
        <w:rPr>
          <w:rFonts w:ascii="华文楷体" w:hAnsi="华文楷体" w:hint="eastAsia"/>
          <w:sz w:val="24"/>
          <w:szCs w:val="24"/>
          <w:lang w:eastAsia="zh-CN"/>
        </w:rPr>
        <w:t>10月出口继续维持在两位数的高增长水平，主要支撑逻辑与前期不变</w:t>
      </w:r>
      <w:r>
        <w:rPr>
          <w:rFonts w:ascii="华文楷体" w:hAnsi="华文楷体" w:hint="eastAsia"/>
          <w:sz w:val="24"/>
          <w:szCs w:val="24"/>
          <w:lang w:eastAsia="zh-CN"/>
        </w:rPr>
        <w:t>，主要还是</w:t>
      </w:r>
      <w:r w:rsidRPr="002D7959">
        <w:rPr>
          <w:rFonts w:ascii="华文楷体" w:hAnsi="华文楷体" w:hint="eastAsia"/>
          <w:sz w:val="24"/>
          <w:szCs w:val="24"/>
          <w:lang w:eastAsia="zh-CN"/>
        </w:rPr>
        <w:t>国内供应链优势、防疫物资需求、海外经济修复的逻辑继续支撑出口高增</w:t>
      </w:r>
      <w:r>
        <w:rPr>
          <w:rFonts w:ascii="华文楷体" w:hAnsi="华文楷体" w:hint="eastAsia"/>
          <w:sz w:val="24"/>
          <w:szCs w:val="24"/>
          <w:lang w:eastAsia="zh-CN"/>
        </w:rPr>
        <w:t>。其次，</w:t>
      </w:r>
      <w:r w:rsidRPr="002D7959">
        <w:rPr>
          <w:rFonts w:ascii="华文楷体" w:hAnsi="华文楷体" w:hint="eastAsia"/>
          <w:sz w:val="24"/>
          <w:szCs w:val="24"/>
          <w:lang w:eastAsia="zh-CN"/>
        </w:rPr>
        <w:t>10月进口增速低于预期，但4.7%的水平仍明显好于去年同期，单月数据反复暂时不能判断内需修复的趋势出现回落。</w:t>
      </w:r>
      <w:r>
        <w:rPr>
          <w:rFonts w:ascii="华文楷体" w:hAnsi="华文楷体" w:hint="eastAsia"/>
          <w:sz w:val="24"/>
          <w:szCs w:val="24"/>
          <w:lang w:eastAsia="zh-CN"/>
        </w:rPr>
        <w:t>从当月数据看，</w:t>
      </w:r>
      <w:r w:rsidRPr="002D7959">
        <w:rPr>
          <w:rFonts w:ascii="华文楷体" w:hAnsi="华文楷体" w:hint="eastAsia"/>
          <w:sz w:val="24"/>
          <w:szCs w:val="24"/>
          <w:lang w:eastAsia="zh-CN"/>
        </w:rPr>
        <w:t>汽车与消费电子产业</w:t>
      </w:r>
      <w:proofErr w:type="gramStart"/>
      <w:r w:rsidRPr="002D7959">
        <w:rPr>
          <w:rFonts w:ascii="华文楷体" w:hAnsi="华文楷体" w:hint="eastAsia"/>
          <w:sz w:val="24"/>
          <w:szCs w:val="24"/>
          <w:lang w:eastAsia="zh-CN"/>
        </w:rPr>
        <w:t>链需求</w:t>
      </w:r>
      <w:proofErr w:type="gramEnd"/>
      <w:r w:rsidRPr="002D7959">
        <w:rPr>
          <w:rFonts w:ascii="华文楷体" w:hAnsi="华文楷体" w:hint="eastAsia"/>
          <w:sz w:val="24"/>
          <w:szCs w:val="24"/>
          <w:lang w:eastAsia="zh-CN"/>
        </w:rPr>
        <w:t>保持热度，对美进口持续加速。</w:t>
      </w:r>
      <w:r>
        <w:rPr>
          <w:rFonts w:ascii="华文楷体" w:hAnsi="华文楷体" w:hint="eastAsia"/>
          <w:sz w:val="24"/>
          <w:szCs w:val="24"/>
          <w:lang w:eastAsia="zh-CN"/>
        </w:rPr>
        <w:t>再次，</w:t>
      </w:r>
      <w:r w:rsidRPr="002D7959">
        <w:rPr>
          <w:rFonts w:ascii="华文楷体" w:hAnsi="华文楷体" w:hint="eastAsia"/>
          <w:sz w:val="24"/>
          <w:szCs w:val="24"/>
          <w:lang w:eastAsia="zh-CN"/>
        </w:rPr>
        <w:t>欧洲疫情再度发酵，封锁措施被推出，生产短期或再受影响。海外疫情反复，短期出口有望继续保持高增长。</w:t>
      </w:r>
    </w:p>
    <w:p w14:paraId="17B5451A" w14:textId="77777777" w:rsidR="003860D8" w:rsidRPr="002D7959" w:rsidRDefault="003860D8" w:rsidP="002D7959">
      <w:pPr>
        <w:pStyle w:val="Body-text"/>
        <w:spacing w:after="240"/>
        <w:ind w:firstLineChars="200" w:firstLine="480"/>
        <w:rPr>
          <w:rFonts w:ascii="华文楷体" w:hAnsi="华文楷体"/>
          <w:sz w:val="24"/>
          <w:szCs w:val="24"/>
          <w:lang w:eastAsia="zh-CN"/>
        </w:rPr>
      </w:pPr>
    </w:p>
    <w:p w14:paraId="7EEDEF05" w14:textId="03ED7DEC" w:rsidR="00E0626C" w:rsidRDefault="005E5CB1" w:rsidP="009A2BA0">
      <w:pPr>
        <w:pStyle w:val="Header1"/>
        <w:spacing w:before="240"/>
        <w:rPr>
          <w:color w:val="C45911" w:themeColor="accent2" w:themeShade="BF"/>
        </w:rPr>
      </w:pPr>
      <w:r>
        <w:rPr>
          <w:rFonts w:hint="eastAsia"/>
          <w:color w:val="C45911" w:themeColor="accent2" w:themeShade="BF"/>
        </w:rPr>
        <w:lastRenderedPageBreak/>
        <w:t>二</w:t>
      </w:r>
      <w:r w:rsidR="00E0626C" w:rsidRPr="004C5268">
        <w:rPr>
          <w:rFonts w:hint="eastAsia"/>
          <w:color w:val="C45911" w:themeColor="accent2" w:themeShade="BF"/>
        </w:rPr>
        <w:t>、</w:t>
      </w:r>
      <w:r w:rsidR="00E0626C">
        <w:rPr>
          <w:rFonts w:hint="eastAsia"/>
          <w:color w:val="C45911" w:themeColor="accent2" w:themeShade="BF"/>
        </w:rPr>
        <w:t>上周市场回顾</w:t>
      </w:r>
    </w:p>
    <w:p w14:paraId="08F77D38" w14:textId="58EA1DC1" w:rsidR="00E0626C" w:rsidRPr="00945073" w:rsidRDefault="00E0626C" w:rsidP="009A2BA0">
      <w:pPr>
        <w:pStyle w:val="Header2"/>
        <w:rPr>
          <w:rFonts w:eastAsia="PMingLiU"/>
          <w:sz w:val="28"/>
          <w:szCs w:val="21"/>
          <w:lang w:eastAsia="zh-CN"/>
        </w:rPr>
      </w:pPr>
      <w:r>
        <w:rPr>
          <w:rFonts w:hint="eastAsia"/>
          <w:sz w:val="28"/>
          <w:szCs w:val="21"/>
          <w:lang w:eastAsia="zh-CN"/>
        </w:rPr>
        <w:t>1</w:t>
      </w:r>
      <w:r>
        <w:rPr>
          <w:rFonts w:hint="eastAsia"/>
          <w:sz w:val="28"/>
          <w:szCs w:val="21"/>
          <w:lang w:eastAsia="zh-CN"/>
        </w:rPr>
        <w:t>、</w:t>
      </w:r>
      <w:r>
        <w:rPr>
          <w:rFonts w:hint="eastAsia"/>
          <w:sz w:val="28"/>
          <w:szCs w:val="21"/>
        </w:rPr>
        <w:t>资金面</w:t>
      </w:r>
    </w:p>
    <w:p w14:paraId="5B44DCF6" w14:textId="0006009A" w:rsidR="00EA1459" w:rsidRPr="00EA1459" w:rsidRDefault="008628FA" w:rsidP="00EC3415">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本周</w:t>
      </w:r>
      <w:r w:rsidR="009D7EB8">
        <w:rPr>
          <w:rFonts w:ascii="华文楷体" w:hAnsi="华文楷体" w:hint="eastAsia"/>
          <w:sz w:val="24"/>
          <w:szCs w:val="24"/>
          <w:lang w:eastAsia="zh-CN"/>
        </w:rPr>
        <w:t>央行在公开市场净回笼5900</w:t>
      </w:r>
      <w:r w:rsidR="00EC3415">
        <w:rPr>
          <w:rFonts w:ascii="华文楷体" w:hAnsi="华文楷体" w:hint="eastAsia"/>
          <w:sz w:val="24"/>
          <w:szCs w:val="24"/>
          <w:lang w:eastAsia="zh-CN"/>
        </w:rPr>
        <w:t>亿，</w:t>
      </w:r>
      <w:r w:rsidR="009D7EB8">
        <w:rPr>
          <w:rFonts w:ascii="华文楷体" w:hAnsi="华文楷体" w:hint="eastAsia"/>
          <w:sz w:val="24"/>
          <w:szCs w:val="24"/>
          <w:lang w:eastAsia="zh-CN"/>
        </w:rPr>
        <w:t>其中MLF到期</w:t>
      </w:r>
      <w:r w:rsidR="009D7EB8">
        <w:rPr>
          <w:rFonts w:ascii="华文楷体" w:hAnsi="华文楷体"/>
          <w:sz w:val="24"/>
          <w:szCs w:val="24"/>
          <w:lang w:eastAsia="zh-CN"/>
        </w:rPr>
        <w:t>回笼</w:t>
      </w:r>
      <w:r w:rsidR="009D7EB8">
        <w:rPr>
          <w:rFonts w:ascii="华文楷体" w:hAnsi="华文楷体" w:hint="eastAsia"/>
          <w:sz w:val="24"/>
          <w:szCs w:val="24"/>
          <w:lang w:eastAsia="zh-CN"/>
        </w:rPr>
        <w:t>4000亿</w:t>
      </w:r>
      <w:r w:rsidR="009D7EB8">
        <w:rPr>
          <w:rFonts w:ascii="华文楷体" w:hAnsi="华文楷体"/>
          <w:sz w:val="24"/>
          <w:szCs w:val="24"/>
          <w:lang w:eastAsia="zh-CN"/>
        </w:rPr>
        <w:t>。</w:t>
      </w:r>
      <w:r w:rsidR="00EC3415">
        <w:rPr>
          <w:rFonts w:ascii="华文楷体" w:hAnsi="华文楷体" w:hint="eastAsia"/>
          <w:sz w:val="24"/>
          <w:szCs w:val="24"/>
          <w:lang w:eastAsia="zh-CN"/>
        </w:rPr>
        <w:t>流动性</w:t>
      </w:r>
      <w:r w:rsidR="009D7EB8">
        <w:rPr>
          <w:rFonts w:ascii="华文楷体" w:hAnsi="华文楷体" w:hint="eastAsia"/>
          <w:sz w:val="24"/>
          <w:szCs w:val="24"/>
          <w:lang w:eastAsia="zh-CN"/>
        </w:rPr>
        <w:t>较1</w:t>
      </w:r>
      <w:r w:rsidR="009D7EB8">
        <w:rPr>
          <w:rFonts w:ascii="华文楷体" w:hAnsi="华文楷体"/>
          <w:sz w:val="24"/>
          <w:szCs w:val="24"/>
          <w:lang w:eastAsia="zh-CN"/>
        </w:rPr>
        <w:t>0</w:t>
      </w:r>
      <w:r w:rsidR="009D7EB8">
        <w:rPr>
          <w:rFonts w:ascii="华文楷体" w:hAnsi="华文楷体" w:hint="eastAsia"/>
          <w:sz w:val="24"/>
          <w:szCs w:val="24"/>
          <w:lang w:eastAsia="zh-CN"/>
        </w:rPr>
        <w:t>月</w:t>
      </w:r>
      <w:r w:rsidR="009D7EB8">
        <w:rPr>
          <w:rFonts w:ascii="华文楷体" w:hAnsi="华文楷体"/>
          <w:sz w:val="24"/>
          <w:szCs w:val="24"/>
          <w:lang w:eastAsia="zh-CN"/>
        </w:rPr>
        <w:t>末明显放松</w:t>
      </w:r>
      <w:r w:rsidR="00EC3415">
        <w:rPr>
          <w:rFonts w:ascii="华文楷体" w:hAnsi="华文楷体" w:hint="eastAsia"/>
          <w:sz w:val="24"/>
          <w:szCs w:val="24"/>
          <w:lang w:eastAsia="zh-CN"/>
        </w:rPr>
        <w:t>，资金利率大幅走低，</w:t>
      </w:r>
      <w:r w:rsidR="009D7EB8">
        <w:rPr>
          <w:rFonts w:ascii="华文楷体" w:hAnsi="华文楷体" w:hint="eastAsia"/>
          <w:sz w:val="24"/>
          <w:szCs w:val="24"/>
          <w:lang w:eastAsia="zh-CN"/>
        </w:rPr>
        <w:t>周五</w:t>
      </w:r>
      <w:proofErr w:type="gramStart"/>
      <w:r w:rsidR="00EC3415">
        <w:rPr>
          <w:rFonts w:ascii="华文楷体" w:hAnsi="华文楷体" w:hint="eastAsia"/>
          <w:sz w:val="24"/>
          <w:szCs w:val="24"/>
          <w:lang w:eastAsia="zh-CN"/>
        </w:rPr>
        <w:t>隔夜和</w:t>
      </w:r>
      <w:proofErr w:type="gramEnd"/>
      <w:r w:rsidR="00EC3415">
        <w:rPr>
          <w:rFonts w:ascii="华文楷体" w:hAnsi="华文楷体" w:hint="eastAsia"/>
          <w:sz w:val="24"/>
          <w:szCs w:val="24"/>
          <w:lang w:eastAsia="zh-CN"/>
        </w:rPr>
        <w:t>7天回落至</w:t>
      </w:r>
      <w:r w:rsidR="009D7EB8">
        <w:rPr>
          <w:rFonts w:ascii="华文楷体" w:hAnsi="华文楷体"/>
          <w:sz w:val="24"/>
          <w:szCs w:val="24"/>
          <w:lang w:eastAsia="zh-CN"/>
        </w:rPr>
        <w:t>1.88</w:t>
      </w:r>
      <w:r w:rsidR="00EC3415">
        <w:rPr>
          <w:rFonts w:ascii="华文楷体" w:hAnsi="华文楷体" w:hint="eastAsia"/>
          <w:sz w:val="24"/>
          <w:szCs w:val="24"/>
          <w:lang w:eastAsia="zh-CN"/>
        </w:rPr>
        <w:t>%和</w:t>
      </w:r>
      <w:r w:rsidR="009D7EB8">
        <w:rPr>
          <w:rFonts w:ascii="华文楷体" w:hAnsi="华文楷体"/>
          <w:sz w:val="24"/>
          <w:szCs w:val="24"/>
          <w:lang w:eastAsia="zh-CN"/>
        </w:rPr>
        <w:t>2.40</w:t>
      </w:r>
      <w:r w:rsidR="00EC3415">
        <w:rPr>
          <w:rFonts w:ascii="华文楷体" w:hAnsi="华文楷体" w:hint="eastAsia"/>
          <w:sz w:val="24"/>
          <w:szCs w:val="24"/>
          <w:lang w:eastAsia="zh-CN"/>
        </w:rPr>
        <w:t>%</w:t>
      </w:r>
      <w:r w:rsidR="009D7EB8">
        <w:rPr>
          <w:rFonts w:ascii="华文楷体" w:hAnsi="华文楷体" w:hint="eastAsia"/>
          <w:sz w:val="24"/>
          <w:szCs w:val="24"/>
          <w:lang w:eastAsia="zh-CN"/>
        </w:rPr>
        <w:t>，</w:t>
      </w:r>
      <w:r w:rsidR="009D7EB8">
        <w:rPr>
          <w:rFonts w:ascii="华文楷体" w:hAnsi="华文楷体"/>
          <w:sz w:val="24"/>
          <w:szCs w:val="24"/>
          <w:lang w:eastAsia="zh-CN"/>
        </w:rPr>
        <w:t>较上周</w:t>
      </w:r>
      <w:r w:rsidR="009D7EB8">
        <w:rPr>
          <w:rFonts w:ascii="华文楷体" w:hAnsi="华文楷体" w:hint="eastAsia"/>
          <w:sz w:val="24"/>
          <w:szCs w:val="24"/>
          <w:lang w:eastAsia="zh-CN"/>
        </w:rPr>
        <w:t>分别</w:t>
      </w:r>
      <w:r w:rsidR="009D7EB8">
        <w:rPr>
          <w:rFonts w:ascii="华文楷体" w:hAnsi="华文楷体"/>
          <w:sz w:val="24"/>
          <w:szCs w:val="24"/>
          <w:lang w:eastAsia="zh-CN"/>
        </w:rPr>
        <w:t>下行</w:t>
      </w:r>
      <w:r w:rsidR="009D7EB8">
        <w:rPr>
          <w:rFonts w:ascii="华文楷体" w:hAnsi="华文楷体" w:hint="eastAsia"/>
          <w:sz w:val="24"/>
          <w:szCs w:val="24"/>
          <w:lang w:eastAsia="zh-CN"/>
        </w:rPr>
        <w:t>74BP和78BP</w:t>
      </w:r>
      <w:r w:rsidR="00EC3415">
        <w:rPr>
          <w:rFonts w:ascii="华文楷体" w:hAnsi="华文楷体" w:hint="eastAsia"/>
          <w:sz w:val="24"/>
          <w:szCs w:val="24"/>
          <w:lang w:eastAsia="zh-CN"/>
        </w:rPr>
        <w:t>。下周公开市场到期</w:t>
      </w:r>
      <w:r w:rsidR="009D7EB8">
        <w:rPr>
          <w:rFonts w:ascii="华文楷体" w:hAnsi="华文楷体" w:hint="eastAsia"/>
          <w:sz w:val="24"/>
          <w:szCs w:val="24"/>
          <w:lang w:eastAsia="zh-CN"/>
        </w:rPr>
        <w:t>52</w:t>
      </w:r>
      <w:r w:rsidR="009D7EB8">
        <w:rPr>
          <w:rFonts w:ascii="华文楷体" w:hAnsi="华文楷体"/>
          <w:sz w:val="24"/>
          <w:szCs w:val="24"/>
          <w:lang w:eastAsia="zh-CN"/>
        </w:rPr>
        <w:t>00</w:t>
      </w:r>
      <w:r w:rsidR="009D7EB8">
        <w:rPr>
          <w:rFonts w:ascii="华文楷体" w:hAnsi="华文楷体" w:hint="eastAsia"/>
          <w:sz w:val="24"/>
          <w:szCs w:val="24"/>
          <w:lang w:eastAsia="zh-CN"/>
        </w:rPr>
        <w:t>亿</w:t>
      </w:r>
      <w:r w:rsidR="009D7EB8">
        <w:rPr>
          <w:rFonts w:ascii="华文楷体" w:hAnsi="华文楷体"/>
          <w:sz w:val="24"/>
          <w:szCs w:val="24"/>
          <w:lang w:eastAsia="zh-CN"/>
        </w:rPr>
        <w:t>，其中</w:t>
      </w:r>
      <w:r w:rsidR="009D7EB8">
        <w:rPr>
          <w:rFonts w:ascii="华文楷体" w:hAnsi="华文楷体" w:hint="eastAsia"/>
          <w:sz w:val="24"/>
          <w:szCs w:val="24"/>
          <w:lang w:eastAsia="zh-CN"/>
        </w:rPr>
        <w:t>MFL到期2000亿</w:t>
      </w:r>
      <w:r w:rsidR="00EC3415">
        <w:rPr>
          <w:rFonts w:ascii="华文楷体" w:hAnsi="华文楷体" w:hint="eastAsia"/>
          <w:sz w:val="24"/>
          <w:szCs w:val="24"/>
          <w:lang w:eastAsia="zh-CN"/>
        </w:rPr>
        <w:t>，</w:t>
      </w:r>
      <w:r w:rsidR="009D7EB8">
        <w:rPr>
          <w:rFonts w:ascii="华文楷体" w:hAnsi="华文楷体" w:hint="eastAsia"/>
          <w:sz w:val="24"/>
          <w:szCs w:val="24"/>
          <w:lang w:eastAsia="zh-CN"/>
        </w:rPr>
        <w:t>关注央行MLF操作</w:t>
      </w:r>
      <w:r w:rsidR="009D7EB8">
        <w:rPr>
          <w:rFonts w:ascii="华文楷体" w:hAnsi="华文楷体"/>
          <w:sz w:val="24"/>
          <w:szCs w:val="24"/>
          <w:lang w:eastAsia="zh-CN"/>
        </w:rPr>
        <w:t>情况</w:t>
      </w:r>
      <w:r w:rsidR="00EC3415">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60E58867" w14:textId="77777777" w:rsidTr="009D7EB8">
        <w:trPr>
          <w:jc w:val="center"/>
        </w:trPr>
        <w:tc>
          <w:tcPr>
            <w:tcW w:w="4939" w:type="dxa"/>
            <w:vAlign w:val="center"/>
          </w:tcPr>
          <w:p w14:paraId="17724E9F" w14:textId="1A5A88F2" w:rsidR="00E0626C" w:rsidRPr="006A5F34" w:rsidRDefault="00E0626C" w:rsidP="009A2BA0">
            <w:pPr>
              <w:pStyle w:val="ChartHeading"/>
              <w:jc w:val="both"/>
            </w:pPr>
            <w:bookmarkStart w:id="0" w:name="_Hlk12804578"/>
            <w:r w:rsidRPr="006A5F34">
              <w:rPr>
                <w:rFonts w:hint="eastAsia"/>
              </w:rPr>
              <w:t>图表</w:t>
            </w:r>
            <w:r w:rsidRPr="006A5F34">
              <w:t xml:space="preserve">. </w:t>
            </w:r>
            <w:r>
              <w:rPr>
                <w:rFonts w:hint="eastAsia"/>
              </w:rPr>
              <w:t>央行公开市场</w:t>
            </w:r>
            <w:r w:rsidR="00065B19">
              <w:rPr>
                <w:rFonts w:hint="eastAsia"/>
              </w:rPr>
              <w:t>逆回购</w:t>
            </w:r>
            <w:r>
              <w:rPr>
                <w:rFonts w:hint="eastAsia"/>
              </w:rPr>
              <w:t>操作</w:t>
            </w:r>
          </w:p>
        </w:tc>
        <w:tc>
          <w:tcPr>
            <w:tcW w:w="4938" w:type="dxa"/>
            <w:vAlign w:val="center"/>
          </w:tcPr>
          <w:p w14:paraId="173ED7B2" w14:textId="65A78209" w:rsidR="00E0626C" w:rsidRPr="006A5F34" w:rsidRDefault="00E0626C" w:rsidP="009A2BA0">
            <w:pPr>
              <w:pStyle w:val="ChartHeading"/>
              <w:jc w:val="both"/>
            </w:pPr>
            <w:r w:rsidRPr="006A5F34">
              <w:rPr>
                <w:rFonts w:hint="eastAsia"/>
              </w:rPr>
              <w:t>图表</w:t>
            </w:r>
            <w:r w:rsidRPr="006A5F34">
              <w:t xml:space="preserve">. </w:t>
            </w:r>
            <w:r>
              <w:rPr>
                <w:rFonts w:hint="eastAsia"/>
              </w:rPr>
              <w:t>DR</w:t>
            </w:r>
            <w:r>
              <w:t>007</w:t>
            </w:r>
            <w:r>
              <w:rPr>
                <w:rFonts w:hint="eastAsia"/>
              </w:rPr>
              <w:t>与</w:t>
            </w:r>
            <w:r>
              <w:rPr>
                <w:rFonts w:hint="eastAsia"/>
              </w:rPr>
              <w:t>R</w:t>
            </w:r>
            <w:r>
              <w:t>007</w:t>
            </w:r>
            <w:r>
              <w:rPr>
                <w:rFonts w:hint="eastAsia"/>
              </w:rPr>
              <w:t>走势</w:t>
            </w:r>
          </w:p>
        </w:tc>
      </w:tr>
      <w:tr w:rsidR="00E0626C" w:rsidRPr="006A5F34" w14:paraId="794C3731" w14:textId="77777777" w:rsidTr="009D7EB8">
        <w:tblPrEx>
          <w:tblCellMar>
            <w:left w:w="108" w:type="dxa"/>
            <w:right w:w="108" w:type="dxa"/>
          </w:tblCellMar>
        </w:tblPrEx>
        <w:trPr>
          <w:jc w:val="center"/>
        </w:trPr>
        <w:tc>
          <w:tcPr>
            <w:tcW w:w="4939" w:type="dxa"/>
            <w:vAlign w:val="center"/>
          </w:tcPr>
          <w:p w14:paraId="60AEAEDC" w14:textId="42EA796A" w:rsidR="00E0626C" w:rsidRPr="007E0340" w:rsidRDefault="009D7EB8" w:rsidP="009A2BA0">
            <w:pPr>
              <w:jc w:val="center"/>
              <w:rPr>
                <w:noProof/>
              </w:rPr>
            </w:pPr>
            <w:r>
              <w:rPr>
                <w:noProof/>
              </w:rPr>
              <w:drawing>
                <wp:inline distT="0" distB="0" distL="0" distR="0" wp14:anchorId="3840A835" wp14:editId="182BA624">
                  <wp:extent cx="2999105" cy="1725434"/>
                  <wp:effectExtent l="0" t="0" r="0" b="8255"/>
                  <wp:docPr id="1" name="图表 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76F8170C-D45B-4962-B9C5-BAA948BBB5C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tc>
        <w:tc>
          <w:tcPr>
            <w:tcW w:w="4938" w:type="dxa"/>
            <w:vAlign w:val="center"/>
          </w:tcPr>
          <w:p w14:paraId="287706CA" w14:textId="588040D6" w:rsidR="00E0626C" w:rsidRPr="007E0340" w:rsidRDefault="009D7EB8" w:rsidP="009A2BA0">
            <w:pPr>
              <w:jc w:val="center"/>
              <w:rPr>
                <w:noProof/>
                <w:szCs w:val="18"/>
              </w:rPr>
            </w:pPr>
            <w:r>
              <w:rPr>
                <w:noProof/>
              </w:rPr>
              <w:drawing>
                <wp:inline distT="0" distB="0" distL="0" distR="0" wp14:anchorId="4B443FF6" wp14:editId="4340936C">
                  <wp:extent cx="3069204" cy="1683385"/>
                  <wp:effectExtent l="0" t="0" r="0" b="0"/>
                  <wp:docPr id="3" name="图表 3">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9ACE2F8-ED3B-41A4-AA37-1218E9D615F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tc>
      </w:tr>
      <w:tr w:rsidR="00E0626C" w:rsidRPr="006A5F34" w14:paraId="59562A2C" w14:textId="77777777" w:rsidTr="009D7EB8">
        <w:trPr>
          <w:trHeight w:val="64"/>
          <w:jc w:val="center"/>
        </w:trPr>
        <w:tc>
          <w:tcPr>
            <w:tcW w:w="4939" w:type="dxa"/>
            <w:vAlign w:val="center"/>
          </w:tcPr>
          <w:p w14:paraId="7BEE3B66"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7D69A7C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bookmarkEnd w:id="0"/>
    </w:tbl>
    <w:p w14:paraId="599CD2B1" w14:textId="77777777" w:rsidR="00E0626C" w:rsidRPr="004003D2" w:rsidRDefault="00E0626C" w:rsidP="009A2BA0">
      <w:pPr>
        <w:pStyle w:val="Body-text"/>
        <w:spacing w:after="0"/>
        <w:rPr>
          <w:lang w:eastAsia="zh-CN"/>
        </w:rPr>
      </w:pPr>
    </w:p>
    <w:p w14:paraId="704BC20A" w14:textId="65C0D621" w:rsidR="00E0626C" w:rsidRPr="00C73E5D" w:rsidRDefault="00E0626C" w:rsidP="009A2BA0">
      <w:pPr>
        <w:pStyle w:val="Header2"/>
        <w:rPr>
          <w:rFonts w:eastAsia="PMingLiU"/>
          <w:sz w:val="28"/>
          <w:szCs w:val="21"/>
        </w:rPr>
      </w:pPr>
      <w:r>
        <w:rPr>
          <w:sz w:val="28"/>
          <w:szCs w:val="21"/>
          <w:lang w:eastAsia="zh-CN"/>
        </w:rPr>
        <w:t>2</w:t>
      </w:r>
      <w:r>
        <w:rPr>
          <w:rFonts w:hint="eastAsia"/>
          <w:sz w:val="28"/>
          <w:szCs w:val="21"/>
          <w:lang w:eastAsia="zh-CN"/>
        </w:rPr>
        <w:t>、</w:t>
      </w:r>
      <w:r>
        <w:rPr>
          <w:rFonts w:hint="eastAsia"/>
          <w:sz w:val="28"/>
          <w:szCs w:val="21"/>
        </w:rPr>
        <w:t>利率债</w:t>
      </w:r>
    </w:p>
    <w:p w14:paraId="57F5B859" w14:textId="652A361A" w:rsidR="00D948D7" w:rsidRDefault="00882FA5" w:rsidP="00202D86">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本周债市</w:t>
      </w:r>
      <w:r w:rsidR="00A95B0C">
        <w:rPr>
          <w:rFonts w:ascii="华文楷体" w:hAnsi="华文楷体" w:hint="eastAsia"/>
          <w:sz w:val="24"/>
          <w:szCs w:val="24"/>
          <w:lang w:eastAsia="zh-CN"/>
        </w:rPr>
        <w:t>收益率</w:t>
      </w:r>
      <w:r w:rsidR="00A95B0C" w:rsidRPr="00A95B0C">
        <w:rPr>
          <w:rFonts w:ascii="华文楷体" w:hAnsi="华文楷体" w:hint="eastAsia"/>
          <w:sz w:val="24"/>
          <w:szCs w:val="24"/>
          <w:lang w:eastAsia="zh-CN"/>
        </w:rPr>
        <w:t>曲线</w:t>
      </w:r>
      <w:r w:rsidR="00A95B0C">
        <w:rPr>
          <w:rFonts w:ascii="华文楷体" w:hAnsi="华文楷体" w:hint="eastAsia"/>
          <w:sz w:val="24"/>
          <w:szCs w:val="24"/>
          <w:lang w:eastAsia="zh-CN"/>
        </w:rPr>
        <w:t>小幅</w:t>
      </w:r>
      <w:r w:rsidR="00A95B0C" w:rsidRPr="00A95B0C">
        <w:rPr>
          <w:rFonts w:ascii="华文楷体" w:hAnsi="华文楷体" w:hint="eastAsia"/>
          <w:sz w:val="24"/>
          <w:szCs w:val="24"/>
          <w:lang w:eastAsia="zh-CN"/>
        </w:rPr>
        <w:t>上移</w:t>
      </w:r>
      <w:r w:rsidR="00A95B0C">
        <w:rPr>
          <w:rFonts w:ascii="华文楷体" w:hAnsi="华文楷体" w:hint="eastAsia"/>
          <w:sz w:val="24"/>
          <w:szCs w:val="24"/>
          <w:lang w:eastAsia="zh-CN"/>
        </w:rPr>
        <w:t>，短期仍缺少</w:t>
      </w:r>
      <w:r w:rsidR="00A95B0C">
        <w:rPr>
          <w:rFonts w:ascii="华文楷体" w:hAnsi="华文楷体"/>
          <w:sz w:val="24"/>
          <w:szCs w:val="24"/>
          <w:lang w:eastAsia="zh-CN"/>
        </w:rPr>
        <w:t>明显</w:t>
      </w:r>
      <w:r w:rsidR="00A95B0C">
        <w:rPr>
          <w:rFonts w:ascii="华文楷体" w:hAnsi="华文楷体" w:hint="eastAsia"/>
          <w:sz w:val="24"/>
          <w:szCs w:val="24"/>
          <w:lang w:eastAsia="zh-CN"/>
        </w:rPr>
        <w:t>存在</w:t>
      </w:r>
      <w:r w:rsidR="00A95B0C">
        <w:rPr>
          <w:rFonts w:ascii="华文楷体" w:hAnsi="华文楷体"/>
          <w:sz w:val="24"/>
          <w:szCs w:val="24"/>
          <w:lang w:eastAsia="zh-CN"/>
        </w:rPr>
        <w:t>预期差的</w:t>
      </w:r>
      <w:r w:rsidR="00A95B0C">
        <w:rPr>
          <w:rFonts w:ascii="华文楷体" w:hAnsi="华文楷体" w:hint="eastAsia"/>
          <w:sz w:val="24"/>
          <w:szCs w:val="24"/>
          <w:lang w:eastAsia="zh-CN"/>
        </w:rPr>
        <w:t>刺激</w:t>
      </w:r>
      <w:r w:rsidR="00A95B0C">
        <w:rPr>
          <w:rFonts w:ascii="华文楷体" w:hAnsi="华文楷体"/>
          <w:sz w:val="24"/>
          <w:szCs w:val="24"/>
          <w:lang w:eastAsia="zh-CN"/>
        </w:rPr>
        <w:t>，但配置力量的缺席也使得债市持续呈现一定涨跌</w:t>
      </w:r>
      <w:r w:rsidR="00A95B0C">
        <w:rPr>
          <w:rFonts w:ascii="华文楷体" w:hAnsi="华文楷体" w:hint="eastAsia"/>
          <w:sz w:val="24"/>
          <w:szCs w:val="24"/>
          <w:lang w:eastAsia="zh-CN"/>
        </w:rPr>
        <w:t>互现</w:t>
      </w:r>
      <w:r w:rsidR="00A95B0C">
        <w:rPr>
          <w:rFonts w:ascii="华文楷体" w:hAnsi="华文楷体"/>
          <w:sz w:val="24"/>
          <w:szCs w:val="24"/>
          <w:lang w:eastAsia="zh-CN"/>
        </w:rPr>
        <w:t>态势，整体尚在震荡</w:t>
      </w:r>
      <w:r w:rsidR="00A95B0C">
        <w:rPr>
          <w:rFonts w:ascii="华文楷体" w:hAnsi="华文楷体" w:hint="eastAsia"/>
          <w:sz w:val="24"/>
          <w:szCs w:val="24"/>
          <w:lang w:eastAsia="zh-CN"/>
        </w:rPr>
        <w:t>格局</w:t>
      </w:r>
      <w:r w:rsidR="00A95B0C">
        <w:rPr>
          <w:rFonts w:ascii="华文楷体" w:hAnsi="华文楷体"/>
          <w:sz w:val="24"/>
          <w:szCs w:val="24"/>
          <w:lang w:eastAsia="zh-CN"/>
        </w:rPr>
        <w:t>之中</w:t>
      </w:r>
      <w:r>
        <w:rPr>
          <w:rFonts w:ascii="华文楷体" w:hAnsi="华文楷体" w:hint="eastAsia"/>
          <w:sz w:val="24"/>
          <w:szCs w:val="24"/>
          <w:lang w:eastAsia="zh-CN"/>
        </w:rPr>
        <w:t>。全周</w:t>
      </w:r>
      <w:r w:rsidR="00202D86">
        <w:rPr>
          <w:rFonts w:ascii="华文楷体" w:hAnsi="华文楷体" w:hint="eastAsia"/>
          <w:sz w:val="24"/>
          <w:szCs w:val="24"/>
          <w:lang w:eastAsia="zh-CN"/>
        </w:rPr>
        <w:t>1</w:t>
      </w:r>
      <w:r w:rsidR="00202D86">
        <w:rPr>
          <w:rFonts w:ascii="华文楷体" w:hAnsi="华文楷体"/>
          <w:sz w:val="24"/>
          <w:szCs w:val="24"/>
          <w:lang w:eastAsia="zh-CN"/>
        </w:rPr>
        <w:t>0</w:t>
      </w:r>
      <w:r w:rsidR="00202D86">
        <w:rPr>
          <w:rFonts w:ascii="华文楷体" w:hAnsi="华文楷体" w:hint="eastAsia"/>
          <w:sz w:val="24"/>
          <w:szCs w:val="24"/>
          <w:lang w:eastAsia="zh-CN"/>
        </w:rPr>
        <w:t>Y国债</w:t>
      </w:r>
      <w:r w:rsidR="00A95B0C">
        <w:rPr>
          <w:rFonts w:ascii="华文楷体" w:hAnsi="华文楷体" w:hint="eastAsia"/>
          <w:sz w:val="24"/>
          <w:szCs w:val="24"/>
          <w:lang w:eastAsia="zh-CN"/>
        </w:rPr>
        <w:t>上行2.5BP，10年国开上行</w:t>
      </w:r>
      <w:r w:rsidR="00202D86">
        <w:rPr>
          <w:rFonts w:ascii="华文楷体" w:hAnsi="华文楷体" w:hint="eastAsia"/>
          <w:sz w:val="24"/>
          <w:szCs w:val="24"/>
          <w:lang w:eastAsia="zh-CN"/>
        </w:rPr>
        <w:t>1</w:t>
      </w:r>
      <w:r w:rsidR="00202D86">
        <w:rPr>
          <w:rFonts w:ascii="华文楷体" w:hAnsi="华文楷体"/>
          <w:sz w:val="24"/>
          <w:szCs w:val="24"/>
          <w:lang w:eastAsia="zh-CN"/>
        </w:rPr>
        <w:t>.5</w:t>
      </w:r>
      <w:r w:rsidR="00202D86">
        <w:rPr>
          <w:rFonts w:ascii="华文楷体" w:hAnsi="华文楷体" w:hint="eastAsia"/>
          <w:sz w:val="24"/>
          <w:szCs w:val="24"/>
          <w:lang w:eastAsia="zh-CN"/>
        </w:rPr>
        <w:t>BP，</w:t>
      </w:r>
      <w:r w:rsidR="00A95B0C">
        <w:rPr>
          <w:rFonts w:ascii="华文楷体" w:hAnsi="华文楷体" w:hint="eastAsia"/>
          <w:sz w:val="24"/>
          <w:szCs w:val="24"/>
          <w:lang w:eastAsia="zh-CN"/>
        </w:rPr>
        <w:t>短端受</w:t>
      </w:r>
      <w:r w:rsidR="00A95B0C">
        <w:rPr>
          <w:rFonts w:ascii="华文楷体" w:hAnsi="华文楷体"/>
          <w:sz w:val="24"/>
          <w:szCs w:val="24"/>
          <w:lang w:eastAsia="zh-CN"/>
        </w:rPr>
        <w:t>资金面影响下行明显</w:t>
      </w:r>
      <w:r w:rsidR="00202D86">
        <w:rPr>
          <w:rFonts w:ascii="华文楷体" w:hAnsi="华文楷体" w:hint="eastAsia"/>
          <w:sz w:val="24"/>
          <w:szCs w:val="24"/>
          <w:lang w:eastAsia="zh-CN"/>
        </w:rPr>
        <w:t>。</w:t>
      </w:r>
      <w:r w:rsidR="00CD4BE1">
        <w:rPr>
          <w:rFonts w:ascii="华文楷体" w:hAnsi="华文楷体" w:hint="eastAsia"/>
          <w:sz w:val="24"/>
          <w:szCs w:val="24"/>
          <w:lang w:eastAsia="zh-CN"/>
        </w:rPr>
        <w:t>值得</w:t>
      </w:r>
      <w:r w:rsidR="00CD4BE1">
        <w:rPr>
          <w:rFonts w:ascii="华文楷体" w:hAnsi="华文楷体"/>
          <w:sz w:val="24"/>
          <w:szCs w:val="24"/>
          <w:lang w:eastAsia="zh-CN"/>
        </w:rPr>
        <w:t>关注的是</w:t>
      </w:r>
      <w:r w:rsidR="00CD4BE1">
        <w:rPr>
          <w:rFonts w:ascii="华文楷体" w:hAnsi="华文楷体" w:hint="eastAsia"/>
          <w:sz w:val="24"/>
          <w:szCs w:val="24"/>
          <w:lang w:eastAsia="zh-CN"/>
        </w:rPr>
        <w:t>5年</w:t>
      </w:r>
      <w:r w:rsidR="00CD4BE1">
        <w:rPr>
          <w:rFonts w:ascii="华文楷体" w:hAnsi="华文楷体"/>
          <w:sz w:val="24"/>
          <w:szCs w:val="24"/>
          <w:lang w:eastAsia="zh-CN"/>
        </w:rPr>
        <w:t>国债上行近</w:t>
      </w:r>
      <w:r w:rsidR="00CD4BE1">
        <w:rPr>
          <w:rFonts w:ascii="华文楷体" w:hAnsi="华文楷体" w:hint="eastAsia"/>
          <w:sz w:val="24"/>
          <w:szCs w:val="24"/>
          <w:lang w:eastAsia="zh-CN"/>
        </w:rPr>
        <w:t>6BP，7年</w:t>
      </w:r>
      <w:r w:rsidR="00CD4BE1">
        <w:rPr>
          <w:rFonts w:ascii="华文楷体" w:hAnsi="华文楷体"/>
          <w:sz w:val="24"/>
          <w:szCs w:val="24"/>
          <w:lang w:eastAsia="zh-CN"/>
        </w:rPr>
        <w:t>国开</w:t>
      </w:r>
      <w:r w:rsidR="004B5A5C">
        <w:rPr>
          <w:rFonts w:ascii="华文楷体" w:hAnsi="华文楷体" w:hint="eastAsia"/>
          <w:sz w:val="24"/>
          <w:szCs w:val="24"/>
          <w:lang w:eastAsia="zh-CN"/>
        </w:rPr>
        <w:t>下行</w:t>
      </w:r>
      <w:r w:rsidR="00CD4BE1">
        <w:rPr>
          <w:rFonts w:ascii="华文楷体" w:hAnsi="华文楷体" w:hint="eastAsia"/>
          <w:sz w:val="24"/>
          <w:szCs w:val="24"/>
          <w:lang w:eastAsia="zh-CN"/>
        </w:rPr>
        <w:t>6.4B</w:t>
      </w:r>
      <w:r w:rsidR="00CD4BE1">
        <w:rPr>
          <w:rFonts w:ascii="华文楷体" w:hAnsi="华文楷体"/>
          <w:sz w:val="24"/>
          <w:szCs w:val="24"/>
          <w:lang w:eastAsia="zh-CN"/>
        </w:rPr>
        <w:t>P</w:t>
      </w:r>
      <w:r w:rsidR="00CD4BE1">
        <w:rPr>
          <w:rFonts w:ascii="华文楷体" w:hAnsi="华文楷体" w:hint="eastAsia"/>
          <w:sz w:val="24"/>
          <w:szCs w:val="24"/>
          <w:lang w:eastAsia="zh-CN"/>
        </w:rPr>
        <w:t>，主要</w:t>
      </w:r>
      <w:r w:rsidR="00CD4BE1">
        <w:rPr>
          <w:rFonts w:ascii="华文楷体" w:hAnsi="华文楷体"/>
          <w:sz w:val="24"/>
          <w:szCs w:val="24"/>
          <w:lang w:eastAsia="zh-CN"/>
        </w:rPr>
        <w:t>是配置盘和交易盘可能存在一定差异。</w:t>
      </w:r>
      <w:bookmarkStart w:id="1" w:name="_GoBack"/>
      <w:bookmarkEnd w:id="1"/>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26C17AB1" w14:textId="77777777" w:rsidTr="00202D86">
        <w:trPr>
          <w:jc w:val="center"/>
        </w:trPr>
        <w:tc>
          <w:tcPr>
            <w:tcW w:w="4939" w:type="dxa"/>
            <w:vAlign w:val="center"/>
          </w:tcPr>
          <w:p w14:paraId="6C73AA55" w14:textId="11937E54" w:rsidR="00E0626C" w:rsidRPr="006A5F34" w:rsidRDefault="00E0626C" w:rsidP="00BA168E">
            <w:pPr>
              <w:pStyle w:val="ChartHeading"/>
              <w:jc w:val="both"/>
            </w:pPr>
            <w:r w:rsidRPr="006A5F34">
              <w:rPr>
                <w:rFonts w:hint="eastAsia"/>
              </w:rPr>
              <w:t>图表</w:t>
            </w:r>
            <w:r w:rsidRPr="006A5F34">
              <w:t xml:space="preserve">. </w:t>
            </w:r>
            <w:r>
              <w:rPr>
                <w:rFonts w:hint="eastAsia"/>
              </w:rPr>
              <w:t>国债收益率曲线和变化</w:t>
            </w:r>
          </w:p>
        </w:tc>
        <w:tc>
          <w:tcPr>
            <w:tcW w:w="4938" w:type="dxa"/>
            <w:vAlign w:val="center"/>
          </w:tcPr>
          <w:p w14:paraId="2C5A7EDC" w14:textId="7D7F9BC1" w:rsidR="00E0626C" w:rsidRPr="006A5F34" w:rsidRDefault="00E0626C" w:rsidP="009A2BA0">
            <w:pPr>
              <w:pStyle w:val="ChartHeading"/>
              <w:jc w:val="both"/>
            </w:pPr>
            <w:r w:rsidRPr="006A5F34">
              <w:rPr>
                <w:rFonts w:hint="eastAsia"/>
              </w:rPr>
              <w:t>图表</w:t>
            </w:r>
            <w:r w:rsidRPr="006A5F34">
              <w:t xml:space="preserve">. </w:t>
            </w:r>
            <w:proofErr w:type="gramStart"/>
            <w:r>
              <w:rPr>
                <w:rFonts w:hint="eastAsia"/>
              </w:rPr>
              <w:t>国开债收益率曲线</w:t>
            </w:r>
            <w:proofErr w:type="gramEnd"/>
            <w:r>
              <w:rPr>
                <w:rFonts w:hint="eastAsia"/>
              </w:rPr>
              <w:t>和变化</w:t>
            </w:r>
          </w:p>
        </w:tc>
      </w:tr>
      <w:tr w:rsidR="00E0626C" w:rsidRPr="006A5F34" w14:paraId="1094FBBD" w14:textId="77777777" w:rsidTr="00A95B0C">
        <w:tblPrEx>
          <w:tblCellMar>
            <w:left w:w="108" w:type="dxa"/>
            <w:right w:w="108" w:type="dxa"/>
          </w:tblCellMar>
        </w:tblPrEx>
        <w:trPr>
          <w:jc w:val="center"/>
        </w:trPr>
        <w:tc>
          <w:tcPr>
            <w:tcW w:w="4939" w:type="dxa"/>
            <w:vAlign w:val="center"/>
          </w:tcPr>
          <w:p w14:paraId="678C97B0" w14:textId="66BEDC87" w:rsidR="00E0626C" w:rsidRPr="007E0340" w:rsidRDefault="00A95B0C" w:rsidP="009A2BA0">
            <w:pPr>
              <w:jc w:val="center"/>
              <w:rPr>
                <w:noProof/>
              </w:rPr>
            </w:pPr>
            <w:r>
              <w:rPr>
                <w:noProof/>
              </w:rPr>
              <w:drawing>
                <wp:inline distT="0" distB="0" distL="0" distR="0" wp14:anchorId="431F200D" wp14:editId="32A3C760">
                  <wp:extent cx="2999105" cy="1717482"/>
                  <wp:effectExtent l="0" t="0" r="0" b="0"/>
                  <wp:docPr id="4" name="图表 4">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D50B65EB-7239-4E29-827D-F3FF0848949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tc>
        <w:tc>
          <w:tcPr>
            <w:tcW w:w="4938" w:type="dxa"/>
            <w:vAlign w:val="center"/>
          </w:tcPr>
          <w:p w14:paraId="17A42E68" w14:textId="433CA767" w:rsidR="00E0626C" w:rsidRPr="007E0340" w:rsidRDefault="00A95B0C" w:rsidP="009A2BA0">
            <w:pPr>
              <w:jc w:val="center"/>
              <w:rPr>
                <w:noProof/>
                <w:szCs w:val="18"/>
              </w:rPr>
            </w:pPr>
            <w:r>
              <w:rPr>
                <w:noProof/>
              </w:rPr>
              <w:drawing>
                <wp:inline distT="0" distB="0" distL="0" distR="0" wp14:anchorId="08EEE02E" wp14:editId="72F4AE7E">
                  <wp:extent cx="2998470" cy="1729602"/>
                  <wp:effectExtent l="0" t="0" r="0" b="4445"/>
                  <wp:docPr id="6" name="图表 6">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4D414F55-FBB9-413F-8332-C509CC30C41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c>
      </w:tr>
      <w:tr w:rsidR="00E0626C" w:rsidRPr="006A5F34" w14:paraId="70E50E5B" w14:textId="77777777" w:rsidTr="00202D86">
        <w:trPr>
          <w:trHeight w:val="64"/>
          <w:jc w:val="center"/>
        </w:trPr>
        <w:tc>
          <w:tcPr>
            <w:tcW w:w="4939" w:type="dxa"/>
            <w:vAlign w:val="center"/>
          </w:tcPr>
          <w:p w14:paraId="3E8A3EBA"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589540D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1E64B73D" w14:textId="1D9B94CF" w:rsidR="00E0626C" w:rsidRDefault="00E0626C" w:rsidP="009A2BA0">
      <w:pPr>
        <w:pStyle w:val="Body-text"/>
        <w:spacing w:after="0"/>
        <w:rPr>
          <w:lang w:eastAsia="zh-CN"/>
        </w:rPr>
      </w:pPr>
    </w:p>
    <w:p w14:paraId="18D67482" w14:textId="3EDA3EA7" w:rsidR="00E0626C" w:rsidRPr="00C73E5D" w:rsidRDefault="00E0626C" w:rsidP="009A2BA0">
      <w:pPr>
        <w:pStyle w:val="Header2"/>
        <w:rPr>
          <w:rFonts w:eastAsia="PMingLiU"/>
          <w:sz w:val="28"/>
          <w:szCs w:val="21"/>
        </w:rPr>
      </w:pPr>
      <w:r>
        <w:rPr>
          <w:sz w:val="28"/>
          <w:szCs w:val="21"/>
          <w:lang w:eastAsia="zh-CN"/>
        </w:rPr>
        <w:t>3</w:t>
      </w:r>
      <w:r>
        <w:rPr>
          <w:rFonts w:hint="eastAsia"/>
          <w:sz w:val="28"/>
          <w:szCs w:val="21"/>
          <w:lang w:eastAsia="zh-CN"/>
        </w:rPr>
        <w:t>、</w:t>
      </w:r>
      <w:r>
        <w:rPr>
          <w:rFonts w:hint="eastAsia"/>
          <w:sz w:val="28"/>
          <w:szCs w:val="21"/>
        </w:rPr>
        <w:t>信用债</w:t>
      </w:r>
    </w:p>
    <w:p w14:paraId="63B7E22F" w14:textId="59511757" w:rsidR="007A3F0D" w:rsidRPr="00AC2976" w:rsidRDefault="00305223" w:rsidP="00305223">
      <w:pPr>
        <w:pStyle w:val="Body-text"/>
        <w:spacing w:after="240"/>
        <w:ind w:firstLineChars="200" w:firstLine="480"/>
        <w:rPr>
          <w:rFonts w:ascii="华文楷体" w:hAnsi="华文楷体"/>
          <w:sz w:val="24"/>
          <w:szCs w:val="24"/>
          <w:lang w:eastAsia="zh-CN"/>
        </w:rPr>
      </w:pPr>
      <w:r w:rsidRPr="00305223">
        <w:rPr>
          <w:rFonts w:ascii="华文楷体" w:hAnsi="华文楷体" w:hint="eastAsia"/>
          <w:sz w:val="24"/>
          <w:szCs w:val="24"/>
          <w:lang w:eastAsia="zh-CN"/>
        </w:rPr>
        <w:t>信用债到期收益率方面，上周</w:t>
      </w:r>
      <w:r w:rsidR="00CD4BE1">
        <w:rPr>
          <w:rFonts w:ascii="华文楷体" w:hAnsi="华文楷体" w:hint="eastAsia"/>
          <w:sz w:val="24"/>
          <w:szCs w:val="24"/>
          <w:lang w:eastAsia="zh-CN"/>
        </w:rPr>
        <w:t>除</w:t>
      </w:r>
      <w:proofErr w:type="gramStart"/>
      <w:r w:rsidR="00CD4BE1">
        <w:rPr>
          <w:rFonts w:ascii="华文楷体" w:hAnsi="华文楷体" w:hint="eastAsia"/>
          <w:sz w:val="24"/>
          <w:szCs w:val="24"/>
          <w:lang w:eastAsia="zh-CN"/>
        </w:rPr>
        <w:t>短融</w:t>
      </w:r>
      <w:r w:rsidR="00CD4BE1">
        <w:rPr>
          <w:rFonts w:ascii="华文楷体" w:hAnsi="华文楷体"/>
          <w:sz w:val="24"/>
          <w:szCs w:val="24"/>
          <w:lang w:eastAsia="zh-CN"/>
        </w:rPr>
        <w:t>外</w:t>
      </w:r>
      <w:proofErr w:type="gramEnd"/>
      <w:r w:rsidR="00CD4BE1">
        <w:rPr>
          <w:rFonts w:ascii="华文楷体" w:hAnsi="华文楷体"/>
          <w:sz w:val="24"/>
          <w:szCs w:val="24"/>
          <w:lang w:eastAsia="zh-CN"/>
        </w:rPr>
        <w:t>，多数信用品种收益率下行为主，其中</w:t>
      </w:r>
      <w:r w:rsidR="00CD4BE1">
        <w:rPr>
          <w:rFonts w:ascii="华文楷体" w:hAnsi="华文楷体" w:hint="eastAsia"/>
          <w:sz w:val="24"/>
          <w:szCs w:val="24"/>
          <w:lang w:eastAsia="zh-CN"/>
        </w:rPr>
        <w:t>5年</w:t>
      </w:r>
      <w:r w:rsidR="00CD4BE1">
        <w:rPr>
          <w:rFonts w:ascii="华文楷体" w:hAnsi="华文楷体"/>
          <w:sz w:val="24"/>
          <w:szCs w:val="24"/>
          <w:lang w:eastAsia="zh-CN"/>
        </w:rPr>
        <w:t>、</w:t>
      </w:r>
      <w:r w:rsidR="00CD4BE1">
        <w:rPr>
          <w:rFonts w:ascii="华文楷体" w:hAnsi="华文楷体" w:hint="eastAsia"/>
          <w:sz w:val="24"/>
          <w:szCs w:val="24"/>
          <w:lang w:eastAsia="zh-CN"/>
        </w:rPr>
        <w:t>7年</w:t>
      </w:r>
      <w:r w:rsidR="00CD4BE1">
        <w:rPr>
          <w:rFonts w:ascii="华文楷体" w:hAnsi="华文楷体"/>
          <w:sz w:val="24"/>
          <w:szCs w:val="24"/>
          <w:lang w:eastAsia="zh-CN"/>
        </w:rPr>
        <w:t>品种表现较好</w:t>
      </w:r>
      <w:r w:rsidRPr="00305223">
        <w:rPr>
          <w:rFonts w:ascii="华文楷体" w:hAnsi="华文楷体" w:hint="eastAsia"/>
          <w:sz w:val="24"/>
          <w:szCs w:val="24"/>
          <w:lang w:eastAsia="zh-CN"/>
        </w:rPr>
        <w:t>。从中短期票据来看，</w:t>
      </w:r>
      <w:r w:rsidR="00CD4BE1">
        <w:rPr>
          <w:rFonts w:ascii="华文楷体" w:hAnsi="华文楷体"/>
          <w:sz w:val="24"/>
          <w:szCs w:val="24"/>
          <w:lang w:eastAsia="zh-CN"/>
        </w:rPr>
        <w:t>5</w:t>
      </w:r>
      <w:r w:rsidR="00CD4BE1">
        <w:rPr>
          <w:rFonts w:ascii="华文楷体" w:hAnsi="华文楷体" w:hint="eastAsia"/>
          <w:sz w:val="24"/>
          <w:szCs w:val="24"/>
          <w:lang w:eastAsia="zh-CN"/>
        </w:rPr>
        <w:t>年</w:t>
      </w:r>
      <w:r w:rsidRPr="00305223">
        <w:rPr>
          <w:rFonts w:ascii="华文楷体" w:hAnsi="华文楷体" w:hint="eastAsia"/>
          <w:sz w:val="24"/>
          <w:szCs w:val="24"/>
          <w:lang w:eastAsia="zh-CN"/>
        </w:rPr>
        <w:t>高等级下行</w:t>
      </w:r>
      <w:r w:rsidR="00CD4BE1">
        <w:rPr>
          <w:rFonts w:ascii="华文楷体" w:hAnsi="华文楷体"/>
          <w:sz w:val="24"/>
          <w:szCs w:val="24"/>
          <w:lang w:eastAsia="zh-CN"/>
        </w:rPr>
        <w:t>3.7</w:t>
      </w:r>
      <w:r w:rsidRPr="00305223">
        <w:rPr>
          <w:rFonts w:ascii="华文楷体" w:hAnsi="华文楷体" w:hint="eastAsia"/>
          <w:sz w:val="24"/>
          <w:szCs w:val="24"/>
          <w:lang w:eastAsia="zh-CN"/>
        </w:rPr>
        <w:t>BP</w:t>
      </w:r>
      <w:r w:rsidR="00CD4BE1">
        <w:rPr>
          <w:rFonts w:ascii="华文楷体" w:hAnsi="华文楷体" w:hint="eastAsia"/>
          <w:sz w:val="24"/>
          <w:szCs w:val="24"/>
          <w:lang w:eastAsia="zh-CN"/>
        </w:rPr>
        <w:t>，</w:t>
      </w:r>
      <w:proofErr w:type="gramStart"/>
      <w:r w:rsidRPr="00305223">
        <w:rPr>
          <w:rFonts w:ascii="华文楷体" w:hAnsi="华文楷体" w:hint="eastAsia"/>
          <w:sz w:val="24"/>
          <w:szCs w:val="24"/>
          <w:lang w:eastAsia="zh-CN"/>
        </w:rPr>
        <w:t>城投债</w:t>
      </w:r>
      <w:proofErr w:type="gramEnd"/>
      <w:r w:rsidR="00CD4BE1">
        <w:rPr>
          <w:rFonts w:ascii="华文楷体" w:hAnsi="华文楷体"/>
          <w:sz w:val="24"/>
          <w:szCs w:val="24"/>
          <w:lang w:eastAsia="zh-CN"/>
        </w:rPr>
        <w:t>7</w:t>
      </w:r>
      <w:r w:rsidRPr="00305223">
        <w:rPr>
          <w:rFonts w:ascii="华文楷体" w:hAnsi="华文楷体" w:hint="eastAsia"/>
          <w:sz w:val="24"/>
          <w:szCs w:val="24"/>
          <w:lang w:eastAsia="zh-CN"/>
        </w:rPr>
        <w:t>Y期下行</w:t>
      </w:r>
      <w:r w:rsidR="00CD4BE1">
        <w:rPr>
          <w:rFonts w:ascii="华文楷体" w:hAnsi="华文楷体"/>
          <w:sz w:val="24"/>
          <w:szCs w:val="24"/>
          <w:lang w:eastAsia="zh-CN"/>
        </w:rPr>
        <w:t>4.7</w:t>
      </w:r>
      <w:r w:rsidRPr="00305223">
        <w:rPr>
          <w:rFonts w:ascii="华文楷体" w:hAnsi="华文楷体" w:hint="eastAsia"/>
          <w:sz w:val="24"/>
          <w:szCs w:val="24"/>
          <w:lang w:eastAsia="zh-CN"/>
        </w:rPr>
        <w:t>BP，</w:t>
      </w:r>
      <w:r w:rsidR="00CD4BE1">
        <w:rPr>
          <w:rFonts w:ascii="华文楷体" w:hAnsi="华文楷体" w:hint="eastAsia"/>
          <w:sz w:val="24"/>
          <w:szCs w:val="24"/>
          <w:lang w:eastAsia="zh-CN"/>
        </w:rPr>
        <w:t>同期限</w:t>
      </w:r>
      <w:proofErr w:type="gramStart"/>
      <w:r w:rsidR="00CD4BE1">
        <w:rPr>
          <w:rFonts w:ascii="华文楷体" w:hAnsi="华文楷体"/>
          <w:sz w:val="24"/>
          <w:szCs w:val="24"/>
          <w:lang w:eastAsia="zh-CN"/>
        </w:rPr>
        <w:t>城投债表现</w:t>
      </w:r>
      <w:proofErr w:type="gramEnd"/>
      <w:r w:rsidR="00CD4BE1">
        <w:rPr>
          <w:rFonts w:ascii="华文楷体" w:hAnsi="华文楷体" w:hint="eastAsia"/>
          <w:sz w:val="24"/>
          <w:szCs w:val="24"/>
          <w:lang w:eastAsia="zh-CN"/>
        </w:rPr>
        <w:t>一般</w:t>
      </w:r>
      <w:r w:rsidRPr="00305223">
        <w:rPr>
          <w:rFonts w:ascii="华文楷体" w:hAnsi="华文楷体" w:hint="eastAsia"/>
          <w:sz w:val="24"/>
          <w:szCs w:val="24"/>
          <w:lang w:eastAsia="zh-CN"/>
        </w:rPr>
        <w:t>。信用利差方面，</w:t>
      </w:r>
      <w:proofErr w:type="gramStart"/>
      <w:r w:rsidR="00CD4BE1">
        <w:rPr>
          <w:rFonts w:ascii="华文楷体" w:hAnsi="华文楷体" w:hint="eastAsia"/>
          <w:sz w:val="24"/>
          <w:szCs w:val="24"/>
          <w:lang w:eastAsia="zh-CN"/>
        </w:rPr>
        <w:t>短融维持</w:t>
      </w:r>
      <w:proofErr w:type="gramEnd"/>
      <w:r w:rsidR="00CD4BE1">
        <w:rPr>
          <w:rFonts w:ascii="华文楷体" w:hAnsi="华文楷体" w:hint="eastAsia"/>
          <w:sz w:val="24"/>
          <w:szCs w:val="24"/>
          <w:lang w:eastAsia="zh-CN"/>
        </w:rPr>
        <w:t>在30</w:t>
      </w:r>
      <w:r w:rsidR="00CD4BE1">
        <w:rPr>
          <w:rFonts w:ascii="华文楷体" w:hAnsi="华文楷体"/>
          <w:sz w:val="24"/>
          <w:szCs w:val="24"/>
          <w:lang w:eastAsia="zh-CN"/>
        </w:rPr>
        <w:t>-40</w:t>
      </w:r>
      <w:r w:rsidR="00CD4BE1">
        <w:rPr>
          <w:rFonts w:ascii="华文楷体" w:hAnsi="华文楷体" w:hint="eastAsia"/>
          <w:sz w:val="24"/>
          <w:szCs w:val="24"/>
          <w:lang w:eastAsia="zh-CN"/>
        </w:rPr>
        <w:t>分位数</w:t>
      </w:r>
      <w:r w:rsidR="00CD4BE1">
        <w:rPr>
          <w:rFonts w:ascii="华文楷体" w:hAnsi="华文楷体"/>
          <w:sz w:val="24"/>
          <w:szCs w:val="24"/>
          <w:lang w:eastAsia="zh-CN"/>
        </w:rPr>
        <w:t>，</w:t>
      </w:r>
      <w:r w:rsidR="00CD4BE1">
        <w:rPr>
          <w:rFonts w:ascii="华文楷体" w:hAnsi="华文楷体" w:hint="eastAsia"/>
          <w:sz w:val="24"/>
          <w:szCs w:val="24"/>
          <w:lang w:eastAsia="zh-CN"/>
        </w:rPr>
        <w:t>其他</w:t>
      </w:r>
      <w:r w:rsidR="00CD4BE1">
        <w:rPr>
          <w:rFonts w:ascii="华文楷体" w:hAnsi="华文楷体"/>
          <w:sz w:val="24"/>
          <w:szCs w:val="24"/>
          <w:lang w:eastAsia="zh-CN"/>
        </w:rPr>
        <w:t>中长期品种</w:t>
      </w:r>
      <w:r w:rsidR="00CD4BE1">
        <w:rPr>
          <w:rFonts w:ascii="华文楷体" w:hAnsi="华文楷体" w:hint="eastAsia"/>
          <w:sz w:val="24"/>
          <w:szCs w:val="24"/>
          <w:lang w:eastAsia="zh-CN"/>
        </w:rPr>
        <w:t>仍</w:t>
      </w:r>
      <w:r w:rsidR="00CD4BE1">
        <w:rPr>
          <w:rFonts w:ascii="华文楷体" w:hAnsi="华文楷体"/>
          <w:sz w:val="24"/>
          <w:szCs w:val="24"/>
          <w:lang w:eastAsia="zh-CN"/>
        </w:rPr>
        <w:t>维持在30%以内较低分位数水平</w:t>
      </w:r>
      <w:r w:rsidRPr="00305223">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9877"/>
      </w:tblGrid>
      <w:tr w:rsidR="00E0626C" w:rsidRPr="00F966B6" w14:paraId="5602CC82" w14:textId="77777777" w:rsidTr="00691BC8">
        <w:trPr>
          <w:jc w:val="center"/>
        </w:trPr>
        <w:tc>
          <w:tcPr>
            <w:tcW w:w="9877" w:type="dxa"/>
            <w:vAlign w:val="center"/>
          </w:tcPr>
          <w:p w14:paraId="1C0DBC70" w14:textId="4A8BBE5E" w:rsidR="00E0626C" w:rsidRPr="006A5F34" w:rsidRDefault="00E0626C" w:rsidP="009A2BA0">
            <w:pPr>
              <w:pStyle w:val="ChartHeading"/>
              <w:jc w:val="both"/>
            </w:pPr>
            <w:r w:rsidRPr="006A5F34">
              <w:rPr>
                <w:rFonts w:hint="eastAsia"/>
              </w:rPr>
              <w:lastRenderedPageBreak/>
              <w:t>图表</w:t>
            </w:r>
            <w:r w:rsidRPr="006A5F34">
              <w:t xml:space="preserve">. </w:t>
            </w:r>
            <w:r w:rsidR="00F966B6">
              <w:rPr>
                <w:rFonts w:hint="eastAsia"/>
              </w:rPr>
              <w:t>信用债收益率、利差变化情况</w:t>
            </w:r>
          </w:p>
        </w:tc>
      </w:tr>
      <w:tr w:rsidR="00E0626C" w:rsidRPr="006A5F34" w14:paraId="1114B583" w14:textId="77777777" w:rsidTr="00691BC8">
        <w:tblPrEx>
          <w:tblCellMar>
            <w:left w:w="108" w:type="dxa"/>
            <w:right w:w="108" w:type="dxa"/>
          </w:tblCellMar>
        </w:tblPrEx>
        <w:trPr>
          <w:jc w:val="center"/>
        </w:trPr>
        <w:tc>
          <w:tcPr>
            <w:tcW w:w="9877" w:type="dxa"/>
            <w:vAlign w:val="center"/>
          </w:tcPr>
          <w:tbl>
            <w:tblPr>
              <w:tblW w:w="10968" w:type="dxa"/>
              <w:tblLayout w:type="fixed"/>
              <w:tblLook w:val="04A0" w:firstRow="1" w:lastRow="0" w:firstColumn="1" w:lastColumn="0" w:noHBand="0" w:noVBand="1"/>
            </w:tblPr>
            <w:tblGrid>
              <w:gridCol w:w="1402"/>
              <w:gridCol w:w="1040"/>
              <w:gridCol w:w="1040"/>
              <w:gridCol w:w="1040"/>
              <w:gridCol w:w="1040"/>
              <w:gridCol w:w="1246"/>
              <w:gridCol w:w="1040"/>
              <w:gridCol w:w="1040"/>
              <w:gridCol w:w="1040"/>
              <w:gridCol w:w="1040"/>
            </w:tblGrid>
            <w:tr w:rsidR="00C632A4" w:rsidRPr="00C632A4" w14:paraId="5E63B3C1" w14:textId="77777777" w:rsidTr="00C632A4">
              <w:trPr>
                <w:trHeight w:val="285"/>
              </w:trPr>
              <w:tc>
                <w:tcPr>
                  <w:tcW w:w="1402" w:type="dxa"/>
                  <w:tcBorders>
                    <w:top w:val="nil"/>
                    <w:left w:val="nil"/>
                    <w:bottom w:val="single" w:sz="12" w:space="0" w:color="FFFFFF"/>
                    <w:right w:val="single" w:sz="8" w:space="0" w:color="FFFFFF"/>
                  </w:tcBorders>
                  <w:shd w:val="clear" w:color="000000" w:fill="F79646"/>
                  <w:noWrap/>
                  <w:vAlign w:val="center"/>
                  <w:hideMark/>
                </w:tcPr>
                <w:p w14:paraId="77B0F46C" w14:textId="77777777" w:rsidR="00C632A4" w:rsidRPr="00C632A4" w:rsidRDefault="00C632A4" w:rsidP="00C632A4">
                  <w:pPr>
                    <w:widowControl/>
                    <w:jc w:val="center"/>
                    <w:rPr>
                      <w:rFonts w:ascii="楷体" w:eastAsia="楷体" w:hAnsi="楷体" w:cs="宋体"/>
                      <w:b/>
                      <w:bCs/>
                      <w:color w:val="FFFFFF"/>
                      <w:kern w:val="0"/>
                      <w:sz w:val="20"/>
                      <w:szCs w:val="20"/>
                    </w:rPr>
                  </w:pPr>
                  <w:r w:rsidRPr="00C632A4">
                    <w:rPr>
                      <w:rFonts w:ascii="楷体" w:eastAsia="楷体" w:hAnsi="楷体" w:cs="宋体" w:hint="eastAsia"/>
                      <w:b/>
                      <w:bCs/>
                      <w:color w:val="FFFFFF"/>
                      <w:kern w:val="0"/>
                      <w:sz w:val="20"/>
                      <w:szCs w:val="20"/>
                    </w:rPr>
                    <w:t>收益率(%)</w:t>
                  </w:r>
                </w:p>
              </w:tc>
              <w:tc>
                <w:tcPr>
                  <w:tcW w:w="1040" w:type="dxa"/>
                  <w:tcBorders>
                    <w:top w:val="nil"/>
                    <w:left w:val="nil"/>
                    <w:bottom w:val="single" w:sz="12" w:space="0" w:color="FFFFFF"/>
                    <w:right w:val="single" w:sz="8" w:space="0" w:color="FFFFFF"/>
                  </w:tcBorders>
                  <w:shd w:val="clear" w:color="000000" w:fill="F79646"/>
                  <w:noWrap/>
                  <w:vAlign w:val="center"/>
                  <w:hideMark/>
                </w:tcPr>
                <w:p w14:paraId="5A9DBB62" w14:textId="77777777" w:rsidR="00C632A4" w:rsidRPr="00C632A4" w:rsidRDefault="00C632A4" w:rsidP="00C632A4">
                  <w:pPr>
                    <w:widowControl/>
                    <w:jc w:val="center"/>
                    <w:rPr>
                      <w:rFonts w:ascii="楷体" w:eastAsia="楷体" w:hAnsi="楷体" w:cs="宋体"/>
                      <w:b/>
                      <w:bCs/>
                      <w:color w:val="FFFFFF"/>
                      <w:kern w:val="0"/>
                      <w:sz w:val="20"/>
                      <w:szCs w:val="20"/>
                    </w:rPr>
                  </w:pPr>
                  <w:r w:rsidRPr="00C632A4">
                    <w:rPr>
                      <w:rFonts w:ascii="楷体" w:eastAsia="楷体" w:hAnsi="楷体" w:cs="宋体" w:hint="eastAsia"/>
                      <w:b/>
                      <w:bCs/>
                      <w:color w:val="FFFFFF"/>
                      <w:kern w:val="0"/>
                      <w:sz w:val="20"/>
                      <w:szCs w:val="20"/>
                    </w:rPr>
                    <w:t>AAA</w:t>
                  </w:r>
                </w:p>
              </w:tc>
              <w:tc>
                <w:tcPr>
                  <w:tcW w:w="1040" w:type="dxa"/>
                  <w:tcBorders>
                    <w:top w:val="nil"/>
                    <w:left w:val="nil"/>
                    <w:bottom w:val="single" w:sz="12" w:space="0" w:color="FFFFFF"/>
                    <w:right w:val="single" w:sz="8" w:space="0" w:color="FFFFFF"/>
                  </w:tcBorders>
                  <w:shd w:val="clear" w:color="000000" w:fill="F79646"/>
                  <w:noWrap/>
                  <w:vAlign w:val="center"/>
                  <w:hideMark/>
                </w:tcPr>
                <w:p w14:paraId="702A8B05" w14:textId="77777777" w:rsidR="00C632A4" w:rsidRPr="00C632A4" w:rsidRDefault="00C632A4" w:rsidP="00C632A4">
                  <w:pPr>
                    <w:widowControl/>
                    <w:jc w:val="center"/>
                    <w:rPr>
                      <w:rFonts w:ascii="楷体" w:eastAsia="楷体" w:hAnsi="楷体" w:cs="宋体"/>
                      <w:b/>
                      <w:bCs/>
                      <w:color w:val="FFFFFF"/>
                      <w:kern w:val="0"/>
                      <w:sz w:val="20"/>
                      <w:szCs w:val="20"/>
                    </w:rPr>
                  </w:pPr>
                  <w:r w:rsidRPr="00C632A4">
                    <w:rPr>
                      <w:rFonts w:ascii="楷体" w:eastAsia="楷体" w:hAnsi="楷体" w:cs="宋体" w:hint="eastAsia"/>
                      <w:b/>
                      <w:bCs/>
                      <w:color w:val="FFFFFF"/>
                      <w:kern w:val="0"/>
                      <w:sz w:val="20"/>
                      <w:szCs w:val="20"/>
                    </w:rPr>
                    <w:t>AA+</w:t>
                  </w:r>
                </w:p>
              </w:tc>
              <w:tc>
                <w:tcPr>
                  <w:tcW w:w="1040" w:type="dxa"/>
                  <w:tcBorders>
                    <w:top w:val="nil"/>
                    <w:left w:val="nil"/>
                    <w:bottom w:val="single" w:sz="12" w:space="0" w:color="FFFFFF"/>
                    <w:right w:val="single" w:sz="8" w:space="0" w:color="FFFFFF"/>
                  </w:tcBorders>
                  <w:shd w:val="clear" w:color="000000" w:fill="F79646"/>
                  <w:noWrap/>
                  <w:vAlign w:val="center"/>
                  <w:hideMark/>
                </w:tcPr>
                <w:p w14:paraId="2B2438A7" w14:textId="77777777" w:rsidR="00C632A4" w:rsidRPr="00C632A4" w:rsidRDefault="00C632A4" w:rsidP="00C632A4">
                  <w:pPr>
                    <w:widowControl/>
                    <w:jc w:val="center"/>
                    <w:rPr>
                      <w:rFonts w:ascii="楷体" w:eastAsia="楷体" w:hAnsi="楷体" w:cs="宋体"/>
                      <w:b/>
                      <w:bCs/>
                      <w:color w:val="FFFFFF"/>
                      <w:kern w:val="0"/>
                      <w:sz w:val="20"/>
                      <w:szCs w:val="20"/>
                    </w:rPr>
                  </w:pPr>
                  <w:r w:rsidRPr="00C632A4">
                    <w:rPr>
                      <w:rFonts w:ascii="楷体" w:eastAsia="楷体" w:hAnsi="楷体" w:cs="宋体" w:hint="eastAsia"/>
                      <w:b/>
                      <w:bCs/>
                      <w:color w:val="FFFFFF"/>
                      <w:kern w:val="0"/>
                      <w:sz w:val="20"/>
                      <w:szCs w:val="20"/>
                    </w:rPr>
                    <w:t>AA</w:t>
                  </w:r>
                </w:p>
              </w:tc>
              <w:tc>
                <w:tcPr>
                  <w:tcW w:w="1040" w:type="dxa"/>
                  <w:tcBorders>
                    <w:top w:val="nil"/>
                    <w:left w:val="nil"/>
                    <w:bottom w:val="single" w:sz="12" w:space="0" w:color="FFFFFF"/>
                    <w:right w:val="single" w:sz="8" w:space="0" w:color="FFFFFF"/>
                  </w:tcBorders>
                  <w:shd w:val="clear" w:color="000000" w:fill="F79646"/>
                  <w:noWrap/>
                  <w:vAlign w:val="center"/>
                  <w:hideMark/>
                </w:tcPr>
                <w:p w14:paraId="279E1FA2" w14:textId="77777777" w:rsidR="00C632A4" w:rsidRPr="00C632A4" w:rsidRDefault="00C632A4" w:rsidP="00C632A4">
                  <w:pPr>
                    <w:widowControl/>
                    <w:jc w:val="center"/>
                    <w:rPr>
                      <w:rFonts w:ascii="楷体" w:eastAsia="楷体" w:hAnsi="楷体" w:cs="宋体"/>
                      <w:b/>
                      <w:bCs/>
                      <w:color w:val="FFFFFF"/>
                      <w:kern w:val="0"/>
                      <w:sz w:val="20"/>
                      <w:szCs w:val="20"/>
                    </w:rPr>
                  </w:pPr>
                  <w:r w:rsidRPr="00C632A4">
                    <w:rPr>
                      <w:rFonts w:ascii="楷体" w:eastAsia="楷体" w:hAnsi="楷体" w:cs="宋体" w:hint="eastAsia"/>
                      <w:b/>
                      <w:bCs/>
                      <w:color w:val="FFFFFF"/>
                      <w:kern w:val="0"/>
                      <w:sz w:val="20"/>
                      <w:szCs w:val="20"/>
                    </w:rPr>
                    <w:t>AA-</w:t>
                  </w:r>
                </w:p>
              </w:tc>
              <w:tc>
                <w:tcPr>
                  <w:tcW w:w="1246" w:type="dxa"/>
                  <w:tcBorders>
                    <w:top w:val="nil"/>
                    <w:left w:val="nil"/>
                    <w:bottom w:val="single" w:sz="12" w:space="0" w:color="FFFFFF"/>
                    <w:right w:val="single" w:sz="8" w:space="0" w:color="FFFFFF"/>
                  </w:tcBorders>
                  <w:shd w:val="clear" w:color="000000" w:fill="F79646"/>
                  <w:noWrap/>
                  <w:vAlign w:val="center"/>
                  <w:hideMark/>
                </w:tcPr>
                <w:p w14:paraId="78304FD5" w14:textId="77777777" w:rsidR="00C632A4" w:rsidRPr="00C632A4" w:rsidRDefault="00C632A4" w:rsidP="00C632A4">
                  <w:pPr>
                    <w:widowControl/>
                    <w:jc w:val="center"/>
                    <w:rPr>
                      <w:rFonts w:ascii="楷体" w:eastAsia="楷体" w:hAnsi="楷体" w:cs="宋体"/>
                      <w:b/>
                      <w:bCs/>
                      <w:color w:val="FFFFFF"/>
                      <w:kern w:val="0"/>
                      <w:sz w:val="20"/>
                      <w:szCs w:val="20"/>
                    </w:rPr>
                  </w:pPr>
                  <w:r w:rsidRPr="00C632A4">
                    <w:rPr>
                      <w:rFonts w:ascii="楷体" w:eastAsia="楷体" w:hAnsi="楷体" w:cs="宋体" w:hint="eastAsia"/>
                      <w:b/>
                      <w:bCs/>
                      <w:color w:val="FFFFFF"/>
                      <w:kern w:val="0"/>
                      <w:sz w:val="20"/>
                      <w:szCs w:val="20"/>
                    </w:rPr>
                    <w:t>息差</w:t>
                  </w:r>
                </w:p>
              </w:tc>
              <w:tc>
                <w:tcPr>
                  <w:tcW w:w="1040" w:type="dxa"/>
                  <w:tcBorders>
                    <w:top w:val="nil"/>
                    <w:left w:val="nil"/>
                    <w:bottom w:val="single" w:sz="12" w:space="0" w:color="FFFFFF"/>
                    <w:right w:val="single" w:sz="8" w:space="0" w:color="FFFFFF"/>
                  </w:tcBorders>
                  <w:shd w:val="clear" w:color="000000" w:fill="F79646"/>
                  <w:noWrap/>
                  <w:vAlign w:val="center"/>
                  <w:hideMark/>
                </w:tcPr>
                <w:p w14:paraId="7073913E" w14:textId="77777777" w:rsidR="00C632A4" w:rsidRPr="00C632A4" w:rsidRDefault="00C632A4" w:rsidP="00C632A4">
                  <w:pPr>
                    <w:widowControl/>
                    <w:jc w:val="center"/>
                    <w:rPr>
                      <w:rFonts w:ascii="楷体" w:eastAsia="楷体" w:hAnsi="楷体" w:cs="宋体"/>
                      <w:b/>
                      <w:bCs/>
                      <w:color w:val="FFFFFF"/>
                      <w:kern w:val="0"/>
                      <w:sz w:val="20"/>
                      <w:szCs w:val="20"/>
                    </w:rPr>
                  </w:pPr>
                  <w:r w:rsidRPr="00C632A4">
                    <w:rPr>
                      <w:rFonts w:ascii="楷体" w:eastAsia="楷体" w:hAnsi="楷体" w:cs="宋体" w:hint="eastAsia"/>
                      <w:b/>
                      <w:bCs/>
                      <w:color w:val="FFFFFF"/>
                      <w:kern w:val="0"/>
                      <w:sz w:val="20"/>
                      <w:szCs w:val="20"/>
                    </w:rPr>
                    <w:t>AAA</w:t>
                  </w:r>
                </w:p>
              </w:tc>
              <w:tc>
                <w:tcPr>
                  <w:tcW w:w="1040" w:type="dxa"/>
                  <w:tcBorders>
                    <w:top w:val="nil"/>
                    <w:left w:val="nil"/>
                    <w:bottom w:val="single" w:sz="12" w:space="0" w:color="FFFFFF"/>
                    <w:right w:val="single" w:sz="8" w:space="0" w:color="FFFFFF"/>
                  </w:tcBorders>
                  <w:shd w:val="clear" w:color="000000" w:fill="F79646"/>
                  <w:noWrap/>
                  <w:vAlign w:val="center"/>
                  <w:hideMark/>
                </w:tcPr>
                <w:p w14:paraId="1C97E2E6" w14:textId="77777777" w:rsidR="00C632A4" w:rsidRPr="00C632A4" w:rsidRDefault="00C632A4" w:rsidP="00C632A4">
                  <w:pPr>
                    <w:widowControl/>
                    <w:jc w:val="center"/>
                    <w:rPr>
                      <w:rFonts w:ascii="楷体" w:eastAsia="楷体" w:hAnsi="楷体" w:cs="宋体"/>
                      <w:b/>
                      <w:bCs/>
                      <w:color w:val="FFFFFF"/>
                      <w:kern w:val="0"/>
                      <w:sz w:val="20"/>
                      <w:szCs w:val="20"/>
                    </w:rPr>
                  </w:pPr>
                  <w:r w:rsidRPr="00C632A4">
                    <w:rPr>
                      <w:rFonts w:ascii="楷体" w:eastAsia="楷体" w:hAnsi="楷体" w:cs="宋体" w:hint="eastAsia"/>
                      <w:b/>
                      <w:bCs/>
                      <w:color w:val="FFFFFF"/>
                      <w:kern w:val="0"/>
                      <w:sz w:val="20"/>
                      <w:szCs w:val="20"/>
                    </w:rPr>
                    <w:t>AA+</w:t>
                  </w:r>
                </w:p>
              </w:tc>
              <w:tc>
                <w:tcPr>
                  <w:tcW w:w="1040" w:type="dxa"/>
                  <w:tcBorders>
                    <w:top w:val="nil"/>
                    <w:left w:val="nil"/>
                    <w:bottom w:val="single" w:sz="12" w:space="0" w:color="FFFFFF"/>
                    <w:right w:val="single" w:sz="8" w:space="0" w:color="FFFFFF"/>
                  </w:tcBorders>
                  <w:shd w:val="clear" w:color="000000" w:fill="F79646"/>
                  <w:noWrap/>
                  <w:vAlign w:val="center"/>
                  <w:hideMark/>
                </w:tcPr>
                <w:p w14:paraId="09E85046" w14:textId="77777777" w:rsidR="00C632A4" w:rsidRPr="00C632A4" w:rsidRDefault="00C632A4" w:rsidP="00C632A4">
                  <w:pPr>
                    <w:widowControl/>
                    <w:jc w:val="center"/>
                    <w:rPr>
                      <w:rFonts w:ascii="楷体" w:eastAsia="楷体" w:hAnsi="楷体" w:cs="宋体"/>
                      <w:b/>
                      <w:bCs/>
                      <w:color w:val="FFFFFF"/>
                      <w:kern w:val="0"/>
                      <w:sz w:val="20"/>
                      <w:szCs w:val="20"/>
                    </w:rPr>
                  </w:pPr>
                  <w:r w:rsidRPr="00C632A4">
                    <w:rPr>
                      <w:rFonts w:ascii="楷体" w:eastAsia="楷体" w:hAnsi="楷体" w:cs="宋体" w:hint="eastAsia"/>
                      <w:b/>
                      <w:bCs/>
                      <w:color w:val="FFFFFF"/>
                      <w:kern w:val="0"/>
                      <w:sz w:val="20"/>
                      <w:szCs w:val="20"/>
                    </w:rPr>
                    <w:t>AA</w:t>
                  </w:r>
                </w:p>
              </w:tc>
              <w:tc>
                <w:tcPr>
                  <w:tcW w:w="1040" w:type="dxa"/>
                  <w:tcBorders>
                    <w:top w:val="nil"/>
                    <w:left w:val="nil"/>
                    <w:bottom w:val="single" w:sz="12" w:space="0" w:color="FFFFFF"/>
                    <w:right w:val="single" w:sz="8" w:space="0" w:color="FFFFFF"/>
                  </w:tcBorders>
                  <w:shd w:val="clear" w:color="000000" w:fill="F79646"/>
                  <w:noWrap/>
                  <w:vAlign w:val="center"/>
                  <w:hideMark/>
                </w:tcPr>
                <w:p w14:paraId="305C422E" w14:textId="77777777" w:rsidR="00C632A4" w:rsidRPr="00C632A4" w:rsidRDefault="00C632A4" w:rsidP="00C632A4">
                  <w:pPr>
                    <w:widowControl/>
                    <w:jc w:val="center"/>
                    <w:rPr>
                      <w:rFonts w:ascii="楷体" w:eastAsia="楷体" w:hAnsi="楷体" w:cs="宋体"/>
                      <w:b/>
                      <w:bCs/>
                      <w:color w:val="FFFFFF"/>
                      <w:kern w:val="0"/>
                      <w:sz w:val="20"/>
                      <w:szCs w:val="20"/>
                    </w:rPr>
                  </w:pPr>
                  <w:r w:rsidRPr="00C632A4">
                    <w:rPr>
                      <w:rFonts w:ascii="楷体" w:eastAsia="楷体" w:hAnsi="楷体" w:cs="宋体" w:hint="eastAsia"/>
                      <w:b/>
                      <w:bCs/>
                      <w:color w:val="FFFFFF"/>
                      <w:kern w:val="0"/>
                      <w:sz w:val="20"/>
                      <w:szCs w:val="20"/>
                    </w:rPr>
                    <w:t>AA-</w:t>
                  </w:r>
                </w:p>
              </w:tc>
            </w:tr>
            <w:tr w:rsidR="00C632A4" w:rsidRPr="00C632A4" w14:paraId="12C89295" w14:textId="77777777" w:rsidTr="00C632A4">
              <w:trPr>
                <w:trHeight w:val="315"/>
              </w:trPr>
              <w:tc>
                <w:tcPr>
                  <w:tcW w:w="1402" w:type="dxa"/>
                  <w:tcBorders>
                    <w:top w:val="nil"/>
                    <w:left w:val="nil"/>
                    <w:bottom w:val="single" w:sz="8" w:space="0" w:color="FFFFFF"/>
                    <w:right w:val="single" w:sz="8" w:space="0" w:color="FFFFFF"/>
                  </w:tcBorders>
                  <w:shd w:val="clear" w:color="000000" w:fill="FCD5B4"/>
                  <w:noWrap/>
                  <w:vAlign w:val="center"/>
                  <w:hideMark/>
                </w:tcPr>
                <w:p w14:paraId="31F3D32C" w14:textId="77777777" w:rsidR="00C632A4" w:rsidRPr="00C632A4" w:rsidRDefault="00C632A4" w:rsidP="00C632A4">
                  <w:pPr>
                    <w:widowControl/>
                    <w:jc w:val="center"/>
                    <w:rPr>
                      <w:rFonts w:ascii="楷体" w:eastAsia="楷体" w:hAnsi="楷体" w:cs="宋体"/>
                      <w:color w:val="000000"/>
                      <w:kern w:val="0"/>
                      <w:sz w:val="20"/>
                      <w:szCs w:val="20"/>
                    </w:rPr>
                  </w:pPr>
                  <w:r w:rsidRPr="00C632A4">
                    <w:rPr>
                      <w:rFonts w:ascii="楷体" w:eastAsia="楷体" w:hAnsi="楷体" w:cs="宋体" w:hint="eastAsia"/>
                      <w:color w:val="000000"/>
                      <w:kern w:val="0"/>
                      <w:sz w:val="20"/>
                      <w:szCs w:val="20"/>
                    </w:rPr>
                    <w:t>CP</w:t>
                  </w:r>
                </w:p>
              </w:tc>
              <w:tc>
                <w:tcPr>
                  <w:tcW w:w="1040" w:type="dxa"/>
                  <w:tcBorders>
                    <w:top w:val="nil"/>
                    <w:left w:val="nil"/>
                    <w:bottom w:val="single" w:sz="8" w:space="0" w:color="FFFFFF"/>
                    <w:right w:val="single" w:sz="8" w:space="0" w:color="FFFFFF"/>
                  </w:tcBorders>
                  <w:shd w:val="clear" w:color="000000" w:fill="FCD5B4"/>
                  <w:noWrap/>
                  <w:vAlign w:val="center"/>
                  <w:hideMark/>
                </w:tcPr>
                <w:p w14:paraId="71F91393"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3.26 </w:t>
                  </w:r>
                </w:p>
              </w:tc>
              <w:tc>
                <w:tcPr>
                  <w:tcW w:w="1040" w:type="dxa"/>
                  <w:tcBorders>
                    <w:top w:val="nil"/>
                    <w:left w:val="nil"/>
                    <w:bottom w:val="single" w:sz="8" w:space="0" w:color="FFFFFF"/>
                    <w:right w:val="single" w:sz="8" w:space="0" w:color="FFFFFF"/>
                  </w:tcBorders>
                  <w:shd w:val="clear" w:color="000000" w:fill="FCD5B4"/>
                  <w:noWrap/>
                  <w:vAlign w:val="center"/>
                  <w:hideMark/>
                </w:tcPr>
                <w:p w14:paraId="7B70F160"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3.40 </w:t>
                  </w:r>
                </w:p>
              </w:tc>
              <w:tc>
                <w:tcPr>
                  <w:tcW w:w="1040" w:type="dxa"/>
                  <w:tcBorders>
                    <w:top w:val="nil"/>
                    <w:left w:val="nil"/>
                    <w:bottom w:val="single" w:sz="8" w:space="0" w:color="FFFFFF"/>
                    <w:right w:val="single" w:sz="8" w:space="0" w:color="FFFFFF"/>
                  </w:tcBorders>
                  <w:shd w:val="clear" w:color="000000" w:fill="FCD5B4"/>
                  <w:noWrap/>
                  <w:vAlign w:val="center"/>
                  <w:hideMark/>
                </w:tcPr>
                <w:p w14:paraId="36E8DD32"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3.52 </w:t>
                  </w:r>
                </w:p>
              </w:tc>
              <w:tc>
                <w:tcPr>
                  <w:tcW w:w="1040" w:type="dxa"/>
                  <w:tcBorders>
                    <w:top w:val="nil"/>
                    <w:left w:val="nil"/>
                    <w:bottom w:val="single" w:sz="8" w:space="0" w:color="FFFFFF"/>
                    <w:right w:val="single" w:sz="8" w:space="0" w:color="FFFFFF"/>
                  </w:tcBorders>
                  <w:shd w:val="clear" w:color="000000" w:fill="FCD5B4"/>
                  <w:noWrap/>
                  <w:vAlign w:val="center"/>
                  <w:hideMark/>
                </w:tcPr>
                <w:p w14:paraId="1E7AA19B"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5.60 </w:t>
                  </w:r>
                </w:p>
              </w:tc>
              <w:tc>
                <w:tcPr>
                  <w:tcW w:w="1246" w:type="dxa"/>
                  <w:tcBorders>
                    <w:top w:val="nil"/>
                    <w:left w:val="nil"/>
                    <w:bottom w:val="single" w:sz="8" w:space="0" w:color="FFFFFF"/>
                    <w:right w:val="single" w:sz="8" w:space="0" w:color="FFFFFF"/>
                  </w:tcBorders>
                  <w:shd w:val="clear" w:color="000000" w:fill="FCD5B4"/>
                  <w:noWrap/>
                  <w:vAlign w:val="center"/>
                  <w:hideMark/>
                </w:tcPr>
                <w:p w14:paraId="61967400" w14:textId="77777777" w:rsidR="00C632A4" w:rsidRPr="00C632A4" w:rsidRDefault="00C632A4" w:rsidP="00C632A4">
                  <w:pPr>
                    <w:widowControl/>
                    <w:jc w:val="center"/>
                    <w:rPr>
                      <w:rFonts w:ascii="楷体" w:eastAsia="楷体" w:hAnsi="楷体" w:cs="宋体"/>
                      <w:color w:val="000000"/>
                      <w:kern w:val="0"/>
                      <w:sz w:val="20"/>
                      <w:szCs w:val="20"/>
                    </w:rPr>
                  </w:pPr>
                  <w:r w:rsidRPr="00C632A4">
                    <w:rPr>
                      <w:rFonts w:ascii="楷体" w:eastAsia="楷体" w:hAnsi="楷体" w:cs="宋体" w:hint="eastAsia"/>
                      <w:color w:val="000000"/>
                      <w:kern w:val="0"/>
                      <w:sz w:val="20"/>
                      <w:szCs w:val="20"/>
                    </w:rPr>
                    <w:t>CP</w:t>
                  </w:r>
                </w:p>
              </w:tc>
              <w:tc>
                <w:tcPr>
                  <w:tcW w:w="1040" w:type="dxa"/>
                  <w:tcBorders>
                    <w:top w:val="nil"/>
                    <w:left w:val="nil"/>
                    <w:bottom w:val="single" w:sz="8" w:space="0" w:color="FFFFFF"/>
                    <w:right w:val="single" w:sz="8" w:space="0" w:color="FFFFFF"/>
                  </w:tcBorders>
                  <w:shd w:val="clear" w:color="000000" w:fill="FCD5B4"/>
                  <w:noWrap/>
                  <w:vAlign w:val="center"/>
                  <w:hideMark/>
                </w:tcPr>
                <w:p w14:paraId="63ED02C8"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0.48 </w:t>
                  </w:r>
                </w:p>
              </w:tc>
              <w:tc>
                <w:tcPr>
                  <w:tcW w:w="1040" w:type="dxa"/>
                  <w:tcBorders>
                    <w:top w:val="nil"/>
                    <w:left w:val="nil"/>
                    <w:bottom w:val="single" w:sz="8" w:space="0" w:color="FFFFFF"/>
                    <w:right w:val="single" w:sz="8" w:space="0" w:color="FFFFFF"/>
                  </w:tcBorders>
                  <w:shd w:val="clear" w:color="000000" w:fill="FCD5B4"/>
                  <w:noWrap/>
                  <w:vAlign w:val="center"/>
                  <w:hideMark/>
                </w:tcPr>
                <w:p w14:paraId="1690AA3F"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0.62 </w:t>
                  </w:r>
                </w:p>
              </w:tc>
              <w:tc>
                <w:tcPr>
                  <w:tcW w:w="1040" w:type="dxa"/>
                  <w:tcBorders>
                    <w:top w:val="nil"/>
                    <w:left w:val="nil"/>
                    <w:bottom w:val="single" w:sz="8" w:space="0" w:color="FFFFFF"/>
                    <w:right w:val="single" w:sz="8" w:space="0" w:color="FFFFFF"/>
                  </w:tcBorders>
                  <w:shd w:val="clear" w:color="000000" w:fill="FCD5B4"/>
                  <w:noWrap/>
                  <w:vAlign w:val="center"/>
                  <w:hideMark/>
                </w:tcPr>
                <w:p w14:paraId="46DFE277"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0.74 </w:t>
                  </w:r>
                </w:p>
              </w:tc>
              <w:tc>
                <w:tcPr>
                  <w:tcW w:w="1040" w:type="dxa"/>
                  <w:tcBorders>
                    <w:top w:val="nil"/>
                    <w:left w:val="nil"/>
                    <w:bottom w:val="single" w:sz="8" w:space="0" w:color="FFFFFF"/>
                    <w:right w:val="single" w:sz="8" w:space="0" w:color="FFFFFF"/>
                  </w:tcBorders>
                  <w:shd w:val="clear" w:color="000000" w:fill="FCD5B4"/>
                  <w:noWrap/>
                  <w:vAlign w:val="center"/>
                  <w:hideMark/>
                </w:tcPr>
                <w:p w14:paraId="15FFD62F"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2.82 </w:t>
                  </w:r>
                </w:p>
              </w:tc>
            </w:tr>
            <w:tr w:rsidR="00C632A4" w:rsidRPr="00C632A4" w14:paraId="1488B7DB" w14:textId="77777777" w:rsidTr="00C632A4">
              <w:trPr>
                <w:trHeight w:val="300"/>
              </w:trPr>
              <w:tc>
                <w:tcPr>
                  <w:tcW w:w="1402" w:type="dxa"/>
                  <w:tcBorders>
                    <w:top w:val="nil"/>
                    <w:left w:val="nil"/>
                    <w:bottom w:val="single" w:sz="8" w:space="0" w:color="FFFFFF"/>
                    <w:right w:val="single" w:sz="8" w:space="0" w:color="FFFFFF"/>
                  </w:tcBorders>
                  <w:shd w:val="clear" w:color="000000" w:fill="FDE9D9"/>
                  <w:noWrap/>
                  <w:vAlign w:val="center"/>
                  <w:hideMark/>
                </w:tcPr>
                <w:p w14:paraId="33AC18E0" w14:textId="77777777" w:rsidR="00C632A4" w:rsidRPr="00C632A4" w:rsidRDefault="00C632A4" w:rsidP="00C632A4">
                  <w:pPr>
                    <w:widowControl/>
                    <w:jc w:val="center"/>
                    <w:rPr>
                      <w:rFonts w:ascii="楷体" w:eastAsia="楷体" w:hAnsi="楷体" w:cs="宋体"/>
                      <w:color w:val="000000"/>
                      <w:kern w:val="0"/>
                      <w:sz w:val="20"/>
                      <w:szCs w:val="20"/>
                    </w:rPr>
                  </w:pPr>
                  <w:r w:rsidRPr="00C632A4">
                    <w:rPr>
                      <w:rFonts w:ascii="楷体" w:eastAsia="楷体" w:hAnsi="楷体" w:cs="宋体" w:hint="eastAsia"/>
                      <w:color w:val="000000"/>
                      <w:kern w:val="0"/>
                      <w:sz w:val="20"/>
                      <w:szCs w:val="20"/>
                    </w:rPr>
                    <w:t>MTN3Y</w:t>
                  </w:r>
                </w:p>
              </w:tc>
              <w:tc>
                <w:tcPr>
                  <w:tcW w:w="1040" w:type="dxa"/>
                  <w:tcBorders>
                    <w:top w:val="nil"/>
                    <w:left w:val="nil"/>
                    <w:bottom w:val="single" w:sz="8" w:space="0" w:color="FFFFFF"/>
                    <w:right w:val="single" w:sz="8" w:space="0" w:color="FFFFFF"/>
                  </w:tcBorders>
                  <w:shd w:val="clear" w:color="000000" w:fill="FDE9D9"/>
                  <w:noWrap/>
                  <w:vAlign w:val="center"/>
                  <w:hideMark/>
                </w:tcPr>
                <w:p w14:paraId="6C430C6F"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3.64 </w:t>
                  </w:r>
                </w:p>
              </w:tc>
              <w:tc>
                <w:tcPr>
                  <w:tcW w:w="1040" w:type="dxa"/>
                  <w:tcBorders>
                    <w:top w:val="nil"/>
                    <w:left w:val="nil"/>
                    <w:bottom w:val="single" w:sz="8" w:space="0" w:color="FFFFFF"/>
                    <w:right w:val="single" w:sz="8" w:space="0" w:color="FFFFFF"/>
                  </w:tcBorders>
                  <w:shd w:val="clear" w:color="000000" w:fill="FDE9D9"/>
                  <w:noWrap/>
                  <w:vAlign w:val="center"/>
                  <w:hideMark/>
                </w:tcPr>
                <w:p w14:paraId="6340EDF7"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3.79 </w:t>
                  </w:r>
                </w:p>
              </w:tc>
              <w:tc>
                <w:tcPr>
                  <w:tcW w:w="1040" w:type="dxa"/>
                  <w:tcBorders>
                    <w:top w:val="nil"/>
                    <w:left w:val="nil"/>
                    <w:bottom w:val="single" w:sz="8" w:space="0" w:color="FFFFFF"/>
                    <w:right w:val="single" w:sz="8" w:space="0" w:color="FFFFFF"/>
                  </w:tcBorders>
                  <w:shd w:val="clear" w:color="000000" w:fill="FDE9D9"/>
                  <w:noWrap/>
                  <w:vAlign w:val="center"/>
                  <w:hideMark/>
                </w:tcPr>
                <w:p w14:paraId="4CF60F72"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3.98 </w:t>
                  </w:r>
                </w:p>
              </w:tc>
              <w:tc>
                <w:tcPr>
                  <w:tcW w:w="1040" w:type="dxa"/>
                  <w:tcBorders>
                    <w:top w:val="nil"/>
                    <w:left w:val="nil"/>
                    <w:bottom w:val="single" w:sz="8" w:space="0" w:color="FFFFFF"/>
                    <w:right w:val="single" w:sz="8" w:space="0" w:color="FFFFFF"/>
                  </w:tcBorders>
                  <w:shd w:val="clear" w:color="000000" w:fill="FDE9D9"/>
                  <w:noWrap/>
                  <w:vAlign w:val="center"/>
                  <w:hideMark/>
                </w:tcPr>
                <w:p w14:paraId="16BB65C7"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6.07 </w:t>
                  </w:r>
                </w:p>
              </w:tc>
              <w:tc>
                <w:tcPr>
                  <w:tcW w:w="1246" w:type="dxa"/>
                  <w:tcBorders>
                    <w:top w:val="nil"/>
                    <w:left w:val="nil"/>
                    <w:bottom w:val="single" w:sz="8" w:space="0" w:color="FFFFFF"/>
                    <w:right w:val="single" w:sz="8" w:space="0" w:color="FFFFFF"/>
                  </w:tcBorders>
                  <w:shd w:val="clear" w:color="000000" w:fill="FDE9D9"/>
                  <w:noWrap/>
                  <w:vAlign w:val="center"/>
                  <w:hideMark/>
                </w:tcPr>
                <w:p w14:paraId="2E3C4335" w14:textId="77777777" w:rsidR="00C632A4" w:rsidRPr="00C632A4" w:rsidRDefault="00C632A4" w:rsidP="00C632A4">
                  <w:pPr>
                    <w:widowControl/>
                    <w:jc w:val="center"/>
                    <w:rPr>
                      <w:rFonts w:ascii="楷体" w:eastAsia="楷体" w:hAnsi="楷体" w:cs="宋体"/>
                      <w:color w:val="000000"/>
                      <w:kern w:val="0"/>
                      <w:sz w:val="20"/>
                      <w:szCs w:val="20"/>
                    </w:rPr>
                  </w:pPr>
                  <w:r w:rsidRPr="00C632A4">
                    <w:rPr>
                      <w:rFonts w:ascii="楷体" w:eastAsia="楷体" w:hAnsi="楷体" w:cs="宋体" w:hint="eastAsia"/>
                      <w:color w:val="000000"/>
                      <w:kern w:val="0"/>
                      <w:sz w:val="20"/>
                      <w:szCs w:val="20"/>
                    </w:rPr>
                    <w:t>MTN3Y</w:t>
                  </w:r>
                </w:p>
              </w:tc>
              <w:tc>
                <w:tcPr>
                  <w:tcW w:w="1040" w:type="dxa"/>
                  <w:tcBorders>
                    <w:top w:val="nil"/>
                    <w:left w:val="nil"/>
                    <w:bottom w:val="single" w:sz="8" w:space="0" w:color="FFFFFF"/>
                    <w:right w:val="single" w:sz="8" w:space="0" w:color="FFFFFF"/>
                  </w:tcBorders>
                  <w:shd w:val="clear" w:color="000000" w:fill="FDE9D9"/>
                  <w:noWrap/>
                  <w:vAlign w:val="center"/>
                  <w:hideMark/>
                </w:tcPr>
                <w:p w14:paraId="58EB1FC5"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0.67 </w:t>
                  </w:r>
                </w:p>
              </w:tc>
              <w:tc>
                <w:tcPr>
                  <w:tcW w:w="1040" w:type="dxa"/>
                  <w:tcBorders>
                    <w:top w:val="nil"/>
                    <w:left w:val="nil"/>
                    <w:bottom w:val="single" w:sz="8" w:space="0" w:color="FFFFFF"/>
                    <w:right w:val="single" w:sz="8" w:space="0" w:color="FFFFFF"/>
                  </w:tcBorders>
                  <w:shd w:val="clear" w:color="000000" w:fill="FDE9D9"/>
                  <w:noWrap/>
                  <w:vAlign w:val="center"/>
                  <w:hideMark/>
                </w:tcPr>
                <w:p w14:paraId="4F2EA866"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0.82 </w:t>
                  </w:r>
                </w:p>
              </w:tc>
              <w:tc>
                <w:tcPr>
                  <w:tcW w:w="1040" w:type="dxa"/>
                  <w:tcBorders>
                    <w:top w:val="nil"/>
                    <w:left w:val="nil"/>
                    <w:bottom w:val="single" w:sz="8" w:space="0" w:color="FFFFFF"/>
                    <w:right w:val="single" w:sz="8" w:space="0" w:color="FFFFFF"/>
                  </w:tcBorders>
                  <w:shd w:val="clear" w:color="000000" w:fill="FDE9D9"/>
                  <w:noWrap/>
                  <w:vAlign w:val="center"/>
                  <w:hideMark/>
                </w:tcPr>
                <w:p w14:paraId="4BFF371B"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1.01 </w:t>
                  </w:r>
                </w:p>
              </w:tc>
              <w:tc>
                <w:tcPr>
                  <w:tcW w:w="1040" w:type="dxa"/>
                  <w:tcBorders>
                    <w:top w:val="nil"/>
                    <w:left w:val="nil"/>
                    <w:bottom w:val="single" w:sz="8" w:space="0" w:color="FFFFFF"/>
                    <w:right w:val="single" w:sz="8" w:space="0" w:color="FFFFFF"/>
                  </w:tcBorders>
                  <w:shd w:val="clear" w:color="000000" w:fill="FDE9D9"/>
                  <w:noWrap/>
                  <w:vAlign w:val="center"/>
                  <w:hideMark/>
                </w:tcPr>
                <w:p w14:paraId="18F1EFC9"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3.10 </w:t>
                  </w:r>
                </w:p>
              </w:tc>
            </w:tr>
            <w:tr w:rsidR="00C632A4" w:rsidRPr="00C632A4" w14:paraId="70278AB6" w14:textId="77777777" w:rsidTr="00C632A4">
              <w:trPr>
                <w:trHeight w:val="300"/>
              </w:trPr>
              <w:tc>
                <w:tcPr>
                  <w:tcW w:w="1402" w:type="dxa"/>
                  <w:tcBorders>
                    <w:top w:val="nil"/>
                    <w:left w:val="nil"/>
                    <w:bottom w:val="single" w:sz="8" w:space="0" w:color="FFFFFF"/>
                    <w:right w:val="single" w:sz="8" w:space="0" w:color="FFFFFF"/>
                  </w:tcBorders>
                  <w:shd w:val="clear" w:color="000000" w:fill="FCD5B4"/>
                  <w:noWrap/>
                  <w:vAlign w:val="center"/>
                  <w:hideMark/>
                </w:tcPr>
                <w:p w14:paraId="5C020B1F" w14:textId="77777777" w:rsidR="00C632A4" w:rsidRPr="00C632A4" w:rsidRDefault="00C632A4" w:rsidP="00C632A4">
                  <w:pPr>
                    <w:widowControl/>
                    <w:jc w:val="center"/>
                    <w:rPr>
                      <w:rFonts w:ascii="楷体" w:eastAsia="楷体" w:hAnsi="楷体" w:cs="宋体"/>
                      <w:color w:val="000000"/>
                      <w:kern w:val="0"/>
                      <w:sz w:val="20"/>
                      <w:szCs w:val="20"/>
                    </w:rPr>
                  </w:pPr>
                  <w:r w:rsidRPr="00C632A4">
                    <w:rPr>
                      <w:rFonts w:ascii="楷体" w:eastAsia="楷体" w:hAnsi="楷体" w:cs="宋体" w:hint="eastAsia"/>
                      <w:color w:val="000000"/>
                      <w:kern w:val="0"/>
                      <w:sz w:val="20"/>
                      <w:szCs w:val="20"/>
                    </w:rPr>
                    <w:t>MTN5Y</w:t>
                  </w:r>
                </w:p>
              </w:tc>
              <w:tc>
                <w:tcPr>
                  <w:tcW w:w="1040" w:type="dxa"/>
                  <w:tcBorders>
                    <w:top w:val="nil"/>
                    <w:left w:val="nil"/>
                    <w:bottom w:val="single" w:sz="8" w:space="0" w:color="FFFFFF"/>
                    <w:right w:val="single" w:sz="8" w:space="0" w:color="FFFFFF"/>
                  </w:tcBorders>
                  <w:shd w:val="clear" w:color="000000" w:fill="FCD5B4"/>
                  <w:noWrap/>
                  <w:vAlign w:val="center"/>
                  <w:hideMark/>
                </w:tcPr>
                <w:p w14:paraId="557197CD"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3.95 </w:t>
                  </w:r>
                </w:p>
              </w:tc>
              <w:tc>
                <w:tcPr>
                  <w:tcW w:w="1040" w:type="dxa"/>
                  <w:tcBorders>
                    <w:top w:val="nil"/>
                    <w:left w:val="nil"/>
                    <w:bottom w:val="single" w:sz="8" w:space="0" w:color="FFFFFF"/>
                    <w:right w:val="single" w:sz="8" w:space="0" w:color="FFFFFF"/>
                  </w:tcBorders>
                  <w:shd w:val="clear" w:color="000000" w:fill="FCD5B4"/>
                  <w:noWrap/>
                  <w:vAlign w:val="center"/>
                  <w:hideMark/>
                </w:tcPr>
                <w:p w14:paraId="01D970C3"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4.14 </w:t>
                  </w:r>
                </w:p>
              </w:tc>
              <w:tc>
                <w:tcPr>
                  <w:tcW w:w="1040" w:type="dxa"/>
                  <w:tcBorders>
                    <w:top w:val="nil"/>
                    <w:left w:val="nil"/>
                    <w:bottom w:val="single" w:sz="8" w:space="0" w:color="FFFFFF"/>
                    <w:right w:val="single" w:sz="8" w:space="0" w:color="FFFFFF"/>
                  </w:tcBorders>
                  <w:shd w:val="clear" w:color="000000" w:fill="FCD5B4"/>
                  <w:noWrap/>
                  <w:vAlign w:val="center"/>
                  <w:hideMark/>
                </w:tcPr>
                <w:p w14:paraId="0DC7A1CA"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4.50 </w:t>
                  </w:r>
                </w:p>
              </w:tc>
              <w:tc>
                <w:tcPr>
                  <w:tcW w:w="1040" w:type="dxa"/>
                  <w:tcBorders>
                    <w:top w:val="nil"/>
                    <w:left w:val="nil"/>
                    <w:bottom w:val="single" w:sz="8" w:space="0" w:color="FFFFFF"/>
                    <w:right w:val="single" w:sz="8" w:space="0" w:color="FFFFFF"/>
                  </w:tcBorders>
                  <w:shd w:val="clear" w:color="000000" w:fill="FCD5B4"/>
                  <w:noWrap/>
                  <w:vAlign w:val="center"/>
                  <w:hideMark/>
                </w:tcPr>
                <w:p w14:paraId="3E9677A9"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6.67 </w:t>
                  </w:r>
                </w:p>
              </w:tc>
              <w:tc>
                <w:tcPr>
                  <w:tcW w:w="1246" w:type="dxa"/>
                  <w:tcBorders>
                    <w:top w:val="nil"/>
                    <w:left w:val="nil"/>
                    <w:bottom w:val="single" w:sz="8" w:space="0" w:color="FFFFFF"/>
                    <w:right w:val="single" w:sz="8" w:space="0" w:color="FFFFFF"/>
                  </w:tcBorders>
                  <w:shd w:val="clear" w:color="000000" w:fill="FCD5B4"/>
                  <w:noWrap/>
                  <w:vAlign w:val="center"/>
                  <w:hideMark/>
                </w:tcPr>
                <w:p w14:paraId="2D795E7F" w14:textId="77777777" w:rsidR="00C632A4" w:rsidRPr="00C632A4" w:rsidRDefault="00C632A4" w:rsidP="00C632A4">
                  <w:pPr>
                    <w:widowControl/>
                    <w:jc w:val="center"/>
                    <w:rPr>
                      <w:rFonts w:ascii="楷体" w:eastAsia="楷体" w:hAnsi="楷体" w:cs="宋体"/>
                      <w:color w:val="000000"/>
                      <w:kern w:val="0"/>
                      <w:sz w:val="20"/>
                      <w:szCs w:val="20"/>
                    </w:rPr>
                  </w:pPr>
                  <w:r w:rsidRPr="00C632A4">
                    <w:rPr>
                      <w:rFonts w:ascii="楷体" w:eastAsia="楷体" w:hAnsi="楷体" w:cs="宋体" w:hint="eastAsia"/>
                      <w:color w:val="000000"/>
                      <w:kern w:val="0"/>
                      <w:sz w:val="20"/>
                      <w:szCs w:val="20"/>
                    </w:rPr>
                    <w:t>MTN5Y</w:t>
                  </w:r>
                </w:p>
              </w:tc>
              <w:tc>
                <w:tcPr>
                  <w:tcW w:w="1040" w:type="dxa"/>
                  <w:tcBorders>
                    <w:top w:val="nil"/>
                    <w:left w:val="nil"/>
                    <w:bottom w:val="single" w:sz="8" w:space="0" w:color="FFFFFF"/>
                    <w:right w:val="single" w:sz="8" w:space="0" w:color="FFFFFF"/>
                  </w:tcBorders>
                  <w:shd w:val="clear" w:color="000000" w:fill="FCD5B4"/>
                  <w:noWrap/>
                  <w:vAlign w:val="center"/>
                  <w:hideMark/>
                </w:tcPr>
                <w:p w14:paraId="242AE848"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0.91 </w:t>
                  </w:r>
                </w:p>
              </w:tc>
              <w:tc>
                <w:tcPr>
                  <w:tcW w:w="1040" w:type="dxa"/>
                  <w:tcBorders>
                    <w:top w:val="nil"/>
                    <w:left w:val="nil"/>
                    <w:bottom w:val="single" w:sz="8" w:space="0" w:color="FFFFFF"/>
                    <w:right w:val="single" w:sz="8" w:space="0" w:color="FFFFFF"/>
                  </w:tcBorders>
                  <w:shd w:val="clear" w:color="000000" w:fill="FCD5B4"/>
                  <w:noWrap/>
                  <w:vAlign w:val="center"/>
                  <w:hideMark/>
                </w:tcPr>
                <w:p w14:paraId="1D1DEA33"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1.10 </w:t>
                  </w:r>
                </w:p>
              </w:tc>
              <w:tc>
                <w:tcPr>
                  <w:tcW w:w="1040" w:type="dxa"/>
                  <w:tcBorders>
                    <w:top w:val="nil"/>
                    <w:left w:val="nil"/>
                    <w:bottom w:val="single" w:sz="8" w:space="0" w:color="FFFFFF"/>
                    <w:right w:val="single" w:sz="8" w:space="0" w:color="FFFFFF"/>
                  </w:tcBorders>
                  <w:shd w:val="clear" w:color="000000" w:fill="FCD5B4"/>
                  <w:noWrap/>
                  <w:vAlign w:val="center"/>
                  <w:hideMark/>
                </w:tcPr>
                <w:p w14:paraId="1FAE6A6A"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1.46 </w:t>
                  </w:r>
                </w:p>
              </w:tc>
              <w:tc>
                <w:tcPr>
                  <w:tcW w:w="1040" w:type="dxa"/>
                  <w:tcBorders>
                    <w:top w:val="nil"/>
                    <w:left w:val="nil"/>
                    <w:bottom w:val="single" w:sz="8" w:space="0" w:color="FFFFFF"/>
                    <w:right w:val="single" w:sz="8" w:space="0" w:color="FFFFFF"/>
                  </w:tcBorders>
                  <w:shd w:val="clear" w:color="000000" w:fill="FCD5B4"/>
                  <w:noWrap/>
                  <w:vAlign w:val="center"/>
                  <w:hideMark/>
                </w:tcPr>
                <w:p w14:paraId="01352DB8"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3.63 </w:t>
                  </w:r>
                </w:p>
              </w:tc>
            </w:tr>
            <w:tr w:rsidR="00C632A4" w:rsidRPr="00C632A4" w14:paraId="132883B8" w14:textId="77777777" w:rsidTr="00C632A4">
              <w:trPr>
                <w:trHeight w:val="300"/>
              </w:trPr>
              <w:tc>
                <w:tcPr>
                  <w:tcW w:w="1402" w:type="dxa"/>
                  <w:tcBorders>
                    <w:top w:val="nil"/>
                    <w:left w:val="nil"/>
                    <w:bottom w:val="single" w:sz="8" w:space="0" w:color="FFFFFF"/>
                    <w:right w:val="single" w:sz="8" w:space="0" w:color="FFFFFF"/>
                  </w:tcBorders>
                  <w:shd w:val="clear" w:color="000000" w:fill="FDE9D9"/>
                  <w:noWrap/>
                  <w:vAlign w:val="center"/>
                  <w:hideMark/>
                </w:tcPr>
                <w:p w14:paraId="38016207" w14:textId="77777777" w:rsidR="00C632A4" w:rsidRPr="00C632A4" w:rsidRDefault="00C632A4" w:rsidP="00C632A4">
                  <w:pPr>
                    <w:widowControl/>
                    <w:jc w:val="center"/>
                    <w:rPr>
                      <w:rFonts w:ascii="楷体" w:eastAsia="楷体" w:hAnsi="楷体" w:cs="宋体"/>
                      <w:color w:val="000000"/>
                      <w:kern w:val="0"/>
                      <w:sz w:val="20"/>
                      <w:szCs w:val="20"/>
                    </w:rPr>
                  </w:pPr>
                  <w:r w:rsidRPr="00C632A4">
                    <w:rPr>
                      <w:rFonts w:ascii="楷体" w:eastAsia="楷体" w:hAnsi="楷体" w:cs="宋体" w:hint="eastAsia"/>
                      <w:color w:val="000000"/>
                      <w:kern w:val="0"/>
                      <w:sz w:val="20"/>
                      <w:szCs w:val="20"/>
                    </w:rPr>
                    <w:t>企业债3Y</w:t>
                  </w:r>
                </w:p>
              </w:tc>
              <w:tc>
                <w:tcPr>
                  <w:tcW w:w="1040" w:type="dxa"/>
                  <w:tcBorders>
                    <w:top w:val="nil"/>
                    <w:left w:val="nil"/>
                    <w:bottom w:val="single" w:sz="8" w:space="0" w:color="FFFFFF"/>
                    <w:right w:val="single" w:sz="8" w:space="0" w:color="FFFFFF"/>
                  </w:tcBorders>
                  <w:shd w:val="clear" w:color="000000" w:fill="FDE9D9"/>
                  <w:noWrap/>
                  <w:vAlign w:val="center"/>
                  <w:hideMark/>
                </w:tcPr>
                <w:p w14:paraId="281A79F1"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3.64 </w:t>
                  </w:r>
                </w:p>
              </w:tc>
              <w:tc>
                <w:tcPr>
                  <w:tcW w:w="1040" w:type="dxa"/>
                  <w:tcBorders>
                    <w:top w:val="nil"/>
                    <w:left w:val="nil"/>
                    <w:bottom w:val="single" w:sz="8" w:space="0" w:color="FFFFFF"/>
                    <w:right w:val="single" w:sz="8" w:space="0" w:color="FFFFFF"/>
                  </w:tcBorders>
                  <w:shd w:val="clear" w:color="000000" w:fill="FDE9D9"/>
                  <w:noWrap/>
                  <w:vAlign w:val="center"/>
                  <w:hideMark/>
                </w:tcPr>
                <w:p w14:paraId="1AC4CC66"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3.79 </w:t>
                  </w:r>
                </w:p>
              </w:tc>
              <w:tc>
                <w:tcPr>
                  <w:tcW w:w="1040" w:type="dxa"/>
                  <w:tcBorders>
                    <w:top w:val="nil"/>
                    <w:left w:val="nil"/>
                    <w:bottom w:val="single" w:sz="8" w:space="0" w:color="FFFFFF"/>
                    <w:right w:val="single" w:sz="8" w:space="0" w:color="FFFFFF"/>
                  </w:tcBorders>
                  <w:shd w:val="clear" w:color="000000" w:fill="FDE9D9"/>
                  <w:noWrap/>
                  <w:vAlign w:val="center"/>
                  <w:hideMark/>
                </w:tcPr>
                <w:p w14:paraId="0AE2213A"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3.98 </w:t>
                  </w:r>
                </w:p>
              </w:tc>
              <w:tc>
                <w:tcPr>
                  <w:tcW w:w="1040" w:type="dxa"/>
                  <w:tcBorders>
                    <w:top w:val="nil"/>
                    <w:left w:val="nil"/>
                    <w:bottom w:val="single" w:sz="8" w:space="0" w:color="FFFFFF"/>
                    <w:right w:val="single" w:sz="8" w:space="0" w:color="FFFFFF"/>
                  </w:tcBorders>
                  <w:shd w:val="clear" w:color="000000" w:fill="FDE9D9"/>
                  <w:noWrap/>
                  <w:vAlign w:val="center"/>
                  <w:hideMark/>
                </w:tcPr>
                <w:p w14:paraId="20215C14"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6.07 </w:t>
                  </w:r>
                </w:p>
              </w:tc>
              <w:tc>
                <w:tcPr>
                  <w:tcW w:w="1246" w:type="dxa"/>
                  <w:tcBorders>
                    <w:top w:val="nil"/>
                    <w:left w:val="nil"/>
                    <w:bottom w:val="single" w:sz="8" w:space="0" w:color="FFFFFF"/>
                    <w:right w:val="single" w:sz="8" w:space="0" w:color="FFFFFF"/>
                  </w:tcBorders>
                  <w:shd w:val="clear" w:color="000000" w:fill="FDE9D9"/>
                  <w:noWrap/>
                  <w:vAlign w:val="center"/>
                  <w:hideMark/>
                </w:tcPr>
                <w:p w14:paraId="3AD632F9" w14:textId="77777777" w:rsidR="00C632A4" w:rsidRPr="00C632A4" w:rsidRDefault="00C632A4" w:rsidP="00C632A4">
                  <w:pPr>
                    <w:widowControl/>
                    <w:jc w:val="center"/>
                    <w:rPr>
                      <w:rFonts w:ascii="楷体" w:eastAsia="楷体" w:hAnsi="楷体" w:cs="宋体"/>
                      <w:color w:val="000000"/>
                      <w:kern w:val="0"/>
                      <w:sz w:val="20"/>
                      <w:szCs w:val="20"/>
                    </w:rPr>
                  </w:pPr>
                  <w:r w:rsidRPr="00C632A4">
                    <w:rPr>
                      <w:rFonts w:ascii="楷体" w:eastAsia="楷体" w:hAnsi="楷体" w:cs="宋体" w:hint="eastAsia"/>
                      <w:color w:val="000000"/>
                      <w:kern w:val="0"/>
                      <w:sz w:val="20"/>
                      <w:szCs w:val="20"/>
                    </w:rPr>
                    <w:t>企业债3Y</w:t>
                  </w:r>
                </w:p>
              </w:tc>
              <w:tc>
                <w:tcPr>
                  <w:tcW w:w="1040" w:type="dxa"/>
                  <w:tcBorders>
                    <w:top w:val="nil"/>
                    <w:left w:val="nil"/>
                    <w:bottom w:val="single" w:sz="8" w:space="0" w:color="FFFFFF"/>
                    <w:right w:val="single" w:sz="8" w:space="0" w:color="FFFFFF"/>
                  </w:tcBorders>
                  <w:shd w:val="clear" w:color="000000" w:fill="FDE9D9"/>
                  <w:noWrap/>
                  <w:vAlign w:val="center"/>
                  <w:hideMark/>
                </w:tcPr>
                <w:p w14:paraId="466E4DC7"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0.67 </w:t>
                  </w:r>
                </w:p>
              </w:tc>
              <w:tc>
                <w:tcPr>
                  <w:tcW w:w="1040" w:type="dxa"/>
                  <w:tcBorders>
                    <w:top w:val="nil"/>
                    <w:left w:val="nil"/>
                    <w:bottom w:val="single" w:sz="8" w:space="0" w:color="FFFFFF"/>
                    <w:right w:val="single" w:sz="8" w:space="0" w:color="FFFFFF"/>
                  </w:tcBorders>
                  <w:shd w:val="clear" w:color="000000" w:fill="FDE9D9"/>
                  <w:noWrap/>
                  <w:vAlign w:val="center"/>
                  <w:hideMark/>
                </w:tcPr>
                <w:p w14:paraId="10AAA489"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0.82 </w:t>
                  </w:r>
                </w:p>
              </w:tc>
              <w:tc>
                <w:tcPr>
                  <w:tcW w:w="1040" w:type="dxa"/>
                  <w:tcBorders>
                    <w:top w:val="nil"/>
                    <w:left w:val="nil"/>
                    <w:bottom w:val="single" w:sz="8" w:space="0" w:color="FFFFFF"/>
                    <w:right w:val="single" w:sz="8" w:space="0" w:color="FFFFFF"/>
                  </w:tcBorders>
                  <w:shd w:val="clear" w:color="000000" w:fill="FDE9D9"/>
                  <w:noWrap/>
                  <w:vAlign w:val="center"/>
                  <w:hideMark/>
                </w:tcPr>
                <w:p w14:paraId="7D76DC0E"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1.01 </w:t>
                  </w:r>
                </w:p>
              </w:tc>
              <w:tc>
                <w:tcPr>
                  <w:tcW w:w="1040" w:type="dxa"/>
                  <w:tcBorders>
                    <w:top w:val="nil"/>
                    <w:left w:val="nil"/>
                    <w:bottom w:val="single" w:sz="8" w:space="0" w:color="FFFFFF"/>
                    <w:right w:val="single" w:sz="8" w:space="0" w:color="FFFFFF"/>
                  </w:tcBorders>
                  <w:shd w:val="clear" w:color="000000" w:fill="FDE9D9"/>
                  <w:noWrap/>
                  <w:vAlign w:val="center"/>
                  <w:hideMark/>
                </w:tcPr>
                <w:p w14:paraId="53E4FF71"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3.10 </w:t>
                  </w:r>
                </w:p>
              </w:tc>
            </w:tr>
            <w:tr w:rsidR="00C632A4" w:rsidRPr="00C632A4" w14:paraId="70703A4B" w14:textId="77777777" w:rsidTr="00C632A4">
              <w:trPr>
                <w:trHeight w:val="300"/>
              </w:trPr>
              <w:tc>
                <w:tcPr>
                  <w:tcW w:w="1402" w:type="dxa"/>
                  <w:tcBorders>
                    <w:top w:val="nil"/>
                    <w:left w:val="nil"/>
                    <w:bottom w:val="single" w:sz="8" w:space="0" w:color="FFFFFF"/>
                    <w:right w:val="single" w:sz="8" w:space="0" w:color="FFFFFF"/>
                  </w:tcBorders>
                  <w:shd w:val="clear" w:color="000000" w:fill="FCD5B4"/>
                  <w:noWrap/>
                  <w:vAlign w:val="center"/>
                  <w:hideMark/>
                </w:tcPr>
                <w:p w14:paraId="1451F261" w14:textId="77777777" w:rsidR="00C632A4" w:rsidRPr="00C632A4" w:rsidRDefault="00C632A4" w:rsidP="00C632A4">
                  <w:pPr>
                    <w:widowControl/>
                    <w:jc w:val="center"/>
                    <w:rPr>
                      <w:rFonts w:ascii="楷体" w:eastAsia="楷体" w:hAnsi="楷体" w:cs="宋体"/>
                      <w:color w:val="000000"/>
                      <w:kern w:val="0"/>
                      <w:sz w:val="20"/>
                      <w:szCs w:val="20"/>
                    </w:rPr>
                  </w:pPr>
                  <w:r w:rsidRPr="00C632A4">
                    <w:rPr>
                      <w:rFonts w:ascii="楷体" w:eastAsia="楷体" w:hAnsi="楷体" w:cs="宋体" w:hint="eastAsia"/>
                      <w:color w:val="000000"/>
                      <w:kern w:val="0"/>
                      <w:sz w:val="20"/>
                      <w:szCs w:val="20"/>
                    </w:rPr>
                    <w:t>企业债5Y</w:t>
                  </w:r>
                </w:p>
              </w:tc>
              <w:tc>
                <w:tcPr>
                  <w:tcW w:w="1040" w:type="dxa"/>
                  <w:tcBorders>
                    <w:top w:val="nil"/>
                    <w:left w:val="nil"/>
                    <w:bottom w:val="single" w:sz="8" w:space="0" w:color="FFFFFF"/>
                    <w:right w:val="single" w:sz="8" w:space="0" w:color="FFFFFF"/>
                  </w:tcBorders>
                  <w:shd w:val="clear" w:color="000000" w:fill="FCD5B4"/>
                  <w:noWrap/>
                  <w:vAlign w:val="center"/>
                  <w:hideMark/>
                </w:tcPr>
                <w:p w14:paraId="26CC201F"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3.95 </w:t>
                  </w:r>
                </w:p>
              </w:tc>
              <w:tc>
                <w:tcPr>
                  <w:tcW w:w="1040" w:type="dxa"/>
                  <w:tcBorders>
                    <w:top w:val="nil"/>
                    <w:left w:val="nil"/>
                    <w:bottom w:val="single" w:sz="8" w:space="0" w:color="FFFFFF"/>
                    <w:right w:val="single" w:sz="8" w:space="0" w:color="FFFFFF"/>
                  </w:tcBorders>
                  <w:shd w:val="clear" w:color="000000" w:fill="FCD5B4"/>
                  <w:noWrap/>
                  <w:vAlign w:val="center"/>
                  <w:hideMark/>
                </w:tcPr>
                <w:p w14:paraId="7FF91788"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4.14 </w:t>
                  </w:r>
                </w:p>
              </w:tc>
              <w:tc>
                <w:tcPr>
                  <w:tcW w:w="1040" w:type="dxa"/>
                  <w:tcBorders>
                    <w:top w:val="nil"/>
                    <w:left w:val="nil"/>
                    <w:bottom w:val="single" w:sz="8" w:space="0" w:color="FFFFFF"/>
                    <w:right w:val="single" w:sz="8" w:space="0" w:color="FFFFFF"/>
                  </w:tcBorders>
                  <w:shd w:val="clear" w:color="000000" w:fill="FCD5B4"/>
                  <w:noWrap/>
                  <w:vAlign w:val="center"/>
                  <w:hideMark/>
                </w:tcPr>
                <w:p w14:paraId="1208A72F"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4.50 </w:t>
                  </w:r>
                </w:p>
              </w:tc>
              <w:tc>
                <w:tcPr>
                  <w:tcW w:w="1040" w:type="dxa"/>
                  <w:tcBorders>
                    <w:top w:val="nil"/>
                    <w:left w:val="nil"/>
                    <w:bottom w:val="single" w:sz="8" w:space="0" w:color="FFFFFF"/>
                    <w:right w:val="single" w:sz="8" w:space="0" w:color="FFFFFF"/>
                  </w:tcBorders>
                  <w:shd w:val="clear" w:color="000000" w:fill="FCD5B4"/>
                  <w:noWrap/>
                  <w:vAlign w:val="center"/>
                  <w:hideMark/>
                </w:tcPr>
                <w:p w14:paraId="71026367"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6.67 </w:t>
                  </w:r>
                </w:p>
              </w:tc>
              <w:tc>
                <w:tcPr>
                  <w:tcW w:w="1246" w:type="dxa"/>
                  <w:tcBorders>
                    <w:top w:val="nil"/>
                    <w:left w:val="nil"/>
                    <w:bottom w:val="single" w:sz="8" w:space="0" w:color="FFFFFF"/>
                    <w:right w:val="single" w:sz="8" w:space="0" w:color="FFFFFF"/>
                  </w:tcBorders>
                  <w:shd w:val="clear" w:color="000000" w:fill="FCD5B4"/>
                  <w:noWrap/>
                  <w:vAlign w:val="center"/>
                  <w:hideMark/>
                </w:tcPr>
                <w:p w14:paraId="03AC6281" w14:textId="77777777" w:rsidR="00C632A4" w:rsidRPr="00C632A4" w:rsidRDefault="00C632A4" w:rsidP="00C632A4">
                  <w:pPr>
                    <w:widowControl/>
                    <w:jc w:val="center"/>
                    <w:rPr>
                      <w:rFonts w:ascii="楷体" w:eastAsia="楷体" w:hAnsi="楷体" w:cs="宋体"/>
                      <w:color w:val="000000"/>
                      <w:kern w:val="0"/>
                      <w:sz w:val="20"/>
                      <w:szCs w:val="20"/>
                    </w:rPr>
                  </w:pPr>
                  <w:r w:rsidRPr="00C632A4">
                    <w:rPr>
                      <w:rFonts w:ascii="楷体" w:eastAsia="楷体" w:hAnsi="楷体" w:cs="宋体" w:hint="eastAsia"/>
                      <w:color w:val="000000"/>
                      <w:kern w:val="0"/>
                      <w:sz w:val="20"/>
                      <w:szCs w:val="20"/>
                    </w:rPr>
                    <w:t>企业债5Y</w:t>
                  </w:r>
                </w:p>
              </w:tc>
              <w:tc>
                <w:tcPr>
                  <w:tcW w:w="1040" w:type="dxa"/>
                  <w:tcBorders>
                    <w:top w:val="nil"/>
                    <w:left w:val="nil"/>
                    <w:bottom w:val="single" w:sz="8" w:space="0" w:color="FFFFFF"/>
                    <w:right w:val="single" w:sz="8" w:space="0" w:color="FFFFFF"/>
                  </w:tcBorders>
                  <w:shd w:val="clear" w:color="000000" w:fill="FCD5B4"/>
                  <w:noWrap/>
                  <w:vAlign w:val="center"/>
                  <w:hideMark/>
                </w:tcPr>
                <w:p w14:paraId="074B9A8D"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0.91 </w:t>
                  </w:r>
                </w:p>
              </w:tc>
              <w:tc>
                <w:tcPr>
                  <w:tcW w:w="1040" w:type="dxa"/>
                  <w:tcBorders>
                    <w:top w:val="nil"/>
                    <w:left w:val="nil"/>
                    <w:bottom w:val="single" w:sz="8" w:space="0" w:color="FFFFFF"/>
                    <w:right w:val="single" w:sz="8" w:space="0" w:color="FFFFFF"/>
                  </w:tcBorders>
                  <w:shd w:val="clear" w:color="000000" w:fill="FCD5B4"/>
                  <w:noWrap/>
                  <w:vAlign w:val="center"/>
                  <w:hideMark/>
                </w:tcPr>
                <w:p w14:paraId="7A74C2B9"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1.10 </w:t>
                  </w:r>
                </w:p>
              </w:tc>
              <w:tc>
                <w:tcPr>
                  <w:tcW w:w="1040" w:type="dxa"/>
                  <w:tcBorders>
                    <w:top w:val="nil"/>
                    <w:left w:val="nil"/>
                    <w:bottom w:val="single" w:sz="8" w:space="0" w:color="FFFFFF"/>
                    <w:right w:val="single" w:sz="8" w:space="0" w:color="FFFFFF"/>
                  </w:tcBorders>
                  <w:shd w:val="clear" w:color="000000" w:fill="FCD5B4"/>
                  <w:noWrap/>
                  <w:vAlign w:val="center"/>
                  <w:hideMark/>
                </w:tcPr>
                <w:p w14:paraId="6C5F398D"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1.46 </w:t>
                  </w:r>
                </w:p>
              </w:tc>
              <w:tc>
                <w:tcPr>
                  <w:tcW w:w="1040" w:type="dxa"/>
                  <w:tcBorders>
                    <w:top w:val="nil"/>
                    <w:left w:val="nil"/>
                    <w:bottom w:val="single" w:sz="8" w:space="0" w:color="FFFFFF"/>
                    <w:right w:val="single" w:sz="8" w:space="0" w:color="FFFFFF"/>
                  </w:tcBorders>
                  <w:shd w:val="clear" w:color="000000" w:fill="FCD5B4"/>
                  <w:noWrap/>
                  <w:vAlign w:val="center"/>
                  <w:hideMark/>
                </w:tcPr>
                <w:p w14:paraId="1C2FCA4A"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3.63 </w:t>
                  </w:r>
                </w:p>
              </w:tc>
            </w:tr>
            <w:tr w:rsidR="00C632A4" w:rsidRPr="00C632A4" w14:paraId="2AEBFE9A" w14:textId="77777777" w:rsidTr="00C632A4">
              <w:trPr>
                <w:trHeight w:val="300"/>
              </w:trPr>
              <w:tc>
                <w:tcPr>
                  <w:tcW w:w="1402" w:type="dxa"/>
                  <w:tcBorders>
                    <w:top w:val="nil"/>
                    <w:left w:val="nil"/>
                    <w:bottom w:val="single" w:sz="8" w:space="0" w:color="FFFFFF"/>
                    <w:right w:val="single" w:sz="8" w:space="0" w:color="FFFFFF"/>
                  </w:tcBorders>
                  <w:shd w:val="clear" w:color="000000" w:fill="FDE9D9"/>
                  <w:noWrap/>
                  <w:vAlign w:val="center"/>
                  <w:hideMark/>
                </w:tcPr>
                <w:p w14:paraId="1C793F0B" w14:textId="77777777" w:rsidR="00C632A4" w:rsidRPr="00C632A4" w:rsidRDefault="00C632A4" w:rsidP="00C632A4">
                  <w:pPr>
                    <w:widowControl/>
                    <w:jc w:val="center"/>
                    <w:rPr>
                      <w:rFonts w:ascii="楷体" w:eastAsia="楷体" w:hAnsi="楷体" w:cs="宋体"/>
                      <w:color w:val="000000"/>
                      <w:kern w:val="0"/>
                      <w:sz w:val="20"/>
                      <w:szCs w:val="20"/>
                    </w:rPr>
                  </w:pPr>
                  <w:r w:rsidRPr="00C632A4">
                    <w:rPr>
                      <w:rFonts w:ascii="楷体" w:eastAsia="楷体" w:hAnsi="楷体" w:cs="宋体" w:hint="eastAsia"/>
                      <w:color w:val="000000"/>
                      <w:kern w:val="0"/>
                      <w:sz w:val="20"/>
                      <w:szCs w:val="20"/>
                    </w:rPr>
                    <w:t>企业债7Y</w:t>
                  </w:r>
                </w:p>
              </w:tc>
              <w:tc>
                <w:tcPr>
                  <w:tcW w:w="1040" w:type="dxa"/>
                  <w:tcBorders>
                    <w:top w:val="nil"/>
                    <w:left w:val="nil"/>
                    <w:bottom w:val="single" w:sz="8" w:space="0" w:color="FFFFFF"/>
                    <w:right w:val="single" w:sz="8" w:space="0" w:color="FFFFFF"/>
                  </w:tcBorders>
                  <w:shd w:val="clear" w:color="000000" w:fill="FDE9D9"/>
                  <w:noWrap/>
                  <w:vAlign w:val="center"/>
                  <w:hideMark/>
                </w:tcPr>
                <w:p w14:paraId="72743CC5"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4.12 </w:t>
                  </w:r>
                </w:p>
              </w:tc>
              <w:tc>
                <w:tcPr>
                  <w:tcW w:w="1040" w:type="dxa"/>
                  <w:tcBorders>
                    <w:top w:val="nil"/>
                    <w:left w:val="nil"/>
                    <w:bottom w:val="single" w:sz="8" w:space="0" w:color="FFFFFF"/>
                    <w:right w:val="single" w:sz="8" w:space="0" w:color="FFFFFF"/>
                  </w:tcBorders>
                  <w:shd w:val="clear" w:color="000000" w:fill="FDE9D9"/>
                  <w:noWrap/>
                  <w:vAlign w:val="center"/>
                  <w:hideMark/>
                </w:tcPr>
                <w:p w14:paraId="704C3F1C"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4.40 </w:t>
                  </w:r>
                </w:p>
              </w:tc>
              <w:tc>
                <w:tcPr>
                  <w:tcW w:w="1040" w:type="dxa"/>
                  <w:tcBorders>
                    <w:top w:val="nil"/>
                    <w:left w:val="nil"/>
                    <w:bottom w:val="single" w:sz="8" w:space="0" w:color="FFFFFF"/>
                    <w:right w:val="single" w:sz="8" w:space="0" w:color="FFFFFF"/>
                  </w:tcBorders>
                  <w:shd w:val="clear" w:color="000000" w:fill="FDE9D9"/>
                  <w:noWrap/>
                  <w:vAlign w:val="center"/>
                  <w:hideMark/>
                </w:tcPr>
                <w:p w14:paraId="381E0497"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4.79 </w:t>
                  </w:r>
                </w:p>
              </w:tc>
              <w:tc>
                <w:tcPr>
                  <w:tcW w:w="1040" w:type="dxa"/>
                  <w:tcBorders>
                    <w:top w:val="nil"/>
                    <w:left w:val="nil"/>
                    <w:bottom w:val="single" w:sz="8" w:space="0" w:color="FFFFFF"/>
                    <w:right w:val="single" w:sz="8" w:space="0" w:color="FFFFFF"/>
                  </w:tcBorders>
                  <w:shd w:val="clear" w:color="000000" w:fill="FDE9D9"/>
                  <w:noWrap/>
                  <w:vAlign w:val="center"/>
                  <w:hideMark/>
                </w:tcPr>
                <w:p w14:paraId="72A2F297"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6.97 </w:t>
                  </w:r>
                </w:p>
              </w:tc>
              <w:tc>
                <w:tcPr>
                  <w:tcW w:w="1246" w:type="dxa"/>
                  <w:tcBorders>
                    <w:top w:val="nil"/>
                    <w:left w:val="nil"/>
                    <w:bottom w:val="single" w:sz="8" w:space="0" w:color="FFFFFF"/>
                    <w:right w:val="single" w:sz="8" w:space="0" w:color="FFFFFF"/>
                  </w:tcBorders>
                  <w:shd w:val="clear" w:color="000000" w:fill="FDE9D9"/>
                  <w:noWrap/>
                  <w:vAlign w:val="center"/>
                  <w:hideMark/>
                </w:tcPr>
                <w:p w14:paraId="70416D9C" w14:textId="77777777" w:rsidR="00C632A4" w:rsidRPr="00C632A4" w:rsidRDefault="00C632A4" w:rsidP="00C632A4">
                  <w:pPr>
                    <w:widowControl/>
                    <w:jc w:val="center"/>
                    <w:rPr>
                      <w:rFonts w:ascii="楷体" w:eastAsia="楷体" w:hAnsi="楷体" w:cs="宋体"/>
                      <w:color w:val="000000"/>
                      <w:kern w:val="0"/>
                      <w:sz w:val="20"/>
                      <w:szCs w:val="20"/>
                    </w:rPr>
                  </w:pPr>
                  <w:r w:rsidRPr="00C632A4">
                    <w:rPr>
                      <w:rFonts w:ascii="楷体" w:eastAsia="楷体" w:hAnsi="楷体" w:cs="宋体" w:hint="eastAsia"/>
                      <w:color w:val="000000"/>
                      <w:kern w:val="0"/>
                      <w:sz w:val="20"/>
                      <w:szCs w:val="20"/>
                    </w:rPr>
                    <w:t>企业债7Y</w:t>
                  </w:r>
                </w:p>
              </w:tc>
              <w:tc>
                <w:tcPr>
                  <w:tcW w:w="1040" w:type="dxa"/>
                  <w:tcBorders>
                    <w:top w:val="nil"/>
                    <w:left w:val="nil"/>
                    <w:bottom w:val="single" w:sz="8" w:space="0" w:color="FFFFFF"/>
                    <w:right w:val="single" w:sz="8" w:space="0" w:color="FFFFFF"/>
                  </w:tcBorders>
                  <w:shd w:val="clear" w:color="000000" w:fill="FDE9D9"/>
                  <w:noWrap/>
                  <w:vAlign w:val="center"/>
                  <w:hideMark/>
                </w:tcPr>
                <w:p w14:paraId="1916E319"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0.88 </w:t>
                  </w:r>
                </w:p>
              </w:tc>
              <w:tc>
                <w:tcPr>
                  <w:tcW w:w="1040" w:type="dxa"/>
                  <w:tcBorders>
                    <w:top w:val="nil"/>
                    <w:left w:val="nil"/>
                    <w:bottom w:val="single" w:sz="8" w:space="0" w:color="FFFFFF"/>
                    <w:right w:val="single" w:sz="8" w:space="0" w:color="FFFFFF"/>
                  </w:tcBorders>
                  <w:shd w:val="clear" w:color="000000" w:fill="FDE9D9"/>
                  <w:noWrap/>
                  <w:vAlign w:val="center"/>
                  <w:hideMark/>
                </w:tcPr>
                <w:p w14:paraId="1E12FF70"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1.16 </w:t>
                  </w:r>
                </w:p>
              </w:tc>
              <w:tc>
                <w:tcPr>
                  <w:tcW w:w="1040" w:type="dxa"/>
                  <w:tcBorders>
                    <w:top w:val="nil"/>
                    <w:left w:val="nil"/>
                    <w:bottom w:val="single" w:sz="8" w:space="0" w:color="FFFFFF"/>
                    <w:right w:val="single" w:sz="8" w:space="0" w:color="FFFFFF"/>
                  </w:tcBorders>
                  <w:shd w:val="clear" w:color="000000" w:fill="FDE9D9"/>
                  <w:noWrap/>
                  <w:vAlign w:val="center"/>
                  <w:hideMark/>
                </w:tcPr>
                <w:p w14:paraId="59DE3EDB"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1.55 </w:t>
                  </w:r>
                </w:p>
              </w:tc>
              <w:tc>
                <w:tcPr>
                  <w:tcW w:w="1040" w:type="dxa"/>
                  <w:tcBorders>
                    <w:top w:val="nil"/>
                    <w:left w:val="nil"/>
                    <w:bottom w:val="single" w:sz="8" w:space="0" w:color="FFFFFF"/>
                    <w:right w:val="single" w:sz="8" w:space="0" w:color="FFFFFF"/>
                  </w:tcBorders>
                  <w:shd w:val="clear" w:color="000000" w:fill="FDE9D9"/>
                  <w:noWrap/>
                  <w:vAlign w:val="center"/>
                  <w:hideMark/>
                </w:tcPr>
                <w:p w14:paraId="3E1E493A"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3.73 </w:t>
                  </w:r>
                </w:p>
              </w:tc>
            </w:tr>
            <w:tr w:rsidR="00C632A4" w:rsidRPr="00C632A4" w14:paraId="5A42FDB8" w14:textId="77777777" w:rsidTr="00C632A4">
              <w:trPr>
                <w:trHeight w:val="300"/>
              </w:trPr>
              <w:tc>
                <w:tcPr>
                  <w:tcW w:w="1402" w:type="dxa"/>
                  <w:tcBorders>
                    <w:top w:val="nil"/>
                    <w:left w:val="nil"/>
                    <w:bottom w:val="single" w:sz="8" w:space="0" w:color="FFFFFF"/>
                    <w:right w:val="single" w:sz="8" w:space="0" w:color="FFFFFF"/>
                  </w:tcBorders>
                  <w:shd w:val="clear" w:color="000000" w:fill="FCD5B4"/>
                  <w:noWrap/>
                  <w:vAlign w:val="center"/>
                  <w:hideMark/>
                </w:tcPr>
                <w:p w14:paraId="3A932D31" w14:textId="77777777" w:rsidR="00C632A4" w:rsidRPr="00C632A4" w:rsidRDefault="00C632A4" w:rsidP="00C632A4">
                  <w:pPr>
                    <w:widowControl/>
                    <w:jc w:val="center"/>
                    <w:rPr>
                      <w:rFonts w:ascii="楷体" w:eastAsia="楷体" w:hAnsi="楷体" w:cs="宋体"/>
                      <w:color w:val="000000"/>
                      <w:kern w:val="0"/>
                      <w:sz w:val="20"/>
                      <w:szCs w:val="20"/>
                    </w:rPr>
                  </w:pPr>
                  <w:proofErr w:type="gramStart"/>
                  <w:r w:rsidRPr="00C632A4">
                    <w:rPr>
                      <w:rFonts w:ascii="楷体" w:eastAsia="楷体" w:hAnsi="楷体" w:cs="宋体" w:hint="eastAsia"/>
                      <w:color w:val="000000"/>
                      <w:kern w:val="0"/>
                      <w:sz w:val="20"/>
                      <w:szCs w:val="20"/>
                    </w:rPr>
                    <w:t>城投债</w:t>
                  </w:r>
                  <w:proofErr w:type="gramEnd"/>
                  <w:r w:rsidRPr="00C632A4">
                    <w:rPr>
                      <w:rFonts w:ascii="楷体" w:eastAsia="楷体" w:hAnsi="楷体" w:cs="宋体" w:hint="eastAsia"/>
                      <w:color w:val="000000"/>
                      <w:kern w:val="0"/>
                      <w:sz w:val="20"/>
                      <w:szCs w:val="20"/>
                    </w:rPr>
                    <w:t>3Y</w:t>
                  </w:r>
                </w:p>
              </w:tc>
              <w:tc>
                <w:tcPr>
                  <w:tcW w:w="1040" w:type="dxa"/>
                  <w:tcBorders>
                    <w:top w:val="nil"/>
                    <w:left w:val="nil"/>
                    <w:bottom w:val="single" w:sz="8" w:space="0" w:color="FFFFFF"/>
                    <w:right w:val="single" w:sz="8" w:space="0" w:color="FFFFFF"/>
                  </w:tcBorders>
                  <w:shd w:val="clear" w:color="000000" w:fill="FCD5B4"/>
                  <w:noWrap/>
                  <w:vAlign w:val="center"/>
                  <w:hideMark/>
                </w:tcPr>
                <w:p w14:paraId="3B398313"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3.66 </w:t>
                  </w:r>
                </w:p>
              </w:tc>
              <w:tc>
                <w:tcPr>
                  <w:tcW w:w="1040" w:type="dxa"/>
                  <w:tcBorders>
                    <w:top w:val="nil"/>
                    <w:left w:val="nil"/>
                    <w:bottom w:val="single" w:sz="8" w:space="0" w:color="FFFFFF"/>
                    <w:right w:val="single" w:sz="8" w:space="0" w:color="FFFFFF"/>
                  </w:tcBorders>
                  <w:shd w:val="clear" w:color="000000" w:fill="FCD5B4"/>
                  <w:noWrap/>
                  <w:vAlign w:val="center"/>
                  <w:hideMark/>
                </w:tcPr>
                <w:p w14:paraId="28663450"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3.77 </w:t>
                  </w:r>
                </w:p>
              </w:tc>
              <w:tc>
                <w:tcPr>
                  <w:tcW w:w="1040" w:type="dxa"/>
                  <w:tcBorders>
                    <w:top w:val="nil"/>
                    <w:left w:val="nil"/>
                    <w:bottom w:val="single" w:sz="8" w:space="0" w:color="FFFFFF"/>
                    <w:right w:val="single" w:sz="8" w:space="0" w:color="FFFFFF"/>
                  </w:tcBorders>
                  <w:shd w:val="clear" w:color="000000" w:fill="FCD5B4"/>
                  <w:noWrap/>
                  <w:vAlign w:val="center"/>
                  <w:hideMark/>
                </w:tcPr>
                <w:p w14:paraId="73F1B4AE"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3.90 </w:t>
                  </w:r>
                </w:p>
              </w:tc>
              <w:tc>
                <w:tcPr>
                  <w:tcW w:w="1040" w:type="dxa"/>
                  <w:tcBorders>
                    <w:top w:val="nil"/>
                    <w:left w:val="nil"/>
                    <w:bottom w:val="single" w:sz="8" w:space="0" w:color="FFFFFF"/>
                    <w:right w:val="single" w:sz="8" w:space="0" w:color="FFFFFF"/>
                  </w:tcBorders>
                  <w:shd w:val="clear" w:color="000000" w:fill="FCD5B4"/>
                  <w:noWrap/>
                  <w:vAlign w:val="center"/>
                  <w:hideMark/>
                </w:tcPr>
                <w:p w14:paraId="1AAD6C54"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5.60 </w:t>
                  </w:r>
                </w:p>
              </w:tc>
              <w:tc>
                <w:tcPr>
                  <w:tcW w:w="1246" w:type="dxa"/>
                  <w:tcBorders>
                    <w:top w:val="nil"/>
                    <w:left w:val="nil"/>
                    <w:bottom w:val="single" w:sz="8" w:space="0" w:color="FFFFFF"/>
                    <w:right w:val="single" w:sz="8" w:space="0" w:color="FFFFFF"/>
                  </w:tcBorders>
                  <w:shd w:val="clear" w:color="000000" w:fill="FCD5B4"/>
                  <w:noWrap/>
                  <w:vAlign w:val="center"/>
                  <w:hideMark/>
                </w:tcPr>
                <w:p w14:paraId="0A218266" w14:textId="77777777" w:rsidR="00C632A4" w:rsidRPr="00C632A4" w:rsidRDefault="00C632A4" w:rsidP="00C632A4">
                  <w:pPr>
                    <w:widowControl/>
                    <w:jc w:val="center"/>
                    <w:rPr>
                      <w:rFonts w:ascii="楷体" w:eastAsia="楷体" w:hAnsi="楷体" w:cs="宋体"/>
                      <w:color w:val="000000"/>
                      <w:kern w:val="0"/>
                      <w:sz w:val="20"/>
                      <w:szCs w:val="20"/>
                    </w:rPr>
                  </w:pPr>
                  <w:proofErr w:type="gramStart"/>
                  <w:r w:rsidRPr="00C632A4">
                    <w:rPr>
                      <w:rFonts w:ascii="楷体" w:eastAsia="楷体" w:hAnsi="楷体" w:cs="宋体" w:hint="eastAsia"/>
                      <w:color w:val="000000"/>
                      <w:kern w:val="0"/>
                      <w:sz w:val="20"/>
                      <w:szCs w:val="20"/>
                    </w:rPr>
                    <w:t>城投债</w:t>
                  </w:r>
                  <w:proofErr w:type="gramEnd"/>
                  <w:r w:rsidRPr="00C632A4">
                    <w:rPr>
                      <w:rFonts w:ascii="楷体" w:eastAsia="楷体" w:hAnsi="楷体" w:cs="宋体" w:hint="eastAsia"/>
                      <w:color w:val="000000"/>
                      <w:kern w:val="0"/>
                      <w:sz w:val="20"/>
                      <w:szCs w:val="20"/>
                    </w:rPr>
                    <w:t>3Y</w:t>
                  </w:r>
                </w:p>
              </w:tc>
              <w:tc>
                <w:tcPr>
                  <w:tcW w:w="1040" w:type="dxa"/>
                  <w:tcBorders>
                    <w:top w:val="nil"/>
                    <w:left w:val="nil"/>
                    <w:bottom w:val="single" w:sz="8" w:space="0" w:color="FFFFFF"/>
                    <w:right w:val="single" w:sz="8" w:space="0" w:color="FFFFFF"/>
                  </w:tcBorders>
                  <w:shd w:val="clear" w:color="000000" w:fill="FCD5B4"/>
                  <w:noWrap/>
                  <w:vAlign w:val="center"/>
                  <w:hideMark/>
                </w:tcPr>
                <w:p w14:paraId="42943927"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0.69 </w:t>
                  </w:r>
                </w:p>
              </w:tc>
              <w:tc>
                <w:tcPr>
                  <w:tcW w:w="1040" w:type="dxa"/>
                  <w:tcBorders>
                    <w:top w:val="nil"/>
                    <w:left w:val="nil"/>
                    <w:bottom w:val="single" w:sz="8" w:space="0" w:color="FFFFFF"/>
                    <w:right w:val="single" w:sz="8" w:space="0" w:color="FFFFFF"/>
                  </w:tcBorders>
                  <w:shd w:val="clear" w:color="000000" w:fill="FCD5B4"/>
                  <w:noWrap/>
                  <w:vAlign w:val="center"/>
                  <w:hideMark/>
                </w:tcPr>
                <w:p w14:paraId="4B616C8D"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0.80 </w:t>
                  </w:r>
                </w:p>
              </w:tc>
              <w:tc>
                <w:tcPr>
                  <w:tcW w:w="1040" w:type="dxa"/>
                  <w:tcBorders>
                    <w:top w:val="nil"/>
                    <w:left w:val="nil"/>
                    <w:bottom w:val="single" w:sz="8" w:space="0" w:color="FFFFFF"/>
                    <w:right w:val="single" w:sz="8" w:space="0" w:color="FFFFFF"/>
                  </w:tcBorders>
                  <w:shd w:val="clear" w:color="000000" w:fill="FCD5B4"/>
                  <w:noWrap/>
                  <w:vAlign w:val="center"/>
                  <w:hideMark/>
                </w:tcPr>
                <w:p w14:paraId="738E3FD3"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0.93 </w:t>
                  </w:r>
                </w:p>
              </w:tc>
              <w:tc>
                <w:tcPr>
                  <w:tcW w:w="1040" w:type="dxa"/>
                  <w:tcBorders>
                    <w:top w:val="nil"/>
                    <w:left w:val="nil"/>
                    <w:bottom w:val="single" w:sz="8" w:space="0" w:color="FFFFFF"/>
                    <w:right w:val="single" w:sz="8" w:space="0" w:color="FFFFFF"/>
                  </w:tcBorders>
                  <w:shd w:val="clear" w:color="000000" w:fill="FCD5B4"/>
                  <w:noWrap/>
                  <w:vAlign w:val="center"/>
                  <w:hideMark/>
                </w:tcPr>
                <w:p w14:paraId="3333835B"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2.63 </w:t>
                  </w:r>
                </w:p>
              </w:tc>
            </w:tr>
            <w:tr w:rsidR="00C632A4" w:rsidRPr="00C632A4" w14:paraId="5C6AC992" w14:textId="77777777" w:rsidTr="00C632A4">
              <w:trPr>
                <w:trHeight w:val="300"/>
              </w:trPr>
              <w:tc>
                <w:tcPr>
                  <w:tcW w:w="1402" w:type="dxa"/>
                  <w:tcBorders>
                    <w:top w:val="nil"/>
                    <w:left w:val="nil"/>
                    <w:bottom w:val="single" w:sz="8" w:space="0" w:color="FFFFFF"/>
                    <w:right w:val="single" w:sz="8" w:space="0" w:color="FFFFFF"/>
                  </w:tcBorders>
                  <w:shd w:val="clear" w:color="000000" w:fill="FDE9D9"/>
                  <w:noWrap/>
                  <w:vAlign w:val="center"/>
                  <w:hideMark/>
                </w:tcPr>
                <w:p w14:paraId="570C5682" w14:textId="77777777" w:rsidR="00C632A4" w:rsidRPr="00C632A4" w:rsidRDefault="00C632A4" w:rsidP="00C632A4">
                  <w:pPr>
                    <w:widowControl/>
                    <w:jc w:val="center"/>
                    <w:rPr>
                      <w:rFonts w:ascii="楷体" w:eastAsia="楷体" w:hAnsi="楷体" w:cs="宋体"/>
                      <w:color w:val="000000"/>
                      <w:kern w:val="0"/>
                      <w:sz w:val="20"/>
                      <w:szCs w:val="20"/>
                    </w:rPr>
                  </w:pPr>
                  <w:proofErr w:type="gramStart"/>
                  <w:r w:rsidRPr="00C632A4">
                    <w:rPr>
                      <w:rFonts w:ascii="楷体" w:eastAsia="楷体" w:hAnsi="楷体" w:cs="宋体" w:hint="eastAsia"/>
                      <w:color w:val="000000"/>
                      <w:kern w:val="0"/>
                      <w:sz w:val="20"/>
                      <w:szCs w:val="20"/>
                    </w:rPr>
                    <w:t>城投债</w:t>
                  </w:r>
                  <w:proofErr w:type="gramEnd"/>
                  <w:r w:rsidRPr="00C632A4">
                    <w:rPr>
                      <w:rFonts w:ascii="楷体" w:eastAsia="楷体" w:hAnsi="楷体" w:cs="宋体" w:hint="eastAsia"/>
                      <w:color w:val="000000"/>
                      <w:kern w:val="0"/>
                      <w:sz w:val="20"/>
                      <w:szCs w:val="20"/>
                    </w:rPr>
                    <w:t>5Y</w:t>
                  </w:r>
                </w:p>
              </w:tc>
              <w:tc>
                <w:tcPr>
                  <w:tcW w:w="1040" w:type="dxa"/>
                  <w:tcBorders>
                    <w:top w:val="nil"/>
                    <w:left w:val="nil"/>
                    <w:bottom w:val="single" w:sz="8" w:space="0" w:color="FFFFFF"/>
                    <w:right w:val="single" w:sz="8" w:space="0" w:color="FFFFFF"/>
                  </w:tcBorders>
                  <w:shd w:val="clear" w:color="000000" w:fill="FDE9D9"/>
                  <w:noWrap/>
                  <w:vAlign w:val="center"/>
                  <w:hideMark/>
                </w:tcPr>
                <w:p w14:paraId="0F5F8AD4"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3.97 </w:t>
                  </w:r>
                </w:p>
              </w:tc>
              <w:tc>
                <w:tcPr>
                  <w:tcW w:w="1040" w:type="dxa"/>
                  <w:tcBorders>
                    <w:top w:val="nil"/>
                    <w:left w:val="nil"/>
                    <w:bottom w:val="single" w:sz="8" w:space="0" w:color="FFFFFF"/>
                    <w:right w:val="single" w:sz="8" w:space="0" w:color="FFFFFF"/>
                  </w:tcBorders>
                  <w:shd w:val="clear" w:color="000000" w:fill="FDE9D9"/>
                  <w:noWrap/>
                  <w:vAlign w:val="center"/>
                  <w:hideMark/>
                </w:tcPr>
                <w:p w14:paraId="5F5D9312"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4.08 </w:t>
                  </w:r>
                </w:p>
              </w:tc>
              <w:tc>
                <w:tcPr>
                  <w:tcW w:w="1040" w:type="dxa"/>
                  <w:tcBorders>
                    <w:top w:val="nil"/>
                    <w:left w:val="nil"/>
                    <w:bottom w:val="single" w:sz="8" w:space="0" w:color="FFFFFF"/>
                    <w:right w:val="single" w:sz="8" w:space="0" w:color="FFFFFF"/>
                  </w:tcBorders>
                  <w:shd w:val="clear" w:color="000000" w:fill="FDE9D9"/>
                  <w:noWrap/>
                  <w:vAlign w:val="center"/>
                  <w:hideMark/>
                </w:tcPr>
                <w:p w14:paraId="23E01240"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4.32 </w:t>
                  </w:r>
                </w:p>
              </w:tc>
              <w:tc>
                <w:tcPr>
                  <w:tcW w:w="1040" w:type="dxa"/>
                  <w:tcBorders>
                    <w:top w:val="nil"/>
                    <w:left w:val="nil"/>
                    <w:bottom w:val="single" w:sz="8" w:space="0" w:color="FFFFFF"/>
                    <w:right w:val="single" w:sz="8" w:space="0" w:color="FFFFFF"/>
                  </w:tcBorders>
                  <w:shd w:val="clear" w:color="000000" w:fill="FDE9D9"/>
                  <w:noWrap/>
                  <w:vAlign w:val="center"/>
                  <w:hideMark/>
                </w:tcPr>
                <w:p w14:paraId="6628ECA0"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6.55 </w:t>
                  </w:r>
                </w:p>
              </w:tc>
              <w:tc>
                <w:tcPr>
                  <w:tcW w:w="1246" w:type="dxa"/>
                  <w:tcBorders>
                    <w:top w:val="nil"/>
                    <w:left w:val="nil"/>
                    <w:bottom w:val="single" w:sz="8" w:space="0" w:color="FFFFFF"/>
                    <w:right w:val="single" w:sz="8" w:space="0" w:color="FFFFFF"/>
                  </w:tcBorders>
                  <w:shd w:val="clear" w:color="000000" w:fill="FDE9D9"/>
                  <w:noWrap/>
                  <w:vAlign w:val="center"/>
                  <w:hideMark/>
                </w:tcPr>
                <w:p w14:paraId="4B0AABFD" w14:textId="77777777" w:rsidR="00C632A4" w:rsidRPr="00C632A4" w:rsidRDefault="00C632A4" w:rsidP="00C632A4">
                  <w:pPr>
                    <w:widowControl/>
                    <w:jc w:val="center"/>
                    <w:rPr>
                      <w:rFonts w:ascii="楷体" w:eastAsia="楷体" w:hAnsi="楷体" w:cs="宋体"/>
                      <w:color w:val="000000"/>
                      <w:kern w:val="0"/>
                      <w:sz w:val="20"/>
                      <w:szCs w:val="20"/>
                    </w:rPr>
                  </w:pPr>
                  <w:proofErr w:type="gramStart"/>
                  <w:r w:rsidRPr="00C632A4">
                    <w:rPr>
                      <w:rFonts w:ascii="楷体" w:eastAsia="楷体" w:hAnsi="楷体" w:cs="宋体" w:hint="eastAsia"/>
                      <w:color w:val="000000"/>
                      <w:kern w:val="0"/>
                      <w:sz w:val="20"/>
                      <w:szCs w:val="20"/>
                    </w:rPr>
                    <w:t>城投债</w:t>
                  </w:r>
                  <w:proofErr w:type="gramEnd"/>
                  <w:r w:rsidRPr="00C632A4">
                    <w:rPr>
                      <w:rFonts w:ascii="楷体" w:eastAsia="楷体" w:hAnsi="楷体" w:cs="宋体" w:hint="eastAsia"/>
                      <w:color w:val="000000"/>
                      <w:kern w:val="0"/>
                      <w:sz w:val="20"/>
                      <w:szCs w:val="20"/>
                    </w:rPr>
                    <w:t>5Y</w:t>
                  </w:r>
                </w:p>
              </w:tc>
              <w:tc>
                <w:tcPr>
                  <w:tcW w:w="1040" w:type="dxa"/>
                  <w:tcBorders>
                    <w:top w:val="nil"/>
                    <w:left w:val="nil"/>
                    <w:bottom w:val="single" w:sz="8" w:space="0" w:color="FFFFFF"/>
                    <w:right w:val="single" w:sz="8" w:space="0" w:color="FFFFFF"/>
                  </w:tcBorders>
                  <w:shd w:val="clear" w:color="000000" w:fill="FDE9D9"/>
                  <w:noWrap/>
                  <w:vAlign w:val="center"/>
                  <w:hideMark/>
                </w:tcPr>
                <w:p w14:paraId="7374D808"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0.93 </w:t>
                  </w:r>
                </w:p>
              </w:tc>
              <w:tc>
                <w:tcPr>
                  <w:tcW w:w="1040" w:type="dxa"/>
                  <w:tcBorders>
                    <w:top w:val="nil"/>
                    <w:left w:val="nil"/>
                    <w:bottom w:val="single" w:sz="8" w:space="0" w:color="FFFFFF"/>
                    <w:right w:val="single" w:sz="8" w:space="0" w:color="FFFFFF"/>
                  </w:tcBorders>
                  <w:shd w:val="clear" w:color="000000" w:fill="FDE9D9"/>
                  <w:noWrap/>
                  <w:vAlign w:val="center"/>
                  <w:hideMark/>
                </w:tcPr>
                <w:p w14:paraId="6490A3EA"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1.04 </w:t>
                  </w:r>
                </w:p>
              </w:tc>
              <w:tc>
                <w:tcPr>
                  <w:tcW w:w="1040" w:type="dxa"/>
                  <w:tcBorders>
                    <w:top w:val="nil"/>
                    <w:left w:val="nil"/>
                    <w:bottom w:val="single" w:sz="8" w:space="0" w:color="FFFFFF"/>
                    <w:right w:val="single" w:sz="8" w:space="0" w:color="FFFFFF"/>
                  </w:tcBorders>
                  <w:shd w:val="clear" w:color="000000" w:fill="FDE9D9"/>
                  <w:noWrap/>
                  <w:vAlign w:val="center"/>
                  <w:hideMark/>
                </w:tcPr>
                <w:p w14:paraId="1BED2F56"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1.29 </w:t>
                  </w:r>
                </w:p>
              </w:tc>
              <w:tc>
                <w:tcPr>
                  <w:tcW w:w="1040" w:type="dxa"/>
                  <w:tcBorders>
                    <w:top w:val="nil"/>
                    <w:left w:val="nil"/>
                    <w:bottom w:val="single" w:sz="8" w:space="0" w:color="FFFFFF"/>
                    <w:right w:val="single" w:sz="8" w:space="0" w:color="FFFFFF"/>
                  </w:tcBorders>
                  <w:shd w:val="clear" w:color="000000" w:fill="FDE9D9"/>
                  <w:noWrap/>
                  <w:vAlign w:val="center"/>
                  <w:hideMark/>
                </w:tcPr>
                <w:p w14:paraId="753DBC39"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3.52 </w:t>
                  </w:r>
                </w:p>
              </w:tc>
            </w:tr>
            <w:tr w:rsidR="00C632A4" w:rsidRPr="00C632A4" w14:paraId="2DED0EEA" w14:textId="77777777" w:rsidTr="00C632A4">
              <w:trPr>
                <w:trHeight w:val="300"/>
              </w:trPr>
              <w:tc>
                <w:tcPr>
                  <w:tcW w:w="1402" w:type="dxa"/>
                  <w:tcBorders>
                    <w:top w:val="nil"/>
                    <w:left w:val="nil"/>
                    <w:bottom w:val="nil"/>
                    <w:right w:val="nil"/>
                  </w:tcBorders>
                  <w:shd w:val="clear" w:color="000000" w:fill="FCD5B4"/>
                  <w:noWrap/>
                  <w:vAlign w:val="center"/>
                  <w:hideMark/>
                </w:tcPr>
                <w:p w14:paraId="07C3D16A" w14:textId="77777777" w:rsidR="00C632A4" w:rsidRPr="00C632A4" w:rsidRDefault="00C632A4" w:rsidP="00C632A4">
                  <w:pPr>
                    <w:widowControl/>
                    <w:jc w:val="center"/>
                    <w:rPr>
                      <w:rFonts w:ascii="楷体" w:eastAsia="楷体" w:hAnsi="楷体" w:cs="宋体"/>
                      <w:color w:val="000000"/>
                      <w:kern w:val="0"/>
                      <w:sz w:val="20"/>
                      <w:szCs w:val="20"/>
                    </w:rPr>
                  </w:pPr>
                  <w:proofErr w:type="gramStart"/>
                  <w:r w:rsidRPr="00C632A4">
                    <w:rPr>
                      <w:rFonts w:ascii="楷体" w:eastAsia="楷体" w:hAnsi="楷体" w:cs="宋体" w:hint="eastAsia"/>
                      <w:color w:val="000000"/>
                      <w:kern w:val="0"/>
                      <w:sz w:val="20"/>
                      <w:szCs w:val="20"/>
                    </w:rPr>
                    <w:t>城投债</w:t>
                  </w:r>
                  <w:proofErr w:type="gramEnd"/>
                  <w:r w:rsidRPr="00C632A4">
                    <w:rPr>
                      <w:rFonts w:ascii="楷体" w:eastAsia="楷体" w:hAnsi="楷体" w:cs="宋体" w:hint="eastAsia"/>
                      <w:color w:val="000000"/>
                      <w:kern w:val="0"/>
                      <w:sz w:val="20"/>
                      <w:szCs w:val="20"/>
                    </w:rPr>
                    <w:t>7Y</w:t>
                  </w:r>
                </w:p>
              </w:tc>
              <w:tc>
                <w:tcPr>
                  <w:tcW w:w="1040" w:type="dxa"/>
                  <w:tcBorders>
                    <w:top w:val="nil"/>
                    <w:left w:val="nil"/>
                    <w:bottom w:val="single" w:sz="8" w:space="0" w:color="FFFFFF"/>
                    <w:right w:val="single" w:sz="8" w:space="0" w:color="FFFFFF"/>
                  </w:tcBorders>
                  <w:shd w:val="clear" w:color="000000" w:fill="FCD5B4"/>
                  <w:noWrap/>
                  <w:vAlign w:val="center"/>
                  <w:hideMark/>
                </w:tcPr>
                <w:p w14:paraId="7E458E25"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4.19 </w:t>
                  </w:r>
                </w:p>
              </w:tc>
              <w:tc>
                <w:tcPr>
                  <w:tcW w:w="1040" w:type="dxa"/>
                  <w:tcBorders>
                    <w:top w:val="nil"/>
                    <w:left w:val="nil"/>
                    <w:bottom w:val="single" w:sz="8" w:space="0" w:color="FFFFFF"/>
                    <w:right w:val="single" w:sz="8" w:space="0" w:color="FFFFFF"/>
                  </w:tcBorders>
                  <w:shd w:val="clear" w:color="000000" w:fill="FCD5B4"/>
                  <w:noWrap/>
                  <w:vAlign w:val="center"/>
                  <w:hideMark/>
                </w:tcPr>
                <w:p w14:paraId="4D6B1BF3"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4.39 </w:t>
                  </w:r>
                </w:p>
              </w:tc>
              <w:tc>
                <w:tcPr>
                  <w:tcW w:w="1040" w:type="dxa"/>
                  <w:tcBorders>
                    <w:top w:val="nil"/>
                    <w:left w:val="nil"/>
                    <w:bottom w:val="single" w:sz="8" w:space="0" w:color="FFFFFF"/>
                    <w:right w:val="single" w:sz="8" w:space="0" w:color="FFFFFF"/>
                  </w:tcBorders>
                  <w:shd w:val="clear" w:color="000000" w:fill="FCD5B4"/>
                  <w:noWrap/>
                  <w:vAlign w:val="center"/>
                  <w:hideMark/>
                </w:tcPr>
                <w:p w14:paraId="211C1285"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4.71 </w:t>
                  </w:r>
                </w:p>
              </w:tc>
              <w:tc>
                <w:tcPr>
                  <w:tcW w:w="1040" w:type="dxa"/>
                  <w:tcBorders>
                    <w:top w:val="nil"/>
                    <w:left w:val="nil"/>
                    <w:bottom w:val="single" w:sz="8" w:space="0" w:color="FFFFFF"/>
                    <w:right w:val="single" w:sz="8" w:space="0" w:color="FFFFFF"/>
                  </w:tcBorders>
                  <w:shd w:val="clear" w:color="000000" w:fill="FCD5B4"/>
                  <w:noWrap/>
                  <w:vAlign w:val="center"/>
                  <w:hideMark/>
                </w:tcPr>
                <w:p w14:paraId="4CFF389B"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7.08 </w:t>
                  </w:r>
                </w:p>
              </w:tc>
              <w:tc>
                <w:tcPr>
                  <w:tcW w:w="1246" w:type="dxa"/>
                  <w:tcBorders>
                    <w:top w:val="nil"/>
                    <w:left w:val="nil"/>
                    <w:bottom w:val="nil"/>
                    <w:right w:val="nil"/>
                  </w:tcBorders>
                  <w:shd w:val="clear" w:color="000000" w:fill="FCD5B4"/>
                  <w:noWrap/>
                  <w:vAlign w:val="center"/>
                  <w:hideMark/>
                </w:tcPr>
                <w:p w14:paraId="762B664D" w14:textId="77777777" w:rsidR="00C632A4" w:rsidRPr="00C632A4" w:rsidRDefault="00C632A4" w:rsidP="00C632A4">
                  <w:pPr>
                    <w:widowControl/>
                    <w:jc w:val="center"/>
                    <w:rPr>
                      <w:rFonts w:ascii="楷体" w:eastAsia="楷体" w:hAnsi="楷体" w:cs="宋体"/>
                      <w:color w:val="000000"/>
                      <w:kern w:val="0"/>
                      <w:sz w:val="20"/>
                      <w:szCs w:val="20"/>
                    </w:rPr>
                  </w:pPr>
                  <w:proofErr w:type="gramStart"/>
                  <w:r w:rsidRPr="00C632A4">
                    <w:rPr>
                      <w:rFonts w:ascii="楷体" w:eastAsia="楷体" w:hAnsi="楷体" w:cs="宋体" w:hint="eastAsia"/>
                      <w:color w:val="000000"/>
                      <w:kern w:val="0"/>
                      <w:sz w:val="20"/>
                      <w:szCs w:val="20"/>
                    </w:rPr>
                    <w:t>城投债</w:t>
                  </w:r>
                  <w:proofErr w:type="gramEnd"/>
                  <w:r w:rsidRPr="00C632A4">
                    <w:rPr>
                      <w:rFonts w:ascii="楷体" w:eastAsia="楷体" w:hAnsi="楷体" w:cs="宋体" w:hint="eastAsia"/>
                      <w:color w:val="000000"/>
                      <w:kern w:val="0"/>
                      <w:sz w:val="20"/>
                      <w:szCs w:val="20"/>
                    </w:rPr>
                    <w:t>7Y</w:t>
                  </w:r>
                </w:p>
              </w:tc>
              <w:tc>
                <w:tcPr>
                  <w:tcW w:w="1040" w:type="dxa"/>
                  <w:tcBorders>
                    <w:top w:val="nil"/>
                    <w:left w:val="nil"/>
                    <w:bottom w:val="single" w:sz="8" w:space="0" w:color="FFFFFF"/>
                    <w:right w:val="single" w:sz="8" w:space="0" w:color="FFFFFF"/>
                  </w:tcBorders>
                  <w:shd w:val="clear" w:color="000000" w:fill="FCD5B4"/>
                  <w:noWrap/>
                  <w:vAlign w:val="center"/>
                  <w:hideMark/>
                </w:tcPr>
                <w:p w14:paraId="7A008990"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0.95 </w:t>
                  </w:r>
                </w:p>
              </w:tc>
              <w:tc>
                <w:tcPr>
                  <w:tcW w:w="1040" w:type="dxa"/>
                  <w:tcBorders>
                    <w:top w:val="nil"/>
                    <w:left w:val="nil"/>
                    <w:bottom w:val="single" w:sz="8" w:space="0" w:color="FFFFFF"/>
                    <w:right w:val="single" w:sz="8" w:space="0" w:color="FFFFFF"/>
                  </w:tcBorders>
                  <w:shd w:val="clear" w:color="000000" w:fill="FCD5B4"/>
                  <w:noWrap/>
                  <w:vAlign w:val="center"/>
                  <w:hideMark/>
                </w:tcPr>
                <w:p w14:paraId="01AA413E"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1.15 </w:t>
                  </w:r>
                </w:p>
              </w:tc>
              <w:tc>
                <w:tcPr>
                  <w:tcW w:w="1040" w:type="dxa"/>
                  <w:tcBorders>
                    <w:top w:val="nil"/>
                    <w:left w:val="nil"/>
                    <w:bottom w:val="single" w:sz="8" w:space="0" w:color="FFFFFF"/>
                    <w:right w:val="single" w:sz="8" w:space="0" w:color="FFFFFF"/>
                  </w:tcBorders>
                  <w:shd w:val="clear" w:color="000000" w:fill="FCD5B4"/>
                  <w:noWrap/>
                  <w:vAlign w:val="center"/>
                  <w:hideMark/>
                </w:tcPr>
                <w:p w14:paraId="7B959899"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1.47 </w:t>
                  </w:r>
                </w:p>
              </w:tc>
              <w:tc>
                <w:tcPr>
                  <w:tcW w:w="1040" w:type="dxa"/>
                  <w:tcBorders>
                    <w:top w:val="nil"/>
                    <w:left w:val="nil"/>
                    <w:bottom w:val="single" w:sz="8" w:space="0" w:color="FFFFFF"/>
                    <w:right w:val="single" w:sz="8" w:space="0" w:color="FFFFFF"/>
                  </w:tcBorders>
                  <w:shd w:val="clear" w:color="000000" w:fill="FCD5B4"/>
                  <w:noWrap/>
                  <w:vAlign w:val="center"/>
                  <w:hideMark/>
                </w:tcPr>
                <w:p w14:paraId="350C24D0"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3.84 </w:t>
                  </w:r>
                </w:p>
              </w:tc>
            </w:tr>
            <w:tr w:rsidR="00C632A4" w:rsidRPr="00C632A4" w14:paraId="1B586FFA" w14:textId="77777777" w:rsidTr="00C632A4">
              <w:trPr>
                <w:trHeight w:val="300"/>
              </w:trPr>
              <w:tc>
                <w:tcPr>
                  <w:tcW w:w="1402" w:type="dxa"/>
                  <w:tcBorders>
                    <w:top w:val="nil"/>
                    <w:left w:val="nil"/>
                    <w:bottom w:val="single" w:sz="12" w:space="0" w:color="FFFFFF"/>
                    <w:right w:val="single" w:sz="8" w:space="0" w:color="FFFFFF"/>
                  </w:tcBorders>
                  <w:shd w:val="clear" w:color="000000" w:fill="F79646"/>
                  <w:noWrap/>
                  <w:vAlign w:val="center"/>
                  <w:hideMark/>
                </w:tcPr>
                <w:p w14:paraId="2C06992B" w14:textId="77777777" w:rsidR="00C632A4" w:rsidRPr="00C632A4" w:rsidRDefault="00C632A4" w:rsidP="00C632A4">
                  <w:pPr>
                    <w:widowControl/>
                    <w:jc w:val="center"/>
                    <w:rPr>
                      <w:rFonts w:ascii="楷体" w:eastAsia="楷体" w:hAnsi="楷体" w:cs="宋体"/>
                      <w:b/>
                      <w:bCs/>
                      <w:color w:val="FFFFFF"/>
                      <w:kern w:val="0"/>
                      <w:sz w:val="20"/>
                      <w:szCs w:val="20"/>
                    </w:rPr>
                  </w:pPr>
                  <w:proofErr w:type="gramStart"/>
                  <w:r w:rsidRPr="00C632A4">
                    <w:rPr>
                      <w:rFonts w:ascii="楷体" w:eastAsia="楷体" w:hAnsi="楷体" w:cs="宋体" w:hint="eastAsia"/>
                      <w:b/>
                      <w:bCs/>
                      <w:color w:val="FFFFFF"/>
                      <w:kern w:val="0"/>
                      <w:sz w:val="20"/>
                      <w:szCs w:val="20"/>
                    </w:rPr>
                    <w:t>周变化</w:t>
                  </w:r>
                  <w:proofErr w:type="gramEnd"/>
                  <w:r w:rsidRPr="00C632A4">
                    <w:rPr>
                      <w:rFonts w:ascii="楷体" w:eastAsia="楷体" w:hAnsi="楷体" w:cs="宋体" w:hint="eastAsia"/>
                      <w:b/>
                      <w:bCs/>
                      <w:color w:val="FFFFFF"/>
                      <w:kern w:val="0"/>
                      <w:sz w:val="20"/>
                      <w:szCs w:val="20"/>
                    </w:rPr>
                    <w:t>(BP)</w:t>
                  </w:r>
                </w:p>
              </w:tc>
              <w:tc>
                <w:tcPr>
                  <w:tcW w:w="1040" w:type="dxa"/>
                  <w:tcBorders>
                    <w:top w:val="nil"/>
                    <w:left w:val="nil"/>
                    <w:bottom w:val="single" w:sz="12" w:space="0" w:color="FFFFFF"/>
                    <w:right w:val="single" w:sz="8" w:space="0" w:color="FFFFFF"/>
                  </w:tcBorders>
                  <w:shd w:val="clear" w:color="000000" w:fill="F79646"/>
                  <w:noWrap/>
                  <w:vAlign w:val="center"/>
                  <w:hideMark/>
                </w:tcPr>
                <w:p w14:paraId="142EC63D" w14:textId="77777777" w:rsidR="00C632A4" w:rsidRPr="00C632A4" w:rsidRDefault="00C632A4" w:rsidP="00C632A4">
                  <w:pPr>
                    <w:widowControl/>
                    <w:jc w:val="center"/>
                    <w:rPr>
                      <w:rFonts w:ascii="楷体" w:eastAsia="楷体" w:hAnsi="楷体" w:cs="宋体"/>
                      <w:b/>
                      <w:bCs/>
                      <w:color w:val="FFFFFF"/>
                      <w:kern w:val="0"/>
                      <w:sz w:val="20"/>
                      <w:szCs w:val="20"/>
                    </w:rPr>
                  </w:pPr>
                  <w:r w:rsidRPr="00C632A4">
                    <w:rPr>
                      <w:rFonts w:ascii="楷体" w:eastAsia="楷体" w:hAnsi="楷体" w:cs="宋体" w:hint="eastAsia"/>
                      <w:b/>
                      <w:bCs/>
                      <w:color w:val="FFFFFF"/>
                      <w:kern w:val="0"/>
                      <w:sz w:val="20"/>
                      <w:szCs w:val="20"/>
                    </w:rPr>
                    <w:t>AAA</w:t>
                  </w:r>
                </w:p>
              </w:tc>
              <w:tc>
                <w:tcPr>
                  <w:tcW w:w="1040" w:type="dxa"/>
                  <w:tcBorders>
                    <w:top w:val="nil"/>
                    <w:left w:val="nil"/>
                    <w:bottom w:val="single" w:sz="12" w:space="0" w:color="FFFFFF"/>
                    <w:right w:val="single" w:sz="8" w:space="0" w:color="FFFFFF"/>
                  </w:tcBorders>
                  <w:shd w:val="clear" w:color="000000" w:fill="F79646"/>
                  <w:noWrap/>
                  <w:vAlign w:val="center"/>
                  <w:hideMark/>
                </w:tcPr>
                <w:p w14:paraId="6177CDCD" w14:textId="77777777" w:rsidR="00C632A4" w:rsidRPr="00C632A4" w:rsidRDefault="00C632A4" w:rsidP="00C632A4">
                  <w:pPr>
                    <w:widowControl/>
                    <w:jc w:val="center"/>
                    <w:rPr>
                      <w:rFonts w:ascii="楷体" w:eastAsia="楷体" w:hAnsi="楷体" w:cs="宋体"/>
                      <w:b/>
                      <w:bCs/>
                      <w:color w:val="FFFFFF"/>
                      <w:kern w:val="0"/>
                      <w:sz w:val="20"/>
                      <w:szCs w:val="20"/>
                    </w:rPr>
                  </w:pPr>
                  <w:r w:rsidRPr="00C632A4">
                    <w:rPr>
                      <w:rFonts w:ascii="楷体" w:eastAsia="楷体" w:hAnsi="楷体" w:cs="宋体" w:hint="eastAsia"/>
                      <w:b/>
                      <w:bCs/>
                      <w:color w:val="FFFFFF"/>
                      <w:kern w:val="0"/>
                      <w:sz w:val="20"/>
                      <w:szCs w:val="20"/>
                    </w:rPr>
                    <w:t>AA+</w:t>
                  </w:r>
                </w:p>
              </w:tc>
              <w:tc>
                <w:tcPr>
                  <w:tcW w:w="1040" w:type="dxa"/>
                  <w:tcBorders>
                    <w:top w:val="nil"/>
                    <w:left w:val="nil"/>
                    <w:bottom w:val="single" w:sz="12" w:space="0" w:color="FFFFFF"/>
                    <w:right w:val="single" w:sz="8" w:space="0" w:color="FFFFFF"/>
                  </w:tcBorders>
                  <w:shd w:val="clear" w:color="000000" w:fill="F79646"/>
                  <w:noWrap/>
                  <w:vAlign w:val="center"/>
                  <w:hideMark/>
                </w:tcPr>
                <w:p w14:paraId="4C1F21CA" w14:textId="77777777" w:rsidR="00C632A4" w:rsidRPr="00C632A4" w:rsidRDefault="00C632A4" w:rsidP="00C632A4">
                  <w:pPr>
                    <w:widowControl/>
                    <w:jc w:val="center"/>
                    <w:rPr>
                      <w:rFonts w:ascii="楷体" w:eastAsia="楷体" w:hAnsi="楷体" w:cs="宋体"/>
                      <w:b/>
                      <w:bCs/>
                      <w:color w:val="FFFFFF"/>
                      <w:kern w:val="0"/>
                      <w:sz w:val="20"/>
                      <w:szCs w:val="20"/>
                    </w:rPr>
                  </w:pPr>
                  <w:r w:rsidRPr="00C632A4">
                    <w:rPr>
                      <w:rFonts w:ascii="楷体" w:eastAsia="楷体" w:hAnsi="楷体" w:cs="宋体" w:hint="eastAsia"/>
                      <w:b/>
                      <w:bCs/>
                      <w:color w:val="FFFFFF"/>
                      <w:kern w:val="0"/>
                      <w:sz w:val="20"/>
                      <w:szCs w:val="20"/>
                    </w:rPr>
                    <w:t>AA</w:t>
                  </w:r>
                </w:p>
              </w:tc>
              <w:tc>
                <w:tcPr>
                  <w:tcW w:w="1040" w:type="dxa"/>
                  <w:tcBorders>
                    <w:top w:val="nil"/>
                    <w:left w:val="nil"/>
                    <w:bottom w:val="single" w:sz="12" w:space="0" w:color="FFFFFF"/>
                    <w:right w:val="single" w:sz="8" w:space="0" w:color="FFFFFF"/>
                  </w:tcBorders>
                  <w:shd w:val="clear" w:color="000000" w:fill="F79646"/>
                  <w:noWrap/>
                  <w:vAlign w:val="center"/>
                  <w:hideMark/>
                </w:tcPr>
                <w:p w14:paraId="616026EF" w14:textId="77777777" w:rsidR="00C632A4" w:rsidRPr="00C632A4" w:rsidRDefault="00C632A4" w:rsidP="00C632A4">
                  <w:pPr>
                    <w:widowControl/>
                    <w:jc w:val="center"/>
                    <w:rPr>
                      <w:rFonts w:ascii="楷体" w:eastAsia="楷体" w:hAnsi="楷体" w:cs="宋体"/>
                      <w:b/>
                      <w:bCs/>
                      <w:color w:val="FFFFFF"/>
                      <w:kern w:val="0"/>
                      <w:sz w:val="20"/>
                      <w:szCs w:val="20"/>
                    </w:rPr>
                  </w:pPr>
                  <w:r w:rsidRPr="00C632A4">
                    <w:rPr>
                      <w:rFonts w:ascii="楷体" w:eastAsia="楷体" w:hAnsi="楷体" w:cs="宋体" w:hint="eastAsia"/>
                      <w:b/>
                      <w:bCs/>
                      <w:color w:val="FFFFFF"/>
                      <w:kern w:val="0"/>
                      <w:sz w:val="20"/>
                      <w:szCs w:val="20"/>
                    </w:rPr>
                    <w:t>AA-</w:t>
                  </w:r>
                </w:p>
              </w:tc>
              <w:tc>
                <w:tcPr>
                  <w:tcW w:w="1246" w:type="dxa"/>
                  <w:tcBorders>
                    <w:top w:val="nil"/>
                    <w:left w:val="nil"/>
                    <w:bottom w:val="single" w:sz="12" w:space="0" w:color="FFFFFF"/>
                    <w:right w:val="single" w:sz="8" w:space="0" w:color="FFFFFF"/>
                  </w:tcBorders>
                  <w:shd w:val="clear" w:color="000000" w:fill="F79646"/>
                  <w:noWrap/>
                  <w:vAlign w:val="center"/>
                  <w:hideMark/>
                </w:tcPr>
                <w:p w14:paraId="40C295E3" w14:textId="77777777" w:rsidR="00C632A4" w:rsidRPr="00C632A4" w:rsidRDefault="00C632A4" w:rsidP="00C632A4">
                  <w:pPr>
                    <w:widowControl/>
                    <w:jc w:val="center"/>
                    <w:rPr>
                      <w:rFonts w:ascii="楷体" w:eastAsia="楷体" w:hAnsi="楷体" w:cs="宋体"/>
                      <w:b/>
                      <w:bCs/>
                      <w:color w:val="FFFFFF"/>
                      <w:kern w:val="0"/>
                      <w:sz w:val="20"/>
                      <w:szCs w:val="20"/>
                    </w:rPr>
                  </w:pPr>
                  <w:r w:rsidRPr="00C632A4">
                    <w:rPr>
                      <w:rFonts w:ascii="楷体" w:eastAsia="楷体" w:hAnsi="楷体" w:cs="宋体" w:hint="eastAsia"/>
                      <w:b/>
                      <w:bCs/>
                      <w:color w:val="FFFFFF"/>
                      <w:kern w:val="0"/>
                      <w:sz w:val="20"/>
                      <w:szCs w:val="20"/>
                    </w:rPr>
                    <w:t>息差</w:t>
                  </w:r>
                </w:p>
              </w:tc>
              <w:tc>
                <w:tcPr>
                  <w:tcW w:w="1040" w:type="dxa"/>
                  <w:tcBorders>
                    <w:top w:val="nil"/>
                    <w:left w:val="nil"/>
                    <w:bottom w:val="single" w:sz="12" w:space="0" w:color="FFFFFF"/>
                    <w:right w:val="single" w:sz="8" w:space="0" w:color="FFFFFF"/>
                  </w:tcBorders>
                  <w:shd w:val="clear" w:color="000000" w:fill="F79646"/>
                  <w:noWrap/>
                  <w:vAlign w:val="center"/>
                  <w:hideMark/>
                </w:tcPr>
                <w:p w14:paraId="03FCF0FF" w14:textId="77777777" w:rsidR="00C632A4" w:rsidRPr="00C632A4" w:rsidRDefault="00C632A4" w:rsidP="00C632A4">
                  <w:pPr>
                    <w:widowControl/>
                    <w:jc w:val="center"/>
                    <w:rPr>
                      <w:rFonts w:ascii="楷体" w:eastAsia="楷体" w:hAnsi="楷体" w:cs="宋体"/>
                      <w:b/>
                      <w:bCs/>
                      <w:color w:val="FFFFFF"/>
                      <w:kern w:val="0"/>
                      <w:sz w:val="20"/>
                      <w:szCs w:val="20"/>
                    </w:rPr>
                  </w:pPr>
                  <w:r w:rsidRPr="00C632A4">
                    <w:rPr>
                      <w:rFonts w:ascii="楷体" w:eastAsia="楷体" w:hAnsi="楷体" w:cs="宋体" w:hint="eastAsia"/>
                      <w:b/>
                      <w:bCs/>
                      <w:color w:val="FFFFFF"/>
                      <w:kern w:val="0"/>
                      <w:sz w:val="20"/>
                      <w:szCs w:val="20"/>
                    </w:rPr>
                    <w:t>AAA</w:t>
                  </w:r>
                </w:p>
              </w:tc>
              <w:tc>
                <w:tcPr>
                  <w:tcW w:w="1040" w:type="dxa"/>
                  <w:tcBorders>
                    <w:top w:val="nil"/>
                    <w:left w:val="nil"/>
                    <w:bottom w:val="single" w:sz="12" w:space="0" w:color="FFFFFF"/>
                    <w:right w:val="single" w:sz="8" w:space="0" w:color="FFFFFF"/>
                  </w:tcBorders>
                  <w:shd w:val="clear" w:color="000000" w:fill="F79646"/>
                  <w:noWrap/>
                  <w:vAlign w:val="center"/>
                  <w:hideMark/>
                </w:tcPr>
                <w:p w14:paraId="19B61DB6" w14:textId="77777777" w:rsidR="00C632A4" w:rsidRPr="00C632A4" w:rsidRDefault="00C632A4" w:rsidP="00C632A4">
                  <w:pPr>
                    <w:widowControl/>
                    <w:jc w:val="center"/>
                    <w:rPr>
                      <w:rFonts w:ascii="楷体" w:eastAsia="楷体" w:hAnsi="楷体" w:cs="宋体"/>
                      <w:b/>
                      <w:bCs/>
                      <w:color w:val="FFFFFF"/>
                      <w:kern w:val="0"/>
                      <w:sz w:val="20"/>
                      <w:szCs w:val="20"/>
                    </w:rPr>
                  </w:pPr>
                  <w:r w:rsidRPr="00C632A4">
                    <w:rPr>
                      <w:rFonts w:ascii="楷体" w:eastAsia="楷体" w:hAnsi="楷体" w:cs="宋体" w:hint="eastAsia"/>
                      <w:b/>
                      <w:bCs/>
                      <w:color w:val="FFFFFF"/>
                      <w:kern w:val="0"/>
                      <w:sz w:val="20"/>
                      <w:szCs w:val="20"/>
                    </w:rPr>
                    <w:t>AA+</w:t>
                  </w:r>
                </w:p>
              </w:tc>
              <w:tc>
                <w:tcPr>
                  <w:tcW w:w="1040" w:type="dxa"/>
                  <w:tcBorders>
                    <w:top w:val="nil"/>
                    <w:left w:val="nil"/>
                    <w:bottom w:val="single" w:sz="12" w:space="0" w:color="FFFFFF"/>
                    <w:right w:val="single" w:sz="8" w:space="0" w:color="FFFFFF"/>
                  </w:tcBorders>
                  <w:shd w:val="clear" w:color="000000" w:fill="F79646"/>
                  <w:noWrap/>
                  <w:vAlign w:val="center"/>
                  <w:hideMark/>
                </w:tcPr>
                <w:p w14:paraId="7A9E95FF" w14:textId="77777777" w:rsidR="00C632A4" w:rsidRPr="00C632A4" w:rsidRDefault="00C632A4" w:rsidP="00C632A4">
                  <w:pPr>
                    <w:widowControl/>
                    <w:jc w:val="center"/>
                    <w:rPr>
                      <w:rFonts w:ascii="楷体" w:eastAsia="楷体" w:hAnsi="楷体" w:cs="宋体"/>
                      <w:b/>
                      <w:bCs/>
                      <w:color w:val="FFFFFF"/>
                      <w:kern w:val="0"/>
                      <w:sz w:val="20"/>
                      <w:szCs w:val="20"/>
                    </w:rPr>
                  </w:pPr>
                  <w:r w:rsidRPr="00C632A4">
                    <w:rPr>
                      <w:rFonts w:ascii="楷体" w:eastAsia="楷体" w:hAnsi="楷体" w:cs="宋体" w:hint="eastAsia"/>
                      <w:b/>
                      <w:bCs/>
                      <w:color w:val="FFFFFF"/>
                      <w:kern w:val="0"/>
                      <w:sz w:val="20"/>
                      <w:szCs w:val="20"/>
                    </w:rPr>
                    <w:t>AA</w:t>
                  </w:r>
                </w:p>
              </w:tc>
              <w:tc>
                <w:tcPr>
                  <w:tcW w:w="1040" w:type="dxa"/>
                  <w:tcBorders>
                    <w:top w:val="nil"/>
                    <w:left w:val="nil"/>
                    <w:bottom w:val="single" w:sz="12" w:space="0" w:color="FFFFFF"/>
                    <w:right w:val="single" w:sz="8" w:space="0" w:color="FFFFFF"/>
                  </w:tcBorders>
                  <w:shd w:val="clear" w:color="000000" w:fill="F79646"/>
                  <w:noWrap/>
                  <w:vAlign w:val="center"/>
                  <w:hideMark/>
                </w:tcPr>
                <w:p w14:paraId="30ED5165" w14:textId="77777777" w:rsidR="00C632A4" w:rsidRPr="00C632A4" w:rsidRDefault="00C632A4" w:rsidP="00C632A4">
                  <w:pPr>
                    <w:widowControl/>
                    <w:jc w:val="center"/>
                    <w:rPr>
                      <w:rFonts w:ascii="楷体" w:eastAsia="楷体" w:hAnsi="楷体" w:cs="宋体"/>
                      <w:b/>
                      <w:bCs/>
                      <w:color w:val="FFFFFF"/>
                      <w:kern w:val="0"/>
                      <w:sz w:val="20"/>
                      <w:szCs w:val="20"/>
                    </w:rPr>
                  </w:pPr>
                  <w:r w:rsidRPr="00C632A4">
                    <w:rPr>
                      <w:rFonts w:ascii="楷体" w:eastAsia="楷体" w:hAnsi="楷体" w:cs="宋体" w:hint="eastAsia"/>
                      <w:b/>
                      <w:bCs/>
                      <w:color w:val="FFFFFF"/>
                      <w:kern w:val="0"/>
                      <w:sz w:val="20"/>
                      <w:szCs w:val="20"/>
                    </w:rPr>
                    <w:t>AA-</w:t>
                  </w:r>
                </w:p>
              </w:tc>
            </w:tr>
            <w:tr w:rsidR="00C632A4" w:rsidRPr="00C632A4" w14:paraId="3F7D7D4B" w14:textId="77777777" w:rsidTr="00C632A4">
              <w:trPr>
                <w:trHeight w:val="315"/>
              </w:trPr>
              <w:tc>
                <w:tcPr>
                  <w:tcW w:w="1402" w:type="dxa"/>
                  <w:tcBorders>
                    <w:top w:val="nil"/>
                    <w:left w:val="nil"/>
                    <w:bottom w:val="single" w:sz="8" w:space="0" w:color="FFFFFF"/>
                    <w:right w:val="single" w:sz="8" w:space="0" w:color="FFFFFF"/>
                  </w:tcBorders>
                  <w:shd w:val="clear" w:color="000000" w:fill="FCD5B4"/>
                  <w:noWrap/>
                  <w:vAlign w:val="center"/>
                  <w:hideMark/>
                </w:tcPr>
                <w:p w14:paraId="2ACC8CF5" w14:textId="77777777" w:rsidR="00C632A4" w:rsidRPr="00C632A4" w:rsidRDefault="00C632A4" w:rsidP="00C632A4">
                  <w:pPr>
                    <w:widowControl/>
                    <w:jc w:val="center"/>
                    <w:rPr>
                      <w:rFonts w:ascii="楷体" w:eastAsia="楷体" w:hAnsi="楷体" w:cs="宋体"/>
                      <w:color w:val="000000"/>
                      <w:kern w:val="0"/>
                      <w:sz w:val="20"/>
                      <w:szCs w:val="20"/>
                    </w:rPr>
                  </w:pPr>
                  <w:r w:rsidRPr="00C632A4">
                    <w:rPr>
                      <w:rFonts w:ascii="楷体" w:eastAsia="楷体" w:hAnsi="楷体" w:cs="宋体" w:hint="eastAsia"/>
                      <w:color w:val="000000"/>
                      <w:kern w:val="0"/>
                      <w:sz w:val="20"/>
                      <w:szCs w:val="20"/>
                    </w:rPr>
                    <w:t>CP</w:t>
                  </w:r>
                </w:p>
              </w:tc>
              <w:tc>
                <w:tcPr>
                  <w:tcW w:w="1040" w:type="dxa"/>
                  <w:tcBorders>
                    <w:top w:val="nil"/>
                    <w:left w:val="nil"/>
                    <w:bottom w:val="single" w:sz="8" w:space="0" w:color="FFFFFF"/>
                    <w:right w:val="single" w:sz="8" w:space="0" w:color="FFFFFF"/>
                  </w:tcBorders>
                  <w:shd w:val="clear" w:color="000000" w:fill="FCD5B4"/>
                  <w:noWrap/>
                  <w:vAlign w:val="center"/>
                  <w:hideMark/>
                </w:tcPr>
                <w:p w14:paraId="04486342"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1.7 </w:t>
                  </w:r>
                </w:p>
              </w:tc>
              <w:tc>
                <w:tcPr>
                  <w:tcW w:w="1040" w:type="dxa"/>
                  <w:tcBorders>
                    <w:top w:val="nil"/>
                    <w:left w:val="nil"/>
                    <w:bottom w:val="single" w:sz="8" w:space="0" w:color="FFFFFF"/>
                    <w:right w:val="single" w:sz="8" w:space="0" w:color="FFFFFF"/>
                  </w:tcBorders>
                  <w:shd w:val="clear" w:color="000000" w:fill="FCD5B4"/>
                  <w:noWrap/>
                  <w:vAlign w:val="center"/>
                  <w:hideMark/>
                </w:tcPr>
                <w:p w14:paraId="68147CB1"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1.7 </w:t>
                  </w:r>
                </w:p>
              </w:tc>
              <w:tc>
                <w:tcPr>
                  <w:tcW w:w="1040" w:type="dxa"/>
                  <w:tcBorders>
                    <w:top w:val="nil"/>
                    <w:left w:val="nil"/>
                    <w:bottom w:val="single" w:sz="8" w:space="0" w:color="FFFFFF"/>
                    <w:right w:val="single" w:sz="8" w:space="0" w:color="FFFFFF"/>
                  </w:tcBorders>
                  <w:shd w:val="clear" w:color="000000" w:fill="FCD5B4"/>
                  <w:noWrap/>
                  <w:vAlign w:val="center"/>
                  <w:hideMark/>
                </w:tcPr>
                <w:p w14:paraId="75008876"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1.7 </w:t>
                  </w:r>
                </w:p>
              </w:tc>
              <w:tc>
                <w:tcPr>
                  <w:tcW w:w="1040" w:type="dxa"/>
                  <w:tcBorders>
                    <w:top w:val="nil"/>
                    <w:left w:val="nil"/>
                    <w:bottom w:val="single" w:sz="8" w:space="0" w:color="FFFFFF"/>
                    <w:right w:val="single" w:sz="8" w:space="0" w:color="FFFFFF"/>
                  </w:tcBorders>
                  <w:shd w:val="clear" w:color="000000" w:fill="FCD5B4"/>
                  <w:noWrap/>
                  <w:vAlign w:val="center"/>
                  <w:hideMark/>
                </w:tcPr>
                <w:p w14:paraId="308001DE"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 xml:space="preserve">1.7 </w:t>
                  </w:r>
                </w:p>
              </w:tc>
              <w:tc>
                <w:tcPr>
                  <w:tcW w:w="1246" w:type="dxa"/>
                  <w:tcBorders>
                    <w:top w:val="nil"/>
                    <w:left w:val="nil"/>
                    <w:bottom w:val="single" w:sz="8" w:space="0" w:color="FFFFFF"/>
                    <w:right w:val="single" w:sz="8" w:space="0" w:color="FFFFFF"/>
                  </w:tcBorders>
                  <w:shd w:val="clear" w:color="000000" w:fill="FCD5B4"/>
                  <w:noWrap/>
                  <w:vAlign w:val="center"/>
                  <w:hideMark/>
                </w:tcPr>
                <w:p w14:paraId="39D463D0" w14:textId="77777777" w:rsidR="00C632A4" w:rsidRPr="00C632A4" w:rsidRDefault="00C632A4" w:rsidP="00C632A4">
                  <w:pPr>
                    <w:widowControl/>
                    <w:jc w:val="center"/>
                    <w:rPr>
                      <w:rFonts w:ascii="楷体" w:eastAsia="楷体" w:hAnsi="楷体" w:cs="宋体"/>
                      <w:color w:val="000000"/>
                      <w:kern w:val="0"/>
                      <w:sz w:val="20"/>
                      <w:szCs w:val="20"/>
                    </w:rPr>
                  </w:pPr>
                  <w:r w:rsidRPr="00C632A4">
                    <w:rPr>
                      <w:rFonts w:ascii="楷体" w:eastAsia="楷体" w:hAnsi="楷体" w:cs="宋体" w:hint="eastAsia"/>
                      <w:color w:val="000000"/>
                      <w:kern w:val="0"/>
                      <w:sz w:val="20"/>
                      <w:szCs w:val="20"/>
                    </w:rPr>
                    <w:t>CP</w:t>
                  </w:r>
                </w:p>
              </w:tc>
              <w:tc>
                <w:tcPr>
                  <w:tcW w:w="1040" w:type="dxa"/>
                  <w:tcBorders>
                    <w:top w:val="nil"/>
                    <w:left w:val="nil"/>
                    <w:bottom w:val="single" w:sz="8" w:space="0" w:color="FFFFFF"/>
                    <w:right w:val="single" w:sz="8" w:space="0" w:color="FFFFFF"/>
                  </w:tcBorders>
                  <w:shd w:val="clear" w:color="000000" w:fill="FCD5B4"/>
                  <w:noWrap/>
                  <w:vAlign w:val="center"/>
                  <w:hideMark/>
                </w:tcPr>
                <w:p w14:paraId="2405E4F3"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FF0000"/>
                      <w:kern w:val="0"/>
                      <w:szCs w:val="21"/>
                    </w:rPr>
                    <w:t xml:space="preserve">-3.9 </w:t>
                  </w:r>
                </w:p>
              </w:tc>
              <w:tc>
                <w:tcPr>
                  <w:tcW w:w="1040" w:type="dxa"/>
                  <w:tcBorders>
                    <w:top w:val="nil"/>
                    <w:left w:val="nil"/>
                    <w:bottom w:val="single" w:sz="8" w:space="0" w:color="FFFFFF"/>
                    <w:right w:val="single" w:sz="8" w:space="0" w:color="FFFFFF"/>
                  </w:tcBorders>
                  <w:shd w:val="clear" w:color="000000" w:fill="FCD5B4"/>
                  <w:noWrap/>
                  <w:vAlign w:val="center"/>
                  <w:hideMark/>
                </w:tcPr>
                <w:p w14:paraId="112D1592"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FF0000"/>
                      <w:kern w:val="0"/>
                      <w:szCs w:val="21"/>
                    </w:rPr>
                    <w:t xml:space="preserve">-3.9 </w:t>
                  </w:r>
                </w:p>
              </w:tc>
              <w:tc>
                <w:tcPr>
                  <w:tcW w:w="1040" w:type="dxa"/>
                  <w:tcBorders>
                    <w:top w:val="nil"/>
                    <w:left w:val="nil"/>
                    <w:bottom w:val="single" w:sz="8" w:space="0" w:color="FFFFFF"/>
                    <w:right w:val="single" w:sz="8" w:space="0" w:color="FFFFFF"/>
                  </w:tcBorders>
                  <w:shd w:val="clear" w:color="000000" w:fill="FCD5B4"/>
                  <w:noWrap/>
                  <w:vAlign w:val="center"/>
                  <w:hideMark/>
                </w:tcPr>
                <w:p w14:paraId="09A14CF9"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FF0000"/>
                      <w:kern w:val="0"/>
                      <w:szCs w:val="21"/>
                    </w:rPr>
                    <w:t xml:space="preserve">-3.9 </w:t>
                  </w:r>
                </w:p>
              </w:tc>
              <w:tc>
                <w:tcPr>
                  <w:tcW w:w="1040" w:type="dxa"/>
                  <w:tcBorders>
                    <w:top w:val="nil"/>
                    <w:left w:val="nil"/>
                    <w:bottom w:val="single" w:sz="8" w:space="0" w:color="FFFFFF"/>
                    <w:right w:val="single" w:sz="8" w:space="0" w:color="FFFFFF"/>
                  </w:tcBorders>
                  <w:shd w:val="clear" w:color="000000" w:fill="FCD5B4"/>
                  <w:noWrap/>
                  <w:vAlign w:val="center"/>
                  <w:hideMark/>
                </w:tcPr>
                <w:p w14:paraId="0C129226"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FF0000"/>
                      <w:kern w:val="0"/>
                      <w:szCs w:val="21"/>
                    </w:rPr>
                    <w:t xml:space="preserve">-3.9 </w:t>
                  </w:r>
                </w:p>
              </w:tc>
            </w:tr>
            <w:tr w:rsidR="00C632A4" w:rsidRPr="00C632A4" w14:paraId="0AD2E717" w14:textId="77777777" w:rsidTr="00C632A4">
              <w:trPr>
                <w:trHeight w:val="300"/>
              </w:trPr>
              <w:tc>
                <w:tcPr>
                  <w:tcW w:w="1402" w:type="dxa"/>
                  <w:tcBorders>
                    <w:top w:val="nil"/>
                    <w:left w:val="nil"/>
                    <w:bottom w:val="single" w:sz="8" w:space="0" w:color="FFFFFF"/>
                    <w:right w:val="single" w:sz="8" w:space="0" w:color="FFFFFF"/>
                  </w:tcBorders>
                  <w:shd w:val="clear" w:color="000000" w:fill="FDE9D9"/>
                  <w:noWrap/>
                  <w:vAlign w:val="center"/>
                  <w:hideMark/>
                </w:tcPr>
                <w:p w14:paraId="4C3C76A5" w14:textId="77777777" w:rsidR="00C632A4" w:rsidRPr="00C632A4" w:rsidRDefault="00C632A4" w:rsidP="00C632A4">
                  <w:pPr>
                    <w:widowControl/>
                    <w:jc w:val="center"/>
                    <w:rPr>
                      <w:rFonts w:ascii="楷体" w:eastAsia="楷体" w:hAnsi="楷体" w:cs="宋体"/>
                      <w:color w:val="000000"/>
                      <w:kern w:val="0"/>
                      <w:sz w:val="20"/>
                      <w:szCs w:val="20"/>
                    </w:rPr>
                  </w:pPr>
                  <w:r w:rsidRPr="00C632A4">
                    <w:rPr>
                      <w:rFonts w:ascii="楷体" w:eastAsia="楷体" w:hAnsi="楷体" w:cs="宋体" w:hint="eastAsia"/>
                      <w:color w:val="000000"/>
                      <w:kern w:val="0"/>
                      <w:sz w:val="20"/>
                      <w:szCs w:val="20"/>
                    </w:rPr>
                    <w:t>MTN3Y</w:t>
                  </w:r>
                </w:p>
              </w:tc>
              <w:tc>
                <w:tcPr>
                  <w:tcW w:w="1040" w:type="dxa"/>
                  <w:tcBorders>
                    <w:top w:val="nil"/>
                    <w:left w:val="nil"/>
                    <w:bottom w:val="single" w:sz="8" w:space="0" w:color="FFFFFF"/>
                    <w:right w:val="single" w:sz="8" w:space="0" w:color="FFFFFF"/>
                  </w:tcBorders>
                  <w:shd w:val="clear" w:color="000000" w:fill="FDE9D9"/>
                  <w:noWrap/>
                  <w:vAlign w:val="center"/>
                  <w:hideMark/>
                </w:tcPr>
                <w:p w14:paraId="46A06DF6"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FF0000"/>
                      <w:kern w:val="0"/>
                      <w:szCs w:val="21"/>
                    </w:rPr>
                    <w:t xml:space="preserve">-2.2 </w:t>
                  </w:r>
                </w:p>
              </w:tc>
              <w:tc>
                <w:tcPr>
                  <w:tcW w:w="1040" w:type="dxa"/>
                  <w:tcBorders>
                    <w:top w:val="nil"/>
                    <w:left w:val="nil"/>
                    <w:bottom w:val="single" w:sz="8" w:space="0" w:color="FFFFFF"/>
                    <w:right w:val="single" w:sz="8" w:space="0" w:color="FFFFFF"/>
                  </w:tcBorders>
                  <w:shd w:val="clear" w:color="000000" w:fill="FDE9D9"/>
                  <w:noWrap/>
                  <w:vAlign w:val="center"/>
                  <w:hideMark/>
                </w:tcPr>
                <w:p w14:paraId="13A73DED"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FF0000"/>
                      <w:kern w:val="0"/>
                      <w:szCs w:val="21"/>
                    </w:rPr>
                    <w:t xml:space="preserve">-2.2 </w:t>
                  </w:r>
                </w:p>
              </w:tc>
              <w:tc>
                <w:tcPr>
                  <w:tcW w:w="1040" w:type="dxa"/>
                  <w:tcBorders>
                    <w:top w:val="nil"/>
                    <w:left w:val="nil"/>
                    <w:bottom w:val="single" w:sz="8" w:space="0" w:color="FFFFFF"/>
                    <w:right w:val="single" w:sz="8" w:space="0" w:color="FFFFFF"/>
                  </w:tcBorders>
                  <w:shd w:val="clear" w:color="000000" w:fill="FDE9D9"/>
                  <w:noWrap/>
                  <w:vAlign w:val="center"/>
                  <w:hideMark/>
                </w:tcPr>
                <w:p w14:paraId="11FF727C"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FF0000"/>
                      <w:kern w:val="0"/>
                      <w:szCs w:val="21"/>
                    </w:rPr>
                    <w:t xml:space="preserve">-3.2 </w:t>
                  </w:r>
                </w:p>
              </w:tc>
              <w:tc>
                <w:tcPr>
                  <w:tcW w:w="1040" w:type="dxa"/>
                  <w:tcBorders>
                    <w:top w:val="nil"/>
                    <w:left w:val="nil"/>
                    <w:bottom w:val="single" w:sz="8" w:space="0" w:color="FFFFFF"/>
                    <w:right w:val="single" w:sz="8" w:space="0" w:color="FFFFFF"/>
                  </w:tcBorders>
                  <w:shd w:val="clear" w:color="000000" w:fill="FDE9D9"/>
                  <w:noWrap/>
                  <w:vAlign w:val="center"/>
                  <w:hideMark/>
                </w:tcPr>
                <w:p w14:paraId="0FD7BA2B"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FF0000"/>
                      <w:kern w:val="0"/>
                      <w:szCs w:val="21"/>
                    </w:rPr>
                    <w:t xml:space="preserve">-3.2 </w:t>
                  </w:r>
                </w:p>
              </w:tc>
              <w:tc>
                <w:tcPr>
                  <w:tcW w:w="1246" w:type="dxa"/>
                  <w:tcBorders>
                    <w:top w:val="nil"/>
                    <w:left w:val="nil"/>
                    <w:bottom w:val="single" w:sz="8" w:space="0" w:color="FFFFFF"/>
                    <w:right w:val="single" w:sz="8" w:space="0" w:color="FFFFFF"/>
                  </w:tcBorders>
                  <w:shd w:val="clear" w:color="000000" w:fill="FDE9D9"/>
                  <w:noWrap/>
                  <w:vAlign w:val="center"/>
                  <w:hideMark/>
                </w:tcPr>
                <w:p w14:paraId="620DC329" w14:textId="77777777" w:rsidR="00C632A4" w:rsidRPr="00C632A4" w:rsidRDefault="00C632A4" w:rsidP="00C632A4">
                  <w:pPr>
                    <w:widowControl/>
                    <w:jc w:val="center"/>
                    <w:rPr>
                      <w:rFonts w:ascii="楷体" w:eastAsia="楷体" w:hAnsi="楷体" w:cs="宋体"/>
                      <w:color w:val="000000"/>
                      <w:kern w:val="0"/>
                      <w:sz w:val="20"/>
                      <w:szCs w:val="20"/>
                    </w:rPr>
                  </w:pPr>
                  <w:r w:rsidRPr="00C632A4">
                    <w:rPr>
                      <w:rFonts w:ascii="楷体" w:eastAsia="楷体" w:hAnsi="楷体" w:cs="宋体" w:hint="eastAsia"/>
                      <w:color w:val="000000"/>
                      <w:kern w:val="0"/>
                      <w:sz w:val="20"/>
                      <w:szCs w:val="20"/>
                    </w:rPr>
                    <w:t>MTN3Y</w:t>
                  </w:r>
                </w:p>
              </w:tc>
              <w:tc>
                <w:tcPr>
                  <w:tcW w:w="1040" w:type="dxa"/>
                  <w:tcBorders>
                    <w:top w:val="nil"/>
                    <w:left w:val="nil"/>
                    <w:bottom w:val="single" w:sz="8" w:space="0" w:color="FFFFFF"/>
                    <w:right w:val="single" w:sz="8" w:space="0" w:color="FFFFFF"/>
                  </w:tcBorders>
                  <w:shd w:val="clear" w:color="000000" w:fill="FDE9D9"/>
                  <w:noWrap/>
                  <w:vAlign w:val="center"/>
                  <w:hideMark/>
                </w:tcPr>
                <w:p w14:paraId="4504D6EF"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FF0000"/>
                      <w:kern w:val="0"/>
                      <w:szCs w:val="21"/>
                    </w:rPr>
                    <w:t xml:space="preserve">-4.6 </w:t>
                  </w:r>
                </w:p>
              </w:tc>
              <w:tc>
                <w:tcPr>
                  <w:tcW w:w="1040" w:type="dxa"/>
                  <w:tcBorders>
                    <w:top w:val="nil"/>
                    <w:left w:val="nil"/>
                    <w:bottom w:val="single" w:sz="8" w:space="0" w:color="FFFFFF"/>
                    <w:right w:val="single" w:sz="8" w:space="0" w:color="FFFFFF"/>
                  </w:tcBorders>
                  <w:shd w:val="clear" w:color="000000" w:fill="FDE9D9"/>
                  <w:noWrap/>
                  <w:vAlign w:val="center"/>
                  <w:hideMark/>
                </w:tcPr>
                <w:p w14:paraId="65B65CE6"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FF0000"/>
                      <w:kern w:val="0"/>
                      <w:szCs w:val="21"/>
                    </w:rPr>
                    <w:t xml:space="preserve">-4.6 </w:t>
                  </w:r>
                </w:p>
              </w:tc>
              <w:tc>
                <w:tcPr>
                  <w:tcW w:w="1040" w:type="dxa"/>
                  <w:tcBorders>
                    <w:top w:val="nil"/>
                    <w:left w:val="nil"/>
                    <w:bottom w:val="single" w:sz="8" w:space="0" w:color="FFFFFF"/>
                    <w:right w:val="single" w:sz="8" w:space="0" w:color="FFFFFF"/>
                  </w:tcBorders>
                  <w:shd w:val="clear" w:color="000000" w:fill="FDE9D9"/>
                  <w:noWrap/>
                  <w:vAlign w:val="center"/>
                  <w:hideMark/>
                </w:tcPr>
                <w:p w14:paraId="2016C7BC"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FF0000"/>
                      <w:kern w:val="0"/>
                      <w:szCs w:val="21"/>
                    </w:rPr>
                    <w:t xml:space="preserve">-5.6 </w:t>
                  </w:r>
                </w:p>
              </w:tc>
              <w:tc>
                <w:tcPr>
                  <w:tcW w:w="1040" w:type="dxa"/>
                  <w:tcBorders>
                    <w:top w:val="nil"/>
                    <w:left w:val="nil"/>
                    <w:bottom w:val="single" w:sz="8" w:space="0" w:color="FFFFFF"/>
                    <w:right w:val="single" w:sz="8" w:space="0" w:color="FFFFFF"/>
                  </w:tcBorders>
                  <w:shd w:val="clear" w:color="000000" w:fill="FDE9D9"/>
                  <w:noWrap/>
                  <w:vAlign w:val="center"/>
                  <w:hideMark/>
                </w:tcPr>
                <w:p w14:paraId="24F94B85"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FF0000"/>
                      <w:kern w:val="0"/>
                      <w:szCs w:val="21"/>
                    </w:rPr>
                    <w:t xml:space="preserve">-5.6 </w:t>
                  </w:r>
                </w:p>
              </w:tc>
            </w:tr>
            <w:tr w:rsidR="00C632A4" w:rsidRPr="00C632A4" w14:paraId="0B68EFE6" w14:textId="77777777" w:rsidTr="00C632A4">
              <w:trPr>
                <w:trHeight w:val="300"/>
              </w:trPr>
              <w:tc>
                <w:tcPr>
                  <w:tcW w:w="1402" w:type="dxa"/>
                  <w:tcBorders>
                    <w:top w:val="nil"/>
                    <w:left w:val="nil"/>
                    <w:bottom w:val="single" w:sz="8" w:space="0" w:color="FFFFFF"/>
                    <w:right w:val="single" w:sz="8" w:space="0" w:color="FFFFFF"/>
                  </w:tcBorders>
                  <w:shd w:val="clear" w:color="000000" w:fill="FCD5B4"/>
                  <w:noWrap/>
                  <w:vAlign w:val="center"/>
                  <w:hideMark/>
                </w:tcPr>
                <w:p w14:paraId="57F8128E" w14:textId="77777777" w:rsidR="00C632A4" w:rsidRPr="00C632A4" w:rsidRDefault="00C632A4" w:rsidP="00C632A4">
                  <w:pPr>
                    <w:widowControl/>
                    <w:jc w:val="center"/>
                    <w:rPr>
                      <w:rFonts w:ascii="楷体" w:eastAsia="楷体" w:hAnsi="楷体" w:cs="宋体"/>
                      <w:color w:val="000000"/>
                      <w:kern w:val="0"/>
                      <w:sz w:val="20"/>
                      <w:szCs w:val="20"/>
                    </w:rPr>
                  </w:pPr>
                  <w:r w:rsidRPr="00C632A4">
                    <w:rPr>
                      <w:rFonts w:ascii="楷体" w:eastAsia="楷体" w:hAnsi="楷体" w:cs="宋体" w:hint="eastAsia"/>
                      <w:color w:val="000000"/>
                      <w:kern w:val="0"/>
                      <w:sz w:val="20"/>
                      <w:szCs w:val="20"/>
                    </w:rPr>
                    <w:t>MTN5Y</w:t>
                  </w:r>
                </w:p>
              </w:tc>
              <w:tc>
                <w:tcPr>
                  <w:tcW w:w="1040" w:type="dxa"/>
                  <w:tcBorders>
                    <w:top w:val="nil"/>
                    <w:left w:val="nil"/>
                    <w:bottom w:val="single" w:sz="8" w:space="0" w:color="FFFFFF"/>
                    <w:right w:val="single" w:sz="8" w:space="0" w:color="FFFFFF"/>
                  </w:tcBorders>
                  <w:shd w:val="clear" w:color="000000" w:fill="FCD5B4"/>
                  <w:noWrap/>
                  <w:vAlign w:val="center"/>
                  <w:hideMark/>
                </w:tcPr>
                <w:p w14:paraId="62ECAA13"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FF0000"/>
                      <w:kern w:val="0"/>
                      <w:szCs w:val="21"/>
                    </w:rPr>
                    <w:t xml:space="preserve">-3.7 </w:t>
                  </w:r>
                </w:p>
              </w:tc>
              <w:tc>
                <w:tcPr>
                  <w:tcW w:w="1040" w:type="dxa"/>
                  <w:tcBorders>
                    <w:top w:val="nil"/>
                    <w:left w:val="nil"/>
                    <w:bottom w:val="single" w:sz="8" w:space="0" w:color="FFFFFF"/>
                    <w:right w:val="single" w:sz="8" w:space="0" w:color="FFFFFF"/>
                  </w:tcBorders>
                  <w:shd w:val="clear" w:color="000000" w:fill="FCD5B4"/>
                  <w:noWrap/>
                  <w:vAlign w:val="center"/>
                  <w:hideMark/>
                </w:tcPr>
                <w:p w14:paraId="2C458899"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FF0000"/>
                      <w:kern w:val="0"/>
                      <w:szCs w:val="21"/>
                    </w:rPr>
                    <w:t xml:space="preserve">-3.7 </w:t>
                  </w:r>
                </w:p>
              </w:tc>
              <w:tc>
                <w:tcPr>
                  <w:tcW w:w="1040" w:type="dxa"/>
                  <w:tcBorders>
                    <w:top w:val="nil"/>
                    <w:left w:val="nil"/>
                    <w:bottom w:val="single" w:sz="8" w:space="0" w:color="FFFFFF"/>
                    <w:right w:val="single" w:sz="8" w:space="0" w:color="FFFFFF"/>
                  </w:tcBorders>
                  <w:shd w:val="clear" w:color="000000" w:fill="FCD5B4"/>
                  <w:noWrap/>
                  <w:vAlign w:val="center"/>
                  <w:hideMark/>
                </w:tcPr>
                <w:p w14:paraId="02962C6E"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FF0000"/>
                      <w:kern w:val="0"/>
                      <w:szCs w:val="21"/>
                    </w:rPr>
                    <w:t xml:space="preserve">-3.7 </w:t>
                  </w:r>
                </w:p>
              </w:tc>
              <w:tc>
                <w:tcPr>
                  <w:tcW w:w="1040" w:type="dxa"/>
                  <w:tcBorders>
                    <w:top w:val="nil"/>
                    <w:left w:val="nil"/>
                    <w:bottom w:val="single" w:sz="8" w:space="0" w:color="FFFFFF"/>
                    <w:right w:val="single" w:sz="8" w:space="0" w:color="FFFFFF"/>
                  </w:tcBorders>
                  <w:shd w:val="clear" w:color="000000" w:fill="FCD5B4"/>
                  <w:noWrap/>
                  <w:vAlign w:val="center"/>
                  <w:hideMark/>
                </w:tcPr>
                <w:p w14:paraId="56331914"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FF0000"/>
                      <w:kern w:val="0"/>
                      <w:szCs w:val="21"/>
                    </w:rPr>
                    <w:t xml:space="preserve">-3.7 </w:t>
                  </w:r>
                </w:p>
              </w:tc>
              <w:tc>
                <w:tcPr>
                  <w:tcW w:w="1246" w:type="dxa"/>
                  <w:tcBorders>
                    <w:top w:val="nil"/>
                    <w:left w:val="nil"/>
                    <w:bottom w:val="single" w:sz="8" w:space="0" w:color="FFFFFF"/>
                    <w:right w:val="single" w:sz="8" w:space="0" w:color="FFFFFF"/>
                  </w:tcBorders>
                  <w:shd w:val="clear" w:color="000000" w:fill="FCD5B4"/>
                  <w:noWrap/>
                  <w:vAlign w:val="center"/>
                  <w:hideMark/>
                </w:tcPr>
                <w:p w14:paraId="0155F90D" w14:textId="77777777" w:rsidR="00C632A4" w:rsidRPr="00C632A4" w:rsidRDefault="00C632A4" w:rsidP="00C632A4">
                  <w:pPr>
                    <w:widowControl/>
                    <w:jc w:val="center"/>
                    <w:rPr>
                      <w:rFonts w:ascii="楷体" w:eastAsia="楷体" w:hAnsi="楷体" w:cs="宋体"/>
                      <w:color w:val="000000"/>
                      <w:kern w:val="0"/>
                      <w:sz w:val="20"/>
                      <w:szCs w:val="20"/>
                    </w:rPr>
                  </w:pPr>
                  <w:r w:rsidRPr="00C632A4">
                    <w:rPr>
                      <w:rFonts w:ascii="楷体" w:eastAsia="楷体" w:hAnsi="楷体" w:cs="宋体" w:hint="eastAsia"/>
                      <w:color w:val="000000"/>
                      <w:kern w:val="0"/>
                      <w:sz w:val="20"/>
                      <w:szCs w:val="20"/>
                    </w:rPr>
                    <w:t>MTN5Y</w:t>
                  </w:r>
                </w:p>
              </w:tc>
              <w:tc>
                <w:tcPr>
                  <w:tcW w:w="1040" w:type="dxa"/>
                  <w:tcBorders>
                    <w:top w:val="nil"/>
                    <w:left w:val="nil"/>
                    <w:bottom w:val="single" w:sz="8" w:space="0" w:color="FFFFFF"/>
                    <w:right w:val="single" w:sz="8" w:space="0" w:color="FFFFFF"/>
                  </w:tcBorders>
                  <w:shd w:val="clear" w:color="000000" w:fill="FCD5B4"/>
                  <w:noWrap/>
                  <w:vAlign w:val="center"/>
                  <w:hideMark/>
                </w:tcPr>
                <w:p w14:paraId="5A40179A"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FF0000"/>
                      <w:kern w:val="0"/>
                      <w:szCs w:val="21"/>
                    </w:rPr>
                    <w:t xml:space="preserve">-9.6 </w:t>
                  </w:r>
                </w:p>
              </w:tc>
              <w:tc>
                <w:tcPr>
                  <w:tcW w:w="1040" w:type="dxa"/>
                  <w:tcBorders>
                    <w:top w:val="nil"/>
                    <w:left w:val="nil"/>
                    <w:bottom w:val="single" w:sz="8" w:space="0" w:color="FFFFFF"/>
                    <w:right w:val="single" w:sz="8" w:space="0" w:color="FFFFFF"/>
                  </w:tcBorders>
                  <w:shd w:val="clear" w:color="000000" w:fill="FCD5B4"/>
                  <w:noWrap/>
                  <w:vAlign w:val="center"/>
                  <w:hideMark/>
                </w:tcPr>
                <w:p w14:paraId="67D64B68"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FF0000"/>
                      <w:kern w:val="0"/>
                      <w:szCs w:val="21"/>
                    </w:rPr>
                    <w:t xml:space="preserve">-9.6 </w:t>
                  </w:r>
                </w:p>
              </w:tc>
              <w:tc>
                <w:tcPr>
                  <w:tcW w:w="1040" w:type="dxa"/>
                  <w:tcBorders>
                    <w:top w:val="nil"/>
                    <w:left w:val="nil"/>
                    <w:bottom w:val="single" w:sz="8" w:space="0" w:color="FFFFFF"/>
                    <w:right w:val="single" w:sz="8" w:space="0" w:color="FFFFFF"/>
                  </w:tcBorders>
                  <w:shd w:val="clear" w:color="000000" w:fill="FCD5B4"/>
                  <w:noWrap/>
                  <w:vAlign w:val="center"/>
                  <w:hideMark/>
                </w:tcPr>
                <w:p w14:paraId="2317BFA2"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FF0000"/>
                      <w:kern w:val="0"/>
                      <w:szCs w:val="21"/>
                    </w:rPr>
                    <w:t xml:space="preserve">-9.6 </w:t>
                  </w:r>
                </w:p>
              </w:tc>
              <w:tc>
                <w:tcPr>
                  <w:tcW w:w="1040" w:type="dxa"/>
                  <w:tcBorders>
                    <w:top w:val="nil"/>
                    <w:left w:val="nil"/>
                    <w:bottom w:val="single" w:sz="8" w:space="0" w:color="FFFFFF"/>
                    <w:right w:val="single" w:sz="8" w:space="0" w:color="FFFFFF"/>
                  </w:tcBorders>
                  <w:shd w:val="clear" w:color="000000" w:fill="FCD5B4"/>
                  <w:noWrap/>
                  <w:vAlign w:val="center"/>
                  <w:hideMark/>
                </w:tcPr>
                <w:p w14:paraId="611F5E13"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FF0000"/>
                      <w:kern w:val="0"/>
                      <w:szCs w:val="21"/>
                    </w:rPr>
                    <w:t xml:space="preserve">-9.6 </w:t>
                  </w:r>
                </w:p>
              </w:tc>
            </w:tr>
            <w:tr w:rsidR="00C632A4" w:rsidRPr="00C632A4" w14:paraId="2C6AF609" w14:textId="77777777" w:rsidTr="00C632A4">
              <w:trPr>
                <w:trHeight w:val="300"/>
              </w:trPr>
              <w:tc>
                <w:tcPr>
                  <w:tcW w:w="1402" w:type="dxa"/>
                  <w:tcBorders>
                    <w:top w:val="nil"/>
                    <w:left w:val="nil"/>
                    <w:bottom w:val="single" w:sz="8" w:space="0" w:color="FFFFFF"/>
                    <w:right w:val="single" w:sz="8" w:space="0" w:color="FFFFFF"/>
                  </w:tcBorders>
                  <w:shd w:val="clear" w:color="000000" w:fill="FDE9D9"/>
                  <w:noWrap/>
                  <w:vAlign w:val="center"/>
                  <w:hideMark/>
                </w:tcPr>
                <w:p w14:paraId="53C7FABC" w14:textId="77777777" w:rsidR="00C632A4" w:rsidRPr="00C632A4" w:rsidRDefault="00C632A4" w:rsidP="00C632A4">
                  <w:pPr>
                    <w:widowControl/>
                    <w:jc w:val="center"/>
                    <w:rPr>
                      <w:rFonts w:ascii="楷体" w:eastAsia="楷体" w:hAnsi="楷体" w:cs="宋体"/>
                      <w:color w:val="000000"/>
                      <w:kern w:val="0"/>
                      <w:sz w:val="20"/>
                      <w:szCs w:val="20"/>
                    </w:rPr>
                  </w:pPr>
                  <w:r w:rsidRPr="00C632A4">
                    <w:rPr>
                      <w:rFonts w:ascii="楷体" w:eastAsia="楷体" w:hAnsi="楷体" w:cs="宋体" w:hint="eastAsia"/>
                      <w:color w:val="000000"/>
                      <w:kern w:val="0"/>
                      <w:sz w:val="20"/>
                      <w:szCs w:val="20"/>
                    </w:rPr>
                    <w:t>企业债3Y</w:t>
                  </w:r>
                </w:p>
              </w:tc>
              <w:tc>
                <w:tcPr>
                  <w:tcW w:w="1040" w:type="dxa"/>
                  <w:tcBorders>
                    <w:top w:val="nil"/>
                    <w:left w:val="nil"/>
                    <w:bottom w:val="single" w:sz="8" w:space="0" w:color="FFFFFF"/>
                    <w:right w:val="single" w:sz="8" w:space="0" w:color="FFFFFF"/>
                  </w:tcBorders>
                  <w:shd w:val="clear" w:color="000000" w:fill="FDE9D9"/>
                  <w:noWrap/>
                  <w:vAlign w:val="center"/>
                  <w:hideMark/>
                </w:tcPr>
                <w:p w14:paraId="39EAD045"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FF0000"/>
                      <w:kern w:val="0"/>
                      <w:szCs w:val="21"/>
                    </w:rPr>
                    <w:t xml:space="preserve">-1.7 </w:t>
                  </w:r>
                </w:p>
              </w:tc>
              <w:tc>
                <w:tcPr>
                  <w:tcW w:w="1040" w:type="dxa"/>
                  <w:tcBorders>
                    <w:top w:val="nil"/>
                    <w:left w:val="nil"/>
                    <w:bottom w:val="single" w:sz="8" w:space="0" w:color="FFFFFF"/>
                    <w:right w:val="single" w:sz="8" w:space="0" w:color="FFFFFF"/>
                  </w:tcBorders>
                  <w:shd w:val="clear" w:color="000000" w:fill="FDE9D9"/>
                  <w:noWrap/>
                  <w:vAlign w:val="center"/>
                  <w:hideMark/>
                </w:tcPr>
                <w:p w14:paraId="0044B5F8"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FF0000"/>
                      <w:kern w:val="0"/>
                      <w:szCs w:val="21"/>
                    </w:rPr>
                    <w:t xml:space="preserve">-1.8 </w:t>
                  </w:r>
                </w:p>
              </w:tc>
              <w:tc>
                <w:tcPr>
                  <w:tcW w:w="1040" w:type="dxa"/>
                  <w:tcBorders>
                    <w:top w:val="nil"/>
                    <w:left w:val="nil"/>
                    <w:bottom w:val="single" w:sz="8" w:space="0" w:color="FFFFFF"/>
                    <w:right w:val="single" w:sz="8" w:space="0" w:color="FFFFFF"/>
                  </w:tcBorders>
                  <w:shd w:val="clear" w:color="000000" w:fill="FDE9D9"/>
                  <w:noWrap/>
                  <w:vAlign w:val="center"/>
                  <w:hideMark/>
                </w:tcPr>
                <w:p w14:paraId="6705A8D5"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FF0000"/>
                      <w:kern w:val="0"/>
                      <w:szCs w:val="21"/>
                    </w:rPr>
                    <w:t xml:space="preserve">-2.8 </w:t>
                  </w:r>
                </w:p>
              </w:tc>
              <w:tc>
                <w:tcPr>
                  <w:tcW w:w="1040" w:type="dxa"/>
                  <w:tcBorders>
                    <w:top w:val="nil"/>
                    <w:left w:val="nil"/>
                    <w:bottom w:val="single" w:sz="8" w:space="0" w:color="FFFFFF"/>
                    <w:right w:val="single" w:sz="8" w:space="0" w:color="FFFFFF"/>
                  </w:tcBorders>
                  <w:shd w:val="clear" w:color="000000" w:fill="FDE9D9"/>
                  <w:noWrap/>
                  <w:vAlign w:val="center"/>
                  <w:hideMark/>
                </w:tcPr>
                <w:p w14:paraId="5F2AE6FE"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FF0000"/>
                      <w:kern w:val="0"/>
                      <w:szCs w:val="21"/>
                    </w:rPr>
                    <w:t xml:space="preserve">-2.7 </w:t>
                  </w:r>
                </w:p>
              </w:tc>
              <w:tc>
                <w:tcPr>
                  <w:tcW w:w="1246" w:type="dxa"/>
                  <w:tcBorders>
                    <w:top w:val="nil"/>
                    <w:left w:val="nil"/>
                    <w:bottom w:val="single" w:sz="8" w:space="0" w:color="FFFFFF"/>
                    <w:right w:val="single" w:sz="8" w:space="0" w:color="FFFFFF"/>
                  </w:tcBorders>
                  <w:shd w:val="clear" w:color="000000" w:fill="FDE9D9"/>
                  <w:noWrap/>
                  <w:vAlign w:val="center"/>
                  <w:hideMark/>
                </w:tcPr>
                <w:p w14:paraId="0BEC90EB" w14:textId="77777777" w:rsidR="00C632A4" w:rsidRPr="00C632A4" w:rsidRDefault="00C632A4" w:rsidP="00C632A4">
                  <w:pPr>
                    <w:widowControl/>
                    <w:jc w:val="center"/>
                    <w:rPr>
                      <w:rFonts w:ascii="楷体" w:eastAsia="楷体" w:hAnsi="楷体" w:cs="宋体"/>
                      <w:color w:val="000000"/>
                      <w:kern w:val="0"/>
                      <w:sz w:val="20"/>
                      <w:szCs w:val="20"/>
                    </w:rPr>
                  </w:pPr>
                  <w:r w:rsidRPr="00C632A4">
                    <w:rPr>
                      <w:rFonts w:ascii="楷体" w:eastAsia="楷体" w:hAnsi="楷体" w:cs="宋体" w:hint="eastAsia"/>
                      <w:color w:val="000000"/>
                      <w:kern w:val="0"/>
                      <w:sz w:val="20"/>
                      <w:szCs w:val="20"/>
                    </w:rPr>
                    <w:t>企业债3Y</w:t>
                  </w:r>
                </w:p>
              </w:tc>
              <w:tc>
                <w:tcPr>
                  <w:tcW w:w="1040" w:type="dxa"/>
                  <w:tcBorders>
                    <w:top w:val="nil"/>
                    <w:left w:val="nil"/>
                    <w:bottom w:val="single" w:sz="8" w:space="0" w:color="FFFFFF"/>
                    <w:right w:val="single" w:sz="8" w:space="0" w:color="FFFFFF"/>
                  </w:tcBorders>
                  <w:shd w:val="clear" w:color="000000" w:fill="FDE9D9"/>
                  <w:noWrap/>
                  <w:vAlign w:val="center"/>
                  <w:hideMark/>
                </w:tcPr>
                <w:p w14:paraId="0D803767"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FF0000"/>
                      <w:kern w:val="0"/>
                      <w:szCs w:val="21"/>
                    </w:rPr>
                    <w:t xml:space="preserve">-4.2 </w:t>
                  </w:r>
                </w:p>
              </w:tc>
              <w:tc>
                <w:tcPr>
                  <w:tcW w:w="1040" w:type="dxa"/>
                  <w:tcBorders>
                    <w:top w:val="nil"/>
                    <w:left w:val="nil"/>
                    <w:bottom w:val="single" w:sz="8" w:space="0" w:color="FFFFFF"/>
                    <w:right w:val="single" w:sz="8" w:space="0" w:color="FFFFFF"/>
                  </w:tcBorders>
                  <w:shd w:val="clear" w:color="000000" w:fill="FDE9D9"/>
                  <w:noWrap/>
                  <w:vAlign w:val="center"/>
                  <w:hideMark/>
                </w:tcPr>
                <w:p w14:paraId="0ADA2E75"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FF0000"/>
                      <w:kern w:val="0"/>
                      <w:szCs w:val="21"/>
                    </w:rPr>
                    <w:t xml:space="preserve">-4.2 </w:t>
                  </w:r>
                </w:p>
              </w:tc>
              <w:tc>
                <w:tcPr>
                  <w:tcW w:w="1040" w:type="dxa"/>
                  <w:tcBorders>
                    <w:top w:val="nil"/>
                    <w:left w:val="nil"/>
                    <w:bottom w:val="single" w:sz="8" w:space="0" w:color="FFFFFF"/>
                    <w:right w:val="single" w:sz="8" w:space="0" w:color="FFFFFF"/>
                  </w:tcBorders>
                  <w:shd w:val="clear" w:color="000000" w:fill="FDE9D9"/>
                  <w:noWrap/>
                  <w:vAlign w:val="center"/>
                  <w:hideMark/>
                </w:tcPr>
                <w:p w14:paraId="6F34EF48"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FF0000"/>
                      <w:kern w:val="0"/>
                      <w:szCs w:val="21"/>
                    </w:rPr>
                    <w:t xml:space="preserve">-5.2 </w:t>
                  </w:r>
                </w:p>
              </w:tc>
              <w:tc>
                <w:tcPr>
                  <w:tcW w:w="1040" w:type="dxa"/>
                  <w:tcBorders>
                    <w:top w:val="nil"/>
                    <w:left w:val="nil"/>
                    <w:bottom w:val="single" w:sz="8" w:space="0" w:color="FFFFFF"/>
                    <w:right w:val="single" w:sz="8" w:space="0" w:color="FFFFFF"/>
                  </w:tcBorders>
                  <w:shd w:val="clear" w:color="000000" w:fill="FDE9D9"/>
                  <w:noWrap/>
                  <w:vAlign w:val="center"/>
                  <w:hideMark/>
                </w:tcPr>
                <w:p w14:paraId="5CCC8082"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FF0000"/>
                      <w:kern w:val="0"/>
                      <w:szCs w:val="21"/>
                    </w:rPr>
                    <w:t xml:space="preserve">-5.2 </w:t>
                  </w:r>
                </w:p>
              </w:tc>
            </w:tr>
            <w:tr w:rsidR="00C632A4" w:rsidRPr="00C632A4" w14:paraId="2892DAA9" w14:textId="77777777" w:rsidTr="00C632A4">
              <w:trPr>
                <w:trHeight w:val="300"/>
              </w:trPr>
              <w:tc>
                <w:tcPr>
                  <w:tcW w:w="1402" w:type="dxa"/>
                  <w:tcBorders>
                    <w:top w:val="nil"/>
                    <w:left w:val="nil"/>
                    <w:bottom w:val="single" w:sz="8" w:space="0" w:color="FFFFFF"/>
                    <w:right w:val="single" w:sz="8" w:space="0" w:color="FFFFFF"/>
                  </w:tcBorders>
                  <w:shd w:val="clear" w:color="000000" w:fill="FCD5B4"/>
                  <w:noWrap/>
                  <w:vAlign w:val="center"/>
                  <w:hideMark/>
                </w:tcPr>
                <w:p w14:paraId="1E6D85F2" w14:textId="77777777" w:rsidR="00C632A4" w:rsidRPr="00C632A4" w:rsidRDefault="00C632A4" w:rsidP="00C632A4">
                  <w:pPr>
                    <w:widowControl/>
                    <w:jc w:val="center"/>
                    <w:rPr>
                      <w:rFonts w:ascii="楷体" w:eastAsia="楷体" w:hAnsi="楷体" w:cs="宋体"/>
                      <w:color w:val="000000"/>
                      <w:kern w:val="0"/>
                      <w:sz w:val="20"/>
                      <w:szCs w:val="20"/>
                    </w:rPr>
                  </w:pPr>
                  <w:r w:rsidRPr="00C632A4">
                    <w:rPr>
                      <w:rFonts w:ascii="楷体" w:eastAsia="楷体" w:hAnsi="楷体" w:cs="宋体" w:hint="eastAsia"/>
                      <w:color w:val="000000"/>
                      <w:kern w:val="0"/>
                      <w:sz w:val="20"/>
                      <w:szCs w:val="20"/>
                    </w:rPr>
                    <w:t>企业债5Y</w:t>
                  </w:r>
                </w:p>
              </w:tc>
              <w:tc>
                <w:tcPr>
                  <w:tcW w:w="1040" w:type="dxa"/>
                  <w:tcBorders>
                    <w:top w:val="nil"/>
                    <w:left w:val="nil"/>
                    <w:bottom w:val="single" w:sz="8" w:space="0" w:color="FFFFFF"/>
                    <w:right w:val="single" w:sz="8" w:space="0" w:color="FFFFFF"/>
                  </w:tcBorders>
                  <w:shd w:val="clear" w:color="000000" w:fill="FCD5B4"/>
                  <w:noWrap/>
                  <w:vAlign w:val="center"/>
                  <w:hideMark/>
                </w:tcPr>
                <w:p w14:paraId="6AB8641C"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FF0000"/>
                      <w:kern w:val="0"/>
                      <w:szCs w:val="21"/>
                    </w:rPr>
                    <w:t xml:space="preserve">-3.7 </w:t>
                  </w:r>
                </w:p>
              </w:tc>
              <w:tc>
                <w:tcPr>
                  <w:tcW w:w="1040" w:type="dxa"/>
                  <w:tcBorders>
                    <w:top w:val="nil"/>
                    <w:left w:val="nil"/>
                    <w:bottom w:val="single" w:sz="8" w:space="0" w:color="FFFFFF"/>
                    <w:right w:val="single" w:sz="8" w:space="0" w:color="FFFFFF"/>
                  </w:tcBorders>
                  <w:shd w:val="clear" w:color="000000" w:fill="FCD5B4"/>
                  <w:noWrap/>
                  <w:vAlign w:val="center"/>
                  <w:hideMark/>
                </w:tcPr>
                <w:p w14:paraId="3EE58626"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FF0000"/>
                      <w:kern w:val="0"/>
                      <w:szCs w:val="21"/>
                    </w:rPr>
                    <w:t xml:space="preserve">-3.7 </w:t>
                  </w:r>
                </w:p>
              </w:tc>
              <w:tc>
                <w:tcPr>
                  <w:tcW w:w="1040" w:type="dxa"/>
                  <w:tcBorders>
                    <w:top w:val="nil"/>
                    <w:left w:val="nil"/>
                    <w:bottom w:val="single" w:sz="8" w:space="0" w:color="FFFFFF"/>
                    <w:right w:val="single" w:sz="8" w:space="0" w:color="FFFFFF"/>
                  </w:tcBorders>
                  <w:shd w:val="clear" w:color="000000" w:fill="FCD5B4"/>
                  <w:noWrap/>
                  <w:vAlign w:val="center"/>
                  <w:hideMark/>
                </w:tcPr>
                <w:p w14:paraId="065842F0"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FF0000"/>
                      <w:kern w:val="0"/>
                      <w:szCs w:val="21"/>
                    </w:rPr>
                    <w:t xml:space="preserve">-3.7 </w:t>
                  </w:r>
                </w:p>
              </w:tc>
              <w:tc>
                <w:tcPr>
                  <w:tcW w:w="1040" w:type="dxa"/>
                  <w:tcBorders>
                    <w:top w:val="nil"/>
                    <w:left w:val="nil"/>
                    <w:bottom w:val="single" w:sz="8" w:space="0" w:color="FFFFFF"/>
                    <w:right w:val="single" w:sz="8" w:space="0" w:color="FFFFFF"/>
                  </w:tcBorders>
                  <w:shd w:val="clear" w:color="000000" w:fill="FCD5B4"/>
                  <w:noWrap/>
                  <w:vAlign w:val="center"/>
                  <w:hideMark/>
                </w:tcPr>
                <w:p w14:paraId="030CB095"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FF0000"/>
                      <w:kern w:val="0"/>
                      <w:szCs w:val="21"/>
                    </w:rPr>
                    <w:t xml:space="preserve">-3.7 </w:t>
                  </w:r>
                </w:p>
              </w:tc>
              <w:tc>
                <w:tcPr>
                  <w:tcW w:w="1246" w:type="dxa"/>
                  <w:tcBorders>
                    <w:top w:val="nil"/>
                    <w:left w:val="nil"/>
                    <w:bottom w:val="single" w:sz="8" w:space="0" w:color="FFFFFF"/>
                    <w:right w:val="single" w:sz="8" w:space="0" w:color="FFFFFF"/>
                  </w:tcBorders>
                  <w:shd w:val="clear" w:color="000000" w:fill="FCD5B4"/>
                  <w:noWrap/>
                  <w:vAlign w:val="center"/>
                  <w:hideMark/>
                </w:tcPr>
                <w:p w14:paraId="18DEEADF" w14:textId="77777777" w:rsidR="00C632A4" w:rsidRPr="00C632A4" w:rsidRDefault="00C632A4" w:rsidP="00C632A4">
                  <w:pPr>
                    <w:widowControl/>
                    <w:jc w:val="center"/>
                    <w:rPr>
                      <w:rFonts w:ascii="楷体" w:eastAsia="楷体" w:hAnsi="楷体" w:cs="宋体"/>
                      <w:color w:val="000000"/>
                      <w:kern w:val="0"/>
                      <w:sz w:val="20"/>
                      <w:szCs w:val="20"/>
                    </w:rPr>
                  </w:pPr>
                  <w:r w:rsidRPr="00C632A4">
                    <w:rPr>
                      <w:rFonts w:ascii="楷体" w:eastAsia="楷体" w:hAnsi="楷体" w:cs="宋体" w:hint="eastAsia"/>
                      <w:color w:val="000000"/>
                      <w:kern w:val="0"/>
                      <w:sz w:val="20"/>
                      <w:szCs w:val="20"/>
                    </w:rPr>
                    <w:t>企业债5Y</w:t>
                  </w:r>
                </w:p>
              </w:tc>
              <w:tc>
                <w:tcPr>
                  <w:tcW w:w="1040" w:type="dxa"/>
                  <w:tcBorders>
                    <w:top w:val="nil"/>
                    <w:left w:val="nil"/>
                    <w:bottom w:val="single" w:sz="8" w:space="0" w:color="FFFFFF"/>
                    <w:right w:val="single" w:sz="8" w:space="0" w:color="FFFFFF"/>
                  </w:tcBorders>
                  <w:shd w:val="clear" w:color="000000" w:fill="FCD5B4"/>
                  <w:noWrap/>
                  <w:vAlign w:val="center"/>
                  <w:hideMark/>
                </w:tcPr>
                <w:p w14:paraId="3AE51CF8"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FF0000"/>
                      <w:kern w:val="0"/>
                      <w:szCs w:val="21"/>
                    </w:rPr>
                    <w:t xml:space="preserve">-9.6 </w:t>
                  </w:r>
                </w:p>
              </w:tc>
              <w:tc>
                <w:tcPr>
                  <w:tcW w:w="1040" w:type="dxa"/>
                  <w:tcBorders>
                    <w:top w:val="nil"/>
                    <w:left w:val="nil"/>
                    <w:bottom w:val="single" w:sz="8" w:space="0" w:color="FFFFFF"/>
                    <w:right w:val="single" w:sz="8" w:space="0" w:color="FFFFFF"/>
                  </w:tcBorders>
                  <w:shd w:val="clear" w:color="000000" w:fill="FCD5B4"/>
                  <w:noWrap/>
                  <w:vAlign w:val="center"/>
                  <w:hideMark/>
                </w:tcPr>
                <w:p w14:paraId="02952A2B"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FF0000"/>
                      <w:kern w:val="0"/>
                      <w:szCs w:val="21"/>
                    </w:rPr>
                    <w:t xml:space="preserve">-9.6 </w:t>
                  </w:r>
                </w:p>
              </w:tc>
              <w:tc>
                <w:tcPr>
                  <w:tcW w:w="1040" w:type="dxa"/>
                  <w:tcBorders>
                    <w:top w:val="nil"/>
                    <w:left w:val="nil"/>
                    <w:bottom w:val="single" w:sz="8" w:space="0" w:color="FFFFFF"/>
                    <w:right w:val="single" w:sz="8" w:space="0" w:color="FFFFFF"/>
                  </w:tcBorders>
                  <w:shd w:val="clear" w:color="000000" w:fill="FCD5B4"/>
                  <w:noWrap/>
                  <w:vAlign w:val="center"/>
                  <w:hideMark/>
                </w:tcPr>
                <w:p w14:paraId="2F7F5F75"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FF0000"/>
                      <w:kern w:val="0"/>
                      <w:szCs w:val="21"/>
                    </w:rPr>
                    <w:t xml:space="preserve">-9.6 </w:t>
                  </w:r>
                </w:p>
              </w:tc>
              <w:tc>
                <w:tcPr>
                  <w:tcW w:w="1040" w:type="dxa"/>
                  <w:tcBorders>
                    <w:top w:val="nil"/>
                    <w:left w:val="nil"/>
                    <w:bottom w:val="single" w:sz="8" w:space="0" w:color="FFFFFF"/>
                    <w:right w:val="single" w:sz="8" w:space="0" w:color="FFFFFF"/>
                  </w:tcBorders>
                  <w:shd w:val="clear" w:color="000000" w:fill="FCD5B4"/>
                  <w:noWrap/>
                  <w:vAlign w:val="center"/>
                  <w:hideMark/>
                </w:tcPr>
                <w:p w14:paraId="447DC8F3"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FF0000"/>
                      <w:kern w:val="0"/>
                      <w:szCs w:val="21"/>
                    </w:rPr>
                    <w:t xml:space="preserve">-9.6 </w:t>
                  </w:r>
                </w:p>
              </w:tc>
            </w:tr>
            <w:tr w:rsidR="00C632A4" w:rsidRPr="00C632A4" w14:paraId="26DA6AF2" w14:textId="77777777" w:rsidTr="00C632A4">
              <w:trPr>
                <w:trHeight w:val="300"/>
              </w:trPr>
              <w:tc>
                <w:tcPr>
                  <w:tcW w:w="1402" w:type="dxa"/>
                  <w:tcBorders>
                    <w:top w:val="nil"/>
                    <w:left w:val="nil"/>
                    <w:bottom w:val="single" w:sz="8" w:space="0" w:color="FFFFFF"/>
                    <w:right w:val="single" w:sz="8" w:space="0" w:color="FFFFFF"/>
                  </w:tcBorders>
                  <w:shd w:val="clear" w:color="000000" w:fill="FDE9D9"/>
                  <w:noWrap/>
                  <w:vAlign w:val="center"/>
                  <w:hideMark/>
                </w:tcPr>
                <w:p w14:paraId="24DB4AB5" w14:textId="77777777" w:rsidR="00C632A4" w:rsidRPr="00C632A4" w:rsidRDefault="00C632A4" w:rsidP="00C632A4">
                  <w:pPr>
                    <w:widowControl/>
                    <w:jc w:val="center"/>
                    <w:rPr>
                      <w:rFonts w:ascii="楷体" w:eastAsia="楷体" w:hAnsi="楷体" w:cs="宋体"/>
                      <w:color w:val="000000"/>
                      <w:kern w:val="0"/>
                      <w:sz w:val="20"/>
                      <w:szCs w:val="20"/>
                    </w:rPr>
                  </w:pPr>
                  <w:r w:rsidRPr="00C632A4">
                    <w:rPr>
                      <w:rFonts w:ascii="楷体" w:eastAsia="楷体" w:hAnsi="楷体" w:cs="宋体" w:hint="eastAsia"/>
                      <w:color w:val="000000"/>
                      <w:kern w:val="0"/>
                      <w:sz w:val="20"/>
                      <w:szCs w:val="20"/>
                    </w:rPr>
                    <w:t>企业债7Y</w:t>
                  </w:r>
                </w:p>
              </w:tc>
              <w:tc>
                <w:tcPr>
                  <w:tcW w:w="1040" w:type="dxa"/>
                  <w:tcBorders>
                    <w:top w:val="nil"/>
                    <w:left w:val="nil"/>
                    <w:bottom w:val="single" w:sz="8" w:space="0" w:color="FFFFFF"/>
                    <w:right w:val="single" w:sz="8" w:space="0" w:color="FFFFFF"/>
                  </w:tcBorders>
                  <w:shd w:val="clear" w:color="000000" w:fill="FDE9D9"/>
                  <w:noWrap/>
                  <w:vAlign w:val="center"/>
                  <w:hideMark/>
                </w:tcPr>
                <w:p w14:paraId="0BCDB5E8"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FF0000"/>
                      <w:kern w:val="0"/>
                      <w:szCs w:val="21"/>
                    </w:rPr>
                    <w:t xml:space="preserve">-4.7 </w:t>
                  </w:r>
                </w:p>
              </w:tc>
              <w:tc>
                <w:tcPr>
                  <w:tcW w:w="1040" w:type="dxa"/>
                  <w:tcBorders>
                    <w:top w:val="nil"/>
                    <w:left w:val="nil"/>
                    <w:bottom w:val="single" w:sz="8" w:space="0" w:color="FFFFFF"/>
                    <w:right w:val="single" w:sz="8" w:space="0" w:color="FFFFFF"/>
                  </w:tcBorders>
                  <w:shd w:val="clear" w:color="000000" w:fill="FDE9D9"/>
                  <w:noWrap/>
                  <w:vAlign w:val="center"/>
                  <w:hideMark/>
                </w:tcPr>
                <w:p w14:paraId="6DC848F0"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FF0000"/>
                      <w:kern w:val="0"/>
                      <w:szCs w:val="21"/>
                    </w:rPr>
                    <w:t xml:space="preserve">-4.7 </w:t>
                  </w:r>
                </w:p>
              </w:tc>
              <w:tc>
                <w:tcPr>
                  <w:tcW w:w="1040" w:type="dxa"/>
                  <w:tcBorders>
                    <w:top w:val="nil"/>
                    <w:left w:val="nil"/>
                    <w:bottom w:val="single" w:sz="8" w:space="0" w:color="FFFFFF"/>
                    <w:right w:val="single" w:sz="8" w:space="0" w:color="FFFFFF"/>
                  </w:tcBorders>
                  <w:shd w:val="clear" w:color="000000" w:fill="FDE9D9"/>
                  <w:noWrap/>
                  <w:vAlign w:val="center"/>
                  <w:hideMark/>
                </w:tcPr>
                <w:p w14:paraId="37A32037"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FF0000"/>
                      <w:kern w:val="0"/>
                      <w:szCs w:val="21"/>
                    </w:rPr>
                    <w:t xml:space="preserve">-4.7 </w:t>
                  </w:r>
                </w:p>
              </w:tc>
              <w:tc>
                <w:tcPr>
                  <w:tcW w:w="1040" w:type="dxa"/>
                  <w:tcBorders>
                    <w:top w:val="nil"/>
                    <w:left w:val="nil"/>
                    <w:bottom w:val="single" w:sz="8" w:space="0" w:color="FFFFFF"/>
                    <w:right w:val="single" w:sz="8" w:space="0" w:color="FFFFFF"/>
                  </w:tcBorders>
                  <w:shd w:val="clear" w:color="000000" w:fill="FDE9D9"/>
                  <w:noWrap/>
                  <w:vAlign w:val="center"/>
                  <w:hideMark/>
                </w:tcPr>
                <w:p w14:paraId="0817AFBB"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FF0000"/>
                      <w:kern w:val="0"/>
                      <w:szCs w:val="21"/>
                    </w:rPr>
                    <w:t xml:space="preserve">-4.7 </w:t>
                  </w:r>
                </w:p>
              </w:tc>
              <w:tc>
                <w:tcPr>
                  <w:tcW w:w="1246" w:type="dxa"/>
                  <w:tcBorders>
                    <w:top w:val="nil"/>
                    <w:left w:val="nil"/>
                    <w:bottom w:val="single" w:sz="8" w:space="0" w:color="FFFFFF"/>
                    <w:right w:val="single" w:sz="8" w:space="0" w:color="FFFFFF"/>
                  </w:tcBorders>
                  <w:shd w:val="clear" w:color="000000" w:fill="FDE9D9"/>
                  <w:noWrap/>
                  <w:vAlign w:val="center"/>
                  <w:hideMark/>
                </w:tcPr>
                <w:p w14:paraId="0FBD52EE" w14:textId="77777777" w:rsidR="00C632A4" w:rsidRPr="00C632A4" w:rsidRDefault="00C632A4" w:rsidP="00C632A4">
                  <w:pPr>
                    <w:widowControl/>
                    <w:jc w:val="center"/>
                    <w:rPr>
                      <w:rFonts w:ascii="楷体" w:eastAsia="楷体" w:hAnsi="楷体" w:cs="宋体"/>
                      <w:color w:val="000000"/>
                      <w:kern w:val="0"/>
                      <w:sz w:val="20"/>
                      <w:szCs w:val="20"/>
                    </w:rPr>
                  </w:pPr>
                  <w:r w:rsidRPr="00C632A4">
                    <w:rPr>
                      <w:rFonts w:ascii="楷体" w:eastAsia="楷体" w:hAnsi="楷体" w:cs="宋体" w:hint="eastAsia"/>
                      <w:color w:val="000000"/>
                      <w:kern w:val="0"/>
                      <w:sz w:val="20"/>
                      <w:szCs w:val="20"/>
                    </w:rPr>
                    <w:t>企业债7Y</w:t>
                  </w:r>
                </w:p>
              </w:tc>
              <w:tc>
                <w:tcPr>
                  <w:tcW w:w="1040" w:type="dxa"/>
                  <w:tcBorders>
                    <w:top w:val="nil"/>
                    <w:left w:val="nil"/>
                    <w:bottom w:val="single" w:sz="8" w:space="0" w:color="FFFFFF"/>
                    <w:right w:val="single" w:sz="8" w:space="0" w:color="FFFFFF"/>
                  </w:tcBorders>
                  <w:shd w:val="clear" w:color="000000" w:fill="FDE9D9"/>
                  <w:noWrap/>
                  <w:vAlign w:val="center"/>
                  <w:hideMark/>
                </w:tcPr>
                <w:p w14:paraId="6D233E90"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FF0000"/>
                      <w:kern w:val="0"/>
                      <w:szCs w:val="21"/>
                    </w:rPr>
                    <w:t xml:space="preserve">-4.1 </w:t>
                  </w:r>
                </w:p>
              </w:tc>
              <w:tc>
                <w:tcPr>
                  <w:tcW w:w="1040" w:type="dxa"/>
                  <w:tcBorders>
                    <w:top w:val="nil"/>
                    <w:left w:val="nil"/>
                    <w:bottom w:val="single" w:sz="8" w:space="0" w:color="FFFFFF"/>
                    <w:right w:val="single" w:sz="8" w:space="0" w:color="FFFFFF"/>
                  </w:tcBorders>
                  <w:shd w:val="clear" w:color="000000" w:fill="FDE9D9"/>
                  <w:noWrap/>
                  <w:vAlign w:val="center"/>
                  <w:hideMark/>
                </w:tcPr>
                <w:p w14:paraId="7C240CCD"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FF0000"/>
                      <w:kern w:val="0"/>
                      <w:szCs w:val="21"/>
                    </w:rPr>
                    <w:t xml:space="preserve">-4.1 </w:t>
                  </w:r>
                </w:p>
              </w:tc>
              <w:tc>
                <w:tcPr>
                  <w:tcW w:w="1040" w:type="dxa"/>
                  <w:tcBorders>
                    <w:top w:val="nil"/>
                    <w:left w:val="nil"/>
                    <w:bottom w:val="single" w:sz="8" w:space="0" w:color="FFFFFF"/>
                    <w:right w:val="single" w:sz="8" w:space="0" w:color="FFFFFF"/>
                  </w:tcBorders>
                  <w:shd w:val="clear" w:color="000000" w:fill="FDE9D9"/>
                  <w:noWrap/>
                  <w:vAlign w:val="center"/>
                  <w:hideMark/>
                </w:tcPr>
                <w:p w14:paraId="0E0C034C"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FF0000"/>
                      <w:kern w:val="0"/>
                      <w:szCs w:val="21"/>
                    </w:rPr>
                    <w:t xml:space="preserve">-4.1 </w:t>
                  </w:r>
                </w:p>
              </w:tc>
              <w:tc>
                <w:tcPr>
                  <w:tcW w:w="1040" w:type="dxa"/>
                  <w:tcBorders>
                    <w:top w:val="nil"/>
                    <w:left w:val="nil"/>
                    <w:bottom w:val="single" w:sz="8" w:space="0" w:color="FFFFFF"/>
                    <w:right w:val="single" w:sz="8" w:space="0" w:color="FFFFFF"/>
                  </w:tcBorders>
                  <w:shd w:val="clear" w:color="000000" w:fill="FDE9D9"/>
                  <w:noWrap/>
                  <w:vAlign w:val="center"/>
                  <w:hideMark/>
                </w:tcPr>
                <w:p w14:paraId="7DE72098"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FF0000"/>
                      <w:kern w:val="0"/>
                      <w:szCs w:val="21"/>
                    </w:rPr>
                    <w:t xml:space="preserve">-4.1 </w:t>
                  </w:r>
                </w:p>
              </w:tc>
            </w:tr>
            <w:tr w:rsidR="00C632A4" w:rsidRPr="00C632A4" w14:paraId="786E69E1" w14:textId="77777777" w:rsidTr="00C632A4">
              <w:trPr>
                <w:trHeight w:val="300"/>
              </w:trPr>
              <w:tc>
                <w:tcPr>
                  <w:tcW w:w="1402" w:type="dxa"/>
                  <w:tcBorders>
                    <w:top w:val="nil"/>
                    <w:left w:val="nil"/>
                    <w:bottom w:val="single" w:sz="8" w:space="0" w:color="FFFFFF"/>
                    <w:right w:val="single" w:sz="8" w:space="0" w:color="FFFFFF"/>
                  </w:tcBorders>
                  <w:shd w:val="clear" w:color="000000" w:fill="FCD5B4"/>
                  <w:noWrap/>
                  <w:vAlign w:val="center"/>
                  <w:hideMark/>
                </w:tcPr>
                <w:p w14:paraId="244585FB" w14:textId="77777777" w:rsidR="00C632A4" w:rsidRPr="00C632A4" w:rsidRDefault="00C632A4" w:rsidP="00C632A4">
                  <w:pPr>
                    <w:widowControl/>
                    <w:jc w:val="center"/>
                    <w:rPr>
                      <w:rFonts w:ascii="楷体" w:eastAsia="楷体" w:hAnsi="楷体" w:cs="宋体"/>
                      <w:color w:val="000000"/>
                      <w:kern w:val="0"/>
                      <w:sz w:val="20"/>
                      <w:szCs w:val="20"/>
                    </w:rPr>
                  </w:pPr>
                  <w:proofErr w:type="gramStart"/>
                  <w:r w:rsidRPr="00C632A4">
                    <w:rPr>
                      <w:rFonts w:ascii="楷体" w:eastAsia="楷体" w:hAnsi="楷体" w:cs="宋体" w:hint="eastAsia"/>
                      <w:color w:val="000000"/>
                      <w:kern w:val="0"/>
                      <w:sz w:val="20"/>
                      <w:szCs w:val="20"/>
                    </w:rPr>
                    <w:t>城投债</w:t>
                  </w:r>
                  <w:proofErr w:type="gramEnd"/>
                  <w:r w:rsidRPr="00C632A4">
                    <w:rPr>
                      <w:rFonts w:ascii="楷体" w:eastAsia="楷体" w:hAnsi="楷体" w:cs="宋体" w:hint="eastAsia"/>
                      <w:color w:val="000000"/>
                      <w:kern w:val="0"/>
                      <w:sz w:val="20"/>
                      <w:szCs w:val="20"/>
                    </w:rPr>
                    <w:t>3Y</w:t>
                  </w:r>
                </w:p>
              </w:tc>
              <w:tc>
                <w:tcPr>
                  <w:tcW w:w="1040" w:type="dxa"/>
                  <w:tcBorders>
                    <w:top w:val="nil"/>
                    <w:left w:val="nil"/>
                    <w:bottom w:val="single" w:sz="8" w:space="0" w:color="FFFFFF"/>
                    <w:right w:val="single" w:sz="8" w:space="0" w:color="FFFFFF"/>
                  </w:tcBorders>
                  <w:shd w:val="clear" w:color="000000" w:fill="FCD5B4"/>
                  <w:noWrap/>
                  <w:vAlign w:val="center"/>
                  <w:hideMark/>
                </w:tcPr>
                <w:p w14:paraId="1A31AD47"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FF0000"/>
                      <w:kern w:val="0"/>
                      <w:szCs w:val="21"/>
                    </w:rPr>
                    <w:t xml:space="preserve">-0.0 </w:t>
                  </w:r>
                </w:p>
              </w:tc>
              <w:tc>
                <w:tcPr>
                  <w:tcW w:w="1040" w:type="dxa"/>
                  <w:tcBorders>
                    <w:top w:val="nil"/>
                    <w:left w:val="nil"/>
                    <w:bottom w:val="single" w:sz="8" w:space="0" w:color="FFFFFF"/>
                    <w:right w:val="single" w:sz="8" w:space="0" w:color="FFFFFF"/>
                  </w:tcBorders>
                  <w:shd w:val="clear" w:color="000000" w:fill="FCD5B4"/>
                  <w:noWrap/>
                  <w:vAlign w:val="center"/>
                  <w:hideMark/>
                </w:tcPr>
                <w:p w14:paraId="7ED12E04"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FF0000"/>
                      <w:kern w:val="0"/>
                      <w:szCs w:val="21"/>
                    </w:rPr>
                    <w:t xml:space="preserve">-1.0 </w:t>
                  </w:r>
                </w:p>
              </w:tc>
              <w:tc>
                <w:tcPr>
                  <w:tcW w:w="1040" w:type="dxa"/>
                  <w:tcBorders>
                    <w:top w:val="nil"/>
                    <w:left w:val="nil"/>
                    <w:bottom w:val="single" w:sz="8" w:space="0" w:color="FFFFFF"/>
                    <w:right w:val="single" w:sz="8" w:space="0" w:color="FFFFFF"/>
                  </w:tcBorders>
                  <w:shd w:val="clear" w:color="000000" w:fill="FCD5B4"/>
                  <w:noWrap/>
                  <w:vAlign w:val="center"/>
                  <w:hideMark/>
                </w:tcPr>
                <w:p w14:paraId="39DF5C9E"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FF0000"/>
                      <w:kern w:val="0"/>
                      <w:szCs w:val="21"/>
                    </w:rPr>
                    <w:t xml:space="preserve">-3.0 </w:t>
                  </w:r>
                </w:p>
              </w:tc>
              <w:tc>
                <w:tcPr>
                  <w:tcW w:w="1040" w:type="dxa"/>
                  <w:tcBorders>
                    <w:top w:val="nil"/>
                    <w:left w:val="nil"/>
                    <w:bottom w:val="single" w:sz="8" w:space="0" w:color="FFFFFF"/>
                    <w:right w:val="single" w:sz="8" w:space="0" w:color="FFFFFF"/>
                  </w:tcBorders>
                  <w:shd w:val="clear" w:color="000000" w:fill="FCD5B4"/>
                  <w:noWrap/>
                  <w:vAlign w:val="center"/>
                  <w:hideMark/>
                </w:tcPr>
                <w:p w14:paraId="48F0FB54"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FF0000"/>
                      <w:kern w:val="0"/>
                      <w:szCs w:val="21"/>
                    </w:rPr>
                    <w:t xml:space="preserve">-4.0 </w:t>
                  </w:r>
                </w:p>
              </w:tc>
              <w:tc>
                <w:tcPr>
                  <w:tcW w:w="1246" w:type="dxa"/>
                  <w:tcBorders>
                    <w:top w:val="nil"/>
                    <w:left w:val="nil"/>
                    <w:bottom w:val="single" w:sz="8" w:space="0" w:color="FFFFFF"/>
                    <w:right w:val="single" w:sz="8" w:space="0" w:color="FFFFFF"/>
                  </w:tcBorders>
                  <w:shd w:val="clear" w:color="000000" w:fill="FCD5B4"/>
                  <w:noWrap/>
                  <w:vAlign w:val="center"/>
                  <w:hideMark/>
                </w:tcPr>
                <w:p w14:paraId="5FE6AEDD" w14:textId="77777777" w:rsidR="00C632A4" w:rsidRPr="00C632A4" w:rsidRDefault="00C632A4" w:rsidP="00C632A4">
                  <w:pPr>
                    <w:widowControl/>
                    <w:jc w:val="center"/>
                    <w:rPr>
                      <w:rFonts w:ascii="楷体" w:eastAsia="楷体" w:hAnsi="楷体" w:cs="宋体"/>
                      <w:color w:val="000000"/>
                      <w:kern w:val="0"/>
                      <w:sz w:val="20"/>
                      <w:szCs w:val="20"/>
                    </w:rPr>
                  </w:pPr>
                  <w:proofErr w:type="gramStart"/>
                  <w:r w:rsidRPr="00C632A4">
                    <w:rPr>
                      <w:rFonts w:ascii="楷体" w:eastAsia="楷体" w:hAnsi="楷体" w:cs="宋体" w:hint="eastAsia"/>
                      <w:color w:val="000000"/>
                      <w:kern w:val="0"/>
                      <w:sz w:val="20"/>
                      <w:szCs w:val="20"/>
                    </w:rPr>
                    <w:t>城投债</w:t>
                  </w:r>
                  <w:proofErr w:type="gramEnd"/>
                  <w:r w:rsidRPr="00C632A4">
                    <w:rPr>
                      <w:rFonts w:ascii="楷体" w:eastAsia="楷体" w:hAnsi="楷体" w:cs="宋体" w:hint="eastAsia"/>
                      <w:color w:val="000000"/>
                      <w:kern w:val="0"/>
                      <w:sz w:val="20"/>
                      <w:szCs w:val="20"/>
                    </w:rPr>
                    <w:t>3Y</w:t>
                  </w:r>
                </w:p>
              </w:tc>
              <w:tc>
                <w:tcPr>
                  <w:tcW w:w="1040" w:type="dxa"/>
                  <w:tcBorders>
                    <w:top w:val="nil"/>
                    <w:left w:val="nil"/>
                    <w:bottom w:val="single" w:sz="8" w:space="0" w:color="FFFFFF"/>
                    <w:right w:val="single" w:sz="8" w:space="0" w:color="FFFFFF"/>
                  </w:tcBorders>
                  <w:shd w:val="clear" w:color="000000" w:fill="FCD5B4"/>
                  <w:noWrap/>
                  <w:vAlign w:val="center"/>
                  <w:hideMark/>
                </w:tcPr>
                <w:p w14:paraId="2FCF3CF6"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FF0000"/>
                      <w:kern w:val="0"/>
                      <w:szCs w:val="21"/>
                    </w:rPr>
                    <w:t xml:space="preserve">-2.5 </w:t>
                  </w:r>
                </w:p>
              </w:tc>
              <w:tc>
                <w:tcPr>
                  <w:tcW w:w="1040" w:type="dxa"/>
                  <w:tcBorders>
                    <w:top w:val="nil"/>
                    <w:left w:val="nil"/>
                    <w:bottom w:val="single" w:sz="8" w:space="0" w:color="FFFFFF"/>
                    <w:right w:val="single" w:sz="8" w:space="0" w:color="FFFFFF"/>
                  </w:tcBorders>
                  <w:shd w:val="clear" w:color="000000" w:fill="FCD5B4"/>
                  <w:noWrap/>
                  <w:vAlign w:val="center"/>
                  <w:hideMark/>
                </w:tcPr>
                <w:p w14:paraId="3C6279B1"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FF0000"/>
                      <w:kern w:val="0"/>
                      <w:szCs w:val="21"/>
                    </w:rPr>
                    <w:t xml:space="preserve">-3.5 </w:t>
                  </w:r>
                </w:p>
              </w:tc>
              <w:tc>
                <w:tcPr>
                  <w:tcW w:w="1040" w:type="dxa"/>
                  <w:tcBorders>
                    <w:top w:val="nil"/>
                    <w:left w:val="nil"/>
                    <w:bottom w:val="single" w:sz="8" w:space="0" w:color="FFFFFF"/>
                    <w:right w:val="single" w:sz="8" w:space="0" w:color="FFFFFF"/>
                  </w:tcBorders>
                  <w:shd w:val="clear" w:color="000000" w:fill="FCD5B4"/>
                  <w:noWrap/>
                  <w:vAlign w:val="center"/>
                  <w:hideMark/>
                </w:tcPr>
                <w:p w14:paraId="28E34A5A"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FF0000"/>
                      <w:kern w:val="0"/>
                      <w:szCs w:val="21"/>
                    </w:rPr>
                    <w:t xml:space="preserve">-5.5 </w:t>
                  </w:r>
                </w:p>
              </w:tc>
              <w:tc>
                <w:tcPr>
                  <w:tcW w:w="1040" w:type="dxa"/>
                  <w:tcBorders>
                    <w:top w:val="nil"/>
                    <w:left w:val="nil"/>
                    <w:bottom w:val="single" w:sz="8" w:space="0" w:color="FFFFFF"/>
                    <w:right w:val="single" w:sz="8" w:space="0" w:color="FFFFFF"/>
                  </w:tcBorders>
                  <w:shd w:val="clear" w:color="000000" w:fill="FCD5B4"/>
                  <w:noWrap/>
                  <w:vAlign w:val="center"/>
                  <w:hideMark/>
                </w:tcPr>
                <w:p w14:paraId="32A82A60"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FF0000"/>
                      <w:kern w:val="0"/>
                      <w:szCs w:val="21"/>
                    </w:rPr>
                    <w:t xml:space="preserve">-6.5 </w:t>
                  </w:r>
                </w:p>
              </w:tc>
            </w:tr>
            <w:tr w:rsidR="00C632A4" w:rsidRPr="00C632A4" w14:paraId="5AA63AC1" w14:textId="77777777" w:rsidTr="00C632A4">
              <w:trPr>
                <w:trHeight w:val="300"/>
              </w:trPr>
              <w:tc>
                <w:tcPr>
                  <w:tcW w:w="1402" w:type="dxa"/>
                  <w:tcBorders>
                    <w:top w:val="nil"/>
                    <w:left w:val="nil"/>
                    <w:bottom w:val="single" w:sz="8" w:space="0" w:color="FFFFFF"/>
                    <w:right w:val="single" w:sz="8" w:space="0" w:color="FFFFFF"/>
                  </w:tcBorders>
                  <w:shd w:val="clear" w:color="000000" w:fill="FDE9D9"/>
                  <w:noWrap/>
                  <w:vAlign w:val="center"/>
                  <w:hideMark/>
                </w:tcPr>
                <w:p w14:paraId="3EE0E81B" w14:textId="77777777" w:rsidR="00C632A4" w:rsidRPr="00C632A4" w:rsidRDefault="00C632A4" w:rsidP="00C632A4">
                  <w:pPr>
                    <w:widowControl/>
                    <w:jc w:val="center"/>
                    <w:rPr>
                      <w:rFonts w:ascii="楷体" w:eastAsia="楷体" w:hAnsi="楷体" w:cs="宋体"/>
                      <w:color w:val="000000"/>
                      <w:kern w:val="0"/>
                      <w:sz w:val="20"/>
                      <w:szCs w:val="20"/>
                    </w:rPr>
                  </w:pPr>
                  <w:proofErr w:type="gramStart"/>
                  <w:r w:rsidRPr="00C632A4">
                    <w:rPr>
                      <w:rFonts w:ascii="楷体" w:eastAsia="楷体" w:hAnsi="楷体" w:cs="宋体" w:hint="eastAsia"/>
                      <w:color w:val="000000"/>
                      <w:kern w:val="0"/>
                      <w:sz w:val="20"/>
                      <w:szCs w:val="20"/>
                    </w:rPr>
                    <w:t>城投债</w:t>
                  </w:r>
                  <w:proofErr w:type="gramEnd"/>
                  <w:r w:rsidRPr="00C632A4">
                    <w:rPr>
                      <w:rFonts w:ascii="楷体" w:eastAsia="楷体" w:hAnsi="楷体" w:cs="宋体" w:hint="eastAsia"/>
                      <w:color w:val="000000"/>
                      <w:kern w:val="0"/>
                      <w:sz w:val="20"/>
                      <w:szCs w:val="20"/>
                    </w:rPr>
                    <w:t>5Y</w:t>
                  </w:r>
                </w:p>
              </w:tc>
              <w:tc>
                <w:tcPr>
                  <w:tcW w:w="1040" w:type="dxa"/>
                  <w:tcBorders>
                    <w:top w:val="nil"/>
                    <w:left w:val="nil"/>
                    <w:bottom w:val="single" w:sz="8" w:space="0" w:color="FFFFFF"/>
                    <w:right w:val="single" w:sz="8" w:space="0" w:color="FFFFFF"/>
                  </w:tcBorders>
                  <w:shd w:val="clear" w:color="000000" w:fill="FDE9D9"/>
                  <w:noWrap/>
                  <w:vAlign w:val="center"/>
                  <w:hideMark/>
                </w:tcPr>
                <w:p w14:paraId="553527F4"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FF0000"/>
                      <w:kern w:val="0"/>
                      <w:szCs w:val="21"/>
                    </w:rPr>
                    <w:t xml:space="preserve">-2.2 </w:t>
                  </w:r>
                </w:p>
              </w:tc>
              <w:tc>
                <w:tcPr>
                  <w:tcW w:w="1040" w:type="dxa"/>
                  <w:tcBorders>
                    <w:top w:val="nil"/>
                    <w:left w:val="nil"/>
                    <w:bottom w:val="single" w:sz="8" w:space="0" w:color="FFFFFF"/>
                    <w:right w:val="single" w:sz="8" w:space="0" w:color="FFFFFF"/>
                  </w:tcBorders>
                  <w:shd w:val="clear" w:color="000000" w:fill="FDE9D9"/>
                  <w:noWrap/>
                  <w:vAlign w:val="center"/>
                  <w:hideMark/>
                </w:tcPr>
                <w:p w14:paraId="734A94CD"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FF0000"/>
                      <w:kern w:val="0"/>
                      <w:szCs w:val="21"/>
                    </w:rPr>
                    <w:t xml:space="preserve">-3.2 </w:t>
                  </w:r>
                </w:p>
              </w:tc>
              <w:tc>
                <w:tcPr>
                  <w:tcW w:w="1040" w:type="dxa"/>
                  <w:tcBorders>
                    <w:top w:val="nil"/>
                    <w:left w:val="nil"/>
                    <w:bottom w:val="single" w:sz="8" w:space="0" w:color="FFFFFF"/>
                    <w:right w:val="single" w:sz="8" w:space="0" w:color="FFFFFF"/>
                  </w:tcBorders>
                  <w:shd w:val="clear" w:color="000000" w:fill="FDE9D9"/>
                  <w:noWrap/>
                  <w:vAlign w:val="center"/>
                  <w:hideMark/>
                </w:tcPr>
                <w:p w14:paraId="0F3B8286"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FF0000"/>
                      <w:kern w:val="0"/>
                      <w:szCs w:val="21"/>
                    </w:rPr>
                    <w:t xml:space="preserve">-3.2 </w:t>
                  </w:r>
                </w:p>
              </w:tc>
              <w:tc>
                <w:tcPr>
                  <w:tcW w:w="1040" w:type="dxa"/>
                  <w:tcBorders>
                    <w:top w:val="nil"/>
                    <w:left w:val="nil"/>
                    <w:bottom w:val="single" w:sz="8" w:space="0" w:color="FFFFFF"/>
                    <w:right w:val="single" w:sz="8" w:space="0" w:color="FFFFFF"/>
                  </w:tcBorders>
                  <w:shd w:val="clear" w:color="000000" w:fill="FDE9D9"/>
                  <w:noWrap/>
                  <w:vAlign w:val="center"/>
                  <w:hideMark/>
                </w:tcPr>
                <w:p w14:paraId="790B0081"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FF0000"/>
                      <w:kern w:val="0"/>
                      <w:szCs w:val="21"/>
                    </w:rPr>
                    <w:t xml:space="preserve">-2.2 </w:t>
                  </w:r>
                </w:p>
              </w:tc>
              <w:tc>
                <w:tcPr>
                  <w:tcW w:w="1246" w:type="dxa"/>
                  <w:tcBorders>
                    <w:top w:val="nil"/>
                    <w:left w:val="nil"/>
                    <w:bottom w:val="single" w:sz="8" w:space="0" w:color="FFFFFF"/>
                    <w:right w:val="single" w:sz="8" w:space="0" w:color="FFFFFF"/>
                  </w:tcBorders>
                  <w:shd w:val="clear" w:color="000000" w:fill="FDE9D9"/>
                  <w:noWrap/>
                  <w:vAlign w:val="center"/>
                  <w:hideMark/>
                </w:tcPr>
                <w:p w14:paraId="361F4D0D" w14:textId="77777777" w:rsidR="00C632A4" w:rsidRPr="00C632A4" w:rsidRDefault="00C632A4" w:rsidP="00C632A4">
                  <w:pPr>
                    <w:widowControl/>
                    <w:jc w:val="center"/>
                    <w:rPr>
                      <w:rFonts w:ascii="楷体" w:eastAsia="楷体" w:hAnsi="楷体" w:cs="宋体"/>
                      <w:color w:val="000000"/>
                      <w:kern w:val="0"/>
                      <w:sz w:val="20"/>
                      <w:szCs w:val="20"/>
                    </w:rPr>
                  </w:pPr>
                  <w:proofErr w:type="gramStart"/>
                  <w:r w:rsidRPr="00C632A4">
                    <w:rPr>
                      <w:rFonts w:ascii="楷体" w:eastAsia="楷体" w:hAnsi="楷体" w:cs="宋体" w:hint="eastAsia"/>
                      <w:color w:val="000000"/>
                      <w:kern w:val="0"/>
                      <w:sz w:val="20"/>
                      <w:szCs w:val="20"/>
                    </w:rPr>
                    <w:t>城投债</w:t>
                  </w:r>
                  <w:proofErr w:type="gramEnd"/>
                  <w:r w:rsidRPr="00C632A4">
                    <w:rPr>
                      <w:rFonts w:ascii="楷体" w:eastAsia="楷体" w:hAnsi="楷体" w:cs="宋体" w:hint="eastAsia"/>
                      <w:color w:val="000000"/>
                      <w:kern w:val="0"/>
                      <w:sz w:val="20"/>
                      <w:szCs w:val="20"/>
                    </w:rPr>
                    <w:t>5Y</w:t>
                  </w:r>
                </w:p>
              </w:tc>
              <w:tc>
                <w:tcPr>
                  <w:tcW w:w="1040" w:type="dxa"/>
                  <w:tcBorders>
                    <w:top w:val="nil"/>
                    <w:left w:val="nil"/>
                    <w:bottom w:val="single" w:sz="8" w:space="0" w:color="FFFFFF"/>
                    <w:right w:val="single" w:sz="8" w:space="0" w:color="FFFFFF"/>
                  </w:tcBorders>
                  <w:shd w:val="clear" w:color="000000" w:fill="FDE9D9"/>
                  <w:noWrap/>
                  <w:vAlign w:val="center"/>
                  <w:hideMark/>
                </w:tcPr>
                <w:p w14:paraId="69DBACAF"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FF0000"/>
                      <w:kern w:val="0"/>
                      <w:szCs w:val="21"/>
                    </w:rPr>
                    <w:t xml:space="preserve">-8.1 </w:t>
                  </w:r>
                </w:p>
              </w:tc>
              <w:tc>
                <w:tcPr>
                  <w:tcW w:w="1040" w:type="dxa"/>
                  <w:tcBorders>
                    <w:top w:val="nil"/>
                    <w:left w:val="nil"/>
                    <w:bottom w:val="single" w:sz="8" w:space="0" w:color="FFFFFF"/>
                    <w:right w:val="single" w:sz="8" w:space="0" w:color="FFFFFF"/>
                  </w:tcBorders>
                  <w:shd w:val="clear" w:color="000000" w:fill="FDE9D9"/>
                  <w:noWrap/>
                  <w:vAlign w:val="center"/>
                  <w:hideMark/>
                </w:tcPr>
                <w:p w14:paraId="2B7CA1EC"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FF0000"/>
                      <w:kern w:val="0"/>
                      <w:szCs w:val="21"/>
                    </w:rPr>
                    <w:t xml:space="preserve">-9.1 </w:t>
                  </w:r>
                </w:p>
              </w:tc>
              <w:tc>
                <w:tcPr>
                  <w:tcW w:w="1040" w:type="dxa"/>
                  <w:tcBorders>
                    <w:top w:val="nil"/>
                    <w:left w:val="nil"/>
                    <w:bottom w:val="single" w:sz="8" w:space="0" w:color="FFFFFF"/>
                    <w:right w:val="single" w:sz="8" w:space="0" w:color="FFFFFF"/>
                  </w:tcBorders>
                  <w:shd w:val="clear" w:color="000000" w:fill="FDE9D9"/>
                  <w:noWrap/>
                  <w:vAlign w:val="center"/>
                  <w:hideMark/>
                </w:tcPr>
                <w:p w14:paraId="675CA73C"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FF0000"/>
                      <w:kern w:val="0"/>
                      <w:szCs w:val="21"/>
                    </w:rPr>
                    <w:t xml:space="preserve">-9.1 </w:t>
                  </w:r>
                </w:p>
              </w:tc>
              <w:tc>
                <w:tcPr>
                  <w:tcW w:w="1040" w:type="dxa"/>
                  <w:tcBorders>
                    <w:top w:val="nil"/>
                    <w:left w:val="nil"/>
                    <w:bottom w:val="single" w:sz="8" w:space="0" w:color="FFFFFF"/>
                    <w:right w:val="single" w:sz="8" w:space="0" w:color="FFFFFF"/>
                  </w:tcBorders>
                  <w:shd w:val="clear" w:color="000000" w:fill="FDE9D9"/>
                  <w:noWrap/>
                  <w:vAlign w:val="center"/>
                  <w:hideMark/>
                </w:tcPr>
                <w:p w14:paraId="68889418"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FF0000"/>
                      <w:kern w:val="0"/>
                      <w:szCs w:val="21"/>
                    </w:rPr>
                    <w:t xml:space="preserve">-8.1 </w:t>
                  </w:r>
                </w:p>
              </w:tc>
            </w:tr>
            <w:tr w:rsidR="00C632A4" w:rsidRPr="00C632A4" w14:paraId="56D6B299" w14:textId="77777777" w:rsidTr="00C632A4">
              <w:trPr>
                <w:trHeight w:val="300"/>
              </w:trPr>
              <w:tc>
                <w:tcPr>
                  <w:tcW w:w="1402" w:type="dxa"/>
                  <w:tcBorders>
                    <w:top w:val="nil"/>
                    <w:left w:val="nil"/>
                    <w:bottom w:val="nil"/>
                    <w:right w:val="nil"/>
                  </w:tcBorders>
                  <w:shd w:val="clear" w:color="000000" w:fill="FCD5B4"/>
                  <w:noWrap/>
                  <w:vAlign w:val="center"/>
                  <w:hideMark/>
                </w:tcPr>
                <w:p w14:paraId="3628D661" w14:textId="77777777" w:rsidR="00C632A4" w:rsidRPr="00C632A4" w:rsidRDefault="00C632A4" w:rsidP="00C632A4">
                  <w:pPr>
                    <w:widowControl/>
                    <w:jc w:val="center"/>
                    <w:rPr>
                      <w:rFonts w:ascii="楷体" w:eastAsia="楷体" w:hAnsi="楷体" w:cs="宋体"/>
                      <w:color w:val="000000"/>
                      <w:kern w:val="0"/>
                      <w:sz w:val="20"/>
                      <w:szCs w:val="20"/>
                    </w:rPr>
                  </w:pPr>
                  <w:proofErr w:type="gramStart"/>
                  <w:r w:rsidRPr="00C632A4">
                    <w:rPr>
                      <w:rFonts w:ascii="楷体" w:eastAsia="楷体" w:hAnsi="楷体" w:cs="宋体" w:hint="eastAsia"/>
                      <w:color w:val="000000"/>
                      <w:kern w:val="0"/>
                      <w:sz w:val="20"/>
                      <w:szCs w:val="20"/>
                    </w:rPr>
                    <w:t>城投债</w:t>
                  </w:r>
                  <w:proofErr w:type="gramEnd"/>
                  <w:r w:rsidRPr="00C632A4">
                    <w:rPr>
                      <w:rFonts w:ascii="楷体" w:eastAsia="楷体" w:hAnsi="楷体" w:cs="宋体" w:hint="eastAsia"/>
                      <w:color w:val="000000"/>
                      <w:kern w:val="0"/>
                      <w:sz w:val="20"/>
                      <w:szCs w:val="20"/>
                    </w:rPr>
                    <w:t>7Y</w:t>
                  </w:r>
                </w:p>
              </w:tc>
              <w:tc>
                <w:tcPr>
                  <w:tcW w:w="1040" w:type="dxa"/>
                  <w:tcBorders>
                    <w:top w:val="nil"/>
                    <w:left w:val="nil"/>
                    <w:bottom w:val="single" w:sz="8" w:space="0" w:color="FFFFFF"/>
                    <w:right w:val="single" w:sz="8" w:space="0" w:color="FFFFFF"/>
                  </w:tcBorders>
                  <w:shd w:val="clear" w:color="000000" w:fill="FCD5B4"/>
                  <w:noWrap/>
                  <w:vAlign w:val="center"/>
                  <w:hideMark/>
                </w:tcPr>
                <w:p w14:paraId="57B52007"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FF0000"/>
                      <w:kern w:val="0"/>
                      <w:szCs w:val="21"/>
                    </w:rPr>
                    <w:t xml:space="preserve">-2.9 </w:t>
                  </w:r>
                </w:p>
              </w:tc>
              <w:tc>
                <w:tcPr>
                  <w:tcW w:w="1040" w:type="dxa"/>
                  <w:tcBorders>
                    <w:top w:val="nil"/>
                    <w:left w:val="nil"/>
                    <w:bottom w:val="single" w:sz="8" w:space="0" w:color="FFFFFF"/>
                    <w:right w:val="single" w:sz="8" w:space="0" w:color="FFFFFF"/>
                  </w:tcBorders>
                  <w:shd w:val="clear" w:color="000000" w:fill="FCD5B4"/>
                  <w:noWrap/>
                  <w:vAlign w:val="center"/>
                  <w:hideMark/>
                </w:tcPr>
                <w:p w14:paraId="5A9A8FBF"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FF0000"/>
                      <w:kern w:val="0"/>
                      <w:szCs w:val="21"/>
                    </w:rPr>
                    <w:t xml:space="preserve">-2.9 </w:t>
                  </w:r>
                </w:p>
              </w:tc>
              <w:tc>
                <w:tcPr>
                  <w:tcW w:w="1040" w:type="dxa"/>
                  <w:tcBorders>
                    <w:top w:val="nil"/>
                    <w:left w:val="nil"/>
                    <w:bottom w:val="single" w:sz="8" w:space="0" w:color="FFFFFF"/>
                    <w:right w:val="single" w:sz="8" w:space="0" w:color="FFFFFF"/>
                  </w:tcBorders>
                  <w:shd w:val="clear" w:color="000000" w:fill="FCD5B4"/>
                  <w:noWrap/>
                  <w:vAlign w:val="center"/>
                  <w:hideMark/>
                </w:tcPr>
                <w:p w14:paraId="76897F1B"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FF0000"/>
                      <w:kern w:val="0"/>
                      <w:szCs w:val="21"/>
                    </w:rPr>
                    <w:t xml:space="preserve">-2.9 </w:t>
                  </w:r>
                </w:p>
              </w:tc>
              <w:tc>
                <w:tcPr>
                  <w:tcW w:w="1040" w:type="dxa"/>
                  <w:tcBorders>
                    <w:top w:val="nil"/>
                    <w:left w:val="nil"/>
                    <w:bottom w:val="single" w:sz="8" w:space="0" w:color="FFFFFF"/>
                    <w:right w:val="single" w:sz="8" w:space="0" w:color="FFFFFF"/>
                  </w:tcBorders>
                  <w:shd w:val="clear" w:color="000000" w:fill="FCD5B4"/>
                  <w:noWrap/>
                  <w:vAlign w:val="center"/>
                  <w:hideMark/>
                </w:tcPr>
                <w:p w14:paraId="13DE1E28"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FF0000"/>
                      <w:kern w:val="0"/>
                      <w:szCs w:val="21"/>
                    </w:rPr>
                    <w:t xml:space="preserve">-3.9 </w:t>
                  </w:r>
                </w:p>
              </w:tc>
              <w:tc>
                <w:tcPr>
                  <w:tcW w:w="1246" w:type="dxa"/>
                  <w:tcBorders>
                    <w:top w:val="nil"/>
                    <w:left w:val="nil"/>
                    <w:bottom w:val="nil"/>
                    <w:right w:val="nil"/>
                  </w:tcBorders>
                  <w:shd w:val="clear" w:color="000000" w:fill="FCD5B4"/>
                  <w:noWrap/>
                  <w:vAlign w:val="center"/>
                  <w:hideMark/>
                </w:tcPr>
                <w:p w14:paraId="4B379502" w14:textId="77777777" w:rsidR="00C632A4" w:rsidRPr="00C632A4" w:rsidRDefault="00C632A4" w:rsidP="00C632A4">
                  <w:pPr>
                    <w:widowControl/>
                    <w:jc w:val="center"/>
                    <w:rPr>
                      <w:rFonts w:ascii="楷体" w:eastAsia="楷体" w:hAnsi="楷体" w:cs="宋体"/>
                      <w:color w:val="000000"/>
                      <w:kern w:val="0"/>
                      <w:sz w:val="20"/>
                      <w:szCs w:val="20"/>
                    </w:rPr>
                  </w:pPr>
                  <w:proofErr w:type="gramStart"/>
                  <w:r w:rsidRPr="00C632A4">
                    <w:rPr>
                      <w:rFonts w:ascii="楷体" w:eastAsia="楷体" w:hAnsi="楷体" w:cs="宋体" w:hint="eastAsia"/>
                      <w:color w:val="000000"/>
                      <w:kern w:val="0"/>
                      <w:sz w:val="20"/>
                      <w:szCs w:val="20"/>
                    </w:rPr>
                    <w:t>城投债</w:t>
                  </w:r>
                  <w:proofErr w:type="gramEnd"/>
                  <w:r w:rsidRPr="00C632A4">
                    <w:rPr>
                      <w:rFonts w:ascii="楷体" w:eastAsia="楷体" w:hAnsi="楷体" w:cs="宋体" w:hint="eastAsia"/>
                      <w:color w:val="000000"/>
                      <w:kern w:val="0"/>
                      <w:sz w:val="20"/>
                      <w:szCs w:val="20"/>
                    </w:rPr>
                    <w:t>7Y</w:t>
                  </w:r>
                </w:p>
              </w:tc>
              <w:tc>
                <w:tcPr>
                  <w:tcW w:w="1040" w:type="dxa"/>
                  <w:tcBorders>
                    <w:top w:val="nil"/>
                    <w:left w:val="nil"/>
                    <w:bottom w:val="single" w:sz="8" w:space="0" w:color="FFFFFF"/>
                    <w:right w:val="single" w:sz="8" w:space="0" w:color="FFFFFF"/>
                  </w:tcBorders>
                  <w:shd w:val="clear" w:color="000000" w:fill="FCD5B4"/>
                  <w:noWrap/>
                  <w:vAlign w:val="center"/>
                  <w:hideMark/>
                </w:tcPr>
                <w:p w14:paraId="2E5C5B93"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FF0000"/>
                      <w:kern w:val="0"/>
                      <w:szCs w:val="21"/>
                    </w:rPr>
                    <w:t xml:space="preserve">-2.4 </w:t>
                  </w:r>
                </w:p>
              </w:tc>
              <w:tc>
                <w:tcPr>
                  <w:tcW w:w="1040" w:type="dxa"/>
                  <w:tcBorders>
                    <w:top w:val="nil"/>
                    <w:left w:val="nil"/>
                    <w:bottom w:val="single" w:sz="8" w:space="0" w:color="FFFFFF"/>
                    <w:right w:val="single" w:sz="8" w:space="0" w:color="FFFFFF"/>
                  </w:tcBorders>
                  <w:shd w:val="clear" w:color="000000" w:fill="FCD5B4"/>
                  <w:noWrap/>
                  <w:vAlign w:val="center"/>
                  <w:hideMark/>
                </w:tcPr>
                <w:p w14:paraId="2831D4D2"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FF0000"/>
                      <w:kern w:val="0"/>
                      <w:szCs w:val="21"/>
                    </w:rPr>
                    <w:t xml:space="preserve">-2.4 </w:t>
                  </w:r>
                </w:p>
              </w:tc>
              <w:tc>
                <w:tcPr>
                  <w:tcW w:w="1040" w:type="dxa"/>
                  <w:tcBorders>
                    <w:top w:val="nil"/>
                    <w:left w:val="nil"/>
                    <w:bottom w:val="single" w:sz="8" w:space="0" w:color="FFFFFF"/>
                    <w:right w:val="single" w:sz="8" w:space="0" w:color="FFFFFF"/>
                  </w:tcBorders>
                  <w:shd w:val="clear" w:color="000000" w:fill="FCD5B4"/>
                  <w:noWrap/>
                  <w:vAlign w:val="center"/>
                  <w:hideMark/>
                </w:tcPr>
                <w:p w14:paraId="1ABE3B88"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FF0000"/>
                      <w:kern w:val="0"/>
                      <w:szCs w:val="21"/>
                    </w:rPr>
                    <w:t xml:space="preserve">-2.4 </w:t>
                  </w:r>
                </w:p>
              </w:tc>
              <w:tc>
                <w:tcPr>
                  <w:tcW w:w="1040" w:type="dxa"/>
                  <w:tcBorders>
                    <w:top w:val="nil"/>
                    <w:left w:val="nil"/>
                    <w:bottom w:val="single" w:sz="8" w:space="0" w:color="FFFFFF"/>
                    <w:right w:val="single" w:sz="8" w:space="0" w:color="FFFFFF"/>
                  </w:tcBorders>
                  <w:shd w:val="clear" w:color="000000" w:fill="FCD5B4"/>
                  <w:noWrap/>
                  <w:vAlign w:val="center"/>
                  <w:hideMark/>
                </w:tcPr>
                <w:p w14:paraId="0EFE8F93"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FF0000"/>
                      <w:kern w:val="0"/>
                      <w:szCs w:val="21"/>
                    </w:rPr>
                    <w:t xml:space="preserve">-3.4 </w:t>
                  </w:r>
                </w:p>
              </w:tc>
            </w:tr>
            <w:tr w:rsidR="00C632A4" w:rsidRPr="00C632A4" w14:paraId="4E801092" w14:textId="77777777" w:rsidTr="00C632A4">
              <w:trPr>
                <w:trHeight w:val="300"/>
              </w:trPr>
              <w:tc>
                <w:tcPr>
                  <w:tcW w:w="1402" w:type="dxa"/>
                  <w:tcBorders>
                    <w:top w:val="nil"/>
                    <w:left w:val="nil"/>
                    <w:bottom w:val="single" w:sz="12" w:space="0" w:color="FFFFFF"/>
                    <w:right w:val="single" w:sz="8" w:space="0" w:color="FFFFFF"/>
                  </w:tcBorders>
                  <w:shd w:val="clear" w:color="000000" w:fill="F79646"/>
                  <w:noWrap/>
                  <w:vAlign w:val="center"/>
                  <w:hideMark/>
                </w:tcPr>
                <w:p w14:paraId="1F404FBA" w14:textId="77777777" w:rsidR="00C632A4" w:rsidRPr="00C632A4" w:rsidRDefault="00C632A4" w:rsidP="00C632A4">
                  <w:pPr>
                    <w:widowControl/>
                    <w:jc w:val="center"/>
                    <w:rPr>
                      <w:rFonts w:ascii="楷体" w:eastAsia="楷体" w:hAnsi="楷体" w:cs="宋体"/>
                      <w:b/>
                      <w:bCs/>
                      <w:color w:val="FFFFFF"/>
                      <w:kern w:val="0"/>
                      <w:sz w:val="20"/>
                      <w:szCs w:val="20"/>
                    </w:rPr>
                  </w:pPr>
                  <w:r w:rsidRPr="00C632A4">
                    <w:rPr>
                      <w:rFonts w:ascii="楷体" w:eastAsia="楷体" w:hAnsi="楷体" w:cs="宋体" w:hint="eastAsia"/>
                      <w:b/>
                      <w:bCs/>
                      <w:color w:val="FFFFFF"/>
                      <w:kern w:val="0"/>
                      <w:sz w:val="20"/>
                      <w:szCs w:val="20"/>
                    </w:rPr>
                    <w:t>收益率分位</w:t>
                  </w:r>
                </w:p>
              </w:tc>
              <w:tc>
                <w:tcPr>
                  <w:tcW w:w="1040" w:type="dxa"/>
                  <w:tcBorders>
                    <w:top w:val="nil"/>
                    <w:left w:val="nil"/>
                    <w:bottom w:val="single" w:sz="12" w:space="0" w:color="FFFFFF"/>
                    <w:right w:val="single" w:sz="8" w:space="0" w:color="FFFFFF"/>
                  </w:tcBorders>
                  <w:shd w:val="clear" w:color="000000" w:fill="F79646"/>
                  <w:noWrap/>
                  <w:vAlign w:val="center"/>
                  <w:hideMark/>
                </w:tcPr>
                <w:p w14:paraId="013F6179" w14:textId="77777777" w:rsidR="00C632A4" w:rsidRPr="00C632A4" w:rsidRDefault="00C632A4" w:rsidP="00C632A4">
                  <w:pPr>
                    <w:widowControl/>
                    <w:jc w:val="center"/>
                    <w:rPr>
                      <w:rFonts w:ascii="楷体" w:eastAsia="楷体" w:hAnsi="楷体" w:cs="宋体"/>
                      <w:b/>
                      <w:bCs/>
                      <w:color w:val="FFFFFF"/>
                      <w:kern w:val="0"/>
                      <w:sz w:val="20"/>
                      <w:szCs w:val="20"/>
                    </w:rPr>
                  </w:pPr>
                  <w:r w:rsidRPr="00C632A4">
                    <w:rPr>
                      <w:rFonts w:ascii="楷体" w:eastAsia="楷体" w:hAnsi="楷体" w:cs="宋体" w:hint="eastAsia"/>
                      <w:b/>
                      <w:bCs/>
                      <w:color w:val="FFFFFF"/>
                      <w:kern w:val="0"/>
                      <w:sz w:val="20"/>
                      <w:szCs w:val="20"/>
                    </w:rPr>
                    <w:t>AAA</w:t>
                  </w:r>
                </w:p>
              </w:tc>
              <w:tc>
                <w:tcPr>
                  <w:tcW w:w="1040" w:type="dxa"/>
                  <w:tcBorders>
                    <w:top w:val="nil"/>
                    <w:left w:val="nil"/>
                    <w:bottom w:val="single" w:sz="12" w:space="0" w:color="FFFFFF"/>
                    <w:right w:val="single" w:sz="8" w:space="0" w:color="FFFFFF"/>
                  </w:tcBorders>
                  <w:shd w:val="clear" w:color="000000" w:fill="F79646"/>
                  <w:noWrap/>
                  <w:vAlign w:val="center"/>
                  <w:hideMark/>
                </w:tcPr>
                <w:p w14:paraId="778B1CB2" w14:textId="77777777" w:rsidR="00C632A4" w:rsidRPr="00C632A4" w:rsidRDefault="00C632A4" w:rsidP="00C632A4">
                  <w:pPr>
                    <w:widowControl/>
                    <w:jc w:val="center"/>
                    <w:rPr>
                      <w:rFonts w:ascii="楷体" w:eastAsia="楷体" w:hAnsi="楷体" w:cs="宋体"/>
                      <w:b/>
                      <w:bCs/>
                      <w:color w:val="FFFFFF"/>
                      <w:kern w:val="0"/>
                      <w:sz w:val="20"/>
                      <w:szCs w:val="20"/>
                    </w:rPr>
                  </w:pPr>
                  <w:r w:rsidRPr="00C632A4">
                    <w:rPr>
                      <w:rFonts w:ascii="楷体" w:eastAsia="楷体" w:hAnsi="楷体" w:cs="宋体" w:hint="eastAsia"/>
                      <w:b/>
                      <w:bCs/>
                      <w:color w:val="FFFFFF"/>
                      <w:kern w:val="0"/>
                      <w:sz w:val="20"/>
                      <w:szCs w:val="20"/>
                    </w:rPr>
                    <w:t>AA+</w:t>
                  </w:r>
                </w:p>
              </w:tc>
              <w:tc>
                <w:tcPr>
                  <w:tcW w:w="1040" w:type="dxa"/>
                  <w:tcBorders>
                    <w:top w:val="nil"/>
                    <w:left w:val="nil"/>
                    <w:bottom w:val="single" w:sz="12" w:space="0" w:color="FFFFFF"/>
                    <w:right w:val="single" w:sz="8" w:space="0" w:color="FFFFFF"/>
                  </w:tcBorders>
                  <w:shd w:val="clear" w:color="000000" w:fill="F79646"/>
                  <w:noWrap/>
                  <w:vAlign w:val="center"/>
                  <w:hideMark/>
                </w:tcPr>
                <w:p w14:paraId="2ED8CC48" w14:textId="77777777" w:rsidR="00C632A4" w:rsidRPr="00C632A4" w:rsidRDefault="00C632A4" w:rsidP="00C632A4">
                  <w:pPr>
                    <w:widowControl/>
                    <w:jc w:val="center"/>
                    <w:rPr>
                      <w:rFonts w:ascii="楷体" w:eastAsia="楷体" w:hAnsi="楷体" w:cs="宋体"/>
                      <w:b/>
                      <w:bCs/>
                      <w:color w:val="FFFFFF"/>
                      <w:kern w:val="0"/>
                      <w:sz w:val="20"/>
                      <w:szCs w:val="20"/>
                    </w:rPr>
                  </w:pPr>
                  <w:r w:rsidRPr="00C632A4">
                    <w:rPr>
                      <w:rFonts w:ascii="楷体" w:eastAsia="楷体" w:hAnsi="楷体" w:cs="宋体" w:hint="eastAsia"/>
                      <w:b/>
                      <w:bCs/>
                      <w:color w:val="FFFFFF"/>
                      <w:kern w:val="0"/>
                      <w:sz w:val="20"/>
                      <w:szCs w:val="20"/>
                    </w:rPr>
                    <w:t>AA</w:t>
                  </w:r>
                </w:p>
              </w:tc>
              <w:tc>
                <w:tcPr>
                  <w:tcW w:w="1040" w:type="dxa"/>
                  <w:tcBorders>
                    <w:top w:val="nil"/>
                    <w:left w:val="nil"/>
                    <w:bottom w:val="single" w:sz="12" w:space="0" w:color="FFFFFF"/>
                    <w:right w:val="single" w:sz="8" w:space="0" w:color="FFFFFF"/>
                  </w:tcBorders>
                  <w:shd w:val="clear" w:color="000000" w:fill="F79646"/>
                  <w:noWrap/>
                  <w:vAlign w:val="center"/>
                  <w:hideMark/>
                </w:tcPr>
                <w:p w14:paraId="4E21AFA9" w14:textId="77777777" w:rsidR="00C632A4" w:rsidRPr="00C632A4" w:rsidRDefault="00C632A4" w:rsidP="00C632A4">
                  <w:pPr>
                    <w:widowControl/>
                    <w:jc w:val="center"/>
                    <w:rPr>
                      <w:rFonts w:ascii="楷体" w:eastAsia="楷体" w:hAnsi="楷体" w:cs="宋体"/>
                      <w:b/>
                      <w:bCs/>
                      <w:color w:val="FFFFFF"/>
                      <w:kern w:val="0"/>
                      <w:sz w:val="20"/>
                      <w:szCs w:val="20"/>
                    </w:rPr>
                  </w:pPr>
                  <w:r w:rsidRPr="00C632A4">
                    <w:rPr>
                      <w:rFonts w:ascii="楷体" w:eastAsia="楷体" w:hAnsi="楷体" w:cs="宋体" w:hint="eastAsia"/>
                      <w:b/>
                      <w:bCs/>
                      <w:color w:val="FFFFFF"/>
                      <w:kern w:val="0"/>
                      <w:sz w:val="20"/>
                      <w:szCs w:val="20"/>
                    </w:rPr>
                    <w:t>AA-</w:t>
                  </w:r>
                </w:p>
              </w:tc>
              <w:tc>
                <w:tcPr>
                  <w:tcW w:w="1246" w:type="dxa"/>
                  <w:tcBorders>
                    <w:top w:val="nil"/>
                    <w:left w:val="nil"/>
                    <w:bottom w:val="single" w:sz="12" w:space="0" w:color="FFFFFF"/>
                    <w:right w:val="single" w:sz="8" w:space="0" w:color="FFFFFF"/>
                  </w:tcBorders>
                  <w:shd w:val="clear" w:color="000000" w:fill="F79646"/>
                  <w:noWrap/>
                  <w:vAlign w:val="center"/>
                  <w:hideMark/>
                </w:tcPr>
                <w:p w14:paraId="7D5CC780" w14:textId="77777777" w:rsidR="00C632A4" w:rsidRPr="00C632A4" w:rsidRDefault="00C632A4" w:rsidP="00C632A4">
                  <w:pPr>
                    <w:widowControl/>
                    <w:jc w:val="center"/>
                    <w:rPr>
                      <w:rFonts w:ascii="楷体" w:eastAsia="楷体" w:hAnsi="楷体" w:cs="宋体"/>
                      <w:b/>
                      <w:bCs/>
                      <w:color w:val="FFFFFF"/>
                      <w:kern w:val="0"/>
                      <w:sz w:val="20"/>
                      <w:szCs w:val="20"/>
                    </w:rPr>
                  </w:pPr>
                  <w:r w:rsidRPr="00C632A4">
                    <w:rPr>
                      <w:rFonts w:ascii="楷体" w:eastAsia="楷体" w:hAnsi="楷体" w:cs="宋体" w:hint="eastAsia"/>
                      <w:b/>
                      <w:bCs/>
                      <w:color w:val="FFFFFF"/>
                      <w:kern w:val="0"/>
                      <w:sz w:val="20"/>
                      <w:szCs w:val="20"/>
                    </w:rPr>
                    <w:t>息差</w:t>
                  </w:r>
                </w:p>
              </w:tc>
              <w:tc>
                <w:tcPr>
                  <w:tcW w:w="1040" w:type="dxa"/>
                  <w:tcBorders>
                    <w:top w:val="nil"/>
                    <w:left w:val="nil"/>
                    <w:bottom w:val="single" w:sz="12" w:space="0" w:color="FFFFFF"/>
                    <w:right w:val="single" w:sz="8" w:space="0" w:color="FFFFFF"/>
                  </w:tcBorders>
                  <w:shd w:val="clear" w:color="000000" w:fill="F79646"/>
                  <w:noWrap/>
                  <w:vAlign w:val="center"/>
                  <w:hideMark/>
                </w:tcPr>
                <w:p w14:paraId="6B5E62EC" w14:textId="77777777" w:rsidR="00C632A4" w:rsidRPr="00C632A4" w:rsidRDefault="00C632A4" w:rsidP="00C632A4">
                  <w:pPr>
                    <w:widowControl/>
                    <w:jc w:val="center"/>
                    <w:rPr>
                      <w:rFonts w:ascii="楷体" w:eastAsia="楷体" w:hAnsi="楷体" w:cs="宋体"/>
                      <w:b/>
                      <w:bCs/>
                      <w:color w:val="FFFFFF"/>
                      <w:kern w:val="0"/>
                      <w:sz w:val="20"/>
                      <w:szCs w:val="20"/>
                    </w:rPr>
                  </w:pPr>
                  <w:r w:rsidRPr="00C632A4">
                    <w:rPr>
                      <w:rFonts w:ascii="楷体" w:eastAsia="楷体" w:hAnsi="楷体" w:cs="宋体" w:hint="eastAsia"/>
                      <w:b/>
                      <w:bCs/>
                      <w:color w:val="FFFFFF"/>
                      <w:kern w:val="0"/>
                      <w:sz w:val="20"/>
                      <w:szCs w:val="20"/>
                    </w:rPr>
                    <w:t>AAA</w:t>
                  </w:r>
                </w:p>
              </w:tc>
              <w:tc>
                <w:tcPr>
                  <w:tcW w:w="1040" w:type="dxa"/>
                  <w:tcBorders>
                    <w:top w:val="nil"/>
                    <w:left w:val="nil"/>
                    <w:bottom w:val="single" w:sz="12" w:space="0" w:color="FFFFFF"/>
                    <w:right w:val="single" w:sz="8" w:space="0" w:color="FFFFFF"/>
                  </w:tcBorders>
                  <w:shd w:val="clear" w:color="000000" w:fill="F79646"/>
                  <w:noWrap/>
                  <w:vAlign w:val="center"/>
                  <w:hideMark/>
                </w:tcPr>
                <w:p w14:paraId="1F05E774" w14:textId="77777777" w:rsidR="00C632A4" w:rsidRPr="00C632A4" w:rsidRDefault="00C632A4" w:rsidP="00C632A4">
                  <w:pPr>
                    <w:widowControl/>
                    <w:jc w:val="center"/>
                    <w:rPr>
                      <w:rFonts w:ascii="楷体" w:eastAsia="楷体" w:hAnsi="楷体" w:cs="宋体"/>
                      <w:b/>
                      <w:bCs/>
                      <w:color w:val="FFFFFF"/>
                      <w:kern w:val="0"/>
                      <w:sz w:val="20"/>
                      <w:szCs w:val="20"/>
                    </w:rPr>
                  </w:pPr>
                  <w:r w:rsidRPr="00C632A4">
                    <w:rPr>
                      <w:rFonts w:ascii="楷体" w:eastAsia="楷体" w:hAnsi="楷体" w:cs="宋体" w:hint="eastAsia"/>
                      <w:b/>
                      <w:bCs/>
                      <w:color w:val="FFFFFF"/>
                      <w:kern w:val="0"/>
                      <w:sz w:val="20"/>
                      <w:szCs w:val="20"/>
                    </w:rPr>
                    <w:t>AA+</w:t>
                  </w:r>
                </w:p>
              </w:tc>
              <w:tc>
                <w:tcPr>
                  <w:tcW w:w="1040" w:type="dxa"/>
                  <w:tcBorders>
                    <w:top w:val="nil"/>
                    <w:left w:val="nil"/>
                    <w:bottom w:val="single" w:sz="12" w:space="0" w:color="FFFFFF"/>
                    <w:right w:val="single" w:sz="8" w:space="0" w:color="FFFFFF"/>
                  </w:tcBorders>
                  <w:shd w:val="clear" w:color="000000" w:fill="F79646"/>
                  <w:noWrap/>
                  <w:vAlign w:val="center"/>
                  <w:hideMark/>
                </w:tcPr>
                <w:p w14:paraId="408D2063" w14:textId="77777777" w:rsidR="00C632A4" w:rsidRPr="00C632A4" w:rsidRDefault="00C632A4" w:rsidP="00C632A4">
                  <w:pPr>
                    <w:widowControl/>
                    <w:jc w:val="center"/>
                    <w:rPr>
                      <w:rFonts w:ascii="楷体" w:eastAsia="楷体" w:hAnsi="楷体" w:cs="宋体"/>
                      <w:b/>
                      <w:bCs/>
                      <w:color w:val="FFFFFF"/>
                      <w:kern w:val="0"/>
                      <w:sz w:val="20"/>
                      <w:szCs w:val="20"/>
                    </w:rPr>
                  </w:pPr>
                  <w:r w:rsidRPr="00C632A4">
                    <w:rPr>
                      <w:rFonts w:ascii="楷体" w:eastAsia="楷体" w:hAnsi="楷体" w:cs="宋体" w:hint="eastAsia"/>
                      <w:b/>
                      <w:bCs/>
                      <w:color w:val="FFFFFF"/>
                      <w:kern w:val="0"/>
                      <w:sz w:val="20"/>
                      <w:szCs w:val="20"/>
                    </w:rPr>
                    <w:t>AA</w:t>
                  </w:r>
                </w:p>
              </w:tc>
              <w:tc>
                <w:tcPr>
                  <w:tcW w:w="1040" w:type="dxa"/>
                  <w:tcBorders>
                    <w:top w:val="nil"/>
                    <w:left w:val="nil"/>
                    <w:bottom w:val="single" w:sz="12" w:space="0" w:color="FFFFFF"/>
                    <w:right w:val="single" w:sz="8" w:space="0" w:color="FFFFFF"/>
                  </w:tcBorders>
                  <w:shd w:val="clear" w:color="000000" w:fill="F79646"/>
                  <w:noWrap/>
                  <w:vAlign w:val="center"/>
                  <w:hideMark/>
                </w:tcPr>
                <w:p w14:paraId="0120483E" w14:textId="77777777" w:rsidR="00C632A4" w:rsidRPr="00C632A4" w:rsidRDefault="00C632A4" w:rsidP="00C632A4">
                  <w:pPr>
                    <w:widowControl/>
                    <w:jc w:val="center"/>
                    <w:rPr>
                      <w:rFonts w:ascii="楷体" w:eastAsia="楷体" w:hAnsi="楷体" w:cs="宋体"/>
                      <w:b/>
                      <w:bCs/>
                      <w:color w:val="FFFFFF"/>
                      <w:kern w:val="0"/>
                      <w:sz w:val="20"/>
                      <w:szCs w:val="20"/>
                    </w:rPr>
                  </w:pPr>
                  <w:r w:rsidRPr="00C632A4">
                    <w:rPr>
                      <w:rFonts w:ascii="楷体" w:eastAsia="楷体" w:hAnsi="楷体" w:cs="宋体" w:hint="eastAsia"/>
                      <w:b/>
                      <w:bCs/>
                      <w:color w:val="FFFFFF"/>
                      <w:kern w:val="0"/>
                      <w:sz w:val="20"/>
                      <w:szCs w:val="20"/>
                    </w:rPr>
                    <w:t>AA-</w:t>
                  </w:r>
                </w:p>
              </w:tc>
            </w:tr>
            <w:tr w:rsidR="00C632A4" w:rsidRPr="00C632A4" w14:paraId="734A0D38" w14:textId="77777777" w:rsidTr="00C632A4">
              <w:trPr>
                <w:trHeight w:val="315"/>
              </w:trPr>
              <w:tc>
                <w:tcPr>
                  <w:tcW w:w="1402" w:type="dxa"/>
                  <w:tcBorders>
                    <w:top w:val="nil"/>
                    <w:left w:val="nil"/>
                    <w:bottom w:val="single" w:sz="8" w:space="0" w:color="FFFFFF"/>
                    <w:right w:val="single" w:sz="8" w:space="0" w:color="FFFFFF"/>
                  </w:tcBorders>
                  <w:shd w:val="clear" w:color="000000" w:fill="FCD5B4"/>
                  <w:noWrap/>
                  <w:vAlign w:val="center"/>
                  <w:hideMark/>
                </w:tcPr>
                <w:p w14:paraId="220884AA" w14:textId="77777777" w:rsidR="00C632A4" w:rsidRPr="00C632A4" w:rsidRDefault="00C632A4" w:rsidP="00C632A4">
                  <w:pPr>
                    <w:widowControl/>
                    <w:jc w:val="center"/>
                    <w:rPr>
                      <w:rFonts w:ascii="楷体" w:eastAsia="楷体" w:hAnsi="楷体" w:cs="宋体"/>
                      <w:color w:val="000000"/>
                      <w:kern w:val="0"/>
                      <w:sz w:val="20"/>
                      <w:szCs w:val="20"/>
                    </w:rPr>
                  </w:pPr>
                  <w:r w:rsidRPr="00C632A4">
                    <w:rPr>
                      <w:rFonts w:ascii="楷体" w:eastAsia="楷体" w:hAnsi="楷体" w:cs="宋体" w:hint="eastAsia"/>
                      <w:color w:val="000000"/>
                      <w:kern w:val="0"/>
                      <w:sz w:val="20"/>
                      <w:szCs w:val="20"/>
                    </w:rPr>
                    <w:t>CP</w:t>
                  </w:r>
                </w:p>
              </w:tc>
              <w:tc>
                <w:tcPr>
                  <w:tcW w:w="1040" w:type="dxa"/>
                  <w:tcBorders>
                    <w:top w:val="nil"/>
                    <w:left w:val="nil"/>
                    <w:bottom w:val="single" w:sz="8" w:space="0" w:color="FFFFFF"/>
                    <w:right w:val="single" w:sz="8" w:space="0" w:color="FFFFFF"/>
                  </w:tcBorders>
                  <w:shd w:val="clear" w:color="000000" w:fill="FCD5B4"/>
                  <w:noWrap/>
                  <w:vAlign w:val="center"/>
                  <w:hideMark/>
                </w:tcPr>
                <w:p w14:paraId="3BD6219C"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40%</w:t>
                  </w:r>
                </w:p>
              </w:tc>
              <w:tc>
                <w:tcPr>
                  <w:tcW w:w="1040" w:type="dxa"/>
                  <w:tcBorders>
                    <w:top w:val="nil"/>
                    <w:left w:val="nil"/>
                    <w:bottom w:val="single" w:sz="8" w:space="0" w:color="FFFFFF"/>
                    <w:right w:val="single" w:sz="8" w:space="0" w:color="FFFFFF"/>
                  </w:tcBorders>
                  <w:shd w:val="clear" w:color="000000" w:fill="FCD5B4"/>
                  <w:noWrap/>
                  <w:vAlign w:val="center"/>
                  <w:hideMark/>
                </w:tcPr>
                <w:p w14:paraId="20D42BD3"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35%</w:t>
                  </w:r>
                </w:p>
              </w:tc>
              <w:tc>
                <w:tcPr>
                  <w:tcW w:w="1040" w:type="dxa"/>
                  <w:tcBorders>
                    <w:top w:val="nil"/>
                    <w:left w:val="nil"/>
                    <w:bottom w:val="single" w:sz="8" w:space="0" w:color="FFFFFF"/>
                    <w:right w:val="single" w:sz="8" w:space="0" w:color="FFFFFF"/>
                  </w:tcBorders>
                  <w:shd w:val="clear" w:color="000000" w:fill="FCD5B4"/>
                  <w:noWrap/>
                  <w:vAlign w:val="center"/>
                  <w:hideMark/>
                </w:tcPr>
                <w:p w14:paraId="06A20271"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31%</w:t>
                  </w:r>
                </w:p>
              </w:tc>
              <w:tc>
                <w:tcPr>
                  <w:tcW w:w="1040" w:type="dxa"/>
                  <w:tcBorders>
                    <w:top w:val="nil"/>
                    <w:left w:val="nil"/>
                    <w:bottom w:val="single" w:sz="8" w:space="0" w:color="FFFFFF"/>
                    <w:right w:val="single" w:sz="8" w:space="0" w:color="FFFFFF"/>
                  </w:tcBorders>
                  <w:shd w:val="clear" w:color="000000" w:fill="FCD5B4"/>
                  <w:noWrap/>
                  <w:vAlign w:val="center"/>
                  <w:hideMark/>
                </w:tcPr>
                <w:p w14:paraId="104452CA"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61%</w:t>
                  </w:r>
                </w:p>
              </w:tc>
              <w:tc>
                <w:tcPr>
                  <w:tcW w:w="1246" w:type="dxa"/>
                  <w:tcBorders>
                    <w:top w:val="nil"/>
                    <w:left w:val="nil"/>
                    <w:bottom w:val="single" w:sz="8" w:space="0" w:color="FFFFFF"/>
                    <w:right w:val="single" w:sz="8" w:space="0" w:color="FFFFFF"/>
                  </w:tcBorders>
                  <w:shd w:val="clear" w:color="000000" w:fill="FCD5B4"/>
                  <w:noWrap/>
                  <w:vAlign w:val="center"/>
                  <w:hideMark/>
                </w:tcPr>
                <w:p w14:paraId="2828C987" w14:textId="77777777" w:rsidR="00C632A4" w:rsidRPr="00C632A4" w:rsidRDefault="00C632A4" w:rsidP="00C632A4">
                  <w:pPr>
                    <w:widowControl/>
                    <w:jc w:val="center"/>
                    <w:rPr>
                      <w:rFonts w:ascii="楷体" w:eastAsia="楷体" w:hAnsi="楷体" w:cs="宋体"/>
                      <w:color w:val="000000"/>
                      <w:kern w:val="0"/>
                      <w:sz w:val="20"/>
                      <w:szCs w:val="20"/>
                    </w:rPr>
                  </w:pPr>
                  <w:r w:rsidRPr="00C632A4">
                    <w:rPr>
                      <w:rFonts w:ascii="楷体" w:eastAsia="楷体" w:hAnsi="楷体" w:cs="宋体" w:hint="eastAsia"/>
                      <w:color w:val="000000"/>
                      <w:kern w:val="0"/>
                      <w:sz w:val="20"/>
                      <w:szCs w:val="20"/>
                    </w:rPr>
                    <w:t>CP</w:t>
                  </w:r>
                </w:p>
              </w:tc>
              <w:tc>
                <w:tcPr>
                  <w:tcW w:w="1040" w:type="dxa"/>
                  <w:tcBorders>
                    <w:top w:val="nil"/>
                    <w:left w:val="nil"/>
                    <w:bottom w:val="single" w:sz="8" w:space="0" w:color="FFFFFF"/>
                    <w:right w:val="single" w:sz="8" w:space="0" w:color="FFFFFF"/>
                  </w:tcBorders>
                  <w:shd w:val="clear" w:color="000000" w:fill="FCD5B4"/>
                  <w:noWrap/>
                  <w:vAlign w:val="center"/>
                  <w:hideMark/>
                </w:tcPr>
                <w:p w14:paraId="3FC81816"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1%</w:t>
                  </w:r>
                </w:p>
              </w:tc>
              <w:tc>
                <w:tcPr>
                  <w:tcW w:w="1040" w:type="dxa"/>
                  <w:tcBorders>
                    <w:top w:val="nil"/>
                    <w:left w:val="nil"/>
                    <w:bottom w:val="single" w:sz="8" w:space="0" w:color="FFFFFF"/>
                    <w:right w:val="single" w:sz="8" w:space="0" w:color="FFFFFF"/>
                  </w:tcBorders>
                  <w:shd w:val="clear" w:color="000000" w:fill="FCD5B4"/>
                  <w:noWrap/>
                  <w:vAlign w:val="center"/>
                  <w:hideMark/>
                </w:tcPr>
                <w:p w14:paraId="7A50C7E0"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0%</w:t>
                  </w:r>
                </w:p>
              </w:tc>
              <w:tc>
                <w:tcPr>
                  <w:tcW w:w="1040" w:type="dxa"/>
                  <w:tcBorders>
                    <w:top w:val="nil"/>
                    <w:left w:val="nil"/>
                    <w:bottom w:val="single" w:sz="8" w:space="0" w:color="FFFFFF"/>
                    <w:right w:val="single" w:sz="8" w:space="0" w:color="FFFFFF"/>
                  </w:tcBorders>
                  <w:shd w:val="clear" w:color="000000" w:fill="FCD5B4"/>
                  <w:noWrap/>
                  <w:vAlign w:val="center"/>
                  <w:hideMark/>
                </w:tcPr>
                <w:p w14:paraId="0810CBF2"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0%</w:t>
                  </w:r>
                </w:p>
              </w:tc>
              <w:tc>
                <w:tcPr>
                  <w:tcW w:w="1040" w:type="dxa"/>
                  <w:tcBorders>
                    <w:top w:val="nil"/>
                    <w:left w:val="nil"/>
                    <w:bottom w:val="single" w:sz="8" w:space="0" w:color="FFFFFF"/>
                    <w:right w:val="single" w:sz="8" w:space="0" w:color="FFFFFF"/>
                  </w:tcBorders>
                  <w:shd w:val="clear" w:color="000000" w:fill="FCD5B4"/>
                  <w:noWrap/>
                  <w:vAlign w:val="center"/>
                  <w:hideMark/>
                </w:tcPr>
                <w:p w14:paraId="076CC83A"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48%</w:t>
                  </w:r>
                </w:p>
              </w:tc>
            </w:tr>
            <w:tr w:rsidR="00C632A4" w:rsidRPr="00C632A4" w14:paraId="521FD2FE" w14:textId="77777777" w:rsidTr="00C632A4">
              <w:trPr>
                <w:trHeight w:val="300"/>
              </w:trPr>
              <w:tc>
                <w:tcPr>
                  <w:tcW w:w="1402" w:type="dxa"/>
                  <w:tcBorders>
                    <w:top w:val="nil"/>
                    <w:left w:val="nil"/>
                    <w:bottom w:val="single" w:sz="8" w:space="0" w:color="FFFFFF"/>
                    <w:right w:val="single" w:sz="8" w:space="0" w:color="FFFFFF"/>
                  </w:tcBorders>
                  <w:shd w:val="clear" w:color="000000" w:fill="FDE9D9"/>
                  <w:noWrap/>
                  <w:vAlign w:val="center"/>
                  <w:hideMark/>
                </w:tcPr>
                <w:p w14:paraId="7AEA075D" w14:textId="77777777" w:rsidR="00C632A4" w:rsidRPr="00C632A4" w:rsidRDefault="00C632A4" w:rsidP="00C632A4">
                  <w:pPr>
                    <w:widowControl/>
                    <w:jc w:val="center"/>
                    <w:rPr>
                      <w:rFonts w:ascii="楷体" w:eastAsia="楷体" w:hAnsi="楷体" w:cs="宋体"/>
                      <w:color w:val="000000"/>
                      <w:kern w:val="0"/>
                      <w:sz w:val="20"/>
                      <w:szCs w:val="20"/>
                    </w:rPr>
                  </w:pPr>
                  <w:r w:rsidRPr="00C632A4">
                    <w:rPr>
                      <w:rFonts w:ascii="楷体" w:eastAsia="楷体" w:hAnsi="楷体" w:cs="宋体" w:hint="eastAsia"/>
                      <w:color w:val="000000"/>
                      <w:kern w:val="0"/>
                      <w:sz w:val="20"/>
                      <w:szCs w:val="20"/>
                    </w:rPr>
                    <w:t>MTN3Y</w:t>
                  </w:r>
                </w:p>
              </w:tc>
              <w:tc>
                <w:tcPr>
                  <w:tcW w:w="1040" w:type="dxa"/>
                  <w:tcBorders>
                    <w:top w:val="nil"/>
                    <w:left w:val="nil"/>
                    <w:bottom w:val="single" w:sz="8" w:space="0" w:color="FFFFFF"/>
                    <w:right w:val="single" w:sz="8" w:space="0" w:color="FFFFFF"/>
                  </w:tcBorders>
                  <w:shd w:val="clear" w:color="000000" w:fill="FDE9D9"/>
                  <w:noWrap/>
                  <w:vAlign w:val="center"/>
                  <w:hideMark/>
                </w:tcPr>
                <w:p w14:paraId="7F297BE2"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30%</w:t>
                  </w:r>
                </w:p>
              </w:tc>
              <w:tc>
                <w:tcPr>
                  <w:tcW w:w="1040" w:type="dxa"/>
                  <w:tcBorders>
                    <w:top w:val="nil"/>
                    <w:left w:val="nil"/>
                    <w:bottom w:val="single" w:sz="8" w:space="0" w:color="FFFFFF"/>
                    <w:right w:val="single" w:sz="8" w:space="0" w:color="FFFFFF"/>
                  </w:tcBorders>
                  <w:shd w:val="clear" w:color="000000" w:fill="FDE9D9"/>
                  <w:noWrap/>
                  <w:vAlign w:val="center"/>
                  <w:hideMark/>
                </w:tcPr>
                <w:p w14:paraId="75828C1A"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25%</w:t>
                  </w:r>
                </w:p>
              </w:tc>
              <w:tc>
                <w:tcPr>
                  <w:tcW w:w="1040" w:type="dxa"/>
                  <w:tcBorders>
                    <w:top w:val="nil"/>
                    <w:left w:val="nil"/>
                    <w:bottom w:val="single" w:sz="8" w:space="0" w:color="FFFFFF"/>
                    <w:right w:val="single" w:sz="8" w:space="0" w:color="FFFFFF"/>
                  </w:tcBorders>
                  <w:shd w:val="clear" w:color="000000" w:fill="FDE9D9"/>
                  <w:noWrap/>
                  <w:vAlign w:val="center"/>
                  <w:hideMark/>
                </w:tcPr>
                <w:p w14:paraId="2C45BD27"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18%</w:t>
                  </w:r>
                </w:p>
              </w:tc>
              <w:tc>
                <w:tcPr>
                  <w:tcW w:w="1040" w:type="dxa"/>
                  <w:tcBorders>
                    <w:top w:val="nil"/>
                    <w:left w:val="nil"/>
                    <w:bottom w:val="single" w:sz="8" w:space="0" w:color="FFFFFF"/>
                    <w:right w:val="single" w:sz="8" w:space="0" w:color="FFFFFF"/>
                  </w:tcBorders>
                  <w:shd w:val="clear" w:color="000000" w:fill="FDE9D9"/>
                  <w:noWrap/>
                  <w:vAlign w:val="center"/>
                  <w:hideMark/>
                </w:tcPr>
                <w:p w14:paraId="0A7656D1"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50%</w:t>
                  </w:r>
                </w:p>
              </w:tc>
              <w:tc>
                <w:tcPr>
                  <w:tcW w:w="1246" w:type="dxa"/>
                  <w:tcBorders>
                    <w:top w:val="nil"/>
                    <w:left w:val="nil"/>
                    <w:bottom w:val="single" w:sz="8" w:space="0" w:color="FFFFFF"/>
                    <w:right w:val="single" w:sz="8" w:space="0" w:color="FFFFFF"/>
                  </w:tcBorders>
                  <w:shd w:val="clear" w:color="000000" w:fill="FDE9D9"/>
                  <w:noWrap/>
                  <w:vAlign w:val="center"/>
                  <w:hideMark/>
                </w:tcPr>
                <w:p w14:paraId="78ED34A3" w14:textId="77777777" w:rsidR="00C632A4" w:rsidRPr="00C632A4" w:rsidRDefault="00C632A4" w:rsidP="00C632A4">
                  <w:pPr>
                    <w:widowControl/>
                    <w:jc w:val="center"/>
                    <w:rPr>
                      <w:rFonts w:ascii="楷体" w:eastAsia="楷体" w:hAnsi="楷体" w:cs="宋体"/>
                      <w:color w:val="000000"/>
                      <w:kern w:val="0"/>
                      <w:sz w:val="20"/>
                      <w:szCs w:val="20"/>
                    </w:rPr>
                  </w:pPr>
                  <w:r w:rsidRPr="00C632A4">
                    <w:rPr>
                      <w:rFonts w:ascii="楷体" w:eastAsia="楷体" w:hAnsi="楷体" w:cs="宋体" w:hint="eastAsia"/>
                      <w:color w:val="000000"/>
                      <w:kern w:val="0"/>
                      <w:sz w:val="20"/>
                      <w:szCs w:val="20"/>
                    </w:rPr>
                    <w:t>MTN3Y</w:t>
                  </w:r>
                </w:p>
              </w:tc>
              <w:tc>
                <w:tcPr>
                  <w:tcW w:w="1040" w:type="dxa"/>
                  <w:tcBorders>
                    <w:top w:val="nil"/>
                    <w:left w:val="nil"/>
                    <w:bottom w:val="single" w:sz="8" w:space="0" w:color="FFFFFF"/>
                    <w:right w:val="single" w:sz="8" w:space="0" w:color="FFFFFF"/>
                  </w:tcBorders>
                  <w:shd w:val="clear" w:color="000000" w:fill="FDE9D9"/>
                  <w:noWrap/>
                  <w:vAlign w:val="center"/>
                  <w:hideMark/>
                </w:tcPr>
                <w:p w14:paraId="3F095191"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9%</w:t>
                  </w:r>
                </w:p>
              </w:tc>
              <w:tc>
                <w:tcPr>
                  <w:tcW w:w="1040" w:type="dxa"/>
                  <w:tcBorders>
                    <w:top w:val="nil"/>
                    <w:left w:val="nil"/>
                    <w:bottom w:val="single" w:sz="8" w:space="0" w:color="FFFFFF"/>
                    <w:right w:val="single" w:sz="8" w:space="0" w:color="FFFFFF"/>
                  </w:tcBorders>
                  <w:shd w:val="clear" w:color="000000" w:fill="FDE9D9"/>
                  <w:noWrap/>
                  <w:vAlign w:val="center"/>
                  <w:hideMark/>
                </w:tcPr>
                <w:p w14:paraId="638B075B"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5%</w:t>
                  </w:r>
                </w:p>
              </w:tc>
              <w:tc>
                <w:tcPr>
                  <w:tcW w:w="1040" w:type="dxa"/>
                  <w:tcBorders>
                    <w:top w:val="nil"/>
                    <w:left w:val="nil"/>
                    <w:bottom w:val="single" w:sz="8" w:space="0" w:color="FFFFFF"/>
                    <w:right w:val="single" w:sz="8" w:space="0" w:color="FFFFFF"/>
                  </w:tcBorders>
                  <w:shd w:val="clear" w:color="000000" w:fill="FDE9D9"/>
                  <w:noWrap/>
                  <w:vAlign w:val="center"/>
                  <w:hideMark/>
                </w:tcPr>
                <w:p w14:paraId="67A62C89"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3%</w:t>
                  </w:r>
                </w:p>
              </w:tc>
              <w:tc>
                <w:tcPr>
                  <w:tcW w:w="1040" w:type="dxa"/>
                  <w:tcBorders>
                    <w:top w:val="nil"/>
                    <w:left w:val="nil"/>
                    <w:bottom w:val="single" w:sz="8" w:space="0" w:color="FFFFFF"/>
                    <w:right w:val="single" w:sz="8" w:space="0" w:color="FFFFFF"/>
                  </w:tcBorders>
                  <w:shd w:val="clear" w:color="000000" w:fill="FDE9D9"/>
                  <w:noWrap/>
                  <w:vAlign w:val="center"/>
                  <w:hideMark/>
                </w:tcPr>
                <w:p w14:paraId="6D0774FC"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40%</w:t>
                  </w:r>
                </w:p>
              </w:tc>
            </w:tr>
            <w:tr w:rsidR="00C632A4" w:rsidRPr="00C632A4" w14:paraId="33F7073B" w14:textId="77777777" w:rsidTr="00C632A4">
              <w:trPr>
                <w:trHeight w:val="300"/>
              </w:trPr>
              <w:tc>
                <w:tcPr>
                  <w:tcW w:w="1402" w:type="dxa"/>
                  <w:tcBorders>
                    <w:top w:val="nil"/>
                    <w:left w:val="nil"/>
                    <w:bottom w:val="single" w:sz="8" w:space="0" w:color="FFFFFF"/>
                    <w:right w:val="single" w:sz="8" w:space="0" w:color="FFFFFF"/>
                  </w:tcBorders>
                  <w:shd w:val="clear" w:color="000000" w:fill="FCD5B4"/>
                  <w:noWrap/>
                  <w:vAlign w:val="center"/>
                  <w:hideMark/>
                </w:tcPr>
                <w:p w14:paraId="29EE4666" w14:textId="77777777" w:rsidR="00C632A4" w:rsidRPr="00C632A4" w:rsidRDefault="00C632A4" w:rsidP="00C632A4">
                  <w:pPr>
                    <w:widowControl/>
                    <w:jc w:val="center"/>
                    <w:rPr>
                      <w:rFonts w:ascii="楷体" w:eastAsia="楷体" w:hAnsi="楷体" w:cs="宋体"/>
                      <w:color w:val="000000"/>
                      <w:kern w:val="0"/>
                      <w:sz w:val="20"/>
                      <w:szCs w:val="20"/>
                    </w:rPr>
                  </w:pPr>
                  <w:r w:rsidRPr="00C632A4">
                    <w:rPr>
                      <w:rFonts w:ascii="楷体" w:eastAsia="楷体" w:hAnsi="楷体" w:cs="宋体" w:hint="eastAsia"/>
                      <w:color w:val="000000"/>
                      <w:kern w:val="0"/>
                      <w:sz w:val="20"/>
                      <w:szCs w:val="20"/>
                    </w:rPr>
                    <w:t>MTN5Y</w:t>
                  </w:r>
                </w:p>
              </w:tc>
              <w:tc>
                <w:tcPr>
                  <w:tcW w:w="1040" w:type="dxa"/>
                  <w:tcBorders>
                    <w:top w:val="nil"/>
                    <w:left w:val="nil"/>
                    <w:bottom w:val="single" w:sz="8" w:space="0" w:color="FFFFFF"/>
                    <w:right w:val="single" w:sz="8" w:space="0" w:color="FFFFFF"/>
                  </w:tcBorders>
                  <w:shd w:val="clear" w:color="000000" w:fill="FCD5B4"/>
                  <w:noWrap/>
                  <w:vAlign w:val="center"/>
                  <w:hideMark/>
                </w:tcPr>
                <w:p w14:paraId="350F6EA7"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27%</w:t>
                  </w:r>
                </w:p>
              </w:tc>
              <w:tc>
                <w:tcPr>
                  <w:tcW w:w="1040" w:type="dxa"/>
                  <w:tcBorders>
                    <w:top w:val="nil"/>
                    <w:left w:val="nil"/>
                    <w:bottom w:val="single" w:sz="8" w:space="0" w:color="FFFFFF"/>
                    <w:right w:val="single" w:sz="8" w:space="0" w:color="FFFFFF"/>
                  </w:tcBorders>
                  <w:shd w:val="clear" w:color="000000" w:fill="FCD5B4"/>
                  <w:noWrap/>
                  <w:vAlign w:val="center"/>
                  <w:hideMark/>
                </w:tcPr>
                <w:p w14:paraId="2C14CDF7"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21%</w:t>
                  </w:r>
                </w:p>
              </w:tc>
              <w:tc>
                <w:tcPr>
                  <w:tcW w:w="1040" w:type="dxa"/>
                  <w:tcBorders>
                    <w:top w:val="nil"/>
                    <w:left w:val="nil"/>
                    <w:bottom w:val="single" w:sz="8" w:space="0" w:color="FFFFFF"/>
                    <w:right w:val="single" w:sz="8" w:space="0" w:color="FFFFFF"/>
                  </w:tcBorders>
                  <w:shd w:val="clear" w:color="000000" w:fill="FCD5B4"/>
                  <w:noWrap/>
                  <w:vAlign w:val="center"/>
                  <w:hideMark/>
                </w:tcPr>
                <w:p w14:paraId="352E59A4"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16%</w:t>
                  </w:r>
                </w:p>
              </w:tc>
              <w:tc>
                <w:tcPr>
                  <w:tcW w:w="1040" w:type="dxa"/>
                  <w:tcBorders>
                    <w:top w:val="nil"/>
                    <w:left w:val="nil"/>
                    <w:bottom w:val="single" w:sz="8" w:space="0" w:color="FFFFFF"/>
                    <w:right w:val="single" w:sz="8" w:space="0" w:color="FFFFFF"/>
                  </w:tcBorders>
                  <w:shd w:val="clear" w:color="000000" w:fill="FCD5B4"/>
                  <w:noWrap/>
                  <w:vAlign w:val="center"/>
                  <w:hideMark/>
                </w:tcPr>
                <w:p w14:paraId="4E31CB68"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55%</w:t>
                  </w:r>
                </w:p>
              </w:tc>
              <w:tc>
                <w:tcPr>
                  <w:tcW w:w="1246" w:type="dxa"/>
                  <w:tcBorders>
                    <w:top w:val="nil"/>
                    <w:left w:val="nil"/>
                    <w:bottom w:val="single" w:sz="8" w:space="0" w:color="FFFFFF"/>
                    <w:right w:val="single" w:sz="8" w:space="0" w:color="FFFFFF"/>
                  </w:tcBorders>
                  <w:shd w:val="clear" w:color="000000" w:fill="FCD5B4"/>
                  <w:noWrap/>
                  <w:vAlign w:val="center"/>
                  <w:hideMark/>
                </w:tcPr>
                <w:p w14:paraId="67554506" w14:textId="77777777" w:rsidR="00C632A4" w:rsidRPr="00C632A4" w:rsidRDefault="00C632A4" w:rsidP="00C632A4">
                  <w:pPr>
                    <w:widowControl/>
                    <w:jc w:val="center"/>
                    <w:rPr>
                      <w:rFonts w:ascii="楷体" w:eastAsia="楷体" w:hAnsi="楷体" w:cs="宋体"/>
                      <w:color w:val="000000"/>
                      <w:kern w:val="0"/>
                      <w:sz w:val="20"/>
                      <w:szCs w:val="20"/>
                    </w:rPr>
                  </w:pPr>
                  <w:r w:rsidRPr="00C632A4">
                    <w:rPr>
                      <w:rFonts w:ascii="楷体" w:eastAsia="楷体" w:hAnsi="楷体" w:cs="宋体" w:hint="eastAsia"/>
                      <w:color w:val="000000"/>
                      <w:kern w:val="0"/>
                      <w:sz w:val="20"/>
                      <w:szCs w:val="20"/>
                    </w:rPr>
                    <w:t>MTN5Y</w:t>
                  </w:r>
                </w:p>
              </w:tc>
              <w:tc>
                <w:tcPr>
                  <w:tcW w:w="1040" w:type="dxa"/>
                  <w:tcBorders>
                    <w:top w:val="nil"/>
                    <w:left w:val="nil"/>
                    <w:bottom w:val="single" w:sz="8" w:space="0" w:color="FFFFFF"/>
                    <w:right w:val="single" w:sz="8" w:space="0" w:color="FFFFFF"/>
                  </w:tcBorders>
                  <w:shd w:val="clear" w:color="000000" w:fill="FCD5B4"/>
                  <w:noWrap/>
                  <w:vAlign w:val="center"/>
                  <w:hideMark/>
                </w:tcPr>
                <w:p w14:paraId="4D45D4C4"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17%</w:t>
                  </w:r>
                </w:p>
              </w:tc>
              <w:tc>
                <w:tcPr>
                  <w:tcW w:w="1040" w:type="dxa"/>
                  <w:tcBorders>
                    <w:top w:val="nil"/>
                    <w:left w:val="nil"/>
                    <w:bottom w:val="single" w:sz="8" w:space="0" w:color="FFFFFF"/>
                    <w:right w:val="single" w:sz="8" w:space="0" w:color="FFFFFF"/>
                  </w:tcBorders>
                  <w:shd w:val="clear" w:color="000000" w:fill="FCD5B4"/>
                  <w:noWrap/>
                  <w:vAlign w:val="center"/>
                  <w:hideMark/>
                </w:tcPr>
                <w:p w14:paraId="0B003807"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11%</w:t>
                  </w:r>
                </w:p>
              </w:tc>
              <w:tc>
                <w:tcPr>
                  <w:tcW w:w="1040" w:type="dxa"/>
                  <w:tcBorders>
                    <w:top w:val="nil"/>
                    <w:left w:val="nil"/>
                    <w:bottom w:val="single" w:sz="8" w:space="0" w:color="FFFFFF"/>
                    <w:right w:val="single" w:sz="8" w:space="0" w:color="FFFFFF"/>
                  </w:tcBorders>
                  <w:shd w:val="clear" w:color="000000" w:fill="FCD5B4"/>
                  <w:noWrap/>
                  <w:vAlign w:val="center"/>
                  <w:hideMark/>
                </w:tcPr>
                <w:p w14:paraId="22720956"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5%</w:t>
                  </w:r>
                </w:p>
              </w:tc>
              <w:tc>
                <w:tcPr>
                  <w:tcW w:w="1040" w:type="dxa"/>
                  <w:tcBorders>
                    <w:top w:val="nil"/>
                    <w:left w:val="nil"/>
                    <w:bottom w:val="single" w:sz="8" w:space="0" w:color="FFFFFF"/>
                    <w:right w:val="single" w:sz="8" w:space="0" w:color="FFFFFF"/>
                  </w:tcBorders>
                  <w:shd w:val="clear" w:color="000000" w:fill="FCD5B4"/>
                  <w:noWrap/>
                  <w:vAlign w:val="center"/>
                  <w:hideMark/>
                </w:tcPr>
                <w:p w14:paraId="0BDCE2D7"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60%</w:t>
                  </w:r>
                </w:p>
              </w:tc>
            </w:tr>
            <w:tr w:rsidR="00C632A4" w:rsidRPr="00C632A4" w14:paraId="102A47C2" w14:textId="77777777" w:rsidTr="00C632A4">
              <w:trPr>
                <w:trHeight w:val="300"/>
              </w:trPr>
              <w:tc>
                <w:tcPr>
                  <w:tcW w:w="1402" w:type="dxa"/>
                  <w:tcBorders>
                    <w:top w:val="nil"/>
                    <w:left w:val="nil"/>
                    <w:bottom w:val="single" w:sz="8" w:space="0" w:color="FFFFFF"/>
                    <w:right w:val="single" w:sz="8" w:space="0" w:color="FFFFFF"/>
                  </w:tcBorders>
                  <w:shd w:val="clear" w:color="000000" w:fill="FDE9D9"/>
                  <w:noWrap/>
                  <w:vAlign w:val="center"/>
                  <w:hideMark/>
                </w:tcPr>
                <w:p w14:paraId="26DD33F5" w14:textId="77777777" w:rsidR="00C632A4" w:rsidRPr="00C632A4" w:rsidRDefault="00C632A4" w:rsidP="00C632A4">
                  <w:pPr>
                    <w:widowControl/>
                    <w:jc w:val="center"/>
                    <w:rPr>
                      <w:rFonts w:ascii="楷体" w:eastAsia="楷体" w:hAnsi="楷体" w:cs="宋体"/>
                      <w:color w:val="000000"/>
                      <w:kern w:val="0"/>
                      <w:sz w:val="20"/>
                      <w:szCs w:val="20"/>
                    </w:rPr>
                  </w:pPr>
                  <w:r w:rsidRPr="00C632A4">
                    <w:rPr>
                      <w:rFonts w:ascii="楷体" w:eastAsia="楷体" w:hAnsi="楷体" w:cs="宋体" w:hint="eastAsia"/>
                      <w:color w:val="000000"/>
                      <w:kern w:val="0"/>
                      <w:sz w:val="20"/>
                      <w:szCs w:val="20"/>
                    </w:rPr>
                    <w:t>企业债3Y</w:t>
                  </w:r>
                </w:p>
              </w:tc>
              <w:tc>
                <w:tcPr>
                  <w:tcW w:w="1040" w:type="dxa"/>
                  <w:tcBorders>
                    <w:top w:val="nil"/>
                    <w:left w:val="nil"/>
                    <w:bottom w:val="single" w:sz="8" w:space="0" w:color="FFFFFF"/>
                    <w:right w:val="single" w:sz="8" w:space="0" w:color="FFFFFF"/>
                  </w:tcBorders>
                  <w:shd w:val="clear" w:color="000000" w:fill="FDE9D9"/>
                  <w:noWrap/>
                  <w:vAlign w:val="center"/>
                  <w:hideMark/>
                </w:tcPr>
                <w:p w14:paraId="0F1F0976"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31%</w:t>
                  </w:r>
                </w:p>
              </w:tc>
              <w:tc>
                <w:tcPr>
                  <w:tcW w:w="1040" w:type="dxa"/>
                  <w:tcBorders>
                    <w:top w:val="nil"/>
                    <w:left w:val="nil"/>
                    <w:bottom w:val="single" w:sz="8" w:space="0" w:color="FFFFFF"/>
                    <w:right w:val="single" w:sz="8" w:space="0" w:color="FFFFFF"/>
                  </w:tcBorders>
                  <w:shd w:val="clear" w:color="000000" w:fill="FDE9D9"/>
                  <w:noWrap/>
                  <w:vAlign w:val="center"/>
                  <w:hideMark/>
                </w:tcPr>
                <w:p w14:paraId="34BAA3F9"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24%</w:t>
                  </w:r>
                </w:p>
              </w:tc>
              <w:tc>
                <w:tcPr>
                  <w:tcW w:w="1040" w:type="dxa"/>
                  <w:tcBorders>
                    <w:top w:val="nil"/>
                    <w:left w:val="nil"/>
                    <w:bottom w:val="single" w:sz="8" w:space="0" w:color="FFFFFF"/>
                    <w:right w:val="single" w:sz="8" w:space="0" w:color="FFFFFF"/>
                  </w:tcBorders>
                  <w:shd w:val="clear" w:color="000000" w:fill="FDE9D9"/>
                  <w:noWrap/>
                  <w:vAlign w:val="center"/>
                  <w:hideMark/>
                </w:tcPr>
                <w:p w14:paraId="77315275"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17%</w:t>
                  </w:r>
                </w:p>
              </w:tc>
              <w:tc>
                <w:tcPr>
                  <w:tcW w:w="1040" w:type="dxa"/>
                  <w:tcBorders>
                    <w:top w:val="nil"/>
                    <w:left w:val="nil"/>
                    <w:bottom w:val="single" w:sz="8" w:space="0" w:color="FFFFFF"/>
                    <w:right w:val="single" w:sz="8" w:space="0" w:color="FFFFFF"/>
                  </w:tcBorders>
                  <w:shd w:val="clear" w:color="000000" w:fill="FDE9D9"/>
                  <w:noWrap/>
                  <w:vAlign w:val="center"/>
                  <w:hideMark/>
                </w:tcPr>
                <w:p w14:paraId="3A354BE3"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46%</w:t>
                  </w:r>
                </w:p>
              </w:tc>
              <w:tc>
                <w:tcPr>
                  <w:tcW w:w="1246" w:type="dxa"/>
                  <w:tcBorders>
                    <w:top w:val="nil"/>
                    <w:left w:val="nil"/>
                    <w:bottom w:val="single" w:sz="8" w:space="0" w:color="FFFFFF"/>
                    <w:right w:val="single" w:sz="8" w:space="0" w:color="FFFFFF"/>
                  </w:tcBorders>
                  <w:shd w:val="clear" w:color="000000" w:fill="FDE9D9"/>
                  <w:noWrap/>
                  <w:vAlign w:val="center"/>
                  <w:hideMark/>
                </w:tcPr>
                <w:p w14:paraId="29AD2732" w14:textId="77777777" w:rsidR="00C632A4" w:rsidRPr="00C632A4" w:rsidRDefault="00C632A4" w:rsidP="00C632A4">
                  <w:pPr>
                    <w:widowControl/>
                    <w:jc w:val="center"/>
                    <w:rPr>
                      <w:rFonts w:ascii="楷体" w:eastAsia="楷体" w:hAnsi="楷体" w:cs="宋体"/>
                      <w:color w:val="000000"/>
                      <w:kern w:val="0"/>
                      <w:sz w:val="20"/>
                      <w:szCs w:val="20"/>
                    </w:rPr>
                  </w:pPr>
                  <w:r w:rsidRPr="00C632A4">
                    <w:rPr>
                      <w:rFonts w:ascii="楷体" w:eastAsia="楷体" w:hAnsi="楷体" w:cs="宋体" w:hint="eastAsia"/>
                      <w:color w:val="000000"/>
                      <w:kern w:val="0"/>
                      <w:sz w:val="20"/>
                      <w:szCs w:val="20"/>
                    </w:rPr>
                    <w:t>企业债3Y</w:t>
                  </w:r>
                </w:p>
              </w:tc>
              <w:tc>
                <w:tcPr>
                  <w:tcW w:w="1040" w:type="dxa"/>
                  <w:tcBorders>
                    <w:top w:val="nil"/>
                    <w:left w:val="nil"/>
                    <w:bottom w:val="single" w:sz="8" w:space="0" w:color="FFFFFF"/>
                    <w:right w:val="single" w:sz="8" w:space="0" w:color="FFFFFF"/>
                  </w:tcBorders>
                  <w:shd w:val="clear" w:color="000000" w:fill="FDE9D9"/>
                  <w:noWrap/>
                  <w:vAlign w:val="center"/>
                  <w:hideMark/>
                </w:tcPr>
                <w:p w14:paraId="72C579EF"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10%</w:t>
                  </w:r>
                </w:p>
              </w:tc>
              <w:tc>
                <w:tcPr>
                  <w:tcW w:w="1040" w:type="dxa"/>
                  <w:tcBorders>
                    <w:top w:val="nil"/>
                    <w:left w:val="nil"/>
                    <w:bottom w:val="single" w:sz="8" w:space="0" w:color="FFFFFF"/>
                    <w:right w:val="single" w:sz="8" w:space="0" w:color="FFFFFF"/>
                  </w:tcBorders>
                  <w:shd w:val="clear" w:color="000000" w:fill="FDE9D9"/>
                  <w:noWrap/>
                  <w:vAlign w:val="center"/>
                  <w:hideMark/>
                </w:tcPr>
                <w:p w14:paraId="1CE3BEB0"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4%</w:t>
                  </w:r>
                </w:p>
              </w:tc>
              <w:tc>
                <w:tcPr>
                  <w:tcW w:w="1040" w:type="dxa"/>
                  <w:tcBorders>
                    <w:top w:val="nil"/>
                    <w:left w:val="nil"/>
                    <w:bottom w:val="single" w:sz="8" w:space="0" w:color="FFFFFF"/>
                    <w:right w:val="single" w:sz="8" w:space="0" w:color="FFFFFF"/>
                  </w:tcBorders>
                  <w:shd w:val="clear" w:color="000000" w:fill="FDE9D9"/>
                  <w:noWrap/>
                  <w:vAlign w:val="center"/>
                  <w:hideMark/>
                </w:tcPr>
                <w:p w14:paraId="681718F6"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2%</w:t>
                  </w:r>
                </w:p>
              </w:tc>
              <w:tc>
                <w:tcPr>
                  <w:tcW w:w="1040" w:type="dxa"/>
                  <w:tcBorders>
                    <w:top w:val="nil"/>
                    <w:left w:val="nil"/>
                    <w:bottom w:val="single" w:sz="8" w:space="0" w:color="FFFFFF"/>
                    <w:right w:val="single" w:sz="8" w:space="0" w:color="FFFFFF"/>
                  </w:tcBorders>
                  <w:shd w:val="clear" w:color="000000" w:fill="FDE9D9"/>
                  <w:noWrap/>
                  <w:vAlign w:val="center"/>
                  <w:hideMark/>
                </w:tcPr>
                <w:p w14:paraId="592589F4"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38%</w:t>
                  </w:r>
                </w:p>
              </w:tc>
            </w:tr>
            <w:tr w:rsidR="00C632A4" w:rsidRPr="00C632A4" w14:paraId="6C013391" w14:textId="77777777" w:rsidTr="00C632A4">
              <w:trPr>
                <w:trHeight w:val="300"/>
              </w:trPr>
              <w:tc>
                <w:tcPr>
                  <w:tcW w:w="1402" w:type="dxa"/>
                  <w:tcBorders>
                    <w:top w:val="nil"/>
                    <w:left w:val="nil"/>
                    <w:bottom w:val="single" w:sz="8" w:space="0" w:color="FFFFFF"/>
                    <w:right w:val="single" w:sz="8" w:space="0" w:color="FFFFFF"/>
                  </w:tcBorders>
                  <w:shd w:val="clear" w:color="000000" w:fill="FCD5B4"/>
                  <w:noWrap/>
                  <w:vAlign w:val="center"/>
                  <w:hideMark/>
                </w:tcPr>
                <w:p w14:paraId="410FA974" w14:textId="77777777" w:rsidR="00C632A4" w:rsidRPr="00C632A4" w:rsidRDefault="00C632A4" w:rsidP="00C632A4">
                  <w:pPr>
                    <w:widowControl/>
                    <w:jc w:val="center"/>
                    <w:rPr>
                      <w:rFonts w:ascii="楷体" w:eastAsia="楷体" w:hAnsi="楷体" w:cs="宋体"/>
                      <w:color w:val="000000"/>
                      <w:kern w:val="0"/>
                      <w:sz w:val="20"/>
                      <w:szCs w:val="20"/>
                    </w:rPr>
                  </w:pPr>
                  <w:r w:rsidRPr="00C632A4">
                    <w:rPr>
                      <w:rFonts w:ascii="楷体" w:eastAsia="楷体" w:hAnsi="楷体" w:cs="宋体" w:hint="eastAsia"/>
                      <w:color w:val="000000"/>
                      <w:kern w:val="0"/>
                      <w:sz w:val="20"/>
                      <w:szCs w:val="20"/>
                    </w:rPr>
                    <w:t>企业债5Y</w:t>
                  </w:r>
                </w:p>
              </w:tc>
              <w:tc>
                <w:tcPr>
                  <w:tcW w:w="1040" w:type="dxa"/>
                  <w:tcBorders>
                    <w:top w:val="nil"/>
                    <w:left w:val="nil"/>
                    <w:bottom w:val="single" w:sz="8" w:space="0" w:color="FFFFFF"/>
                    <w:right w:val="single" w:sz="8" w:space="0" w:color="FFFFFF"/>
                  </w:tcBorders>
                  <w:shd w:val="clear" w:color="000000" w:fill="FCD5B4"/>
                  <w:noWrap/>
                  <w:vAlign w:val="center"/>
                  <w:hideMark/>
                </w:tcPr>
                <w:p w14:paraId="10E4A807"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27%</w:t>
                  </w:r>
                </w:p>
              </w:tc>
              <w:tc>
                <w:tcPr>
                  <w:tcW w:w="1040" w:type="dxa"/>
                  <w:tcBorders>
                    <w:top w:val="nil"/>
                    <w:left w:val="nil"/>
                    <w:bottom w:val="single" w:sz="8" w:space="0" w:color="FFFFFF"/>
                    <w:right w:val="single" w:sz="8" w:space="0" w:color="FFFFFF"/>
                  </w:tcBorders>
                  <w:shd w:val="clear" w:color="000000" w:fill="FCD5B4"/>
                  <w:noWrap/>
                  <w:vAlign w:val="center"/>
                  <w:hideMark/>
                </w:tcPr>
                <w:p w14:paraId="2F0EC2B3"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21%</w:t>
                  </w:r>
                </w:p>
              </w:tc>
              <w:tc>
                <w:tcPr>
                  <w:tcW w:w="1040" w:type="dxa"/>
                  <w:tcBorders>
                    <w:top w:val="nil"/>
                    <w:left w:val="nil"/>
                    <w:bottom w:val="single" w:sz="8" w:space="0" w:color="FFFFFF"/>
                    <w:right w:val="single" w:sz="8" w:space="0" w:color="FFFFFF"/>
                  </w:tcBorders>
                  <w:shd w:val="clear" w:color="000000" w:fill="FCD5B4"/>
                  <w:noWrap/>
                  <w:vAlign w:val="center"/>
                  <w:hideMark/>
                </w:tcPr>
                <w:p w14:paraId="645022AB"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16%</w:t>
                  </w:r>
                </w:p>
              </w:tc>
              <w:tc>
                <w:tcPr>
                  <w:tcW w:w="1040" w:type="dxa"/>
                  <w:tcBorders>
                    <w:top w:val="nil"/>
                    <w:left w:val="nil"/>
                    <w:bottom w:val="single" w:sz="8" w:space="0" w:color="FFFFFF"/>
                    <w:right w:val="single" w:sz="8" w:space="0" w:color="FFFFFF"/>
                  </w:tcBorders>
                  <w:shd w:val="clear" w:color="000000" w:fill="FCD5B4"/>
                  <w:noWrap/>
                  <w:vAlign w:val="center"/>
                  <w:hideMark/>
                </w:tcPr>
                <w:p w14:paraId="714EEB8F"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51%</w:t>
                  </w:r>
                </w:p>
              </w:tc>
              <w:tc>
                <w:tcPr>
                  <w:tcW w:w="1246" w:type="dxa"/>
                  <w:tcBorders>
                    <w:top w:val="nil"/>
                    <w:left w:val="nil"/>
                    <w:bottom w:val="single" w:sz="8" w:space="0" w:color="FFFFFF"/>
                    <w:right w:val="single" w:sz="8" w:space="0" w:color="FFFFFF"/>
                  </w:tcBorders>
                  <w:shd w:val="clear" w:color="000000" w:fill="FCD5B4"/>
                  <w:noWrap/>
                  <w:vAlign w:val="center"/>
                  <w:hideMark/>
                </w:tcPr>
                <w:p w14:paraId="7BAFCD4C" w14:textId="77777777" w:rsidR="00C632A4" w:rsidRPr="00C632A4" w:rsidRDefault="00C632A4" w:rsidP="00C632A4">
                  <w:pPr>
                    <w:widowControl/>
                    <w:jc w:val="center"/>
                    <w:rPr>
                      <w:rFonts w:ascii="楷体" w:eastAsia="楷体" w:hAnsi="楷体" w:cs="宋体"/>
                      <w:color w:val="000000"/>
                      <w:kern w:val="0"/>
                      <w:sz w:val="20"/>
                      <w:szCs w:val="20"/>
                    </w:rPr>
                  </w:pPr>
                  <w:r w:rsidRPr="00C632A4">
                    <w:rPr>
                      <w:rFonts w:ascii="楷体" w:eastAsia="楷体" w:hAnsi="楷体" w:cs="宋体" w:hint="eastAsia"/>
                      <w:color w:val="000000"/>
                      <w:kern w:val="0"/>
                      <w:sz w:val="20"/>
                      <w:szCs w:val="20"/>
                    </w:rPr>
                    <w:t>企业债5Y</w:t>
                  </w:r>
                </w:p>
              </w:tc>
              <w:tc>
                <w:tcPr>
                  <w:tcW w:w="1040" w:type="dxa"/>
                  <w:tcBorders>
                    <w:top w:val="nil"/>
                    <w:left w:val="nil"/>
                    <w:bottom w:val="single" w:sz="8" w:space="0" w:color="FFFFFF"/>
                    <w:right w:val="single" w:sz="8" w:space="0" w:color="FFFFFF"/>
                  </w:tcBorders>
                  <w:shd w:val="clear" w:color="000000" w:fill="FCD5B4"/>
                  <w:noWrap/>
                  <w:vAlign w:val="center"/>
                  <w:hideMark/>
                </w:tcPr>
                <w:p w14:paraId="2263E2A9"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18%</w:t>
                  </w:r>
                </w:p>
              </w:tc>
              <w:tc>
                <w:tcPr>
                  <w:tcW w:w="1040" w:type="dxa"/>
                  <w:tcBorders>
                    <w:top w:val="nil"/>
                    <w:left w:val="nil"/>
                    <w:bottom w:val="single" w:sz="8" w:space="0" w:color="FFFFFF"/>
                    <w:right w:val="single" w:sz="8" w:space="0" w:color="FFFFFF"/>
                  </w:tcBorders>
                  <w:shd w:val="clear" w:color="000000" w:fill="FCD5B4"/>
                  <w:noWrap/>
                  <w:vAlign w:val="center"/>
                  <w:hideMark/>
                </w:tcPr>
                <w:p w14:paraId="6CFB1F38"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10%</w:t>
                  </w:r>
                </w:p>
              </w:tc>
              <w:tc>
                <w:tcPr>
                  <w:tcW w:w="1040" w:type="dxa"/>
                  <w:tcBorders>
                    <w:top w:val="nil"/>
                    <w:left w:val="nil"/>
                    <w:bottom w:val="single" w:sz="8" w:space="0" w:color="FFFFFF"/>
                    <w:right w:val="single" w:sz="8" w:space="0" w:color="FFFFFF"/>
                  </w:tcBorders>
                  <w:shd w:val="clear" w:color="000000" w:fill="FCD5B4"/>
                  <w:noWrap/>
                  <w:vAlign w:val="center"/>
                  <w:hideMark/>
                </w:tcPr>
                <w:p w14:paraId="78E99F87"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4%</w:t>
                  </w:r>
                </w:p>
              </w:tc>
              <w:tc>
                <w:tcPr>
                  <w:tcW w:w="1040" w:type="dxa"/>
                  <w:tcBorders>
                    <w:top w:val="nil"/>
                    <w:left w:val="nil"/>
                    <w:bottom w:val="single" w:sz="8" w:space="0" w:color="FFFFFF"/>
                    <w:right w:val="single" w:sz="8" w:space="0" w:color="FFFFFF"/>
                  </w:tcBorders>
                  <w:shd w:val="clear" w:color="000000" w:fill="FCD5B4"/>
                  <w:noWrap/>
                  <w:vAlign w:val="center"/>
                  <w:hideMark/>
                </w:tcPr>
                <w:p w14:paraId="3599E55F"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58%</w:t>
                  </w:r>
                </w:p>
              </w:tc>
            </w:tr>
            <w:tr w:rsidR="00C632A4" w:rsidRPr="00C632A4" w14:paraId="0CB33AA0" w14:textId="77777777" w:rsidTr="00C632A4">
              <w:trPr>
                <w:trHeight w:val="300"/>
              </w:trPr>
              <w:tc>
                <w:tcPr>
                  <w:tcW w:w="1402" w:type="dxa"/>
                  <w:tcBorders>
                    <w:top w:val="nil"/>
                    <w:left w:val="nil"/>
                    <w:bottom w:val="single" w:sz="8" w:space="0" w:color="FFFFFF"/>
                    <w:right w:val="single" w:sz="8" w:space="0" w:color="FFFFFF"/>
                  </w:tcBorders>
                  <w:shd w:val="clear" w:color="000000" w:fill="FDE9D9"/>
                  <w:noWrap/>
                  <w:vAlign w:val="center"/>
                  <w:hideMark/>
                </w:tcPr>
                <w:p w14:paraId="05243B83" w14:textId="77777777" w:rsidR="00C632A4" w:rsidRPr="00C632A4" w:rsidRDefault="00C632A4" w:rsidP="00C632A4">
                  <w:pPr>
                    <w:widowControl/>
                    <w:jc w:val="center"/>
                    <w:rPr>
                      <w:rFonts w:ascii="楷体" w:eastAsia="楷体" w:hAnsi="楷体" w:cs="宋体"/>
                      <w:color w:val="000000"/>
                      <w:kern w:val="0"/>
                      <w:sz w:val="20"/>
                      <w:szCs w:val="20"/>
                    </w:rPr>
                  </w:pPr>
                  <w:r w:rsidRPr="00C632A4">
                    <w:rPr>
                      <w:rFonts w:ascii="楷体" w:eastAsia="楷体" w:hAnsi="楷体" w:cs="宋体" w:hint="eastAsia"/>
                      <w:color w:val="000000"/>
                      <w:kern w:val="0"/>
                      <w:sz w:val="20"/>
                      <w:szCs w:val="20"/>
                    </w:rPr>
                    <w:t>企业债7Y</w:t>
                  </w:r>
                </w:p>
              </w:tc>
              <w:tc>
                <w:tcPr>
                  <w:tcW w:w="1040" w:type="dxa"/>
                  <w:tcBorders>
                    <w:top w:val="nil"/>
                    <w:left w:val="nil"/>
                    <w:bottom w:val="single" w:sz="8" w:space="0" w:color="FFFFFF"/>
                    <w:right w:val="single" w:sz="8" w:space="0" w:color="FFFFFF"/>
                  </w:tcBorders>
                  <w:shd w:val="clear" w:color="000000" w:fill="FDE9D9"/>
                  <w:noWrap/>
                  <w:vAlign w:val="center"/>
                  <w:hideMark/>
                </w:tcPr>
                <w:p w14:paraId="5A0BD18D"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25%</w:t>
                  </w:r>
                </w:p>
              </w:tc>
              <w:tc>
                <w:tcPr>
                  <w:tcW w:w="1040" w:type="dxa"/>
                  <w:tcBorders>
                    <w:top w:val="nil"/>
                    <w:left w:val="nil"/>
                    <w:bottom w:val="single" w:sz="8" w:space="0" w:color="FFFFFF"/>
                    <w:right w:val="single" w:sz="8" w:space="0" w:color="FFFFFF"/>
                  </w:tcBorders>
                  <w:shd w:val="clear" w:color="000000" w:fill="FDE9D9"/>
                  <w:noWrap/>
                  <w:vAlign w:val="center"/>
                  <w:hideMark/>
                </w:tcPr>
                <w:p w14:paraId="1272FA92"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17%</w:t>
                  </w:r>
                </w:p>
              </w:tc>
              <w:tc>
                <w:tcPr>
                  <w:tcW w:w="1040" w:type="dxa"/>
                  <w:tcBorders>
                    <w:top w:val="nil"/>
                    <w:left w:val="nil"/>
                    <w:bottom w:val="single" w:sz="8" w:space="0" w:color="FFFFFF"/>
                    <w:right w:val="single" w:sz="8" w:space="0" w:color="FFFFFF"/>
                  </w:tcBorders>
                  <w:shd w:val="clear" w:color="000000" w:fill="FDE9D9"/>
                  <w:noWrap/>
                  <w:vAlign w:val="center"/>
                  <w:hideMark/>
                </w:tcPr>
                <w:p w14:paraId="60037F8A"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13%</w:t>
                  </w:r>
                </w:p>
              </w:tc>
              <w:tc>
                <w:tcPr>
                  <w:tcW w:w="1040" w:type="dxa"/>
                  <w:tcBorders>
                    <w:top w:val="nil"/>
                    <w:left w:val="nil"/>
                    <w:bottom w:val="single" w:sz="8" w:space="0" w:color="FFFFFF"/>
                    <w:right w:val="single" w:sz="8" w:space="0" w:color="FFFFFF"/>
                  </w:tcBorders>
                  <w:shd w:val="clear" w:color="000000" w:fill="FDE9D9"/>
                  <w:noWrap/>
                  <w:vAlign w:val="center"/>
                  <w:hideMark/>
                </w:tcPr>
                <w:p w14:paraId="0140BC6F"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47%</w:t>
                  </w:r>
                </w:p>
              </w:tc>
              <w:tc>
                <w:tcPr>
                  <w:tcW w:w="1246" w:type="dxa"/>
                  <w:tcBorders>
                    <w:top w:val="nil"/>
                    <w:left w:val="nil"/>
                    <w:bottom w:val="single" w:sz="8" w:space="0" w:color="FFFFFF"/>
                    <w:right w:val="single" w:sz="8" w:space="0" w:color="FFFFFF"/>
                  </w:tcBorders>
                  <w:shd w:val="clear" w:color="000000" w:fill="FDE9D9"/>
                  <w:noWrap/>
                  <w:vAlign w:val="center"/>
                  <w:hideMark/>
                </w:tcPr>
                <w:p w14:paraId="2B89A5FF" w14:textId="77777777" w:rsidR="00C632A4" w:rsidRPr="00C632A4" w:rsidRDefault="00C632A4" w:rsidP="00C632A4">
                  <w:pPr>
                    <w:widowControl/>
                    <w:jc w:val="center"/>
                    <w:rPr>
                      <w:rFonts w:ascii="楷体" w:eastAsia="楷体" w:hAnsi="楷体" w:cs="宋体"/>
                      <w:color w:val="000000"/>
                      <w:kern w:val="0"/>
                      <w:sz w:val="20"/>
                      <w:szCs w:val="20"/>
                    </w:rPr>
                  </w:pPr>
                  <w:r w:rsidRPr="00C632A4">
                    <w:rPr>
                      <w:rFonts w:ascii="楷体" w:eastAsia="楷体" w:hAnsi="楷体" w:cs="宋体" w:hint="eastAsia"/>
                      <w:color w:val="000000"/>
                      <w:kern w:val="0"/>
                      <w:sz w:val="20"/>
                      <w:szCs w:val="20"/>
                    </w:rPr>
                    <w:t>企业债7Y</w:t>
                  </w:r>
                </w:p>
              </w:tc>
              <w:tc>
                <w:tcPr>
                  <w:tcW w:w="1040" w:type="dxa"/>
                  <w:tcBorders>
                    <w:top w:val="nil"/>
                    <w:left w:val="nil"/>
                    <w:bottom w:val="single" w:sz="8" w:space="0" w:color="FFFFFF"/>
                    <w:right w:val="single" w:sz="8" w:space="0" w:color="FFFFFF"/>
                  </w:tcBorders>
                  <w:shd w:val="clear" w:color="000000" w:fill="FDE9D9"/>
                  <w:noWrap/>
                  <w:vAlign w:val="center"/>
                  <w:hideMark/>
                </w:tcPr>
                <w:p w14:paraId="5AB1FFE7"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15%</w:t>
                  </w:r>
                </w:p>
              </w:tc>
              <w:tc>
                <w:tcPr>
                  <w:tcW w:w="1040" w:type="dxa"/>
                  <w:tcBorders>
                    <w:top w:val="nil"/>
                    <w:left w:val="nil"/>
                    <w:bottom w:val="single" w:sz="8" w:space="0" w:color="FFFFFF"/>
                    <w:right w:val="single" w:sz="8" w:space="0" w:color="FFFFFF"/>
                  </w:tcBorders>
                  <w:shd w:val="clear" w:color="000000" w:fill="FDE9D9"/>
                  <w:noWrap/>
                  <w:vAlign w:val="center"/>
                  <w:hideMark/>
                </w:tcPr>
                <w:p w14:paraId="79B32535"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4%</w:t>
                  </w:r>
                </w:p>
              </w:tc>
              <w:tc>
                <w:tcPr>
                  <w:tcW w:w="1040" w:type="dxa"/>
                  <w:tcBorders>
                    <w:top w:val="nil"/>
                    <w:left w:val="nil"/>
                    <w:bottom w:val="single" w:sz="8" w:space="0" w:color="FFFFFF"/>
                    <w:right w:val="single" w:sz="8" w:space="0" w:color="FFFFFF"/>
                  </w:tcBorders>
                  <w:shd w:val="clear" w:color="000000" w:fill="FDE9D9"/>
                  <w:noWrap/>
                  <w:vAlign w:val="center"/>
                  <w:hideMark/>
                </w:tcPr>
                <w:p w14:paraId="68A75425"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3%</w:t>
                  </w:r>
                </w:p>
              </w:tc>
              <w:tc>
                <w:tcPr>
                  <w:tcW w:w="1040" w:type="dxa"/>
                  <w:tcBorders>
                    <w:top w:val="nil"/>
                    <w:left w:val="nil"/>
                    <w:bottom w:val="single" w:sz="8" w:space="0" w:color="FFFFFF"/>
                    <w:right w:val="single" w:sz="8" w:space="0" w:color="FFFFFF"/>
                  </w:tcBorders>
                  <w:shd w:val="clear" w:color="000000" w:fill="FDE9D9"/>
                  <w:noWrap/>
                  <w:vAlign w:val="center"/>
                  <w:hideMark/>
                </w:tcPr>
                <w:p w14:paraId="7653ECE0"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50%</w:t>
                  </w:r>
                </w:p>
              </w:tc>
            </w:tr>
            <w:tr w:rsidR="00C632A4" w:rsidRPr="00C632A4" w14:paraId="2E25FFB5" w14:textId="77777777" w:rsidTr="00C632A4">
              <w:trPr>
                <w:trHeight w:val="300"/>
              </w:trPr>
              <w:tc>
                <w:tcPr>
                  <w:tcW w:w="1402" w:type="dxa"/>
                  <w:tcBorders>
                    <w:top w:val="nil"/>
                    <w:left w:val="nil"/>
                    <w:bottom w:val="single" w:sz="8" w:space="0" w:color="FFFFFF"/>
                    <w:right w:val="single" w:sz="8" w:space="0" w:color="FFFFFF"/>
                  </w:tcBorders>
                  <w:shd w:val="clear" w:color="000000" w:fill="FCD5B4"/>
                  <w:noWrap/>
                  <w:vAlign w:val="center"/>
                  <w:hideMark/>
                </w:tcPr>
                <w:p w14:paraId="52DCB94E" w14:textId="77777777" w:rsidR="00C632A4" w:rsidRPr="00C632A4" w:rsidRDefault="00C632A4" w:rsidP="00C632A4">
                  <w:pPr>
                    <w:widowControl/>
                    <w:jc w:val="center"/>
                    <w:rPr>
                      <w:rFonts w:ascii="楷体" w:eastAsia="楷体" w:hAnsi="楷体" w:cs="宋体"/>
                      <w:color w:val="000000"/>
                      <w:kern w:val="0"/>
                      <w:sz w:val="20"/>
                      <w:szCs w:val="20"/>
                    </w:rPr>
                  </w:pPr>
                  <w:proofErr w:type="gramStart"/>
                  <w:r w:rsidRPr="00C632A4">
                    <w:rPr>
                      <w:rFonts w:ascii="楷体" w:eastAsia="楷体" w:hAnsi="楷体" w:cs="宋体" w:hint="eastAsia"/>
                      <w:color w:val="000000"/>
                      <w:kern w:val="0"/>
                      <w:sz w:val="20"/>
                      <w:szCs w:val="20"/>
                    </w:rPr>
                    <w:t>城投债</w:t>
                  </w:r>
                  <w:proofErr w:type="gramEnd"/>
                  <w:r w:rsidRPr="00C632A4">
                    <w:rPr>
                      <w:rFonts w:ascii="楷体" w:eastAsia="楷体" w:hAnsi="楷体" w:cs="宋体" w:hint="eastAsia"/>
                      <w:color w:val="000000"/>
                      <w:kern w:val="0"/>
                      <w:sz w:val="20"/>
                      <w:szCs w:val="20"/>
                    </w:rPr>
                    <w:t>3Y</w:t>
                  </w:r>
                </w:p>
              </w:tc>
              <w:tc>
                <w:tcPr>
                  <w:tcW w:w="1040" w:type="dxa"/>
                  <w:tcBorders>
                    <w:top w:val="nil"/>
                    <w:left w:val="nil"/>
                    <w:bottom w:val="single" w:sz="8" w:space="0" w:color="FFFFFF"/>
                    <w:right w:val="single" w:sz="8" w:space="0" w:color="FFFFFF"/>
                  </w:tcBorders>
                  <w:shd w:val="clear" w:color="000000" w:fill="FCD5B4"/>
                  <w:noWrap/>
                  <w:vAlign w:val="center"/>
                  <w:hideMark/>
                </w:tcPr>
                <w:p w14:paraId="78BDD37A"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25%</w:t>
                  </w:r>
                </w:p>
              </w:tc>
              <w:tc>
                <w:tcPr>
                  <w:tcW w:w="1040" w:type="dxa"/>
                  <w:tcBorders>
                    <w:top w:val="nil"/>
                    <w:left w:val="nil"/>
                    <w:bottom w:val="single" w:sz="8" w:space="0" w:color="FFFFFF"/>
                    <w:right w:val="single" w:sz="8" w:space="0" w:color="FFFFFF"/>
                  </w:tcBorders>
                  <w:shd w:val="clear" w:color="000000" w:fill="FCD5B4"/>
                  <w:noWrap/>
                  <w:vAlign w:val="center"/>
                  <w:hideMark/>
                </w:tcPr>
                <w:p w14:paraId="2566EFF9"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21%</w:t>
                  </w:r>
                </w:p>
              </w:tc>
              <w:tc>
                <w:tcPr>
                  <w:tcW w:w="1040" w:type="dxa"/>
                  <w:tcBorders>
                    <w:top w:val="nil"/>
                    <w:left w:val="nil"/>
                    <w:bottom w:val="single" w:sz="8" w:space="0" w:color="FFFFFF"/>
                    <w:right w:val="single" w:sz="8" w:space="0" w:color="FFFFFF"/>
                  </w:tcBorders>
                  <w:shd w:val="clear" w:color="000000" w:fill="FCD5B4"/>
                  <w:noWrap/>
                  <w:vAlign w:val="center"/>
                  <w:hideMark/>
                </w:tcPr>
                <w:p w14:paraId="7910F8A6"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16%</w:t>
                  </w:r>
                </w:p>
              </w:tc>
              <w:tc>
                <w:tcPr>
                  <w:tcW w:w="1040" w:type="dxa"/>
                  <w:tcBorders>
                    <w:top w:val="nil"/>
                    <w:left w:val="nil"/>
                    <w:bottom w:val="single" w:sz="8" w:space="0" w:color="FFFFFF"/>
                    <w:right w:val="single" w:sz="8" w:space="0" w:color="FFFFFF"/>
                  </w:tcBorders>
                  <w:shd w:val="clear" w:color="000000" w:fill="FCD5B4"/>
                  <w:noWrap/>
                  <w:vAlign w:val="center"/>
                  <w:hideMark/>
                </w:tcPr>
                <w:p w14:paraId="1B1FE64D"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35%</w:t>
                  </w:r>
                </w:p>
              </w:tc>
              <w:tc>
                <w:tcPr>
                  <w:tcW w:w="1246" w:type="dxa"/>
                  <w:tcBorders>
                    <w:top w:val="nil"/>
                    <w:left w:val="nil"/>
                    <w:bottom w:val="single" w:sz="8" w:space="0" w:color="FFFFFF"/>
                    <w:right w:val="single" w:sz="8" w:space="0" w:color="FFFFFF"/>
                  </w:tcBorders>
                  <w:shd w:val="clear" w:color="000000" w:fill="FCD5B4"/>
                  <w:noWrap/>
                  <w:vAlign w:val="center"/>
                  <w:hideMark/>
                </w:tcPr>
                <w:p w14:paraId="31D2E453" w14:textId="77777777" w:rsidR="00C632A4" w:rsidRPr="00C632A4" w:rsidRDefault="00C632A4" w:rsidP="00C632A4">
                  <w:pPr>
                    <w:widowControl/>
                    <w:jc w:val="center"/>
                    <w:rPr>
                      <w:rFonts w:ascii="楷体" w:eastAsia="楷体" w:hAnsi="楷体" w:cs="宋体"/>
                      <w:color w:val="000000"/>
                      <w:kern w:val="0"/>
                      <w:sz w:val="20"/>
                      <w:szCs w:val="20"/>
                    </w:rPr>
                  </w:pPr>
                  <w:proofErr w:type="gramStart"/>
                  <w:r w:rsidRPr="00C632A4">
                    <w:rPr>
                      <w:rFonts w:ascii="楷体" w:eastAsia="楷体" w:hAnsi="楷体" w:cs="宋体" w:hint="eastAsia"/>
                      <w:color w:val="000000"/>
                      <w:kern w:val="0"/>
                      <w:sz w:val="20"/>
                      <w:szCs w:val="20"/>
                    </w:rPr>
                    <w:t>城投债</w:t>
                  </w:r>
                  <w:proofErr w:type="gramEnd"/>
                  <w:r w:rsidRPr="00C632A4">
                    <w:rPr>
                      <w:rFonts w:ascii="楷体" w:eastAsia="楷体" w:hAnsi="楷体" w:cs="宋体" w:hint="eastAsia"/>
                      <w:color w:val="000000"/>
                      <w:kern w:val="0"/>
                      <w:sz w:val="20"/>
                      <w:szCs w:val="20"/>
                    </w:rPr>
                    <w:t>3Y</w:t>
                  </w:r>
                </w:p>
              </w:tc>
              <w:tc>
                <w:tcPr>
                  <w:tcW w:w="1040" w:type="dxa"/>
                  <w:tcBorders>
                    <w:top w:val="nil"/>
                    <w:left w:val="nil"/>
                    <w:bottom w:val="single" w:sz="8" w:space="0" w:color="FFFFFF"/>
                    <w:right w:val="single" w:sz="8" w:space="0" w:color="FFFFFF"/>
                  </w:tcBorders>
                  <w:shd w:val="clear" w:color="000000" w:fill="FCD5B4"/>
                  <w:noWrap/>
                  <w:vAlign w:val="center"/>
                  <w:hideMark/>
                </w:tcPr>
                <w:p w14:paraId="028E2184"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7%</w:t>
                  </w:r>
                </w:p>
              </w:tc>
              <w:tc>
                <w:tcPr>
                  <w:tcW w:w="1040" w:type="dxa"/>
                  <w:tcBorders>
                    <w:top w:val="nil"/>
                    <w:left w:val="nil"/>
                    <w:bottom w:val="single" w:sz="8" w:space="0" w:color="FFFFFF"/>
                    <w:right w:val="single" w:sz="8" w:space="0" w:color="FFFFFF"/>
                  </w:tcBorders>
                  <w:shd w:val="clear" w:color="000000" w:fill="FCD5B4"/>
                  <w:noWrap/>
                  <w:vAlign w:val="center"/>
                  <w:hideMark/>
                </w:tcPr>
                <w:p w14:paraId="21A884DE"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8%</w:t>
                  </w:r>
                </w:p>
              </w:tc>
              <w:tc>
                <w:tcPr>
                  <w:tcW w:w="1040" w:type="dxa"/>
                  <w:tcBorders>
                    <w:top w:val="nil"/>
                    <w:left w:val="nil"/>
                    <w:bottom w:val="single" w:sz="8" w:space="0" w:color="FFFFFF"/>
                    <w:right w:val="single" w:sz="8" w:space="0" w:color="FFFFFF"/>
                  </w:tcBorders>
                  <w:shd w:val="clear" w:color="000000" w:fill="FCD5B4"/>
                  <w:noWrap/>
                  <w:vAlign w:val="center"/>
                  <w:hideMark/>
                </w:tcPr>
                <w:p w14:paraId="58FE102A"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5%</w:t>
                  </w:r>
                </w:p>
              </w:tc>
              <w:tc>
                <w:tcPr>
                  <w:tcW w:w="1040" w:type="dxa"/>
                  <w:tcBorders>
                    <w:top w:val="nil"/>
                    <w:left w:val="nil"/>
                    <w:bottom w:val="single" w:sz="8" w:space="0" w:color="FFFFFF"/>
                    <w:right w:val="single" w:sz="8" w:space="0" w:color="FFFFFF"/>
                  </w:tcBorders>
                  <w:shd w:val="clear" w:color="000000" w:fill="FCD5B4"/>
                  <w:noWrap/>
                  <w:vAlign w:val="center"/>
                  <w:hideMark/>
                </w:tcPr>
                <w:p w14:paraId="25BF1219"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27%</w:t>
                  </w:r>
                </w:p>
              </w:tc>
            </w:tr>
            <w:tr w:rsidR="00C632A4" w:rsidRPr="00C632A4" w14:paraId="3D91E4A9" w14:textId="77777777" w:rsidTr="00C632A4">
              <w:trPr>
                <w:trHeight w:val="300"/>
              </w:trPr>
              <w:tc>
                <w:tcPr>
                  <w:tcW w:w="1402" w:type="dxa"/>
                  <w:tcBorders>
                    <w:top w:val="nil"/>
                    <w:left w:val="nil"/>
                    <w:bottom w:val="single" w:sz="8" w:space="0" w:color="FFFFFF"/>
                    <w:right w:val="single" w:sz="8" w:space="0" w:color="FFFFFF"/>
                  </w:tcBorders>
                  <w:shd w:val="clear" w:color="000000" w:fill="FDE9D9"/>
                  <w:noWrap/>
                  <w:vAlign w:val="center"/>
                  <w:hideMark/>
                </w:tcPr>
                <w:p w14:paraId="02CF8632" w14:textId="77777777" w:rsidR="00C632A4" w:rsidRPr="00C632A4" w:rsidRDefault="00C632A4" w:rsidP="00C632A4">
                  <w:pPr>
                    <w:widowControl/>
                    <w:jc w:val="center"/>
                    <w:rPr>
                      <w:rFonts w:ascii="楷体" w:eastAsia="楷体" w:hAnsi="楷体" w:cs="宋体"/>
                      <w:color w:val="000000"/>
                      <w:kern w:val="0"/>
                      <w:sz w:val="20"/>
                      <w:szCs w:val="20"/>
                    </w:rPr>
                  </w:pPr>
                  <w:proofErr w:type="gramStart"/>
                  <w:r w:rsidRPr="00C632A4">
                    <w:rPr>
                      <w:rFonts w:ascii="楷体" w:eastAsia="楷体" w:hAnsi="楷体" w:cs="宋体" w:hint="eastAsia"/>
                      <w:color w:val="000000"/>
                      <w:kern w:val="0"/>
                      <w:sz w:val="20"/>
                      <w:szCs w:val="20"/>
                    </w:rPr>
                    <w:t>城投债</w:t>
                  </w:r>
                  <w:proofErr w:type="gramEnd"/>
                  <w:r w:rsidRPr="00C632A4">
                    <w:rPr>
                      <w:rFonts w:ascii="楷体" w:eastAsia="楷体" w:hAnsi="楷体" w:cs="宋体" w:hint="eastAsia"/>
                      <w:color w:val="000000"/>
                      <w:kern w:val="0"/>
                      <w:sz w:val="20"/>
                      <w:szCs w:val="20"/>
                    </w:rPr>
                    <w:t>5Y</w:t>
                  </w:r>
                </w:p>
              </w:tc>
              <w:tc>
                <w:tcPr>
                  <w:tcW w:w="1040" w:type="dxa"/>
                  <w:tcBorders>
                    <w:top w:val="nil"/>
                    <w:left w:val="nil"/>
                    <w:bottom w:val="single" w:sz="8" w:space="0" w:color="FFFFFF"/>
                    <w:right w:val="single" w:sz="8" w:space="0" w:color="FFFFFF"/>
                  </w:tcBorders>
                  <w:shd w:val="clear" w:color="000000" w:fill="FDE9D9"/>
                  <w:noWrap/>
                  <w:vAlign w:val="center"/>
                  <w:hideMark/>
                </w:tcPr>
                <w:p w14:paraId="6E5BCB8E"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21%</w:t>
                  </w:r>
                </w:p>
              </w:tc>
              <w:tc>
                <w:tcPr>
                  <w:tcW w:w="1040" w:type="dxa"/>
                  <w:tcBorders>
                    <w:top w:val="nil"/>
                    <w:left w:val="nil"/>
                    <w:bottom w:val="single" w:sz="8" w:space="0" w:color="FFFFFF"/>
                    <w:right w:val="single" w:sz="8" w:space="0" w:color="FFFFFF"/>
                  </w:tcBorders>
                  <w:shd w:val="clear" w:color="000000" w:fill="FDE9D9"/>
                  <w:noWrap/>
                  <w:vAlign w:val="center"/>
                  <w:hideMark/>
                </w:tcPr>
                <w:p w14:paraId="529D0AE9"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18%</w:t>
                  </w:r>
                </w:p>
              </w:tc>
              <w:tc>
                <w:tcPr>
                  <w:tcW w:w="1040" w:type="dxa"/>
                  <w:tcBorders>
                    <w:top w:val="nil"/>
                    <w:left w:val="nil"/>
                    <w:bottom w:val="single" w:sz="8" w:space="0" w:color="FFFFFF"/>
                    <w:right w:val="single" w:sz="8" w:space="0" w:color="FFFFFF"/>
                  </w:tcBorders>
                  <w:shd w:val="clear" w:color="000000" w:fill="FDE9D9"/>
                  <w:noWrap/>
                  <w:vAlign w:val="center"/>
                  <w:hideMark/>
                </w:tcPr>
                <w:p w14:paraId="6DB87504"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16%</w:t>
                  </w:r>
                </w:p>
              </w:tc>
              <w:tc>
                <w:tcPr>
                  <w:tcW w:w="1040" w:type="dxa"/>
                  <w:tcBorders>
                    <w:top w:val="nil"/>
                    <w:left w:val="nil"/>
                    <w:bottom w:val="single" w:sz="8" w:space="0" w:color="FFFFFF"/>
                    <w:right w:val="single" w:sz="8" w:space="0" w:color="FFFFFF"/>
                  </w:tcBorders>
                  <w:shd w:val="clear" w:color="000000" w:fill="FDE9D9"/>
                  <w:noWrap/>
                  <w:vAlign w:val="center"/>
                  <w:hideMark/>
                </w:tcPr>
                <w:p w14:paraId="586E1BA1"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45%</w:t>
                  </w:r>
                </w:p>
              </w:tc>
              <w:tc>
                <w:tcPr>
                  <w:tcW w:w="1246" w:type="dxa"/>
                  <w:tcBorders>
                    <w:top w:val="nil"/>
                    <w:left w:val="nil"/>
                    <w:bottom w:val="single" w:sz="8" w:space="0" w:color="FFFFFF"/>
                    <w:right w:val="single" w:sz="8" w:space="0" w:color="FFFFFF"/>
                  </w:tcBorders>
                  <w:shd w:val="clear" w:color="000000" w:fill="FDE9D9"/>
                  <w:noWrap/>
                  <w:vAlign w:val="center"/>
                  <w:hideMark/>
                </w:tcPr>
                <w:p w14:paraId="1326CF06" w14:textId="77777777" w:rsidR="00C632A4" w:rsidRPr="00C632A4" w:rsidRDefault="00C632A4" w:rsidP="00C632A4">
                  <w:pPr>
                    <w:widowControl/>
                    <w:jc w:val="center"/>
                    <w:rPr>
                      <w:rFonts w:ascii="楷体" w:eastAsia="楷体" w:hAnsi="楷体" w:cs="宋体"/>
                      <w:color w:val="000000"/>
                      <w:kern w:val="0"/>
                      <w:sz w:val="20"/>
                      <w:szCs w:val="20"/>
                    </w:rPr>
                  </w:pPr>
                  <w:proofErr w:type="gramStart"/>
                  <w:r w:rsidRPr="00C632A4">
                    <w:rPr>
                      <w:rFonts w:ascii="楷体" w:eastAsia="楷体" w:hAnsi="楷体" w:cs="宋体" w:hint="eastAsia"/>
                      <w:color w:val="000000"/>
                      <w:kern w:val="0"/>
                      <w:sz w:val="20"/>
                      <w:szCs w:val="20"/>
                    </w:rPr>
                    <w:t>城投债</w:t>
                  </w:r>
                  <w:proofErr w:type="gramEnd"/>
                  <w:r w:rsidRPr="00C632A4">
                    <w:rPr>
                      <w:rFonts w:ascii="楷体" w:eastAsia="楷体" w:hAnsi="楷体" w:cs="宋体" w:hint="eastAsia"/>
                      <w:color w:val="000000"/>
                      <w:kern w:val="0"/>
                      <w:sz w:val="20"/>
                      <w:szCs w:val="20"/>
                    </w:rPr>
                    <w:t>5Y</w:t>
                  </w:r>
                </w:p>
              </w:tc>
              <w:tc>
                <w:tcPr>
                  <w:tcW w:w="1040" w:type="dxa"/>
                  <w:tcBorders>
                    <w:top w:val="nil"/>
                    <w:left w:val="nil"/>
                    <w:bottom w:val="single" w:sz="8" w:space="0" w:color="FFFFFF"/>
                    <w:right w:val="single" w:sz="8" w:space="0" w:color="FFFFFF"/>
                  </w:tcBorders>
                  <w:shd w:val="clear" w:color="000000" w:fill="FDE9D9"/>
                  <w:noWrap/>
                  <w:vAlign w:val="center"/>
                  <w:hideMark/>
                </w:tcPr>
                <w:p w14:paraId="52E0E35C"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15%</w:t>
                  </w:r>
                </w:p>
              </w:tc>
              <w:tc>
                <w:tcPr>
                  <w:tcW w:w="1040" w:type="dxa"/>
                  <w:tcBorders>
                    <w:top w:val="nil"/>
                    <w:left w:val="nil"/>
                    <w:bottom w:val="single" w:sz="8" w:space="0" w:color="FFFFFF"/>
                    <w:right w:val="single" w:sz="8" w:space="0" w:color="FFFFFF"/>
                  </w:tcBorders>
                  <w:shd w:val="clear" w:color="000000" w:fill="FDE9D9"/>
                  <w:noWrap/>
                  <w:vAlign w:val="center"/>
                  <w:hideMark/>
                </w:tcPr>
                <w:p w14:paraId="187F1385"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12%</w:t>
                  </w:r>
                </w:p>
              </w:tc>
              <w:tc>
                <w:tcPr>
                  <w:tcW w:w="1040" w:type="dxa"/>
                  <w:tcBorders>
                    <w:top w:val="nil"/>
                    <w:left w:val="nil"/>
                    <w:bottom w:val="single" w:sz="8" w:space="0" w:color="FFFFFF"/>
                    <w:right w:val="single" w:sz="8" w:space="0" w:color="FFFFFF"/>
                  </w:tcBorders>
                  <w:shd w:val="clear" w:color="000000" w:fill="FDE9D9"/>
                  <w:noWrap/>
                  <w:vAlign w:val="center"/>
                  <w:hideMark/>
                </w:tcPr>
                <w:p w14:paraId="5E1C99A6"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12%</w:t>
                  </w:r>
                </w:p>
              </w:tc>
              <w:tc>
                <w:tcPr>
                  <w:tcW w:w="1040" w:type="dxa"/>
                  <w:tcBorders>
                    <w:top w:val="nil"/>
                    <w:left w:val="nil"/>
                    <w:bottom w:val="single" w:sz="8" w:space="0" w:color="FFFFFF"/>
                    <w:right w:val="single" w:sz="8" w:space="0" w:color="FFFFFF"/>
                  </w:tcBorders>
                  <w:shd w:val="clear" w:color="000000" w:fill="FDE9D9"/>
                  <w:noWrap/>
                  <w:vAlign w:val="center"/>
                  <w:hideMark/>
                </w:tcPr>
                <w:p w14:paraId="0A3F6853"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59%</w:t>
                  </w:r>
                </w:p>
              </w:tc>
            </w:tr>
            <w:tr w:rsidR="00C632A4" w:rsidRPr="00C632A4" w14:paraId="5AC8FA1D" w14:textId="77777777" w:rsidTr="00C632A4">
              <w:trPr>
                <w:trHeight w:val="300"/>
              </w:trPr>
              <w:tc>
                <w:tcPr>
                  <w:tcW w:w="1402" w:type="dxa"/>
                  <w:tcBorders>
                    <w:top w:val="nil"/>
                    <w:left w:val="nil"/>
                    <w:bottom w:val="nil"/>
                    <w:right w:val="nil"/>
                  </w:tcBorders>
                  <w:shd w:val="clear" w:color="000000" w:fill="FCD5B4"/>
                  <w:noWrap/>
                  <w:vAlign w:val="center"/>
                  <w:hideMark/>
                </w:tcPr>
                <w:p w14:paraId="20FDFD31" w14:textId="77777777" w:rsidR="00C632A4" w:rsidRPr="00C632A4" w:rsidRDefault="00C632A4" w:rsidP="00C632A4">
                  <w:pPr>
                    <w:widowControl/>
                    <w:jc w:val="center"/>
                    <w:rPr>
                      <w:rFonts w:ascii="楷体" w:eastAsia="楷体" w:hAnsi="楷体" w:cs="宋体"/>
                      <w:color w:val="000000"/>
                      <w:kern w:val="0"/>
                      <w:sz w:val="20"/>
                      <w:szCs w:val="20"/>
                    </w:rPr>
                  </w:pPr>
                  <w:proofErr w:type="gramStart"/>
                  <w:r w:rsidRPr="00C632A4">
                    <w:rPr>
                      <w:rFonts w:ascii="楷体" w:eastAsia="楷体" w:hAnsi="楷体" w:cs="宋体" w:hint="eastAsia"/>
                      <w:color w:val="000000"/>
                      <w:kern w:val="0"/>
                      <w:sz w:val="20"/>
                      <w:szCs w:val="20"/>
                    </w:rPr>
                    <w:t>城投债</w:t>
                  </w:r>
                  <w:proofErr w:type="gramEnd"/>
                  <w:r w:rsidRPr="00C632A4">
                    <w:rPr>
                      <w:rFonts w:ascii="楷体" w:eastAsia="楷体" w:hAnsi="楷体" w:cs="宋体" w:hint="eastAsia"/>
                      <w:color w:val="000000"/>
                      <w:kern w:val="0"/>
                      <w:sz w:val="20"/>
                      <w:szCs w:val="20"/>
                    </w:rPr>
                    <w:t>7Y</w:t>
                  </w:r>
                </w:p>
              </w:tc>
              <w:tc>
                <w:tcPr>
                  <w:tcW w:w="1040" w:type="dxa"/>
                  <w:tcBorders>
                    <w:top w:val="nil"/>
                    <w:left w:val="nil"/>
                    <w:bottom w:val="single" w:sz="8" w:space="0" w:color="FFFFFF"/>
                    <w:right w:val="single" w:sz="8" w:space="0" w:color="FFFFFF"/>
                  </w:tcBorders>
                  <w:shd w:val="clear" w:color="000000" w:fill="FCD5B4"/>
                  <w:noWrap/>
                  <w:vAlign w:val="center"/>
                  <w:hideMark/>
                </w:tcPr>
                <w:p w14:paraId="4AE6F374"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19%</w:t>
                  </w:r>
                </w:p>
              </w:tc>
              <w:tc>
                <w:tcPr>
                  <w:tcW w:w="1040" w:type="dxa"/>
                  <w:tcBorders>
                    <w:top w:val="nil"/>
                    <w:left w:val="nil"/>
                    <w:bottom w:val="single" w:sz="8" w:space="0" w:color="FFFFFF"/>
                    <w:right w:val="single" w:sz="8" w:space="0" w:color="FFFFFF"/>
                  </w:tcBorders>
                  <w:shd w:val="clear" w:color="000000" w:fill="FCD5B4"/>
                  <w:noWrap/>
                  <w:vAlign w:val="center"/>
                  <w:hideMark/>
                </w:tcPr>
                <w:p w14:paraId="19167AE4"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17%</w:t>
                  </w:r>
                </w:p>
              </w:tc>
              <w:tc>
                <w:tcPr>
                  <w:tcW w:w="1040" w:type="dxa"/>
                  <w:tcBorders>
                    <w:top w:val="nil"/>
                    <w:left w:val="nil"/>
                    <w:bottom w:val="single" w:sz="8" w:space="0" w:color="FFFFFF"/>
                    <w:right w:val="single" w:sz="8" w:space="0" w:color="FFFFFF"/>
                  </w:tcBorders>
                  <w:shd w:val="clear" w:color="000000" w:fill="FCD5B4"/>
                  <w:noWrap/>
                  <w:vAlign w:val="center"/>
                  <w:hideMark/>
                </w:tcPr>
                <w:p w14:paraId="0E7536D3"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14%</w:t>
                  </w:r>
                </w:p>
              </w:tc>
              <w:tc>
                <w:tcPr>
                  <w:tcW w:w="1040" w:type="dxa"/>
                  <w:tcBorders>
                    <w:top w:val="nil"/>
                    <w:left w:val="nil"/>
                    <w:bottom w:val="single" w:sz="8" w:space="0" w:color="FFFFFF"/>
                    <w:right w:val="single" w:sz="8" w:space="0" w:color="FFFFFF"/>
                  </w:tcBorders>
                  <w:shd w:val="clear" w:color="000000" w:fill="FCD5B4"/>
                  <w:noWrap/>
                  <w:vAlign w:val="center"/>
                  <w:hideMark/>
                </w:tcPr>
                <w:p w14:paraId="41C506C2"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53%</w:t>
                  </w:r>
                </w:p>
              </w:tc>
              <w:tc>
                <w:tcPr>
                  <w:tcW w:w="1246" w:type="dxa"/>
                  <w:tcBorders>
                    <w:top w:val="nil"/>
                    <w:left w:val="nil"/>
                    <w:bottom w:val="nil"/>
                    <w:right w:val="nil"/>
                  </w:tcBorders>
                  <w:shd w:val="clear" w:color="000000" w:fill="FCD5B4"/>
                  <w:noWrap/>
                  <w:vAlign w:val="center"/>
                  <w:hideMark/>
                </w:tcPr>
                <w:p w14:paraId="3EA10C9B" w14:textId="77777777" w:rsidR="00C632A4" w:rsidRPr="00C632A4" w:rsidRDefault="00C632A4" w:rsidP="00C632A4">
                  <w:pPr>
                    <w:widowControl/>
                    <w:jc w:val="center"/>
                    <w:rPr>
                      <w:rFonts w:ascii="楷体" w:eastAsia="楷体" w:hAnsi="楷体" w:cs="宋体"/>
                      <w:color w:val="000000"/>
                      <w:kern w:val="0"/>
                      <w:sz w:val="20"/>
                      <w:szCs w:val="20"/>
                    </w:rPr>
                  </w:pPr>
                  <w:proofErr w:type="gramStart"/>
                  <w:r w:rsidRPr="00C632A4">
                    <w:rPr>
                      <w:rFonts w:ascii="楷体" w:eastAsia="楷体" w:hAnsi="楷体" w:cs="宋体" w:hint="eastAsia"/>
                      <w:color w:val="000000"/>
                      <w:kern w:val="0"/>
                      <w:sz w:val="20"/>
                      <w:szCs w:val="20"/>
                    </w:rPr>
                    <w:t>城投债</w:t>
                  </w:r>
                  <w:proofErr w:type="gramEnd"/>
                  <w:r w:rsidRPr="00C632A4">
                    <w:rPr>
                      <w:rFonts w:ascii="楷体" w:eastAsia="楷体" w:hAnsi="楷体" w:cs="宋体" w:hint="eastAsia"/>
                      <w:color w:val="000000"/>
                      <w:kern w:val="0"/>
                      <w:sz w:val="20"/>
                      <w:szCs w:val="20"/>
                    </w:rPr>
                    <w:t>7Y</w:t>
                  </w:r>
                </w:p>
              </w:tc>
              <w:tc>
                <w:tcPr>
                  <w:tcW w:w="1040" w:type="dxa"/>
                  <w:tcBorders>
                    <w:top w:val="nil"/>
                    <w:left w:val="nil"/>
                    <w:bottom w:val="single" w:sz="8" w:space="0" w:color="FFFFFF"/>
                    <w:right w:val="single" w:sz="8" w:space="0" w:color="FFFFFF"/>
                  </w:tcBorders>
                  <w:shd w:val="clear" w:color="000000" w:fill="FCD5B4"/>
                  <w:noWrap/>
                  <w:vAlign w:val="center"/>
                  <w:hideMark/>
                </w:tcPr>
                <w:p w14:paraId="436D5EC4"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13%</w:t>
                  </w:r>
                </w:p>
              </w:tc>
              <w:tc>
                <w:tcPr>
                  <w:tcW w:w="1040" w:type="dxa"/>
                  <w:tcBorders>
                    <w:top w:val="nil"/>
                    <w:left w:val="nil"/>
                    <w:bottom w:val="single" w:sz="8" w:space="0" w:color="FFFFFF"/>
                    <w:right w:val="single" w:sz="8" w:space="0" w:color="FFFFFF"/>
                  </w:tcBorders>
                  <w:shd w:val="clear" w:color="000000" w:fill="FCD5B4"/>
                  <w:noWrap/>
                  <w:vAlign w:val="center"/>
                  <w:hideMark/>
                </w:tcPr>
                <w:p w14:paraId="55D9517B"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10%</w:t>
                  </w:r>
                </w:p>
              </w:tc>
              <w:tc>
                <w:tcPr>
                  <w:tcW w:w="1040" w:type="dxa"/>
                  <w:tcBorders>
                    <w:top w:val="nil"/>
                    <w:left w:val="nil"/>
                    <w:bottom w:val="single" w:sz="8" w:space="0" w:color="FFFFFF"/>
                    <w:right w:val="single" w:sz="8" w:space="0" w:color="FFFFFF"/>
                  </w:tcBorders>
                  <w:shd w:val="clear" w:color="000000" w:fill="FCD5B4"/>
                  <w:noWrap/>
                  <w:vAlign w:val="center"/>
                  <w:hideMark/>
                </w:tcPr>
                <w:p w14:paraId="0D17B214"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7%</w:t>
                  </w:r>
                </w:p>
              </w:tc>
              <w:tc>
                <w:tcPr>
                  <w:tcW w:w="1040" w:type="dxa"/>
                  <w:tcBorders>
                    <w:top w:val="nil"/>
                    <w:left w:val="nil"/>
                    <w:bottom w:val="single" w:sz="8" w:space="0" w:color="FFFFFF"/>
                    <w:right w:val="single" w:sz="8" w:space="0" w:color="FFFFFF"/>
                  </w:tcBorders>
                  <w:shd w:val="clear" w:color="000000" w:fill="FCD5B4"/>
                  <w:noWrap/>
                  <w:vAlign w:val="center"/>
                  <w:hideMark/>
                </w:tcPr>
                <w:p w14:paraId="61176D4C" w14:textId="77777777" w:rsidR="00C632A4" w:rsidRPr="00C632A4" w:rsidRDefault="00C632A4" w:rsidP="00C632A4">
                  <w:pPr>
                    <w:widowControl/>
                    <w:jc w:val="center"/>
                    <w:rPr>
                      <w:rFonts w:eastAsia="等线" w:cs="Calibri"/>
                      <w:color w:val="000000"/>
                      <w:kern w:val="0"/>
                      <w:szCs w:val="21"/>
                    </w:rPr>
                  </w:pPr>
                  <w:r w:rsidRPr="00C632A4">
                    <w:rPr>
                      <w:rFonts w:eastAsia="等线" w:cs="Calibri"/>
                      <w:color w:val="000000"/>
                      <w:kern w:val="0"/>
                      <w:szCs w:val="21"/>
                    </w:rPr>
                    <w:t>61%</w:t>
                  </w:r>
                </w:p>
              </w:tc>
            </w:tr>
          </w:tbl>
          <w:p w14:paraId="446C7D6E" w14:textId="7C13696F" w:rsidR="00E0626C" w:rsidRPr="003C1CC8" w:rsidRDefault="00E0626C" w:rsidP="009A2BA0">
            <w:pPr>
              <w:jc w:val="center"/>
              <w:rPr>
                <w:noProof/>
                <w:szCs w:val="18"/>
              </w:rPr>
            </w:pPr>
          </w:p>
        </w:tc>
      </w:tr>
      <w:tr w:rsidR="00E0626C" w:rsidRPr="006A5F34" w14:paraId="01D36A65" w14:textId="77777777" w:rsidTr="00691BC8">
        <w:trPr>
          <w:trHeight w:val="64"/>
          <w:jc w:val="center"/>
        </w:trPr>
        <w:tc>
          <w:tcPr>
            <w:tcW w:w="9877" w:type="dxa"/>
            <w:vAlign w:val="center"/>
          </w:tcPr>
          <w:p w14:paraId="6284202E" w14:textId="2B61B5A0" w:rsidR="00E0626C" w:rsidRPr="006A5F34" w:rsidRDefault="00E0626C" w:rsidP="009A2BA0">
            <w:pPr>
              <w:pStyle w:val="Source"/>
              <w:jc w:val="both"/>
              <w:rPr>
                <w:kern w:val="0"/>
              </w:rPr>
            </w:pPr>
            <w:r w:rsidRPr="006A5F34">
              <w:rPr>
                <w:rFonts w:hint="eastAsia"/>
                <w:kern w:val="0"/>
              </w:rPr>
              <w:t>资料来源：万得</w:t>
            </w:r>
            <w:r>
              <w:rPr>
                <w:rFonts w:hint="eastAsia"/>
                <w:kern w:val="0"/>
              </w:rPr>
              <w:t>，富荣基金；利差基准为同期限国债</w:t>
            </w:r>
          </w:p>
        </w:tc>
      </w:tr>
    </w:tbl>
    <w:p w14:paraId="26A54476" w14:textId="77777777" w:rsidR="00E0626C" w:rsidRPr="00B8530C" w:rsidRDefault="00E0626C" w:rsidP="009A2BA0">
      <w:pPr>
        <w:pStyle w:val="Body-text"/>
        <w:spacing w:after="0"/>
        <w:rPr>
          <w:lang w:eastAsia="zh-CN"/>
        </w:rPr>
      </w:pPr>
    </w:p>
    <w:p w14:paraId="2D403D4F" w14:textId="78A4441C" w:rsidR="00E0626C" w:rsidRPr="00C73E5D" w:rsidRDefault="00E0626C" w:rsidP="009A2BA0">
      <w:pPr>
        <w:pStyle w:val="Header2"/>
        <w:rPr>
          <w:rFonts w:eastAsia="PMingLiU"/>
          <w:sz w:val="28"/>
          <w:szCs w:val="21"/>
          <w:lang w:eastAsia="zh-CN"/>
        </w:rPr>
      </w:pPr>
      <w:r>
        <w:rPr>
          <w:sz w:val="28"/>
          <w:szCs w:val="21"/>
          <w:lang w:eastAsia="zh-CN"/>
        </w:rPr>
        <w:t>4</w:t>
      </w:r>
      <w:r>
        <w:rPr>
          <w:rFonts w:hint="eastAsia"/>
          <w:sz w:val="28"/>
          <w:szCs w:val="21"/>
          <w:lang w:eastAsia="zh-CN"/>
        </w:rPr>
        <w:t>、</w:t>
      </w:r>
      <w:r>
        <w:rPr>
          <w:rFonts w:hint="eastAsia"/>
          <w:sz w:val="28"/>
          <w:szCs w:val="21"/>
        </w:rPr>
        <w:t>可转债</w:t>
      </w:r>
    </w:p>
    <w:p w14:paraId="526CD45E" w14:textId="55B373D3" w:rsidR="00C37204" w:rsidRPr="00C16434" w:rsidRDefault="0044583C" w:rsidP="00416C5F">
      <w:pPr>
        <w:pStyle w:val="Body-text"/>
        <w:spacing w:after="240"/>
        <w:ind w:firstLineChars="200" w:firstLine="480"/>
        <w:rPr>
          <w:rFonts w:ascii="华文楷体" w:hAnsi="华文楷体"/>
          <w:sz w:val="24"/>
          <w:szCs w:val="24"/>
          <w:lang w:eastAsia="zh-CN"/>
        </w:rPr>
      </w:pPr>
      <w:r w:rsidRPr="0044583C">
        <w:rPr>
          <w:rFonts w:ascii="华文楷体" w:hAnsi="华文楷体" w:hint="eastAsia"/>
          <w:sz w:val="24"/>
          <w:szCs w:val="24"/>
          <w:lang w:eastAsia="zh-CN"/>
        </w:rPr>
        <w:t>本周，</w:t>
      </w:r>
      <w:r>
        <w:rPr>
          <w:rFonts w:ascii="华文楷体" w:hAnsi="华文楷体" w:hint="eastAsia"/>
          <w:sz w:val="24"/>
          <w:szCs w:val="24"/>
          <w:lang w:eastAsia="zh-CN"/>
        </w:rPr>
        <w:t>多数板块</w:t>
      </w:r>
      <w:r>
        <w:rPr>
          <w:rFonts w:ascii="华文楷体" w:hAnsi="华文楷体"/>
          <w:sz w:val="24"/>
          <w:szCs w:val="24"/>
          <w:lang w:eastAsia="zh-CN"/>
        </w:rPr>
        <w:t>较上周</w:t>
      </w:r>
      <w:r>
        <w:rPr>
          <w:rFonts w:ascii="华文楷体" w:hAnsi="华文楷体" w:hint="eastAsia"/>
          <w:sz w:val="24"/>
          <w:szCs w:val="24"/>
          <w:lang w:eastAsia="zh-CN"/>
        </w:rPr>
        <w:t>强势</w:t>
      </w:r>
      <w:r>
        <w:rPr>
          <w:rFonts w:ascii="华文楷体" w:hAnsi="华文楷体"/>
          <w:sz w:val="24"/>
          <w:szCs w:val="24"/>
          <w:lang w:eastAsia="zh-CN"/>
        </w:rPr>
        <w:t>反弹</w:t>
      </w:r>
      <w:r w:rsidRPr="0044583C">
        <w:rPr>
          <w:rFonts w:ascii="华文楷体" w:hAnsi="华文楷体" w:hint="eastAsia"/>
          <w:sz w:val="24"/>
          <w:szCs w:val="24"/>
          <w:lang w:eastAsia="zh-CN"/>
        </w:rPr>
        <w:t>，成交量</w:t>
      </w:r>
      <w:r>
        <w:rPr>
          <w:rFonts w:ascii="华文楷体" w:hAnsi="华文楷体" w:hint="eastAsia"/>
          <w:sz w:val="24"/>
          <w:szCs w:val="24"/>
          <w:lang w:eastAsia="zh-CN"/>
        </w:rPr>
        <w:t>亦</w:t>
      </w:r>
      <w:r w:rsidRPr="0044583C">
        <w:rPr>
          <w:rFonts w:ascii="华文楷体" w:hAnsi="华文楷体" w:hint="eastAsia"/>
          <w:sz w:val="24"/>
          <w:szCs w:val="24"/>
          <w:lang w:eastAsia="zh-CN"/>
        </w:rPr>
        <w:t>较上周</w:t>
      </w:r>
      <w:r>
        <w:rPr>
          <w:rFonts w:ascii="华文楷体" w:hAnsi="华文楷体" w:hint="eastAsia"/>
          <w:sz w:val="24"/>
          <w:szCs w:val="24"/>
          <w:lang w:eastAsia="zh-CN"/>
        </w:rPr>
        <w:t>扩大</w:t>
      </w:r>
      <w:r w:rsidRPr="0044583C">
        <w:rPr>
          <w:rFonts w:ascii="华文楷体" w:hAnsi="华文楷体" w:hint="eastAsia"/>
          <w:sz w:val="24"/>
          <w:szCs w:val="24"/>
          <w:lang w:eastAsia="zh-CN"/>
        </w:rPr>
        <w:t>，转债市场</w:t>
      </w:r>
      <w:r>
        <w:rPr>
          <w:rFonts w:ascii="华文楷体" w:hAnsi="华文楷体" w:hint="eastAsia"/>
          <w:sz w:val="24"/>
          <w:szCs w:val="24"/>
          <w:lang w:eastAsia="zh-CN"/>
        </w:rPr>
        <w:t>伴随权益</w:t>
      </w:r>
      <w:r>
        <w:rPr>
          <w:rFonts w:ascii="华文楷体" w:hAnsi="华文楷体"/>
          <w:sz w:val="24"/>
          <w:szCs w:val="24"/>
          <w:lang w:eastAsia="zh-CN"/>
        </w:rPr>
        <w:t>市场</w:t>
      </w:r>
      <w:r>
        <w:rPr>
          <w:rFonts w:ascii="华文楷体" w:hAnsi="华文楷体" w:hint="eastAsia"/>
          <w:sz w:val="24"/>
          <w:szCs w:val="24"/>
          <w:lang w:eastAsia="zh-CN"/>
        </w:rPr>
        <w:t>小幅</w:t>
      </w:r>
      <w:r>
        <w:rPr>
          <w:rFonts w:ascii="华文楷体" w:hAnsi="华文楷体"/>
          <w:sz w:val="24"/>
          <w:szCs w:val="24"/>
          <w:lang w:eastAsia="zh-CN"/>
        </w:rPr>
        <w:t>修复</w:t>
      </w:r>
      <w:r w:rsidRPr="0044583C">
        <w:rPr>
          <w:rFonts w:ascii="华文楷体" w:hAnsi="华文楷体" w:hint="eastAsia"/>
          <w:sz w:val="24"/>
          <w:szCs w:val="24"/>
          <w:lang w:eastAsia="zh-CN"/>
        </w:rPr>
        <w:t>。策略方面本周关注可选消费</w:t>
      </w:r>
      <w:r>
        <w:rPr>
          <w:rFonts w:ascii="华文楷体" w:hAnsi="华文楷体" w:hint="eastAsia"/>
          <w:sz w:val="24"/>
          <w:szCs w:val="24"/>
          <w:lang w:eastAsia="zh-CN"/>
        </w:rPr>
        <w:t>、细分科技龙头和十四五相关品种</w:t>
      </w:r>
      <w:r>
        <w:rPr>
          <w:rFonts w:ascii="华文楷体" w:hAnsi="华文楷体"/>
          <w:sz w:val="24"/>
          <w:szCs w:val="24"/>
          <w:lang w:eastAsia="zh-CN"/>
        </w:rPr>
        <w:t>行业</w:t>
      </w:r>
      <w:r>
        <w:rPr>
          <w:rFonts w:ascii="华文楷体" w:hAnsi="华文楷体" w:hint="eastAsia"/>
          <w:sz w:val="24"/>
          <w:szCs w:val="24"/>
          <w:lang w:eastAsia="zh-CN"/>
        </w:rPr>
        <w:t>及</w:t>
      </w:r>
      <w:r>
        <w:rPr>
          <w:rFonts w:ascii="华文楷体" w:hAnsi="华文楷体"/>
          <w:sz w:val="24"/>
          <w:szCs w:val="24"/>
          <w:lang w:eastAsia="zh-CN"/>
        </w:rPr>
        <w:t>标的</w:t>
      </w:r>
      <w:r w:rsidRPr="0044583C">
        <w:rPr>
          <w:rFonts w:ascii="华文楷体" w:hAnsi="华文楷体" w:hint="eastAsia"/>
          <w:sz w:val="24"/>
          <w:szCs w:val="24"/>
          <w:lang w:eastAsia="zh-CN"/>
        </w:rPr>
        <w:t>。</w:t>
      </w:r>
      <w:r>
        <w:rPr>
          <w:rFonts w:ascii="华文楷体" w:hAnsi="华文楷体" w:hint="eastAsia"/>
          <w:sz w:val="24"/>
          <w:szCs w:val="24"/>
          <w:lang w:eastAsia="zh-CN"/>
        </w:rPr>
        <w:t>最终</w:t>
      </w:r>
      <w:r w:rsidRPr="0044583C">
        <w:rPr>
          <w:rFonts w:ascii="华文楷体" w:hAnsi="华文楷体" w:hint="eastAsia"/>
          <w:sz w:val="24"/>
          <w:szCs w:val="24"/>
          <w:lang w:eastAsia="zh-CN"/>
        </w:rPr>
        <w:t>，上证综指、创业板指、上证50和沪深300表现分别为</w:t>
      </w:r>
      <w:r>
        <w:rPr>
          <w:rFonts w:ascii="华文楷体" w:hAnsi="华文楷体"/>
          <w:sz w:val="24"/>
          <w:szCs w:val="24"/>
          <w:lang w:eastAsia="zh-CN"/>
        </w:rPr>
        <w:t>2.7</w:t>
      </w:r>
      <w:r w:rsidRPr="0044583C">
        <w:rPr>
          <w:rFonts w:ascii="华文楷体" w:hAnsi="华文楷体" w:hint="eastAsia"/>
          <w:sz w:val="24"/>
          <w:szCs w:val="24"/>
          <w:lang w:eastAsia="zh-CN"/>
        </w:rPr>
        <w:t>%、2.</w:t>
      </w:r>
      <w:r>
        <w:rPr>
          <w:rFonts w:ascii="华文楷体" w:hAnsi="华文楷体"/>
          <w:sz w:val="24"/>
          <w:szCs w:val="24"/>
          <w:lang w:eastAsia="zh-CN"/>
        </w:rPr>
        <w:t>9</w:t>
      </w:r>
      <w:r w:rsidRPr="0044583C">
        <w:rPr>
          <w:rFonts w:ascii="华文楷体" w:hAnsi="华文楷体" w:hint="eastAsia"/>
          <w:sz w:val="24"/>
          <w:szCs w:val="24"/>
          <w:lang w:eastAsia="zh-CN"/>
        </w:rPr>
        <w:t>%、</w:t>
      </w:r>
      <w:r>
        <w:rPr>
          <w:rFonts w:ascii="华文楷体" w:hAnsi="华文楷体" w:hint="eastAsia"/>
          <w:sz w:val="24"/>
          <w:szCs w:val="24"/>
          <w:lang w:eastAsia="zh-CN"/>
        </w:rPr>
        <w:t>2.4</w:t>
      </w:r>
      <w:r w:rsidRPr="0044583C">
        <w:rPr>
          <w:rFonts w:ascii="华文楷体" w:hAnsi="华文楷体" w:hint="eastAsia"/>
          <w:sz w:val="24"/>
          <w:szCs w:val="24"/>
          <w:lang w:eastAsia="zh-CN"/>
        </w:rPr>
        <w:t>%和</w:t>
      </w:r>
      <w:r>
        <w:rPr>
          <w:rFonts w:ascii="华文楷体" w:hAnsi="华文楷体"/>
          <w:sz w:val="24"/>
          <w:szCs w:val="24"/>
          <w:lang w:eastAsia="zh-CN"/>
        </w:rPr>
        <w:t>4.1</w:t>
      </w:r>
      <w:r w:rsidRPr="0044583C">
        <w:rPr>
          <w:rFonts w:ascii="华文楷体" w:hAnsi="华文楷体" w:hint="eastAsia"/>
          <w:sz w:val="24"/>
          <w:szCs w:val="24"/>
          <w:lang w:eastAsia="zh-CN"/>
        </w:rPr>
        <w:t>%</w:t>
      </w:r>
      <w:r>
        <w:rPr>
          <w:rFonts w:ascii="华文楷体" w:hAnsi="华文楷体" w:hint="eastAsia"/>
          <w:sz w:val="24"/>
          <w:szCs w:val="24"/>
          <w:lang w:eastAsia="zh-CN"/>
        </w:rPr>
        <w:t>。转债市场伴随权益市场情绪，中</w:t>
      </w:r>
      <w:proofErr w:type="gramStart"/>
      <w:r>
        <w:rPr>
          <w:rFonts w:ascii="华文楷体" w:hAnsi="华文楷体" w:hint="eastAsia"/>
          <w:sz w:val="24"/>
          <w:szCs w:val="24"/>
          <w:lang w:eastAsia="zh-CN"/>
        </w:rPr>
        <w:t>证转债指数</w:t>
      </w:r>
      <w:proofErr w:type="gramEnd"/>
      <w:r>
        <w:rPr>
          <w:rFonts w:ascii="华文楷体" w:hAnsi="华文楷体" w:hint="eastAsia"/>
          <w:sz w:val="24"/>
          <w:szCs w:val="24"/>
          <w:lang w:eastAsia="zh-CN"/>
        </w:rPr>
        <w:t>较上周上</w:t>
      </w:r>
      <w:r w:rsidRPr="0044583C">
        <w:rPr>
          <w:rFonts w:ascii="华文楷体" w:hAnsi="华文楷体" w:hint="eastAsia"/>
          <w:sz w:val="24"/>
          <w:szCs w:val="24"/>
          <w:lang w:eastAsia="zh-CN"/>
        </w:rPr>
        <w:t>行0.</w:t>
      </w:r>
      <w:r>
        <w:rPr>
          <w:rFonts w:ascii="华文楷体" w:hAnsi="华文楷体"/>
          <w:sz w:val="24"/>
          <w:szCs w:val="24"/>
          <w:lang w:eastAsia="zh-CN"/>
        </w:rPr>
        <w:t>4</w:t>
      </w:r>
      <w:r w:rsidRPr="0044583C">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7CDD9AAA" w14:textId="77777777" w:rsidTr="00875A6B">
        <w:trPr>
          <w:jc w:val="center"/>
        </w:trPr>
        <w:tc>
          <w:tcPr>
            <w:tcW w:w="4939" w:type="dxa"/>
            <w:vAlign w:val="center"/>
          </w:tcPr>
          <w:p w14:paraId="13C69F6A" w14:textId="03E04781" w:rsidR="00E0626C" w:rsidRPr="006A5F34" w:rsidRDefault="00E0626C" w:rsidP="009A2BA0">
            <w:pPr>
              <w:pStyle w:val="ChartHeading"/>
              <w:jc w:val="both"/>
            </w:pPr>
            <w:r w:rsidRPr="006A5F34">
              <w:rPr>
                <w:rFonts w:hint="eastAsia"/>
              </w:rPr>
              <w:lastRenderedPageBreak/>
              <w:t>图表</w:t>
            </w:r>
            <w:r w:rsidRPr="006A5F34">
              <w:t>.</w:t>
            </w:r>
            <w:r>
              <w:t xml:space="preserve"> </w:t>
            </w:r>
            <w:r w:rsidR="00005D9A">
              <w:rPr>
                <w:rFonts w:hint="eastAsia"/>
              </w:rPr>
              <w:t>A</w:t>
            </w:r>
            <w:r w:rsidR="00005D9A">
              <w:rPr>
                <w:rFonts w:hint="eastAsia"/>
              </w:rPr>
              <w:t>股</w:t>
            </w:r>
            <w:r>
              <w:rPr>
                <w:rFonts w:hint="eastAsia"/>
              </w:rPr>
              <w:t>主要指数交易和估值情况</w:t>
            </w:r>
          </w:p>
        </w:tc>
        <w:tc>
          <w:tcPr>
            <w:tcW w:w="4938" w:type="dxa"/>
            <w:vAlign w:val="center"/>
          </w:tcPr>
          <w:p w14:paraId="45DE5131" w14:textId="48699973" w:rsidR="00E0626C" w:rsidRPr="006A5F34" w:rsidRDefault="00E0626C" w:rsidP="009A2BA0">
            <w:pPr>
              <w:pStyle w:val="ChartHeading"/>
              <w:jc w:val="both"/>
            </w:pPr>
            <w:r w:rsidRPr="006A5F34">
              <w:rPr>
                <w:rFonts w:hint="eastAsia"/>
              </w:rPr>
              <w:t>图表</w:t>
            </w:r>
            <w:r w:rsidRPr="006A5F34">
              <w:t xml:space="preserve">. </w:t>
            </w:r>
            <w:r w:rsidR="00416C5F">
              <w:rPr>
                <w:rFonts w:hint="eastAsia"/>
              </w:rPr>
              <w:t>转</w:t>
            </w:r>
            <w:proofErr w:type="gramStart"/>
            <w:r w:rsidR="00416C5F">
              <w:rPr>
                <w:rFonts w:hint="eastAsia"/>
              </w:rPr>
              <w:t>债指数</w:t>
            </w:r>
            <w:proofErr w:type="gramEnd"/>
            <w:r w:rsidR="00416C5F">
              <w:rPr>
                <w:rFonts w:hint="eastAsia"/>
              </w:rPr>
              <w:t>与股指累计变化</w:t>
            </w:r>
          </w:p>
        </w:tc>
      </w:tr>
      <w:tr w:rsidR="00E0626C" w:rsidRPr="006A5F34" w14:paraId="2CD3B9EE" w14:textId="77777777" w:rsidTr="00875A6B">
        <w:tblPrEx>
          <w:tblCellMar>
            <w:left w:w="108" w:type="dxa"/>
            <w:right w:w="108" w:type="dxa"/>
          </w:tblCellMar>
        </w:tblPrEx>
        <w:trPr>
          <w:jc w:val="center"/>
        </w:trPr>
        <w:tc>
          <w:tcPr>
            <w:tcW w:w="4939" w:type="dxa"/>
            <w:vAlign w:val="center"/>
          </w:tcPr>
          <w:p w14:paraId="5C83721A" w14:textId="1BCFE5F2" w:rsidR="00E0626C" w:rsidRPr="007E0340" w:rsidRDefault="00875A6B" w:rsidP="009A2BA0">
            <w:pPr>
              <w:jc w:val="center"/>
              <w:rPr>
                <w:noProof/>
              </w:rPr>
            </w:pPr>
            <w:r w:rsidRPr="00875A6B">
              <w:rPr>
                <w:noProof/>
              </w:rPr>
              <w:drawing>
                <wp:inline distT="0" distB="0" distL="0" distR="0" wp14:anchorId="54DBB4BB" wp14:editId="55686687">
                  <wp:extent cx="3085161" cy="1685677"/>
                  <wp:effectExtent l="0" t="0" r="1270" b="0"/>
                  <wp:docPr id="7" name="图片 7" descr="C:\Users\Tang\AppData\Local\Temp\160483399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ang\AppData\Local\Temp\1604833991(1).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140650" cy="1715995"/>
                          </a:xfrm>
                          <a:prstGeom prst="rect">
                            <a:avLst/>
                          </a:prstGeom>
                          <a:noFill/>
                          <a:ln>
                            <a:noFill/>
                          </a:ln>
                        </pic:spPr>
                      </pic:pic>
                    </a:graphicData>
                  </a:graphic>
                </wp:inline>
              </w:drawing>
            </w:r>
          </w:p>
        </w:tc>
        <w:tc>
          <w:tcPr>
            <w:tcW w:w="4938" w:type="dxa"/>
            <w:vAlign w:val="center"/>
          </w:tcPr>
          <w:p w14:paraId="39BD4383" w14:textId="3BC97E77" w:rsidR="00E0626C" w:rsidRPr="007E0340" w:rsidRDefault="00875A6B" w:rsidP="009A2BA0">
            <w:pPr>
              <w:jc w:val="center"/>
              <w:rPr>
                <w:noProof/>
                <w:szCs w:val="18"/>
              </w:rPr>
            </w:pPr>
            <w:r>
              <w:rPr>
                <w:noProof/>
              </w:rPr>
              <w:drawing>
                <wp:inline distT="0" distB="0" distL="0" distR="0" wp14:anchorId="3C056BC7" wp14:editId="664764EF">
                  <wp:extent cx="2998470" cy="1709531"/>
                  <wp:effectExtent l="0" t="0" r="0" b="5080"/>
                  <wp:docPr id="8" name="图表 8">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D458CED6-F09F-488F-BCBC-E0D4968C975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tc>
      </w:tr>
      <w:tr w:rsidR="00E0626C" w:rsidRPr="006A5F34" w14:paraId="14E5D572" w14:textId="77777777" w:rsidTr="00875A6B">
        <w:trPr>
          <w:trHeight w:val="64"/>
          <w:jc w:val="center"/>
        </w:trPr>
        <w:tc>
          <w:tcPr>
            <w:tcW w:w="4939" w:type="dxa"/>
            <w:vAlign w:val="center"/>
          </w:tcPr>
          <w:p w14:paraId="5190A1EC"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4A0B8FF"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E844C6C" w14:textId="153B6387" w:rsidR="00E0626C" w:rsidRDefault="00E0626C" w:rsidP="009A2BA0">
      <w:pPr>
        <w:pStyle w:val="Body-text"/>
        <w:spacing w:after="0"/>
        <w:rPr>
          <w:lang w:eastAsia="zh-CN"/>
        </w:rPr>
      </w:pPr>
    </w:p>
    <w:p w14:paraId="721DD2C0" w14:textId="02AF1313" w:rsidR="0082791D" w:rsidRPr="00963D43" w:rsidRDefault="0031666C" w:rsidP="009A2BA0">
      <w:pPr>
        <w:pStyle w:val="Header1"/>
        <w:spacing w:before="240"/>
        <w:rPr>
          <w:color w:val="C45911" w:themeColor="accent2" w:themeShade="BF"/>
        </w:rPr>
      </w:pPr>
      <w:r>
        <w:rPr>
          <w:rFonts w:hint="eastAsia"/>
          <w:color w:val="C45911" w:themeColor="accent2" w:themeShade="BF"/>
        </w:rPr>
        <w:t>三</w:t>
      </w:r>
      <w:r w:rsidR="0082791D" w:rsidRPr="00963D43">
        <w:rPr>
          <w:rFonts w:hint="eastAsia"/>
          <w:color w:val="C45911" w:themeColor="accent2" w:themeShade="BF"/>
        </w:rPr>
        <w:t>、</w:t>
      </w:r>
      <w:r w:rsidR="00E0626C">
        <w:rPr>
          <w:rFonts w:hint="eastAsia"/>
          <w:color w:val="C45911" w:themeColor="accent2" w:themeShade="BF"/>
        </w:rPr>
        <w:t>本周市场展望</w:t>
      </w:r>
    </w:p>
    <w:p w14:paraId="5ACEDF53" w14:textId="44718DE6" w:rsidR="00963D43" w:rsidRPr="00BE2819" w:rsidRDefault="00FF7903" w:rsidP="009A2BA0">
      <w:pPr>
        <w:pStyle w:val="Header2"/>
        <w:rPr>
          <w:rFonts w:eastAsia="PMingLiU"/>
          <w:sz w:val="28"/>
          <w:szCs w:val="21"/>
        </w:rPr>
      </w:pPr>
      <w:r>
        <w:rPr>
          <w:rFonts w:hint="eastAsia"/>
          <w:sz w:val="28"/>
          <w:szCs w:val="21"/>
          <w:lang w:eastAsia="zh-CN"/>
        </w:rPr>
        <w:t>1</w:t>
      </w:r>
      <w:r>
        <w:rPr>
          <w:rFonts w:hint="eastAsia"/>
          <w:sz w:val="28"/>
          <w:szCs w:val="21"/>
          <w:lang w:eastAsia="zh-CN"/>
        </w:rPr>
        <w:t>、</w:t>
      </w:r>
      <w:r w:rsidR="00E0626C">
        <w:rPr>
          <w:rFonts w:hint="eastAsia"/>
          <w:sz w:val="28"/>
          <w:szCs w:val="21"/>
        </w:rPr>
        <w:t>基本面变化</w:t>
      </w:r>
    </w:p>
    <w:p w14:paraId="41A42062" w14:textId="2F6926A1" w:rsidR="00882FA5" w:rsidRPr="003E42BE" w:rsidRDefault="00E34B22" w:rsidP="003F00C6">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生产</w:t>
      </w:r>
      <w:r w:rsidR="00CC2F5D" w:rsidRPr="00D67BD7">
        <w:rPr>
          <w:rFonts w:ascii="华文楷体" w:hAnsi="华文楷体" w:hint="eastAsia"/>
          <w:b/>
          <w:bCs/>
          <w:sz w:val="24"/>
          <w:szCs w:val="24"/>
          <w:lang w:eastAsia="zh-CN"/>
        </w:rPr>
        <w:t>：</w:t>
      </w:r>
      <w:r w:rsidR="005559C2" w:rsidRPr="005559C2">
        <w:rPr>
          <w:rFonts w:ascii="华文楷体" w:hAnsi="华文楷体" w:hint="eastAsia"/>
          <w:bCs/>
          <w:sz w:val="24"/>
          <w:szCs w:val="24"/>
          <w:lang w:eastAsia="zh-CN"/>
        </w:rPr>
        <w:t>本周主要港口动力煤平均价环比回升1%，涨幅有所走扩，煤价整体处于偏高位置。</w:t>
      </w:r>
      <w:r w:rsidR="005559C2" w:rsidRPr="005559C2">
        <w:rPr>
          <w:rFonts w:ascii="华文楷体" w:hAnsi="华文楷体"/>
          <w:bCs/>
          <w:sz w:val="24"/>
          <w:szCs w:val="24"/>
          <w:lang w:eastAsia="zh-CN"/>
        </w:rPr>
        <w:t>PTA产业链</w:t>
      </w:r>
      <w:proofErr w:type="gramStart"/>
      <w:r w:rsidR="005559C2" w:rsidRPr="005559C2">
        <w:rPr>
          <w:rFonts w:ascii="华文楷体" w:hAnsi="华文楷体"/>
          <w:bCs/>
          <w:sz w:val="24"/>
          <w:szCs w:val="24"/>
          <w:lang w:eastAsia="zh-CN"/>
        </w:rPr>
        <w:t>负荷率环比</w:t>
      </w:r>
      <w:proofErr w:type="gramEnd"/>
      <w:r w:rsidR="005559C2" w:rsidRPr="005559C2">
        <w:rPr>
          <w:rFonts w:ascii="华文楷体" w:hAnsi="华文楷体"/>
          <w:bCs/>
          <w:sz w:val="24"/>
          <w:szCs w:val="24"/>
          <w:lang w:eastAsia="zh-CN"/>
        </w:rPr>
        <w:t>回升1.68%，目前下游织机和加</w:t>
      </w:r>
      <w:proofErr w:type="gramStart"/>
      <w:r w:rsidR="005559C2" w:rsidRPr="005559C2">
        <w:rPr>
          <w:rFonts w:ascii="华文楷体" w:hAnsi="华文楷体"/>
          <w:bCs/>
          <w:sz w:val="24"/>
          <w:szCs w:val="24"/>
          <w:lang w:eastAsia="zh-CN"/>
        </w:rPr>
        <w:t>弹逐步</w:t>
      </w:r>
      <w:proofErr w:type="gramEnd"/>
      <w:r w:rsidR="005559C2" w:rsidRPr="005559C2">
        <w:rPr>
          <w:rFonts w:ascii="华文楷体" w:hAnsi="华文楷体"/>
          <w:bCs/>
          <w:sz w:val="24"/>
          <w:szCs w:val="24"/>
          <w:lang w:eastAsia="zh-CN"/>
        </w:rPr>
        <w:t>恢复开工，导致PTA产业链负荷率逐步上升，叠加PX新装置逐步投产，未来供给可能进一步增加。</w:t>
      </w:r>
      <w:r w:rsidR="005559C2">
        <w:rPr>
          <w:rFonts w:ascii="Helvetica" w:hAnsi="Helvetica"/>
          <w:color w:val="3E3E3E"/>
          <w:spacing w:val="8"/>
          <w:sz w:val="23"/>
          <w:szCs w:val="23"/>
          <w:shd w:val="clear" w:color="auto" w:fill="FFFFFF"/>
        </w:rPr>
        <w:t>中国玻璃综合指数回升</w:t>
      </w:r>
      <w:r w:rsidR="005559C2">
        <w:rPr>
          <w:rFonts w:ascii="Helvetica" w:hAnsi="Helvetica"/>
          <w:color w:val="3E3E3E"/>
          <w:spacing w:val="8"/>
          <w:sz w:val="23"/>
          <w:szCs w:val="23"/>
          <w:shd w:val="clear" w:color="auto" w:fill="FFFFFF"/>
        </w:rPr>
        <w:t>0.01%</w:t>
      </w:r>
      <w:r w:rsidR="005559C2">
        <w:rPr>
          <w:rFonts w:ascii="Helvetica" w:hAnsi="Helvetica"/>
          <w:color w:val="3E3E3E"/>
          <w:spacing w:val="8"/>
          <w:sz w:val="23"/>
          <w:szCs w:val="23"/>
          <w:shd w:val="clear" w:color="auto" w:fill="FFFFFF"/>
        </w:rPr>
        <w:t>，周内玻璃价格稳中有升。</w:t>
      </w:r>
    </w:p>
    <w:p w14:paraId="537F0EB2" w14:textId="09D0DD47" w:rsidR="00CF3EA5" w:rsidRDefault="00E34B22" w:rsidP="00DA1DC8">
      <w:pPr>
        <w:pStyle w:val="Body-text"/>
        <w:ind w:firstLineChars="200" w:firstLine="480"/>
        <w:rPr>
          <w:rFonts w:ascii="华文楷体" w:hAnsi="华文楷体"/>
          <w:sz w:val="24"/>
          <w:szCs w:val="24"/>
          <w:lang w:eastAsia="zh-CN"/>
        </w:rPr>
      </w:pPr>
      <w:r w:rsidRPr="00D67BD7">
        <w:rPr>
          <w:rFonts w:ascii="华文楷体" w:hAnsi="华文楷体" w:hint="eastAsia"/>
          <w:b/>
          <w:bCs/>
          <w:sz w:val="24"/>
          <w:szCs w:val="24"/>
          <w:lang w:eastAsia="zh-CN"/>
        </w:rPr>
        <w:t>地产</w:t>
      </w:r>
      <w:r w:rsidR="00CC2F5D" w:rsidRPr="00D67BD7">
        <w:rPr>
          <w:rFonts w:ascii="华文楷体" w:hAnsi="华文楷体" w:hint="eastAsia"/>
          <w:b/>
          <w:bCs/>
          <w:sz w:val="24"/>
          <w:szCs w:val="24"/>
          <w:lang w:eastAsia="zh-CN"/>
        </w:rPr>
        <w:t>：</w:t>
      </w:r>
      <w:r w:rsidR="005559C2" w:rsidRPr="005559C2">
        <w:rPr>
          <w:rFonts w:ascii="华文楷体" w:hAnsi="华文楷体" w:hint="eastAsia"/>
          <w:sz w:val="24"/>
          <w:szCs w:val="24"/>
          <w:lang w:eastAsia="zh-CN"/>
        </w:rPr>
        <w:t>10月末周30大中城市商品房成交面积继续小幅回升，主要受一线城市销售向好影响，二、三线城市销售面积略有回落，整体而言地产销售依然强劲；拿地方面，本周100大中城市土地成交面积表现仍偏弱，各线城市拿地同样有所分化，一线城市小幅上行，但二三线城市土地成交面积回落，当前拿</w:t>
      </w:r>
      <w:proofErr w:type="gramStart"/>
      <w:r w:rsidR="005559C2" w:rsidRPr="005559C2">
        <w:rPr>
          <w:rFonts w:ascii="华文楷体" w:hAnsi="华文楷体" w:hint="eastAsia"/>
          <w:sz w:val="24"/>
          <w:szCs w:val="24"/>
          <w:lang w:eastAsia="zh-CN"/>
        </w:rPr>
        <w:t>地数据</w:t>
      </w:r>
      <w:proofErr w:type="gramEnd"/>
      <w:r w:rsidR="005559C2" w:rsidRPr="005559C2">
        <w:rPr>
          <w:rFonts w:ascii="华文楷体" w:hAnsi="华文楷体" w:hint="eastAsia"/>
          <w:sz w:val="24"/>
          <w:szCs w:val="24"/>
          <w:lang w:eastAsia="zh-CN"/>
        </w:rPr>
        <w:t>下行或对明年新开工造成影响。从地产信托发行数据来看，本周地产信托发行量为193.87亿，较上周的发行190.8亿微幅上行，短期地产投资或仍较强。</w:t>
      </w:r>
    </w:p>
    <w:p w14:paraId="2CC5B301" w14:textId="27F54BF1" w:rsidR="005559C2" w:rsidRPr="005559C2" w:rsidRDefault="005559C2" w:rsidP="00DA1DC8">
      <w:pPr>
        <w:pStyle w:val="Body-text"/>
        <w:ind w:firstLineChars="200" w:firstLine="480"/>
        <w:rPr>
          <w:rFonts w:ascii="华文楷体" w:hAnsi="华文楷体"/>
          <w:b/>
          <w:bCs/>
          <w:sz w:val="24"/>
          <w:szCs w:val="24"/>
          <w:lang w:eastAsia="zh-CN"/>
        </w:rPr>
      </w:pPr>
      <w:r w:rsidRPr="005559C2">
        <w:rPr>
          <w:rFonts w:ascii="华文楷体" w:hAnsi="华文楷体" w:hint="eastAsia"/>
          <w:b/>
          <w:bCs/>
          <w:sz w:val="24"/>
          <w:szCs w:val="24"/>
          <w:lang w:eastAsia="zh-CN"/>
        </w:rPr>
        <w:t>进出口</w:t>
      </w:r>
      <w:r w:rsidRPr="005559C2">
        <w:rPr>
          <w:rFonts w:ascii="华文楷体" w:hAnsi="华文楷体"/>
          <w:b/>
          <w:bCs/>
          <w:sz w:val="24"/>
          <w:szCs w:val="24"/>
          <w:lang w:eastAsia="zh-CN"/>
        </w:rPr>
        <w:t>：</w:t>
      </w:r>
      <w:r>
        <w:rPr>
          <w:rFonts w:ascii="华文楷体" w:hAnsi="华文楷体" w:hint="eastAsia"/>
          <w:sz w:val="24"/>
          <w:szCs w:val="24"/>
          <w:lang w:eastAsia="zh-CN"/>
        </w:rPr>
        <w:t>进口方面，</w:t>
      </w:r>
      <w:r w:rsidRPr="005559C2">
        <w:rPr>
          <w:rFonts w:ascii="华文楷体" w:hAnsi="华文楷体"/>
          <w:sz w:val="24"/>
          <w:szCs w:val="24"/>
          <w:lang w:eastAsia="zh-CN"/>
        </w:rPr>
        <w:t>波罗的海干散货指数较上周回落9.12%，中国进口干散货运价指数走势较上周回落5.52%。</w:t>
      </w:r>
      <w:r w:rsidRPr="005559C2">
        <w:rPr>
          <w:rFonts w:ascii="华文楷体" w:hAnsi="华文楷体" w:hint="eastAsia"/>
          <w:sz w:val="24"/>
          <w:szCs w:val="24"/>
          <w:lang w:eastAsia="zh-CN"/>
        </w:rPr>
        <w:t>出口</w:t>
      </w:r>
      <w:r w:rsidRPr="005559C2">
        <w:rPr>
          <w:rFonts w:ascii="华文楷体" w:hAnsi="华文楷体"/>
          <w:sz w:val="24"/>
          <w:szCs w:val="24"/>
          <w:lang w:eastAsia="zh-CN"/>
        </w:rPr>
        <w:t>方面</w:t>
      </w:r>
      <w:r>
        <w:rPr>
          <w:rFonts w:ascii="华文楷体" w:hAnsi="华文楷体" w:hint="eastAsia"/>
          <w:sz w:val="24"/>
          <w:szCs w:val="24"/>
          <w:lang w:eastAsia="zh-CN"/>
        </w:rPr>
        <w:t>，</w:t>
      </w:r>
      <w:r w:rsidRPr="005559C2">
        <w:rPr>
          <w:rFonts w:ascii="华文楷体" w:hAnsi="华文楷体"/>
          <w:sz w:val="24"/>
          <w:szCs w:val="24"/>
          <w:lang w:eastAsia="zh-CN"/>
        </w:rPr>
        <w:t>上海出口集装箱指数（SCFI）本周回升8.7%，中国出口集装箱运价指数（CCFI）本周上行3.05%，两者回升幅度均走扩，预示着出口增速或依旧强劲。</w:t>
      </w:r>
    </w:p>
    <w:p w14:paraId="3BDE386D" w14:textId="4CA10A28" w:rsidR="003B54C0" w:rsidRPr="00682A95" w:rsidRDefault="00CC2F5D" w:rsidP="0007254B">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消费：</w:t>
      </w:r>
      <w:r w:rsidR="005559C2" w:rsidRPr="005559C2">
        <w:rPr>
          <w:rFonts w:ascii="华文楷体" w:hAnsi="华文楷体" w:hint="eastAsia"/>
          <w:bCs/>
          <w:sz w:val="24"/>
          <w:szCs w:val="24"/>
          <w:lang w:eastAsia="zh-CN"/>
        </w:rPr>
        <w:t>乘联会最新数据显示，10月第五周的日均零售是10.7万辆，同比下降1%，环比9月同期销量增长4%，10月整体日均零售是5.7万辆，同比增长10%，环比9月同期销量增长1%，表现仍较强；批发方面，10月第五周主要厂商批发销量达到日均11.8万辆，同比去年10月增长7%，环比9月第五周增长16%，月末环比数据相对较好。</w:t>
      </w:r>
    </w:p>
    <w:p w14:paraId="67AD9887" w14:textId="77777777" w:rsidR="00864513" w:rsidRDefault="00E34B22" w:rsidP="00864513">
      <w:pPr>
        <w:pStyle w:val="Body-text"/>
        <w:ind w:firstLineChars="200" w:firstLine="480"/>
        <w:rPr>
          <w:rFonts w:ascii="华文楷体" w:hAnsi="华文楷体"/>
          <w:sz w:val="24"/>
          <w:szCs w:val="24"/>
          <w:lang w:eastAsia="zh-CN"/>
        </w:rPr>
      </w:pPr>
      <w:r w:rsidRPr="00D67BD7">
        <w:rPr>
          <w:rFonts w:ascii="华文楷体" w:hAnsi="华文楷体" w:hint="eastAsia"/>
          <w:b/>
          <w:bCs/>
          <w:sz w:val="24"/>
          <w:szCs w:val="24"/>
          <w:lang w:eastAsia="zh-CN"/>
        </w:rPr>
        <w:t>通胀：</w:t>
      </w:r>
      <w:r w:rsidR="00AC6D1B">
        <w:rPr>
          <w:rFonts w:ascii="华文楷体" w:hAnsi="华文楷体" w:hint="eastAsia"/>
          <w:sz w:val="24"/>
          <w:szCs w:val="24"/>
          <w:lang w:eastAsia="zh-CN"/>
        </w:rPr>
        <w:t>工业品</w:t>
      </w:r>
      <w:r w:rsidR="007A3F0D">
        <w:rPr>
          <w:rFonts w:ascii="华文楷体" w:hAnsi="华文楷体" w:hint="eastAsia"/>
          <w:sz w:val="24"/>
          <w:szCs w:val="24"/>
          <w:lang w:eastAsia="zh-CN"/>
        </w:rPr>
        <w:t>方面，</w:t>
      </w:r>
      <w:r w:rsidR="005559C2" w:rsidRPr="005559C2">
        <w:rPr>
          <w:rFonts w:ascii="华文楷体" w:hAnsi="华文楷体" w:hint="eastAsia"/>
          <w:sz w:val="24"/>
          <w:szCs w:val="24"/>
          <w:lang w:eastAsia="zh-CN"/>
        </w:rPr>
        <w:t>本周</w:t>
      </w:r>
      <w:proofErr w:type="spellStart"/>
      <w:r w:rsidR="005559C2" w:rsidRPr="005559C2">
        <w:rPr>
          <w:rFonts w:ascii="华文楷体" w:hAnsi="华文楷体" w:hint="eastAsia"/>
          <w:sz w:val="24"/>
          <w:szCs w:val="24"/>
          <w:lang w:eastAsia="zh-CN"/>
        </w:rPr>
        <w:t>Myspic</w:t>
      </w:r>
      <w:proofErr w:type="spellEnd"/>
      <w:r w:rsidR="005559C2" w:rsidRPr="005559C2">
        <w:rPr>
          <w:rFonts w:ascii="华文楷体" w:hAnsi="华文楷体" w:hint="eastAsia"/>
          <w:sz w:val="24"/>
          <w:szCs w:val="24"/>
          <w:lang w:eastAsia="zh-CN"/>
        </w:rPr>
        <w:t>综合全国钢铁价格指数上行1.22%，较上周涨幅有所走扩。主要品种中，螺纹钢、热卷、高线价格本周均有所回升，分别变动2.08%、2.27%、0.95%；从库存来看，螺纹钢、热卷、线材库存分别变动-8.98%、-2.59%、-10.17%，库存继续快速回落。</w:t>
      </w:r>
      <w:r w:rsidR="004713C4">
        <w:rPr>
          <w:rFonts w:ascii="华文楷体" w:hAnsi="华文楷体" w:hint="eastAsia"/>
          <w:sz w:val="24"/>
          <w:szCs w:val="24"/>
          <w:lang w:eastAsia="zh-CN"/>
        </w:rPr>
        <w:t>农产品</w:t>
      </w:r>
      <w:r w:rsidR="008841AD">
        <w:rPr>
          <w:rFonts w:ascii="华文楷体" w:hAnsi="华文楷体" w:hint="eastAsia"/>
          <w:sz w:val="24"/>
          <w:szCs w:val="24"/>
          <w:lang w:eastAsia="zh-CN"/>
        </w:rPr>
        <w:t>方面，</w:t>
      </w:r>
      <w:r w:rsidR="005559C2" w:rsidRPr="005559C2">
        <w:rPr>
          <w:rFonts w:ascii="华文楷体" w:hAnsi="华文楷体" w:hint="eastAsia"/>
          <w:sz w:val="24"/>
          <w:szCs w:val="24"/>
          <w:lang w:eastAsia="zh-CN"/>
        </w:rPr>
        <w:t>猪肉价格本周回落0.36%，跌幅有所收窄，</w:t>
      </w:r>
      <w:proofErr w:type="gramStart"/>
      <w:r w:rsidR="005559C2" w:rsidRPr="005559C2">
        <w:rPr>
          <w:rFonts w:ascii="华文楷体" w:hAnsi="华文楷体" w:hint="eastAsia"/>
          <w:sz w:val="24"/>
          <w:szCs w:val="24"/>
          <w:lang w:eastAsia="zh-CN"/>
        </w:rPr>
        <w:t>周度数据</w:t>
      </w:r>
      <w:proofErr w:type="gramEnd"/>
      <w:r w:rsidR="005559C2" w:rsidRPr="005559C2">
        <w:rPr>
          <w:rFonts w:ascii="华文楷体" w:hAnsi="华文楷体" w:hint="eastAsia"/>
          <w:sz w:val="24"/>
          <w:szCs w:val="24"/>
          <w:lang w:eastAsia="zh-CN"/>
        </w:rPr>
        <w:t>来看，农业部公布的全国平均批发价较上周末小幅回落至39.37元/公斤左右，周内来看，猪价月初小幅回升，随后又略有回落，猪价跌幅收</w:t>
      </w:r>
      <w:proofErr w:type="gramStart"/>
      <w:r w:rsidR="005559C2" w:rsidRPr="005559C2">
        <w:rPr>
          <w:rFonts w:ascii="华文楷体" w:hAnsi="华文楷体" w:hint="eastAsia"/>
          <w:sz w:val="24"/>
          <w:szCs w:val="24"/>
          <w:lang w:eastAsia="zh-CN"/>
        </w:rPr>
        <w:t>窄主要</w:t>
      </w:r>
      <w:proofErr w:type="gramEnd"/>
      <w:r w:rsidR="005559C2" w:rsidRPr="005559C2">
        <w:rPr>
          <w:rFonts w:ascii="华文楷体" w:hAnsi="华文楷体" w:hint="eastAsia"/>
          <w:sz w:val="24"/>
          <w:szCs w:val="24"/>
          <w:lang w:eastAsia="zh-CN"/>
        </w:rPr>
        <w:t>受冬天到来需求季节性增加影响，但生猪产能持续释放导致供给不断增加抑制猪价上涨；本周牛羊肉价格表现一致转弱，牛肉本周回落0.17%，羊肉价格微幅回落0.49%；蔬菜方面，价格转为回落2.22%；水果价格则同样小幅下行，较上周回落0.58%，走势基本符合季节性；鸡蛋方面，价格小幅回升0.1%，价格企稳；水产品本周价格回落0.94%。从整体高频</w:t>
      </w:r>
      <w:r w:rsidR="005559C2" w:rsidRPr="005559C2">
        <w:rPr>
          <w:rFonts w:ascii="华文楷体" w:hAnsi="华文楷体" w:hint="eastAsia"/>
          <w:sz w:val="24"/>
          <w:szCs w:val="24"/>
          <w:lang w:eastAsia="zh-CN"/>
        </w:rPr>
        <w:lastRenderedPageBreak/>
        <w:t>来看，本周农产品和菜篮子批发价格200</w:t>
      </w:r>
      <w:proofErr w:type="gramStart"/>
      <w:r w:rsidR="005559C2" w:rsidRPr="005559C2">
        <w:rPr>
          <w:rFonts w:ascii="华文楷体" w:hAnsi="华文楷体" w:hint="eastAsia"/>
          <w:sz w:val="24"/>
          <w:szCs w:val="24"/>
          <w:lang w:eastAsia="zh-CN"/>
        </w:rPr>
        <w:t>指数环</w:t>
      </w:r>
      <w:proofErr w:type="gramEnd"/>
      <w:r w:rsidR="005559C2" w:rsidRPr="005559C2">
        <w:rPr>
          <w:rFonts w:ascii="华文楷体" w:hAnsi="华文楷体" w:hint="eastAsia"/>
          <w:sz w:val="24"/>
          <w:szCs w:val="24"/>
          <w:lang w:eastAsia="zh-CN"/>
        </w:rPr>
        <w:t>比继续下行，分别下行1.72%和1.91%，全月继续下行。</w:t>
      </w:r>
    </w:p>
    <w:p w14:paraId="29155A05" w14:textId="1666F428" w:rsidR="00A058AB" w:rsidRPr="00864513" w:rsidRDefault="008D4119" w:rsidP="00864513">
      <w:pPr>
        <w:pStyle w:val="Body-text"/>
        <w:ind w:firstLineChars="200" w:firstLine="480"/>
        <w:rPr>
          <w:rFonts w:ascii="华文楷体" w:hAnsi="华文楷体"/>
          <w:sz w:val="24"/>
          <w:szCs w:val="24"/>
          <w:lang w:eastAsia="zh-CN"/>
        </w:rPr>
      </w:pPr>
      <w:r w:rsidRPr="008D4119">
        <w:rPr>
          <w:rFonts w:ascii="华文楷体" w:hAnsi="华文楷体" w:hint="eastAsia"/>
          <w:b/>
          <w:bCs/>
          <w:sz w:val="24"/>
          <w:szCs w:val="24"/>
          <w:lang w:eastAsia="zh-CN"/>
        </w:rPr>
        <w:t>海外：</w:t>
      </w:r>
      <w:bookmarkStart w:id="2" w:name="_Hlk21205334"/>
      <w:r w:rsidR="005559C2" w:rsidRPr="00864513">
        <w:rPr>
          <w:rFonts w:ascii="华文楷体" w:hAnsi="华文楷体" w:hint="eastAsia"/>
          <w:sz w:val="24"/>
          <w:szCs w:val="24"/>
          <w:lang w:eastAsia="zh-CN"/>
        </w:rPr>
        <w:t>WTI原油价格回升0.89%，至37.14美元/桶；布伦</w:t>
      </w:r>
      <w:proofErr w:type="gramStart"/>
      <w:r w:rsidR="005559C2" w:rsidRPr="00864513">
        <w:rPr>
          <w:rFonts w:ascii="华文楷体" w:hAnsi="华文楷体" w:hint="eastAsia"/>
          <w:sz w:val="24"/>
          <w:szCs w:val="24"/>
          <w:lang w:eastAsia="zh-CN"/>
        </w:rPr>
        <w:t>特</w:t>
      </w:r>
      <w:proofErr w:type="gramEnd"/>
      <w:r w:rsidR="005559C2" w:rsidRPr="00864513">
        <w:rPr>
          <w:rFonts w:ascii="华文楷体" w:hAnsi="华文楷体" w:hint="eastAsia"/>
          <w:sz w:val="24"/>
          <w:szCs w:val="24"/>
          <w:lang w:eastAsia="zh-CN"/>
        </w:rPr>
        <w:t>原油价格小幅回升1.23%，至39.45美元/桶，上半周油价小幅回升</w:t>
      </w:r>
      <w:r w:rsidR="00662B71" w:rsidRPr="00864513">
        <w:rPr>
          <w:rFonts w:ascii="华文楷体" w:hAnsi="华文楷体" w:hint="eastAsia"/>
          <w:sz w:val="24"/>
          <w:szCs w:val="24"/>
          <w:lang w:eastAsia="zh-CN"/>
        </w:rPr>
        <w:t>。美国大选</w:t>
      </w:r>
      <w:r w:rsidR="00864513" w:rsidRPr="00864513">
        <w:rPr>
          <w:rFonts w:ascii="华文楷体" w:hAnsi="华文楷体" w:hint="eastAsia"/>
          <w:sz w:val="24"/>
          <w:szCs w:val="24"/>
          <w:lang w:eastAsia="zh-CN"/>
        </w:rPr>
        <w:t>基本</w:t>
      </w:r>
      <w:r w:rsidR="00662B71" w:rsidRPr="00864513">
        <w:rPr>
          <w:rFonts w:ascii="华文楷体" w:hAnsi="华文楷体"/>
          <w:sz w:val="24"/>
          <w:szCs w:val="24"/>
          <w:lang w:eastAsia="zh-CN"/>
        </w:rPr>
        <w:t>结束</w:t>
      </w:r>
      <w:r w:rsidR="00864513" w:rsidRPr="00864513">
        <w:rPr>
          <w:rFonts w:ascii="华文楷体" w:hAnsi="华文楷体" w:hint="eastAsia"/>
          <w:sz w:val="24"/>
          <w:szCs w:val="24"/>
        </w:rPr>
        <w:t>民主党当选</w:t>
      </w:r>
      <w:r w:rsidR="00864513" w:rsidRPr="00864513">
        <w:rPr>
          <w:rFonts w:ascii="华文楷体" w:hAnsi="华文楷体"/>
          <w:sz w:val="24"/>
          <w:szCs w:val="24"/>
        </w:rPr>
        <w:t>，其</w:t>
      </w:r>
      <w:r w:rsidR="00864513">
        <w:rPr>
          <w:rFonts w:ascii="华文楷体" w:hAnsi="华文楷体" w:hint="eastAsia"/>
          <w:sz w:val="24"/>
          <w:szCs w:val="24"/>
          <w:lang w:eastAsia="zh-CN"/>
        </w:rPr>
        <w:t>经济</w:t>
      </w:r>
      <w:r w:rsidR="00864513" w:rsidRPr="00864513">
        <w:rPr>
          <w:rFonts w:ascii="华文楷体" w:hAnsi="华文楷体" w:hint="eastAsia"/>
          <w:sz w:val="24"/>
          <w:szCs w:val="24"/>
        </w:rPr>
        <w:t>政策</w:t>
      </w:r>
      <w:r w:rsidR="00864513">
        <w:rPr>
          <w:rFonts w:ascii="华文楷体" w:hAnsi="华文楷体" w:hint="eastAsia"/>
          <w:sz w:val="24"/>
          <w:szCs w:val="24"/>
          <w:lang w:eastAsia="zh-CN"/>
        </w:rPr>
        <w:t>支持</w:t>
      </w:r>
      <w:r w:rsidR="00864513" w:rsidRPr="00864513">
        <w:rPr>
          <w:rFonts w:ascii="华文楷体" w:hAnsi="华文楷体"/>
          <w:sz w:val="24"/>
          <w:szCs w:val="24"/>
        </w:rPr>
        <w:t>出台第二轮大规模财政刺激方案、</w:t>
      </w:r>
      <w:r w:rsidR="00864513" w:rsidRPr="00864513">
        <w:rPr>
          <w:rFonts w:ascii="华文楷体" w:hAnsi="华文楷体" w:hint="eastAsia"/>
          <w:sz w:val="24"/>
          <w:szCs w:val="24"/>
        </w:rPr>
        <w:t>重新提高美国富裕群体的所得税税率</w:t>
      </w:r>
      <w:r w:rsidR="00864513">
        <w:rPr>
          <w:rFonts w:ascii="华文楷体" w:hAnsi="华文楷体" w:hint="eastAsia"/>
          <w:sz w:val="24"/>
          <w:szCs w:val="24"/>
          <w:lang w:eastAsia="zh-CN"/>
        </w:rPr>
        <w:t>；</w:t>
      </w:r>
      <w:r w:rsidR="00864513" w:rsidRPr="00864513">
        <w:rPr>
          <w:rFonts w:ascii="华文楷体" w:hAnsi="华文楷体"/>
          <w:sz w:val="24"/>
          <w:szCs w:val="24"/>
        </w:rPr>
        <w:t>外交</w:t>
      </w:r>
      <w:r w:rsidR="00864513">
        <w:rPr>
          <w:rFonts w:ascii="华文楷体" w:hAnsi="华文楷体" w:hint="eastAsia"/>
          <w:sz w:val="24"/>
          <w:szCs w:val="24"/>
          <w:lang w:eastAsia="zh-CN"/>
        </w:rPr>
        <w:t>政策上</w:t>
      </w:r>
      <w:r w:rsidR="00864513" w:rsidRPr="00864513">
        <w:rPr>
          <w:rFonts w:ascii="华文楷体" w:hAnsi="华文楷体"/>
          <w:sz w:val="24"/>
          <w:szCs w:val="24"/>
        </w:rPr>
        <w:t>倾向于多边主义外交，</w:t>
      </w:r>
      <w:r w:rsidR="00864513" w:rsidRPr="00864513">
        <w:rPr>
          <w:rFonts w:ascii="华文楷体" w:hAnsi="华文楷体" w:hint="eastAsia"/>
          <w:sz w:val="24"/>
          <w:szCs w:val="24"/>
        </w:rPr>
        <w:t>对华</w:t>
      </w:r>
      <w:r w:rsidR="00864513" w:rsidRPr="00864513">
        <w:rPr>
          <w:rFonts w:ascii="华文楷体" w:hAnsi="华文楷体"/>
          <w:sz w:val="24"/>
          <w:szCs w:val="24"/>
        </w:rPr>
        <w:t>态度可能较特朗普时期</w:t>
      </w:r>
      <w:r w:rsidR="00864513" w:rsidRPr="00864513">
        <w:rPr>
          <w:rFonts w:ascii="华文楷体" w:hAnsi="华文楷体" w:hint="eastAsia"/>
          <w:sz w:val="24"/>
          <w:szCs w:val="24"/>
        </w:rPr>
        <w:t>适度</w:t>
      </w:r>
      <w:r w:rsidR="00864513" w:rsidRPr="00864513">
        <w:rPr>
          <w:rFonts w:ascii="华文楷体" w:hAnsi="华文楷体"/>
          <w:sz w:val="24"/>
          <w:szCs w:val="24"/>
        </w:rPr>
        <w:t>温和</w:t>
      </w:r>
      <w:r w:rsidR="00864513" w:rsidRPr="00864513">
        <w:rPr>
          <w:rFonts w:ascii="华文楷体" w:hAnsi="华文楷体" w:hint="eastAsia"/>
          <w:sz w:val="24"/>
          <w:szCs w:val="24"/>
        </w:rPr>
        <w:t>，</w:t>
      </w:r>
      <w:r w:rsidR="00864513" w:rsidRPr="00864513">
        <w:rPr>
          <w:rFonts w:ascii="华文楷体" w:hAnsi="华文楷体"/>
          <w:sz w:val="24"/>
          <w:szCs w:val="24"/>
        </w:rPr>
        <w:t>但</w:t>
      </w:r>
      <w:r w:rsidR="00864513" w:rsidRPr="00864513">
        <w:rPr>
          <w:rFonts w:ascii="华文楷体" w:hAnsi="华文楷体" w:hint="eastAsia"/>
          <w:sz w:val="24"/>
          <w:szCs w:val="24"/>
        </w:rPr>
        <w:t>在高科技领域打压中国企业、竭力与中国“脱钩”的方向很可能不会改变</w:t>
      </w:r>
      <w:r w:rsidR="00864513" w:rsidRPr="00864513">
        <w:rPr>
          <w:rFonts w:ascii="华文楷体" w:hAnsi="华文楷体"/>
          <w:sz w:val="24"/>
          <w:szCs w:val="24"/>
        </w:rPr>
        <w:t>。</w:t>
      </w:r>
      <w:r w:rsidR="00864513">
        <w:rPr>
          <w:rFonts w:ascii="华文楷体" w:hAnsi="华文楷体" w:hint="eastAsia"/>
          <w:bCs/>
          <w:sz w:val="24"/>
          <w:szCs w:val="24"/>
          <w:lang w:eastAsia="zh-CN"/>
        </w:rPr>
        <w:t>民主党</w:t>
      </w:r>
      <w:r w:rsidR="00662B71">
        <w:rPr>
          <w:rFonts w:ascii="华文楷体" w:hAnsi="华文楷体" w:hint="eastAsia"/>
          <w:bCs/>
          <w:sz w:val="24"/>
          <w:szCs w:val="24"/>
          <w:lang w:eastAsia="zh-CN"/>
        </w:rPr>
        <w:t>当选</w:t>
      </w:r>
      <w:r w:rsidR="00662B71" w:rsidRPr="00662B71">
        <w:rPr>
          <w:rFonts w:ascii="华文楷体" w:hAnsi="华文楷体" w:hint="eastAsia"/>
          <w:bCs/>
          <w:sz w:val="24"/>
          <w:szCs w:val="24"/>
          <w:lang w:eastAsia="zh-CN"/>
        </w:rPr>
        <w:t>叠加美元指数明显回落带动国际有色价格回升。海外价格来看，LME铜、铝、铅、</w:t>
      </w:r>
      <w:proofErr w:type="gramStart"/>
      <w:r w:rsidR="00662B71" w:rsidRPr="00662B71">
        <w:rPr>
          <w:rFonts w:ascii="华文楷体" w:hAnsi="华文楷体" w:hint="eastAsia"/>
          <w:bCs/>
          <w:sz w:val="24"/>
          <w:szCs w:val="24"/>
          <w:lang w:eastAsia="zh-CN"/>
        </w:rPr>
        <w:t>锌较上</w:t>
      </w:r>
      <w:proofErr w:type="gramEnd"/>
      <w:r w:rsidR="00662B71" w:rsidRPr="00662B71">
        <w:rPr>
          <w:rFonts w:ascii="华文楷体" w:hAnsi="华文楷体" w:hint="eastAsia"/>
          <w:bCs/>
          <w:sz w:val="24"/>
          <w:szCs w:val="24"/>
          <w:lang w:eastAsia="zh-CN"/>
        </w:rPr>
        <w:t>周环比变化分别为0.32%、3.26%、1.51%、1.33%，均有所上涨。</w:t>
      </w:r>
      <w:r w:rsidR="00864513" w:rsidRPr="00864513">
        <w:rPr>
          <w:rFonts w:ascii="华文楷体" w:hAnsi="华文楷体" w:hint="eastAsia"/>
          <w:bCs/>
          <w:sz w:val="24"/>
          <w:szCs w:val="24"/>
          <w:lang w:eastAsia="zh-CN"/>
        </w:rPr>
        <w:t>市场预期2021年年初美国政府将通过第二轮大规模财政刺激方案，这将会提振2021年美国经济增速预期。预计美联储2021年仍将维持零利率与量化宽松政策。美元指数走势仍具不确定性，关键看</w:t>
      </w:r>
      <w:r w:rsidR="00864513">
        <w:rPr>
          <w:rFonts w:ascii="华文楷体" w:hAnsi="华文楷体" w:hint="eastAsia"/>
          <w:bCs/>
          <w:sz w:val="24"/>
          <w:szCs w:val="24"/>
          <w:lang w:eastAsia="zh-CN"/>
        </w:rPr>
        <w:t>海外</w:t>
      </w:r>
      <w:r w:rsidR="00864513" w:rsidRPr="00864513">
        <w:rPr>
          <w:rFonts w:ascii="华文楷体" w:hAnsi="华文楷体" w:hint="eastAsia"/>
          <w:bCs/>
          <w:sz w:val="24"/>
          <w:szCs w:val="24"/>
          <w:lang w:eastAsia="zh-CN"/>
        </w:rPr>
        <w:t>能否控制住疫情的二次爆发，以及2021年欧元区经济</w:t>
      </w:r>
      <w:r w:rsidR="00864513">
        <w:rPr>
          <w:rFonts w:ascii="华文楷体" w:hAnsi="华文楷体" w:hint="eastAsia"/>
          <w:bCs/>
          <w:sz w:val="24"/>
          <w:szCs w:val="24"/>
          <w:lang w:eastAsia="zh-CN"/>
        </w:rPr>
        <w:t>表现情况</w:t>
      </w:r>
      <w:r w:rsidR="00864513" w:rsidRPr="00864513">
        <w:rPr>
          <w:rFonts w:ascii="华文楷体" w:hAnsi="华文楷体" w:hint="eastAsia"/>
          <w:bCs/>
          <w:sz w:val="24"/>
          <w:szCs w:val="24"/>
          <w:lang w:eastAsia="zh-CN"/>
        </w:rPr>
        <w:t>。</w:t>
      </w:r>
    </w:p>
    <w:p w14:paraId="6197476A" w14:textId="4D0232F0" w:rsidR="00A058AB" w:rsidRDefault="00A058AB" w:rsidP="00F07541">
      <w:pPr>
        <w:pStyle w:val="Body-text"/>
        <w:ind w:firstLineChars="200" w:firstLine="480"/>
        <w:rPr>
          <w:rFonts w:ascii="华文楷体" w:hAnsi="华文楷体"/>
          <w:bCs/>
          <w:sz w:val="24"/>
          <w:szCs w:val="24"/>
          <w:lang w:eastAsia="zh-CN"/>
        </w:rPr>
      </w:pPr>
      <w:r w:rsidRPr="00C866C2">
        <w:rPr>
          <w:rFonts w:ascii="华文楷体" w:hAnsi="华文楷体" w:hint="eastAsia"/>
          <w:b/>
          <w:bCs/>
          <w:sz w:val="24"/>
          <w:szCs w:val="24"/>
          <w:lang w:eastAsia="zh-CN"/>
        </w:rPr>
        <w:t>下周</w:t>
      </w:r>
      <w:r>
        <w:rPr>
          <w:rFonts w:ascii="华文楷体" w:hAnsi="华文楷体" w:hint="eastAsia"/>
          <w:b/>
          <w:bCs/>
          <w:sz w:val="24"/>
          <w:szCs w:val="24"/>
          <w:lang w:eastAsia="zh-CN"/>
        </w:rPr>
        <w:t>关注</w:t>
      </w:r>
      <w:r>
        <w:rPr>
          <w:rFonts w:ascii="华文楷体" w:hAnsi="华文楷体" w:hint="eastAsia"/>
          <w:bCs/>
          <w:sz w:val="24"/>
          <w:szCs w:val="24"/>
          <w:lang w:eastAsia="zh-CN"/>
        </w:rPr>
        <w:t>：</w:t>
      </w:r>
      <w:r w:rsidR="00662B71">
        <w:rPr>
          <w:rFonts w:ascii="华文楷体" w:hAnsi="华文楷体" w:hint="eastAsia"/>
          <w:bCs/>
          <w:sz w:val="24"/>
          <w:szCs w:val="24"/>
          <w:lang w:eastAsia="zh-CN"/>
        </w:rPr>
        <w:t>1</w:t>
      </w:r>
      <w:r w:rsidR="00662B71">
        <w:rPr>
          <w:rFonts w:ascii="华文楷体" w:hAnsi="华文楷体"/>
          <w:bCs/>
          <w:sz w:val="24"/>
          <w:szCs w:val="24"/>
          <w:lang w:eastAsia="zh-CN"/>
        </w:rPr>
        <w:t>0</w:t>
      </w:r>
      <w:r w:rsidR="00662B71">
        <w:rPr>
          <w:rFonts w:ascii="华文楷体" w:hAnsi="华文楷体" w:hint="eastAsia"/>
          <w:bCs/>
          <w:sz w:val="24"/>
          <w:szCs w:val="24"/>
          <w:lang w:eastAsia="zh-CN"/>
        </w:rPr>
        <w:t>月</w:t>
      </w:r>
      <w:r w:rsidR="00662B71">
        <w:rPr>
          <w:rFonts w:ascii="华文楷体" w:hAnsi="华文楷体"/>
          <w:bCs/>
          <w:sz w:val="24"/>
          <w:szCs w:val="24"/>
          <w:lang w:eastAsia="zh-CN"/>
        </w:rPr>
        <w:t>通胀数据、金融数据</w:t>
      </w:r>
    </w:p>
    <w:p w14:paraId="6868F481" w14:textId="77777777" w:rsidR="00662B71" w:rsidRPr="00662B71" w:rsidRDefault="00662B71" w:rsidP="00F07541">
      <w:pPr>
        <w:pStyle w:val="Body-text"/>
        <w:ind w:firstLineChars="200" w:firstLine="480"/>
        <w:rPr>
          <w:rFonts w:ascii="华文楷体" w:hAnsi="华文楷体"/>
          <w:bCs/>
          <w:sz w:val="24"/>
          <w:szCs w:val="24"/>
          <w:lang w:eastAsia="zh-CN"/>
        </w:rPr>
      </w:pPr>
    </w:p>
    <w:bookmarkEnd w:id="2"/>
    <w:p w14:paraId="07860EC8" w14:textId="41BD2FBB" w:rsidR="00FF7903" w:rsidRPr="00884635" w:rsidRDefault="00FF7903" w:rsidP="009A2BA0">
      <w:pPr>
        <w:pStyle w:val="Header2"/>
        <w:spacing w:before="120"/>
        <w:rPr>
          <w:rFonts w:eastAsia="PMingLiU"/>
          <w:sz w:val="28"/>
          <w:szCs w:val="21"/>
          <w:lang w:eastAsia="zh-CN"/>
        </w:rPr>
      </w:pPr>
      <w:r>
        <w:rPr>
          <w:sz w:val="28"/>
          <w:szCs w:val="21"/>
          <w:lang w:eastAsia="zh-CN"/>
        </w:rPr>
        <w:t>2</w:t>
      </w:r>
      <w:r>
        <w:rPr>
          <w:rFonts w:hint="eastAsia"/>
          <w:sz w:val="28"/>
          <w:szCs w:val="21"/>
          <w:lang w:eastAsia="zh-CN"/>
        </w:rPr>
        <w:t>、</w:t>
      </w:r>
      <w:r w:rsidR="008125E2">
        <w:rPr>
          <w:rFonts w:hint="eastAsia"/>
          <w:sz w:val="28"/>
          <w:szCs w:val="21"/>
          <w:lang w:eastAsia="zh-CN"/>
        </w:rPr>
        <w:t>下周</w:t>
      </w:r>
      <w:r w:rsidR="00E0626C">
        <w:rPr>
          <w:rFonts w:hint="eastAsia"/>
          <w:sz w:val="28"/>
          <w:szCs w:val="21"/>
          <w:lang w:eastAsia="zh-CN"/>
        </w:rPr>
        <w:t>债市</w:t>
      </w:r>
      <w:r w:rsidR="00EE070C">
        <w:rPr>
          <w:rFonts w:hint="eastAsia"/>
          <w:sz w:val="28"/>
          <w:szCs w:val="21"/>
          <w:lang w:eastAsia="zh-CN"/>
        </w:rPr>
        <w:t>判断</w:t>
      </w:r>
    </w:p>
    <w:p w14:paraId="20D668B7" w14:textId="22DAE284" w:rsidR="006145DE" w:rsidRDefault="006B204A" w:rsidP="00DB220D">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利率债：</w:t>
      </w:r>
      <w:r w:rsidR="009A6737" w:rsidRPr="009A6737">
        <w:rPr>
          <w:rFonts w:ascii="华文楷体" w:hAnsi="华文楷体" w:hint="eastAsia"/>
          <w:sz w:val="24"/>
          <w:szCs w:val="24"/>
          <w:lang w:eastAsia="zh-CN"/>
        </w:rPr>
        <w:t>基本面处于持续修复过程中，市场对数据预期相对较充分，短期看缺少明显的预期差刺激。本周将公布通胀和金融数据，明年通胀拐点可能逐步进入市场关注。</w:t>
      </w:r>
      <w:r w:rsidR="00CB6184" w:rsidRPr="00CB6184">
        <w:rPr>
          <w:rFonts w:ascii="华文楷体" w:hAnsi="华文楷体" w:hint="eastAsia"/>
          <w:sz w:val="24"/>
          <w:szCs w:val="24"/>
          <w:lang w:eastAsia="zh-CN"/>
        </w:rPr>
        <w:t>海外选情落定后债市定价更加注重国内基本面和资金面，趋势上整体仍偏利空，财政存款的投放和银行</w:t>
      </w:r>
      <w:proofErr w:type="gramStart"/>
      <w:r w:rsidR="00CB6184" w:rsidRPr="00CB6184">
        <w:rPr>
          <w:rFonts w:ascii="华文楷体" w:hAnsi="华文楷体" w:hint="eastAsia"/>
          <w:sz w:val="24"/>
          <w:szCs w:val="24"/>
          <w:lang w:eastAsia="zh-CN"/>
        </w:rPr>
        <w:t>负债端调结构</w:t>
      </w:r>
      <w:proofErr w:type="gramEnd"/>
      <w:r w:rsidR="00CB6184" w:rsidRPr="00CB6184">
        <w:rPr>
          <w:rFonts w:ascii="华文楷体" w:hAnsi="华文楷体" w:hint="eastAsia"/>
          <w:sz w:val="24"/>
          <w:szCs w:val="24"/>
          <w:lang w:eastAsia="zh-CN"/>
        </w:rPr>
        <w:t>的双向影响下，资金面预计仍旧紧平衡，存单价格预计在高位震荡的概率偏高。</w:t>
      </w:r>
      <w:r w:rsidR="00CB6184">
        <w:rPr>
          <w:rFonts w:ascii="华文楷体" w:hAnsi="华文楷体" w:hint="eastAsia"/>
          <w:sz w:val="24"/>
          <w:szCs w:val="24"/>
          <w:lang w:eastAsia="zh-CN"/>
        </w:rPr>
        <w:t>市场策略上，仍维持前期基调为主，适度参与市场博弈，策略整体相对审慎。</w:t>
      </w:r>
    </w:p>
    <w:p w14:paraId="0ACDEEF4" w14:textId="3A4F3F8C" w:rsidR="00C505BD" w:rsidRDefault="00C505BD" w:rsidP="00C505BD">
      <w:pPr>
        <w:pStyle w:val="Body-text"/>
        <w:spacing w:after="240"/>
        <w:ind w:firstLineChars="200" w:firstLine="480"/>
        <w:rPr>
          <w:rFonts w:ascii="华文楷体" w:hAnsi="华文楷体"/>
          <w:sz w:val="24"/>
          <w:szCs w:val="24"/>
          <w:lang w:eastAsia="zh-CN"/>
        </w:rPr>
      </w:pPr>
      <w:r w:rsidRPr="00C505BD">
        <w:rPr>
          <w:rFonts w:ascii="华文楷体" w:hAnsi="华文楷体" w:hint="eastAsia"/>
          <w:sz w:val="24"/>
          <w:szCs w:val="24"/>
          <w:lang w:eastAsia="zh-CN"/>
        </w:rPr>
        <w:t>信用</w:t>
      </w:r>
      <w:r>
        <w:rPr>
          <w:rFonts w:ascii="华文楷体" w:hAnsi="华文楷体" w:hint="eastAsia"/>
          <w:sz w:val="24"/>
          <w:szCs w:val="24"/>
          <w:lang w:eastAsia="zh-CN"/>
        </w:rPr>
        <w:t>债：</w:t>
      </w:r>
      <w:r w:rsidR="009A6737" w:rsidRPr="009A6737">
        <w:rPr>
          <w:rFonts w:ascii="华文楷体" w:hAnsi="华文楷体" w:hint="eastAsia"/>
          <w:sz w:val="24"/>
          <w:szCs w:val="24"/>
          <w:lang w:eastAsia="zh-CN"/>
        </w:rPr>
        <w:t>信用</w:t>
      </w:r>
      <w:proofErr w:type="gramStart"/>
      <w:r w:rsidR="009A6737" w:rsidRPr="009A6737">
        <w:rPr>
          <w:rFonts w:ascii="华文楷体" w:hAnsi="华文楷体" w:hint="eastAsia"/>
          <w:sz w:val="24"/>
          <w:szCs w:val="24"/>
          <w:lang w:eastAsia="zh-CN"/>
        </w:rPr>
        <w:t>债情绪</w:t>
      </w:r>
      <w:proofErr w:type="gramEnd"/>
      <w:r w:rsidR="009A6737" w:rsidRPr="009A6737">
        <w:rPr>
          <w:rFonts w:ascii="华文楷体" w:hAnsi="华文楷体" w:hint="eastAsia"/>
          <w:sz w:val="24"/>
          <w:szCs w:val="24"/>
          <w:lang w:eastAsia="zh-CN"/>
        </w:rPr>
        <w:t>持续较好,仍坚持挖掘行业和个</w:t>
      </w:r>
      <w:proofErr w:type="gramStart"/>
      <w:r w:rsidR="009A6737" w:rsidRPr="009A6737">
        <w:rPr>
          <w:rFonts w:ascii="华文楷体" w:hAnsi="华文楷体" w:hint="eastAsia"/>
          <w:sz w:val="24"/>
          <w:szCs w:val="24"/>
          <w:lang w:eastAsia="zh-CN"/>
        </w:rPr>
        <w:t>券</w:t>
      </w:r>
      <w:proofErr w:type="gramEnd"/>
      <w:r w:rsidR="009A6737" w:rsidRPr="009A6737">
        <w:rPr>
          <w:rFonts w:ascii="华文楷体" w:hAnsi="华文楷体" w:hint="eastAsia"/>
          <w:sz w:val="24"/>
          <w:szCs w:val="24"/>
          <w:lang w:eastAsia="zh-CN"/>
        </w:rPr>
        <w:t>机会为主，关注绝对收益价值配置为主</w:t>
      </w:r>
      <w:r w:rsidR="009A6737">
        <w:rPr>
          <w:rFonts w:ascii="华文楷体" w:hAnsi="华文楷体" w:hint="eastAsia"/>
          <w:sz w:val="24"/>
          <w:szCs w:val="24"/>
          <w:lang w:eastAsia="zh-CN"/>
        </w:rPr>
        <w:t>，资金</w:t>
      </w:r>
      <w:r w:rsidR="009A6737">
        <w:rPr>
          <w:rFonts w:ascii="华文楷体" w:hAnsi="华文楷体"/>
          <w:sz w:val="24"/>
          <w:szCs w:val="24"/>
          <w:lang w:eastAsia="zh-CN"/>
        </w:rPr>
        <w:t>平稳过程中，信用债和利率</w:t>
      </w:r>
      <w:r w:rsidR="009A6737">
        <w:rPr>
          <w:rFonts w:ascii="华文楷体" w:hAnsi="华文楷体" w:hint="eastAsia"/>
          <w:sz w:val="24"/>
          <w:szCs w:val="24"/>
          <w:lang w:eastAsia="zh-CN"/>
        </w:rPr>
        <w:t>债表现</w:t>
      </w:r>
      <w:r w:rsidR="009A6737">
        <w:rPr>
          <w:rFonts w:ascii="华文楷体" w:hAnsi="华文楷体"/>
          <w:sz w:val="24"/>
          <w:szCs w:val="24"/>
          <w:lang w:eastAsia="zh-CN"/>
        </w:rPr>
        <w:t>有一点轮动迹象，</w:t>
      </w:r>
      <w:r w:rsidR="009A6737">
        <w:rPr>
          <w:rFonts w:ascii="华文楷体" w:hAnsi="华文楷体" w:hint="eastAsia"/>
          <w:sz w:val="24"/>
          <w:szCs w:val="24"/>
          <w:lang w:eastAsia="zh-CN"/>
        </w:rPr>
        <w:t>近几周市场</w:t>
      </w:r>
      <w:r w:rsidR="009A6737">
        <w:rPr>
          <w:rFonts w:ascii="华文楷体" w:hAnsi="华文楷体"/>
          <w:sz w:val="24"/>
          <w:szCs w:val="24"/>
          <w:lang w:eastAsia="zh-CN"/>
        </w:rPr>
        <w:t>表现</w:t>
      </w:r>
      <w:r w:rsidR="009A6737">
        <w:rPr>
          <w:rFonts w:ascii="华文楷体" w:hAnsi="华文楷体" w:hint="eastAsia"/>
          <w:sz w:val="24"/>
          <w:szCs w:val="24"/>
          <w:lang w:eastAsia="zh-CN"/>
        </w:rPr>
        <w:t>有些</w:t>
      </w:r>
      <w:r w:rsidR="009A6737">
        <w:rPr>
          <w:rFonts w:ascii="华文楷体" w:hAnsi="华文楷体"/>
          <w:sz w:val="24"/>
          <w:szCs w:val="24"/>
          <w:lang w:eastAsia="zh-CN"/>
        </w:rPr>
        <w:t>“此消彼长</w:t>
      </w:r>
      <w:r w:rsidR="009A6737">
        <w:rPr>
          <w:rFonts w:ascii="华文楷体" w:hAnsi="华文楷体" w:hint="eastAsia"/>
          <w:sz w:val="24"/>
          <w:szCs w:val="24"/>
          <w:lang w:eastAsia="zh-CN"/>
        </w:rPr>
        <w:t>”</w:t>
      </w:r>
      <w:r w:rsidR="009A6737" w:rsidRPr="009A6737">
        <w:rPr>
          <w:rFonts w:ascii="华文楷体" w:hAnsi="华文楷体" w:hint="eastAsia"/>
          <w:sz w:val="24"/>
          <w:szCs w:val="24"/>
          <w:lang w:eastAsia="zh-CN"/>
        </w:rPr>
        <w:t>。市场策略方面，过剩行业头部、基建投资和城</w:t>
      </w:r>
      <w:proofErr w:type="gramStart"/>
      <w:r w:rsidR="009A6737" w:rsidRPr="009A6737">
        <w:rPr>
          <w:rFonts w:ascii="华文楷体" w:hAnsi="华文楷体" w:hint="eastAsia"/>
          <w:sz w:val="24"/>
          <w:szCs w:val="24"/>
          <w:lang w:eastAsia="zh-CN"/>
        </w:rPr>
        <w:t>投相关</w:t>
      </w:r>
      <w:proofErr w:type="gramEnd"/>
      <w:r w:rsidR="009A6737" w:rsidRPr="009A6737">
        <w:rPr>
          <w:rFonts w:ascii="华文楷体" w:hAnsi="华文楷体" w:hint="eastAsia"/>
          <w:sz w:val="24"/>
          <w:szCs w:val="24"/>
          <w:lang w:eastAsia="zh-CN"/>
        </w:rPr>
        <w:t>品种持续受到市场较高关注，城</w:t>
      </w:r>
      <w:proofErr w:type="gramStart"/>
      <w:r w:rsidR="009A6737" w:rsidRPr="009A6737">
        <w:rPr>
          <w:rFonts w:ascii="华文楷体" w:hAnsi="华文楷体" w:hint="eastAsia"/>
          <w:sz w:val="24"/>
          <w:szCs w:val="24"/>
          <w:lang w:eastAsia="zh-CN"/>
        </w:rPr>
        <w:t>投债继续</w:t>
      </w:r>
      <w:proofErr w:type="gramEnd"/>
      <w:r w:rsidR="009A6737" w:rsidRPr="009A6737">
        <w:rPr>
          <w:rFonts w:ascii="华文楷体" w:hAnsi="华文楷体" w:hint="eastAsia"/>
          <w:sz w:val="24"/>
          <w:szCs w:val="24"/>
          <w:lang w:eastAsia="zh-CN"/>
        </w:rPr>
        <w:t>挖掘区域机会。继续关注政策影响更突出的行业和区域，票息策略为主，信用资质不建议过度下沉。</w:t>
      </w:r>
    </w:p>
    <w:p w14:paraId="4A341EEC" w14:textId="7CD6FD6E" w:rsidR="00726802" w:rsidRDefault="00C505BD" w:rsidP="00C505BD">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可转债：</w:t>
      </w:r>
      <w:r w:rsidR="009A6737" w:rsidRPr="009A6737">
        <w:rPr>
          <w:rFonts w:ascii="华文楷体" w:hAnsi="华文楷体" w:hint="eastAsia"/>
          <w:sz w:val="24"/>
          <w:szCs w:val="24"/>
          <w:lang w:eastAsia="zh-CN"/>
        </w:rPr>
        <w:t>权益市场近期修复较大，民主党获胜的消息对全球风险资产价格起到了短期提振作用，回归A股市场交易方面仍需注重安全边际，</w:t>
      </w:r>
      <w:r w:rsidR="00CB6184" w:rsidRPr="00CB6184">
        <w:rPr>
          <w:rFonts w:ascii="华文楷体" w:hAnsi="华文楷体" w:hint="eastAsia"/>
          <w:sz w:val="24"/>
          <w:szCs w:val="24"/>
          <w:lang w:eastAsia="zh-CN"/>
        </w:rPr>
        <w:t>股债翘翘板效应短期仍将上演，但年前海内外没有重大实质性政策出台前各自窄幅震荡的空间预计不大。</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77CEE22B" w14:textId="77777777" w:rsidTr="00691BC8">
        <w:trPr>
          <w:jc w:val="center"/>
        </w:trPr>
        <w:tc>
          <w:tcPr>
            <w:tcW w:w="4939" w:type="dxa"/>
            <w:vAlign w:val="center"/>
          </w:tcPr>
          <w:p w14:paraId="50E52AA0" w14:textId="4EF9A75B" w:rsidR="001D35B3" w:rsidRPr="006A5F34" w:rsidRDefault="001D35B3" w:rsidP="003373AF">
            <w:pPr>
              <w:pStyle w:val="ChartHeading"/>
              <w:jc w:val="both"/>
            </w:pPr>
            <w:r w:rsidRPr="006A5F34">
              <w:rPr>
                <w:rFonts w:hint="eastAsia"/>
              </w:rPr>
              <w:t>图表</w:t>
            </w:r>
            <w:r w:rsidRPr="006A5F34">
              <w:t>.</w:t>
            </w:r>
            <w:r w:rsidR="00B0481D">
              <w:rPr>
                <w:rFonts w:hint="eastAsia"/>
              </w:rPr>
              <w:t xml:space="preserve"> </w:t>
            </w:r>
            <w:r w:rsidR="00F31C58">
              <w:rPr>
                <w:rFonts w:hint="eastAsia"/>
              </w:rPr>
              <w:t>钢铁社会库存继续下行</w:t>
            </w:r>
          </w:p>
        </w:tc>
        <w:tc>
          <w:tcPr>
            <w:tcW w:w="4938" w:type="dxa"/>
            <w:vAlign w:val="center"/>
          </w:tcPr>
          <w:p w14:paraId="02A10F26" w14:textId="5FD0E9D3" w:rsidR="001D35B3" w:rsidRPr="006A5F34" w:rsidRDefault="001D35B3" w:rsidP="00F31C58">
            <w:pPr>
              <w:pStyle w:val="ChartHeading"/>
              <w:jc w:val="both"/>
            </w:pPr>
            <w:r w:rsidRPr="006A5F34">
              <w:rPr>
                <w:rFonts w:hint="eastAsia"/>
              </w:rPr>
              <w:t>图表</w:t>
            </w:r>
            <w:r w:rsidRPr="006A5F34">
              <w:t xml:space="preserve">. </w:t>
            </w:r>
            <w:r w:rsidR="0063192C">
              <w:rPr>
                <w:rFonts w:hint="eastAsia"/>
              </w:rPr>
              <w:t>水泥价格</w:t>
            </w:r>
            <w:r w:rsidR="00F31C58">
              <w:rPr>
                <w:rFonts w:hint="eastAsia"/>
              </w:rPr>
              <w:t>小幅</w:t>
            </w:r>
            <w:r w:rsidR="00F31C58">
              <w:t>上行</w:t>
            </w:r>
          </w:p>
        </w:tc>
      </w:tr>
      <w:tr w:rsidR="001D35B3" w:rsidRPr="006A5F34" w14:paraId="205667F1" w14:textId="77777777" w:rsidTr="00F31C58">
        <w:tblPrEx>
          <w:tblCellMar>
            <w:left w:w="108" w:type="dxa"/>
            <w:right w:w="108" w:type="dxa"/>
          </w:tblCellMar>
        </w:tblPrEx>
        <w:trPr>
          <w:jc w:val="center"/>
        </w:trPr>
        <w:tc>
          <w:tcPr>
            <w:tcW w:w="4939" w:type="dxa"/>
            <w:vAlign w:val="center"/>
          </w:tcPr>
          <w:p w14:paraId="56C782C2" w14:textId="6C5E10D4" w:rsidR="001D35B3" w:rsidRPr="007E0340" w:rsidRDefault="00F31C58" w:rsidP="009A2BA0">
            <w:pPr>
              <w:jc w:val="center"/>
              <w:rPr>
                <w:noProof/>
              </w:rPr>
            </w:pPr>
            <w:r>
              <w:rPr>
                <w:noProof/>
              </w:rPr>
              <w:drawing>
                <wp:inline distT="0" distB="0" distL="0" distR="0" wp14:anchorId="6FB892E4" wp14:editId="0A54F862">
                  <wp:extent cx="2999105" cy="1744980"/>
                  <wp:effectExtent l="0" t="0" r="0" b="7620"/>
                  <wp:docPr id="10" name="图表 10">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15FA93D9-8C05-4E2B-A687-2CBAF156C54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tc>
        <w:tc>
          <w:tcPr>
            <w:tcW w:w="4938" w:type="dxa"/>
            <w:vAlign w:val="center"/>
          </w:tcPr>
          <w:p w14:paraId="3EF0360D" w14:textId="5C1A38D7" w:rsidR="001D35B3" w:rsidRPr="007E0340" w:rsidRDefault="00F31C58" w:rsidP="009A2BA0">
            <w:pPr>
              <w:jc w:val="center"/>
              <w:rPr>
                <w:noProof/>
                <w:szCs w:val="18"/>
              </w:rPr>
            </w:pPr>
            <w:r>
              <w:rPr>
                <w:noProof/>
              </w:rPr>
              <w:drawing>
                <wp:inline distT="0" distB="0" distL="0" distR="0" wp14:anchorId="75036B97" wp14:editId="7FD2CC13">
                  <wp:extent cx="2998470" cy="1674965"/>
                  <wp:effectExtent l="0" t="0" r="0" b="1905"/>
                  <wp:docPr id="13" name="图表 13">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A3DBB6E3-9ABD-415D-BFD7-E1639320304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tc>
      </w:tr>
      <w:tr w:rsidR="001D35B3" w:rsidRPr="006A5F34" w14:paraId="1C5ED951" w14:textId="77777777" w:rsidTr="00691BC8">
        <w:trPr>
          <w:trHeight w:val="64"/>
          <w:jc w:val="center"/>
        </w:trPr>
        <w:tc>
          <w:tcPr>
            <w:tcW w:w="4939" w:type="dxa"/>
            <w:vAlign w:val="center"/>
          </w:tcPr>
          <w:p w14:paraId="2DDE4C8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442A0DC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3F047F4" w14:textId="77777777" w:rsidR="001D35B3" w:rsidRDefault="001D35B3" w:rsidP="009A2BA0">
      <w:pPr>
        <w:pStyle w:val="Body-text"/>
        <w:spacing w:after="0"/>
        <w:rPr>
          <w:lang w:eastAsia="zh-CN"/>
        </w:rPr>
      </w:pP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3D734F0A" w14:textId="77777777" w:rsidTr="00691BC8">
        <w:trPr>
          <w:jc w:val="center"/>
        </w:trPr>
        <w:tc>
          <w:tcPr>
            <w:tcW w:w="4939" w:type="dxa"/>
            <w:vAlign w:val="center"/>
          </w:tcPr>
          <w:p w14:paraId="7405388D" w14:textId="792C131C" w:rsidR="001D35B3" w:rsidRPr="006A5F34" w:rsidRDefault="001D35B3" w:rsidP="00F31C58">
            <w:pPr>
              <w:pStyle w:val="ChartHeading"/>
              <w:jc w:val="both"/>
            </w:pPr>
            <w:r w:rsidRPr="006A5F34">
              <w:rPr>
                <w:rFonts w:hint="eastAsia"/>
              </w:rPr>
              <w:lastRenderedPageBreak/>
              <w:t>图表</w:t>
            </w:r>
            <w:r w:rsidRPr="006A5F34">
              <w:t>.</w:t>
            </w:r>
            <w:r>
              <w:t xml:space="preserve"> </w:t>
            </w:r>
            <w:r w:rsidR="0063192C">
              <w:t>4</w:t>
            </w:r>
            <w:r w:rsidR="0063192C">
              <w:rPr>
                <w:rFonts w:hint="eastAsia"/>
              </w:rPr>
              <w:t>月上旬</w:t>
            </w:r>
            <w:r w:rsidR="000465B1">
              <w:rPr>
                <w:rFonts w:hint="eastAsia"/>
              </w:rPr>
              <w:t>乘用车零售</w:t>
            </w:r>
            <w:r w:rsidR="00F31C58">
              <w:rPr>
                <w:rFonts w:hint="eastAsia"/>
              </w:rPr>
              <w:t>表现</w:t>
            </w:r>
            <w:r w:rsidR="00F31C58">
              <w:t>较好</w:t>
            </w:r>
          </w:p>
        </w:tc>
        <w:tc>
          <w:tcPr>
            <w:tcW w:w="4938" w:type="dxa"/>
            <w:vAlign w:val="center"/>
          </w:tcPr>
          <w:p w14:paraId="07575C0F" w14:textId="6A648169" w:rsidR="001D35B3" w:rsidRPr="006A5F34" w:rsidRDefault="001D35B3" w:rsidP="00F31C58">
            <w:pPr>
              <w:pStyle w:val="ChartHeading"/>
              <w:jc w:val="both"/>
            </w:pPr>
            <w:r w:rsidRPr="006A5F34">
              <w:rPr>
                <w:rFonts w:hint="eastAsia"/>
              </w:rPr>
              <w:t>图表</w:t>
            </w:r>
            <w:r w:rsidRPr="006A5F34">
              <w:t xml:space="preserve">. </w:t>
            </w:r>
            <w:r w:rsidR="00F31C58">
              <w:rPr>
                <w:rFonts w:hint="eastAsia"/>
              </w:rPr>
              <w:t>猪肉</w:t>
            </w:r>
            <w:r w:rsidR="00F31C58">
              <w:t>价格</w:t>
            </w:r>
            <w:r w:rsidR="00F31C58">
              <w:rPr>
                <w:rFonts w:hint="eastAsia"/>
              </w:rPr>
              <w:t>走稳</w:t>
            </w:r>
            <w:r w:rsidR="00F31C58">
              <w:t>小幅上行</w:t>
            </w:r>
          </w:p>
        </w:tc>
      </w:tr>
      <w:tr w:rsidR="001D35B3" w:rsidRPr="006A5F34" w14:paraId="49BBD33E" w14:textId="77777777" w:rsidTr="00F31C58">
        <w:tblPrEx>
          <w:tblCellMar>
            <w:left w:w="108" w:type="dxa"/>
            <w:right w:w="108" w:type="dxa"/>
          </w:tblCellMar>
        </w:tblPrEx>
        <w:trPr>
          <w:jc w:val="center"/>
        </w:trPr>
        <w:tc>
          <w:tcPr>
            <w:tcW w:w="4939" w:type="dxa"/>
            <w:vAlign w:val="center"/>
          </w:tcPr>
          <w:p w14:paraId="0BAC1731" w14:textId="29ECAC52" w:rsidR="001D35B3" w:rsidRPr="007E0340" w:rsidRDefault="00F31C58" w:rsidP="009A2BA0">
            <w:pPr>
              <w:jc w:val="center"/>
              <w:rPr>
                <w:noProof/>
              </w:rPr>
            </w:pPr>
            <w:r>
              <w:rPr>
                <w:noProof/>
              </w:rPr>
              <w:drawing>
                <wp:inline distT="0" distB="0" distL="0" distR="0" wp14:anchorId="779B8241" wp14:editId="6A8A0F55">
                  <wp:extent cx="2999105" cy="1667041"/>
                  <wp:effectExtent l="0" t="0" r="0" b="0"/>
                  <wp:docPr id="14" name="图表 14">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A28E3BCC-0192-470D-AD24-090DE495D2A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tc>
        <w:tc>
          <w:tcPr>
            <w:tcW w:w="4938" w:type="dxa"/>
            <w:vAlign w:val="center"/>
          </w:tcPr>
          <w:p w14:paraId="64025D22" w14:textId="01DD75A0" w:rsidR="001D35B3" w:rsidRPr="007E0340" w:rsidRDefault="00F31C58" w:rsidP="009A2BA0">
            <w:pPr>
              <w:jc w:val="center"/>
              <w:rPr>
                <w:noProof/>
                <w:szCs w:val="18"/>
              </w:rPr>
            </w:pPr>
            <w:r w:rsidRPr="00F31C58">
              <w:rPr>
                <w:noProof/>
                <w:sz w:val="15"/>
              </w:rPr>
              <w:drawing>
                <wp:inline distT="0" distB="0" distL="0" distR="0" wp14:anchorId="27F62503" wp14:editId="16EE6582">
                  <wp:extent cx="2998470" cy="1679575"/>
                  <wp:effectExtent l="0" t="0" r="0" b="0"/>
                  <wp:docPr id="15" name="图表 15">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DA72CBC7-1832-4D6D-A171-B4B2DFB9025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tc>
      </w:tr>
      <w:tr w:rsidR="001D35B3" w:rsidRPr="006A5F34" w14:paraId="2929BCA6" w14:textId="77777777" w:rsidTr="00691BC8">
        <w:trPr>
          <w:trHeight w:val="64"/>
          <w:jc w:val="center"/>
        </w:trPr>
        <w:tc>
          <w:tcPr>
            <w:tcW w:w="4939" w:type="dxa"/>
            <w:vAlign w:val="center"/>
          </w:tcPr>
          <w:p w14:paraId="45A3CEF6"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8477A40"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2243C4C4" w14:textId="72538FC9" w:rsidR="004E02E2" w:rsidRPr="004E02E2" w:rsidDel="006D1AD9" w:rsidRDefault="004E02E2" w:rsidP="009A2BA0">
      <w:pPr>
        <w:pStyle w:val="Body-text"/>
        <w:spacing w:after="0"/>
        <w:rPr>
          <w:rFonts w:ascii="华文楷体" w:hAnsi="华文楷体"/>
          <w:sz w:val="24"/>
          <w:szCs w:val="24"/>
          <w:lang w:eastAsia="zh-CN"/>
        </w:rPr>
      </w:pPr>
    </w:p>
    <w:p w14:paraId="317B267E" w14:textId="77777777" w:rsidR="0074420E" w:rsidRDefault="0074420E" w:rsidP="0074420E">
      <w:pPr>
        <w:widowControl/>
        <w:jc w:val="left"/>
      </w:pPr>
    </w:p>
    <w:p w14:paraId="5C8081AB" w14:textId="77777777" w:rsidR="0074420E" w:rsidRDefault="0074420E" w:rsidP="0074420E">
      <w:pPr>
        <w:widowControl/>
        <w:jc w:val="left"/>
      </w:pPr>
    </w:p>
    <w:p w14:paraId="48FB6B6A" w14:textId="77777777" w:rsidR="0074420E" w:rsidRDefault="0074420E" w:rsidP="0074420E">
      <w:pPr>
        <w:widowControl/>
        <w:jc w:val="left"/>
      </w:pPr>
    </w:p>
    <w:p w14:paraId="7054A9BB" w14:textId="77777777" w:rsidR="0074420E" w:rsidRDefault="0074420E" w:rsidP="0074420E">
      <w:pPr>
        <w:widowControl/>
        <w:jc w:val="left"/>
      </w:pPr>
    </w:p>
    <w:p w14:paraId="7B005E2C" w14:textId="77777777" w:rsidR="0074420E" w:rsidRDefault="0074420E" w:rsidP="0074420E">
      <w:pPr>
        <w:widowControl/>
        <w:jc w:val="left"/>
      </w:pPr>
    </w:p>
    <w:p w14:paraId="5829A5C2" w14:textId="77777777" w:rsidR="0074420E" w:rsidRDefault="0074420E" w:rsidP="0074420E">
      <w:pPr>
        <w:widowControl/>
        <w:jc w:val="left"/>
      </w:pPr>
    </w:p>
    <w:p w14:paraId="50C8F358" w14:textId="77777777" w:rsidR="0074420E" w:rsidRDefault="0074420E" w:rsidP="0074420E">
      <w:pPr>
        <w:widowControl/>
        <w:jc w:val="left"/>
      </w:pPr>
    </w:p>
    <w:p w14:paraId="482C5813" w14:textId="77777777" w:rsidR="0074420E" w:rsidRDefault="0074420E" w:rsidP="0074420E">
      <w:pPr>
        <w:widowControl/>
        <w:jc w:val="left"/>
      </w:pPr>
    </w:p>
    <w:p w14:paraId="683BBA53" w14:textId="77777777" w:rsidR="0074420E" w:rsidRDefault="0074420E" w:rsidP="0074420E">
      <w:pPr>
        <w:widowControl/>
        <w:jc w:val="left"/>
      </w:pPr>
    </w:p>
    <w:p w14:paraId="5667F1CB" w14:textId="77777777" w:rsidR="0074420E" w:rsidRDefault="0074420E" w:rsidP="0074420E">
      <w:pPr>
        <w:widowControl/>
        <w:jc w:val="left"/>
      </w:pPr>
    </w:p>
    <w:p w14:paraId="6CB3EB4F" w14:textId="77777777" w:rsidR="0074420E" w:rsidRDefault="0074420E" w:rsidP="0074420E">
      <w:pPr>
        <w:widowControl/>
        <w:jc w:val="left"/>
      </w:pPr>
    </w:p>
    <w:p w14:paraId="4D572B7C" w14:textId="77777777" w:rsidR="0074420E" w:rsidRDefault="0074420E" w:rsidP="0074420E">
      <w:pPr>
        <w:widowControl/>
        <w:jc w:val="left"/>
      </w:pPr>
    </w:p>
    <w:p w14:paraId="1EF1A1F1" w14:textId="79D668B0" w:rsidR="0028459A" w:rsidRPr="001A1299" w:rsidRDefault="0074420E" w:rsidP="0074420E">
      <w:pPr>
        <w:pStyle w:val="Body-text"/>
        <w:spacing w:after="240"/>
        <w:rPr>
          <w:rFonts w:ascii="华文楷体" w:hAnsi="华文楷体"/>
          <w:sz w:val="24"/>
          <w:szCs w:val="24"/>
          <w:lang w:eastAsia="zh-CN"/>
        </w:rPr>
      </w:pPr>
      <w:r w:rsidRPr="0074420E">
        <w:rPr>
          <w:rFonts w:ascii="华文楷体" w:hAnsi="华文楷体" w:hint="eastAsia"/>
          <w:sz w:val="24"/>
          <w:szCs w:val="24"/>
          <w:lang w:eastAsia="zh-CN"/>
        </w:rPr>
        <w:t>风险提示：</w:t>
      </w:r>
      <w:r w:rsidRPr="0074420E">
        <w:rPr>
          <w:rFonts w:ascii="华文楷体" w:hAnsi="华文楷体"/>
          <w:sz w:val="24"/>
          <w:szCs w:val="24"/>
          <w:lang w:eastAsia="zh-CN"/>
        </w:rPr>
        <w:t>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74420E">
        <w:rPr>
          <w:rFonts w:ascii="华文楷体" w:hAnsi="华文楷体"/>
          <w:sz w:val="24"/>
          <w:szCs w:val="24"/>
          <w:lang w:eastAsia="zh-CN"/>
        </w:rPr>
        <w:t>作出</w:t>
      </w:r>
      <w:proofErr w:type="gramEnd"/>
      <w:r w:rsidRPr="0074420E">
        <w:rPr>
          <w:rFonts w:ascii="华文楷体" w:hAnsi="华文楷体"/>
          <w:sz w:val="24"/>
          <w:szCs w:val="24"/>
          <w:lang w:eastAsia="zh-CN"/>
        </w:rPr>
        <w:t>调整。2、本报告中的资料、观点和预测等仅供参考，在任何时候均不构成对任何人的个人推荐。市场有风险，投资需谨慎。</w:t>
      </w:r>
    </w:p>
    <w:p w14:paraId="36DE518D" w14:textId="77777777" w:rsidR="001170AF" w:rsidRPr="001A1299" w:rsidRDefault="001170AF" w:rsidP="009A2BA0">
      <w:pPr>
        <w:pStyle w:val="Body-text"/>
        <w:ind w:firstLineChars="200" w:firstLine="480"/>
        <w:rPr>
          <w:rFonts w:ascii="华文楷体" w:hAnsi="华文楷体"/>
          <w:sz w:val="24"/>
          <w:szCs w:val="24"/>
          <w:lang w:eastAsia="zh-CN"/>
        </w:rPr>
      </w:pPr>
    </w:p>
    <w:sectPr w:rsidR="001170AF" w:rsidRPr="001A1299" w:rsidSect="00AB78C4">
      <w:headerReference w:type="default" r:id="rId19"/>
      <w:footerReference w:type="default" r:id="rId20"/>
      <w:pgSz w:w="11906" w:h="16838"/>
      <w:pgMar w:top="1134" w:right="1021" w:bottom="1134" w:left="1021" w:header="284" w:footer="567"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876B738" w14:textId="77777777" w:rsidR="0004715A" w:rsidRDefault="0004715A">
      <w:r>
        <w:separator/>
      </w:r>
    </w:p>
  </w:endnote>
  <w:endnote w:type="continuationSeparator" w:id="0">
    <w:p w14:paraId="68A6FBE7" w14:textId="77777777" w:rsidR="0004715A" w:rsidRDefault="000471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华文楷体">
    <w:panose1 w:val="02010600040101010101"/>
    <w:charset w:val="86"/>
    <w:family w:val="auto"/>
    <w:pitch w:val="variable"/>
    <w:sig w:usb0="00000287" w:usb1="080F0000" w:usb2="00000010" w:usb3="00000000" w:csb0="0004009F" w:csb1="00000000"/>
  </w:font>
  <w:font w:name="Arial Bold">
    <w:altName w:val="Arial"/>
    <w:panose1 w:val="020B0704020202020204"/>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等线">
    <w:altName w:val="Arial Unicode MS"/>
    <w:charset w:val="86"/>
    <w:family w:val="auto"/>
    <w:pitch w:val="variable"/>
    <w:sig w:usb0="00000000" w:usb1="38CF7CFA" w:usb2="00000016" w:usb3="00000000" w:csb0="0004000F" w:csb1="00000000"/>
  </w:font>
  <w:font w:name="Helvetica">
    <w:panose1 w:val="020B0604020202020204"/>
    <w:charset w:val="00"/>
    <w:family w:val="swiss"/>
    <w:notTrueType/>
    <w:pitch w:val="variable"/>
    <w:sig w:usb0="00000003" w:usb1="00000000" w:usb2="00000000" w:usb3="00000000" w:csb0="00000001"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1792377"/>
      <w:docPartObj>
        <w:docPartGallery w:val="Page Numbers (Bottom of Page)"/>
        <w:docPartUnique/>
      </w:docPartObj>
    </w:sdtPr>
    <w:sdtEndPr/>
    <w:sdtContent>
      <w:p w14:paraId="618D4EFE" w14:textId="1FB9B16E" w:rsidR="00F0533E" w:rsidRDefault="00F0533E">
        <w:pPr>
          <w:pStyle w:val="a4"/>
          <w:jc w:val="right"/>
        </w:pPr>
        <w:r>
          <w:fldChar w:fldCharType="begin"/>
        </w:r>
        <w:r>
          <w:instrText>PAGE   \* MERGEFORMAT</w:instrText>
        </w:r>
        <w:r>
          <w:fldChar w:fldCharType="separate"/>
        </w:r>
        <w:r w:rsidR="004B5A5C" w:rsidRPr="004B5A5C">
          <w:rPr>
            <w:noProof/>
            <w:lang w:val="zh-CN"/>
          </w:rPr>
          <w:t>2</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6FAC99" w14:textId="77777777" w:rsidR="0004715A" w:rsidRDefault="0004715A">
      <w:r>
        <w:separator/>
      </w:r>
    </w:p>
  </w:footnote>
  <w:footnote w:type="continuationSeparator" w:id="0">
    <w:p w14:paraId="581FA59D" w14:textId="77777777" w:rsidR="0004715A" w:rsidRDefault="0004715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18A414" w14:textId="77777777" w:rsidR="00F0533E" w:rsidRDefault="00F0533E" w:rsidP="00D41DC0">
    <w:pPr>
      <w:pStyle w:val="a3"/>
      <w:jc w:val="left"/>
    </w:pPr>
    <w:r w:rsidRPr="0021237F">
      <w:rPr>
        <w:noProof/>
      </w:rPr>
      <w:drawing>
        <wp:inline distT="0" distB="0" distL="0" distR="0" wp14:anchorId="02750462" wp14:editId="5E35E516">
          <wp:extent cx="612140" cy="532765"/>
          <wp:effectExtent l="0" t="0" r="0" b="0"/>
          <wp:docPr id="5" name="图片 5" descr="说明: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说明: Logo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140" cy="53276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1FCE7A2A"/>
    <w:lvl w:ilvl="0" w:tplc="5F6C0C8E">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nsid w:val="00000002"/>
    <w:multiLevelType w:val="hybridMultilevel"/>
    <w:tmpl w:val="C1068BC0"/>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2">
    <w:nsid w:val="00000003"/>
    <w:multiLevelType w:val="hybridMultilevel"/>
    <w:tmpl w:val="43AC892A"/>
    <w:lvl w:ilvl="0" w:tplc="2E54A812">
      <w:start w:val="1"/>
      <w:numFmt w:val="decimal"/>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nsid w:val="00000004"/>
    <w:multiLevelType w:val="hybridMultilevel"/>
    <w:tmpl w:val="DAC677F4"/>
    <w:lvl w:ilvl="0" w:tplc="07A22A9A">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nsid w:val="00000005"/>
    <w:multiLevelType w:val="hybridMultilevel"/>
    <w:tmpl w:val="63566E36"/>
    <w:lvl w:ilvl="0" w:tplc="98126DDC">
      <w:start w:val="1"/>
      <w:numFmt w:val="bullet"/>
      <w:lvlText w:val=""/>
      <w:lvlJc w:val="left"/>
      <w:pPr>
        <w:tabs>
          <w:tab w:val="num" w:pos="720"/>
        </w:tabs>
        <w:ind w:left="720" w:hanging="360"/>
      </w:pPr>
      <w:rPr>
        <w:rFonts w:ascii="Wingdings" w:hAnsi="Wingdings" w:hint="default"/>
      </w:rPr>
    </w:lvl>
    <w:lvl w:ilvl="1" w:tplc="F18AFAD4">
      <w:start w:val="1"/>
      <w:numFmt w:val="bullet"/>
      <w:lvlRestart w:val="0"/>
      <w:lvlText w:val=""/>
      <w:lvlJc w:val="left"/>
      <w:pPr>
        <w:tabs>
          <w:tab w:val="num" w:pos="1440"/>
        </w:tabs>
        <w:ind w:left="1440" w:hanging="360"/>
      </w:pPr>
      <w:rPr>
        <w:rFonts w:ascii="Wingdings" w:hAnsi="Wingdings" w:hint="default"/>
      </w:rPr>
    </w:lvl>
    <w:lvl w:ilvl="2" w:tplc="4BC679F4">
      <w:start w:val="1"/>
      <w:numFmt w:val="bullet"/>
      <w:lvlRestart w:val="0"/>
      <w:lvlText w:val=""/>
      <w:lvlJc w:val="left"/>
      <w:pPr>
        <w:tabs>
          <w:tab w:val="num" w:pos="2160"/>
        </w:tabs>
        <w:ind w:left="2160" w:hanging="360"/>
      </w:pPr>
      <w:rPr>
        <w:rFonts w:ascii="Wingdings" w:hAnsi="Wingdings" w:hint="default"/>
      </w:rPr>
    </w:lvl>
    <w:lvl w:ilvl="3" w:tplc="E424EFB2">
      <w:start w:val="1"/>
      <w:numFmt w:val="bullet"/>
      <w:lvlRestart w:val="0"/>
      <w:lvlText w:val=""/>
      <w:lvlJc w:val="left"/>
      <w:pPr>
        <w:tabs>
          <w:tab w:val="num" w:pos="2880"/>
        </w:tabs>
        <w:ind w:left="2880" w:hanging="360"/>
      </w:pPr>
      <w:rPr>
        <w:rFonts w:ascii="Wingdings" w:hAnsi="Wingdings" w:hint="default"/>
      </w:rPr>
    </w:lvl>
    <w:lvl w:ilvl="4" w:tplc="26EC83F2">
      <w:start w:val="1"/>
      <w:numFmt w:val="bullet"/>
      <w:lvlRestart w:val="0"/>
      <w:lvlText w:val=""/>
      <w:lvlJc w:val="left"/>
      <w:pPr>
        <w:tabs>
          <w:tab w:val="num" w:pos="3600"/>
        </w:tabs>
        <w:ind w:left="3600" w:hanging="360"/>
      </w:pPr>
      <w:rPr>
        <w:rFonts w:ascii="Wingdings" w:hAnsi="Wingdings" w:hint="default"/>
      </w:rPr>
    </w:lvl>
    <w:lvl w:ilvl="5" w:tplc="60006D98">
      <w:start w:val="1"/>
      <w:numFmt w:val="bullet"/>
      <w:lvlRestart w:val="0"/>
      <w:lvlText w:val=""/>
      <w:lvlJc w:val="left"/>
      <w:pPr>
        <w:tabs>
          <w:tab w:val="num" w:pos="4320"/>
        </w:tabs>
        <w:ind w:left="4320" w:hanging="360"/>
      </w:pPr>
      <w:rPr>
        <w:rFonts w:ascii="Wingdings" w:hAnsi="Wingdings" w:hint="default"/>
      </w:rPr>
    </w:lvl>
    <w:lvl w:ilvl="6" w:tplc="B9602668">
      <w:start w:val="1"/>
      <w:numFmt w:val="bullet"/>
      <w:lvlRestart w:val="0"/>
      <w:lvlText w:val=""/>
      <w:lvlJc w:val="left"/>
      <w:pPr>
        <w:tabs>
          <w:tab w:val="num" w:pos="5040"/>
        </w:tabs>
        <w:ind w:left="5040" w:hanging="360"/>
      </w:pPr>
      <w:rPr>
        <w:rFonts w:ascii="Wingdings" w:hAnsi="Wingdings" w:hint="default"/>
      </w:rPr>
    </w:lvl>
    <w:lvl w:ilvl="7" w:tplc="BCFC81A6">
      <w:start w:val="1"/>
      <w:numFmt w:val="bullet"/>
      <w:lvlRestart w:val="0"/>
      <w:lvlText w:val=""/>
      <w:lvlJc w:val="left"/>
      <w:pPr>
        <w:tabs>
          <w:tab w:val="num" w:pos="5760"/>
        </w:tabs>
        <w:ind w:left="5760" w:hanging="360"/>
      </w:pPr>
      <w:rPr>
        <w:rFonts w:ascii="Wingdings" w:hAnsi="Wingdings" w:hint="default"/>
      </w:rPr>
    </w:lvl>
    <w:lvl w:ilvl="8" w:tplc="65CCAABA">
      <w:start w:val="1"/>
      <w:numFmt w:val="bullet"/>
      <w:lvlRestart w:val="0"/>
      <w:lvlText w:val=""/>
      <w:lvlJc w:val="left"/>
      <w:pPr>
        <w:tabs>
          <w:tab w:val="num" w:pos="6480"/>
        </w:tabs>
        <w:ind w:left="6480" w:hanging="360"/>
      </w:pPr>
      <w:rPr>
        <w:rFonts w:ascii="Wingdings" w:hAnsi="Wingdings" w:hint="default"/>
      </w:rPr>
    </w:lvl>
  </w:abstractNum>
  <w:abstractNum w:abstractNumId="5">
    <w:nsid w:val="08FF3C9B"/>
    <w:multiLevelType w:val="hybridMultilevel"/>
    <w:tmpl w:val="79BCA876"/>
    <w:lvl w:ilvl="0" w:tplc="3640A7B8">
      <w:start w:val="1"/>
      <w:numFmt w:val="bullet"/>
      <w:lvlText w:val=""/>
      <w:lvlJc w:val="left"/>
      <w:pPr>
        <w:tabs>
          <w:tab w:val="num" w:pos="720"/>
        </w:tabs>
        <w:ind w:left="720" w:hanging="360"/>
      </w:pPr>
      <w:rPr>
        <w:rFonts w:ascii="Wingdings" w:hAnsi="Wingdings" w:hint="default"/>
      </w:rPr>
    </w:lvl>
    <w:lvl w:ilvl="1" w:tplc="B0D682D0" w:tentative="1">
      <w:start w:val="1"/>
      <w:numFmt w:val="bullet"/>
      <w:lvlText w:val=""/>
      <w:lvlJc w:val="left"/>
      <w:pPr>
        <w:tabs>
          <w:tab w:val="num" w:pos="1440"/>
        </w:tabs>
        <w:ind w:left="1440" w:hanging="360"/>
      </w:pPr>
      <w:rPr>
        <w:rFonts w:ascii="Wingdings" w:hAnsi="Wingdings" w:hint="default"/>
      </w:rPr>
    </w:lvl>
    <w:lvl w:ilvl="2" w:tplc="CD0E1CA0" w:tentative="1">
      <w:start w:val="1"/>
      <w:numFmt w:val="bullet"/>
      <w:lvlText w:val=""/>
      <w:lvlJc w:val="left"/>
      <w:pPr>
        <w:tabs>
          <w:tab w:val="num" w:pos="2160"/>
        </w:tabs>
        <w:ind w:left="2160" w:hanging="360"/>
      </w:pPr>
      <w:rPr>
        <w:rFonts w:ascii="Wingdings" w:hAnsi="Wingdings" w:hint="default"/>
      </w:rPr>
    </w:lvl>
    <w:lvl w:ilvl="3" w:tplc="9D1E386A" w:tentative="1">
      <w:start w:val="1"/>
      <w:numFmt w:val="bullet"/>
      <w:lvlText w:val=""/>
      <w:lvlJc w:val="left"/>
      <w:pPr>
        <w:tabs>
          <w:tab w:val="num" w:pos="2880"/>
        </w:tabs>
        <w:ind w:left="2880" w:hanging="360"/>
      </w:pPr>
      <w:rPr>
        <w:rFonts w:ascii="Wingdings" w:hAnsi="Wingdings" w:hint="default"/>
      </w:rPr>
    </w:lvl>
    <w:lvl w:ilvl="4" w:tplc="8CC279A6" w:tentative="1">
      <w:start w:val="1"/>
      <w:numFmt w:val="bullet"/>
      <w:lvlText w:val=""/>
      <w:lvlJc w:val="left"/>
      <w:pPr>
        <w:tabs>
          <w:tab w:val="num" w:pos="3600"/>
        </w:tabs>
        <w:ind w:left="3600" w:hanging="360"/>
      </w:pPr>
      <w:rPr>
        <w:rFonts w:ascii="Wingdings" w:hAnsi="Wingdings" w:hint="default"/>
      </w:rPr>
    </w:lvl>
    <w:lvl w:ilvl="5" w:tplc="70222394" w:tentative="1">
      <w:start w:val="1"/>
      <w:numFmt w:val="bullet"/>
      <w:lvlText w:val=""/>
      <w:lvlJc w:val="left"/>
      <w:pPr>
        <w:tabs>
          <w:tab w:val="num" w:pos="4320"/>
        </w:tabs>
        <w:ind w:left="4320" w:hanging="360"/>
      </w:pPr>
      <w:rPr>
        <w:rFonts w:ascii="Wingdings" w:hAnsi="Wingdings" w:hint="default"/>
      </w:rPr>
    </w:lvl>
    <w:lvl w:ilvl="6" w:tplc="4C5A8DB2" w:tentative="1">
      <w:start w:val="1"/>
      <w:numFmt w:val="bullet"/>
      <w:lvlText w:val=""/>
      <w:lvlJc w:val="left"/>
      <w:pPr>
        <w:tabs>
          <w:tab w:val="num" w:pos="5040"/>
        </w:tabs>
        <w:ind w:left="5040" w:hanging="360"/>
      </w:pPr>
      <w:rPr>
        <w:rFonts w:ascii="Wingdings" w:hAnsi="Wingdings" w:hint="default"/>
      </w:rPr>
    </w:lvl>
    <w:lvl w:ilvl="7" w:tplc="4B38042E" w:tentative="1">
      <w:start w:val="1"/>
      <w:numFmt w:val="bullet"/>
      <w:lvlText w:val=""/>
      <w:lvlJc w:val="left"/>
      <w:pPr>
        <w:tabs>
          <w:tab w:val="num" w:pos="5760"/>
        </w:tabs>
        <w:ind w:left="5760" w:hanging="360"/>
      </w:pPr>
      <w:rPr>
        <w:rFonts w:ascii="Wingdings" w:hAnsi="Wingdings" w:hint="default"/>
      </w:rPr>
    </w:lvl>
    <w:lvl w:ilvl="8" w:tplc="BB60E16C" w:tentative="1">
      <w:start w:val="1"/>
      <w:numFmt w:val="bullet"/>
      <w:lvlText w:val=""/>
      <w:lvlJc w:val="left"/>
      <w:pPr>
        <w:tabs>
          <w:tab w:val="num" w:pos="6480"/>
        </w:tabs>
        <w:ind w:left="6480" w:hanging="360"/>
      </w:pPr>
      <w:rPr>
        <w:rFonts w:ascii="Wingdings" w:hAnsi="Wingdings" w:hint="default"/>
      </w:rPr>
    </w:lvl>
  </w:abstractNum>
  <w:abstractNum w:abstractNumId="6">
    <w:nsid w:val="0DC735FE"/>
    <w:multiLevelType w:val="hybridMultilevel"/>
    <w:tmpl w:val="C7208934"/>
    <w:lvl w:ilvl="0" w:tplc="1F74F60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1F6E670A"/>
    <w:multiLevelType w:val="hybridMultilevel"/>
    <w:tmpl w:val="79EE003E"/>
    <w:lvl w:ilvl="0" w:tplc="899A42B6">
      <w:start w:val="1"/>
      <w:numFmt w:val="bullet"/>
      <w:lvlText w:val=""/>
      <w:lvlJc w:val="left"/>
      <w:pPr>
        <w:tabs>
          <w:tab w:val="num" w:pos="720"/>
        </w:tabs>
        <w:ind w:left="720" w:hanging="360"/>
      </w:pPr>
      <w:rPr>
        <w:rFonts w:ascii="Wingdings" w:hAnsi="Wingdings" w:hint="default"/>
      </w:rPr>
    </w:lvl>
    <w:lvl w:ilvl="1" w:tplc="B2341948" w:tentative="1">
      <w:start w:val="1"/>
      <w:numFmt w:val="bullet"/>
      <w:lvlText w:val=""/>
      <w:lvlJc w:val="left"/>
      <w:pPr>
        <w:tabs>
          <w:tab w:val="num" w:pos="1440"/>
        </w:tabs>
        <w:ind w:left="1440" w:hanging="360"/>
      </w:pPr>
      <w:rPr>
        <w:rFonts w:ascii="Wingdings" w:hAnsi="Wingdings" w:hint="default"/>
      </w:rPr>
    </w:lvl>
    <w:lvl w:ilvl="2" w:tplc="23D27B34" w:tentative="1">
      <w:start w:val="1"/>
      <w:numFmt w:val="bullet"/>
      <w:lvlText w:val=""/>
      <w:lvlJc w:val="left"/>
      <w:pPr>
        <w:tabs>
          <w:tab w:val="num" w:pos="2160"/>
        </w:tabs>
        <w:ind w:left="2160" w:hanging="360"/>
      </w:pPr>
      <w:rPr>
        <w:rFonts w:ascii="Wingdings" w:hAnsi="Wingdings" w:hint="default"/>
      </w:rPr>
    </w:lvl>
    <w:lvl w:ilvl="3" w:tplc="F27C3C68" w:tentative="1">
      <w:start w:val="1"/>
      <w:numFmt w:val="bullet"/>
      <w:lvlText w:val=""/>
      <w:lvlJc w:val="left"/>
      <w:pPr>
        <w:tabs>
          <w:tab w:val="num" w:pos="2880"/>
        </w:tabs>
        <w:ind w:left="2880" w:hanging="360"/>
      </w:pPr>
      <w:rPr>
        <w:rFonts w:ascii="Wingdings" w:hAnsi="Wingdings" w:hint="default"/>
      </w:rPr>
    </w:lvl>
    <w:lvl w:ilvl="4" w:tplc="B492D616" w:tentative="1">
      <w:start w:val="1"/>
      <w:numFmt w:val="bullet"/>
      <w:lvlText w:val=""/>
      <w:lvlJc w:val="left"/>
      <w:pPr>
        <w:tabs>
          <w:tab w:val="num" w:pos="3600"/>
        </w:tabs>
        <w:ind w:left="3600" w:hanging="360"/>
      </w:pPr>
      <w:rPr>
        <w:rFonts w:ascii="Wingdings" w:hAnsi="Wingdings" w:hint="default"/>
      </w:rPr>
    </w:lvl>
    <w:lvl w:ilvl="5" w:tplc="9D14A4C0" w:tentative="1">
      <w:start w:val="1"/>
      <w:numFmt w:val="bullet"/>
      <w:lvlText w:val=""/>
      <w:lvlJc w:val="left"/>
      <w:pPr>
        <w:tabs>
          <w:tab w:val="num" w:pos="4320"/>
        </w:tabs>
        <w:ind w:left="4320" w:hanging="360"/>
      </w:pPr>
      <w:rPr>
        <w:rFonts w:ascii="Wingdings" w:hAnsi="Wingdings" w:hint="default"/>
      </w:rPr>
    </w:lvl>
    <w:lvl w:ilvl="6" w:tplc="CA70A402" w:tentative="1">
      <w:start w:val="1"/>
      <w:numFmt w:val="bullet"/>
      <w:lvlText w:val=""/>
      <w:lvlJc w:val="left"/>
      <w:pPr>
        <w:tabs>
          <w:tab w:val="num" w:pos="5040"/>
        </w:tabs>
        <w:ind w:left="5040" w:hanging="360"/>
      </w:pPr>
      <w:rPr>
        <w:rFonts w:ascii="Wingdings" w:hAnsi="Wingdings" w:hint="default"/>
      </w:rPr>
    </w:lvl>
    <w:lvl w:ilvl="7" w:tplc="75B624B4" w:tentative="1">
      <w:start w:val="1"/>
      <w:numFmt w:val="bullet"/>
      <w:lvlText w:val=""/>
      <w:lvlJc w:val="left"/>
      <w:pPr>
        <w:tabs>
          <w:tab w:val="num" w:pos="5760"/>
        </w:tabs>
        <w:ind w:left="5760" w:hanging="360"/>
      </w:pPr>
      <w:rPr>
        <w:rFonts w:ascii="Wingdings" w:hAnsi="Wingdings" w:hint="default"/>
      </w:rPr>
    </w:lvl>
    <w:lvl w:ilvl="8" w:tplc="7452D0B2" w:tentative="1">
      <w:start w:val="1"/>
      <w:numFmt w:val="bullet"/>
      <w:lvlText w:val=""/>
      <w:lvlJc w:val="left"/>
      <w:pPr>
        <w:tabs>
          <w:tab w:val="num" w:pos="6480"/>
        </w:tabs>
        <w:ind w:left="6480" w:hanging="360"/>
      </w:pPr>
      <w:rPr>
        <w:rFonts w:ascii="Wingdings" w:hAnsi="Wingdings" w:hint="default"/>
      </w:rPr>
    </w:lvl>
  </w:abstractNum>
  <w:abstractNum w:abstractNumId="8">
    <w:nsid w:val="29AD1276"/>
    <w:multiLevelType w:val="hybridMultilevel"/>
    <w:tmpl w:val="C47EBF3A"/>
    <w:lvl w:ilvl="0" w:tplc="3724C27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2E5B0A8A"/>
    <w:multiLevelType w:val="hybridMultilevel"/>
    <w:tmpl w:val="E656FAD6"/>
    <w:lvl w:ilvl="0" w:tplc="AD88B018">
      <w:start w:val="1"/>
      <w:numFmt w:val="bullet"/>
      <w:lvlText w:val=""/>
      <w:lvlJc w:val="left"/>
      <w:pPr>
        <w:tabs>
          <w:tab w:val="num" w:pos="720"/>
        </w:tabs>
        <w:ind w:left="720" w:hanging="360"/>
      </w:pPr>
      <w:rPr>
        <w:rFonts w:ascii="Wingdings" w:hAnsi="Wingdings" w:hint="default"/>
      </w:rPr>
    </w:lvl>
    <w:lvl w:ilvl="1" w:tplc="F5D6CF0A" w:tentative="1">
      <w:start w:val="1"/>
      <w:numFmt w:val="bullet"/>
      <w:lvlText w:val=""/>
      <w:lvlJc w:val="left"/>
      <w:pPr>
        <w:tabs>
          <w:tab w:val="num" w:pos="1440"/>
        </w:tabs>
        <w:ind w:left="1440" w:hanging="360"/>
      </w:pPr>
      <w:rPr>
        <w:rFonts w:ascii="Wingdings" w:hAnsi="Wingdings" w:hint="default"/>
      </w:rPr>
    </w:lvl>
    <w:lvl w:ilvl="2" w:tplc="36385ADA" w:tentative="1">
      <w:start w:val="1"/>
      <w:numFmt w:val="bullet"/>
      <w:lvlText w:val=""/>
      <w:lvlJc w:val="left"/>
      <w:pPr>
        <w:tabs>
          <w:tab w:val="num" w:pos="2160"/>
        </w:tabs>
        <w:ind w:left="2160" w:hanging="360"/>
      </w:pPr>
      <w:rPr>
        <w:rFonts w:ascii="Wingdings" w:hAnsi="Wingdings" w:hint="default"/>
      </w:rPr>
    </w:lvl>
    <w:lvl w:ilvl="3" w:tplc="D9AAC7B6" w:tentative="1">
      <w:start w:val="1"/>
      <w:numFmt w:val="bullet"/>
      <w:lvlText w:val=""/>
      <w:lvlJc w:val="left"/>
      <w:pPr>
        <w:tabs>
          <w:tab w:val="num" w:pos="2880"/>
        </w:tabs>
        <w:ind w:left="2880" w:hanging="360"/>
      </w:pPr>
      <w:rPr>
        <w:rFonts w:ascii="Wingdings" w:hAnsi="Wingdings" w:hint="default"/>
      </w:rPr>
    </w:lvl>
    <w:lvl w:ilvl="4" w:tplc="2C6A574E" w:tentative="1">
      <w:start w:val="1"/>
      <w:numFmt w:val="bullet"/>
      <w:lvlText w:val=""/>
      <w:lvlJc w:val="left"/>
      <w:pPr>
        <w:tabs>
          <w:tab w:val="num" w:pos="3600"/>
        </w:tabs>
        <w:ind w:left="3600" w:hanging="360"/>
      </w:pPr>
      <w:rPr>
        <w:rFonts w:ascii="Wingdings" w:hAnsi="Wingdings" w:hint="default"/>
      </w:rPr>
    </w:lvl>
    <w:lvl w:ilvl="5" w:tplc="E4CAAA12" w:tentative="1">
      <w:start w:val="1"/>
      <w:numFmt w:val="bullet"/>
      <w:lvlText w:val=""/>
      <w:lvlJc w:val="left"/>
      <w:pPr>
        <w:tabs>
          <w:tab w:val="num" w:pos="4320"/>
        </w:tabs>
        <w:ind w:left="4320" w:hanging="360"/>
      </w:pPr>
      <w:rPr>
        <w:rFonts w:ascii="Wingdings" w:hAnsi="Wingdings" w:hint="default"/>
      </w:rPr>
    </w:lvl>
    <w:lvl w:ilvl="6" w:tplc="EB468EAA" w:tentative="1">
      <w:start w:val="1"/>
      <w:numFmt w:val="bullet"/>
      <w:lvlText w:val=""/>
      <w:lvlJc w:val="left"/>
      <w:pPr>
        <w:tabs>
          <w:tab w:val="num" w:pos="5040"/>
        </w:tabs>
        <w:ind w:left="5040" w:hanging="360"/>
      </w:pPr>
      <w:rPr>
        <w:rFonts w:ascii="Wingdings" w:hAnsi="Wingdings" w:hint="default"/>
      </w:rPr>
    </w:lvl>
    <w:lvl w:ilvl="7" w:tplc="9EEEB196" w:tentative="1">
      <w:start w:val="1"/>
      <w:numFmt w:val="bullet"/>
      <w:lvlText w:val=""/>
      <w:lvlJc w:val="left"/>
      <w:pPr>
        <w:tabs>
          <w:tab w:val="num" w:pos="5760"/>
        </w:tabs>
        <w:ind w:left="5760" w:hanging="360"/>
      </w:pPr>
      <w:rPr>
        <w:rFonts w:ascii="Wingdings" w:hAnsi="Wingdings" w:hint="default"/>
      </w:rPr>
    </w:lvl>
    <w:lvl w:ilvl="8" w:tplc="547C9224" w:tentative="1">
      <w:start w:val="1"/>
      <w:numFmt w:val="bullet"/>
      <w:lvlText w:val=""/>
      <w:lvlJc w:val="left"/>
      <w:pPr>
        <w:tabs>
          <w:tab w:val="num" w:pos="6480"/>
        </w:tabs>
        <w:ind w:left="6480" w:hanging="360"/>
      </w:pPr>
      <w:rPr>
        <w:rFonts w:ascii="Wingdings" w:hAnsi="Wingdings" w:hint="default"/>
      </w:rPr>
    </w:lvl>
  </w:abstractNum>
  <w:abstractNum w:abstractNumId="10">
    <w:nsid w:val="2FF15EF9"/>
    <w:multiLevelType w:val="hybridMultilevel"/>
    <w:tmpl w:val="69F0ACEE"/>
    <w:lvl w:ilvl="0" w:tplc="CEBC924A">
      <w:start w:val="1"/>
      <w:numFmt w:val="bullet"/>
      <w:lvlText w:val=""/>
      <w:lvlJc w:val="left"/>
      <w:pPr>
        <w:tabs>
          <w:tab w:val="num" w:pos="720"/>
        </w:tabs>
        <w:ind w:left="720" w:hanging="360"/>
      </w:pPr>
      <w:rPr>
        <w:rFonts w:ascii="Wingdings" w:hAnsi="Wingdings" w:hint="default"/>
      </w:rPr>
    </w:lvl>
    <w:lvl w:ilvl="1" w:tplc="AED48DE8" w:tentative="1">
      <w:start w:val="1"/>
      <w:numFmt w:val="bullet"/>
      <w:lvlText w:val=""/>
      <w:lvlJc w:val="left"/>
      <w:pPr>
        <w:tabs>
          <w:tab w:val="num" w:pos="1440"/>
        </w:tabs>
        <w:ind w:left="1440" w:hanging="360"/>
      </w:pPr>
      <w:rPr>
        <w:rFonts w:ascii="Wingdings" w:hAnsi="Wingdings" w:hint="default"/>
      </w:rPr>
    </w:lvl>
    <w:lvl w:ilvl="2" w:tplc="A16651D0" w:tentative="1">
      <w:start w:val="1"/>
      <w:numFmt w:val="bullet"/>
      <w:lvlText w:val=""/>
      <w:lvlJc w:val="left"/>
      <w:pPr>
        <w:tabs>
          <w:tab w:val="num" w:pos="2160"/>
        </w:tabs>
        <w:ind w:left="2160" w:hanging="360"/>
      </w:pPr>
      <w:rPr>
        <w:rFonts w:ascii="Wingdings" w:hAnsi="Wingdings" w:hint="default"/>
      </w:rPr>
    </w:lvl>
    <w:lvl w:ilvl="3" w:tplc="1912241A" w:tentative="1">
      <w:start w:val="1"/>
      <w:numFmt w:val="bullet"/>
      <w:lvlText w:val=""/>
      <w:lvlJc w:val="left"/>
      <w:pPr>
        <w:tabs>
          <w:tab w:val="num" w:pos="2880"/>
        </w:tabs>
        <w:ind w:left="2880" w:hanging="360"/>
      </w:pPr>
      <w:rPr>
        <w:rFonts w:ascii="Wingdings" w:hAnsi="Wingdings" w:hint="default"/>
      </w:rPr>
    </w:lvl>
    <w:lvl w:ilvl="4" w:tplc="7226AB40" w:tentative="1">
      <w:start w:val="1"/>
      <w:numFmt w:val="bullet"/>
      <w:lvlText w:val=""/>
      <w:lvlJc w:val="left"/>
      <w:pPr>
        <w:tabs>
          <w:tab w:val="num" w:pos="3600"/>
        </w:tabs>
        <w:ind w:left="3600" w:hanging="360"/>
      </w:pPr>
      <w:rPr>
        <w:rFonts w:ascii="Wingdings" w:hAnsi="Wingdings" w:hint="default"/>
      </w:rPr>
    </w:lvl>
    <w:lvl w:ilvl="5" w:tplc="25580E90" w:tentative="1">
      <w:start w:val="1"/>
      <w:numFmt w:val="bullet"/>
      <w:lvlText w:val=""/>
      <w:lvlJc w:val="left"/>
      <w:pPr>
        <w:tabs>
          <w:tab w:val="num" w:pos="4320"/>
        </w:tabs>
        <w:ind w:left="4320" w:hanging="360"/>
      </w:pPr>
      <w:rPr>
        <w:rFonts w:ascii="Wingdings" w:hAnsi="Wingdings" w:hint="default"/>
      </w:rPr>
    </w:lvl>
    <w:lvl w:ilvl="6" w:tplc="F1F4A802" w:tentative="1">
      <w:start w:val="1"/>
      <w:numFmt w:val="bullet"/>
      <w:lvlText w:val=""/>
      <w:lvlJc w:val="left"/>
      <w:pPr>
        <w:tabs>
          <w:tab w:val="num" w:pos="5040"/>
        </w:tabs>
        <w:ind w:left="5040" w:hanging="360"/>
      </w:pPr>
      <w:rPr>
        <w:rFonts w:ascii="Wingdings" w:hAnsi="Wingdings" w:hint="default"/>
      </w:rPr>
    </w:lvl>
    <w:lvl w:ilvl="7" w:tplc="062ADF84" w:tentative="1">
      <w:start w:val="1"/>
      <w:numFmt w:val="bullet"/>
      <w:lvlText w:val=""/>
      <w:lvlJc w:val="left"/>
      <w:pPr>
        <w:tabs>
          <w:tab w:val="num" w:pos="5760"/>
        </w:tabs>
        <w:ind w:left="5760" w:hanging="360"/>
      </w:pPr>
      <w:rPr>
        <w:rFonts w:ascii="Wingdings" w:hAnsi="Wingdings" w:hint="default"/>
      </w:rPr>
    </w:lvl>
    <w:lvl w:ilvl="8" w:tplc="86A6F9E8" w:tentative="1">
      <w:start w:val="1"/>
      <w:numFmt w:val="bullet"/>
      <w:lvlText w:val=""/>
      <w:lvlJc w:val="left"/>
      <w:pPr>
        <w:tabs>
          <w:tab w:val="num" w:pos="6480"/>
        </w:tabs>
        <w:ind w:left="6480" w:hanging="360"/>
      </w:pPr>
      <w:rPr>
        <w:rFonts w:ascii="Wingdings" w:hAnsi="Wingdings" w:hint="default"/>
      </w:rPr>
    </w:lvl>
  </w:abstractNum>
  <w:abstractNum w:abstractNumId="11">
    <w:nsid w:val="488150FB"/>
    <w:multiLevelType w:val="hybridMultilevel"/>
    <w:tmpl w:val="E11A671C"/>
    <w:lvl w:ilvl="0" w:tplc="05C4842E">
      <w:start w:val="1"/>
      <w:numFmt w:val="bullet"/>
      <w:lvlText w:val=""/>
      <w:lvlJc w:val="left"/>
      <w:pPr>
        <w:tabs>
          <w:tab w:val="num" w:pos="720"/>
        </w:tabs>
        <w:ind w:left="720" w:hanging="360"/>
      </w:pPr>
      <w:rPr>
        <w:rFonts w:ascii="Wingdings" w:hAnsi="Wingdings" w:hint="default"/>
      </w:rPr>
    </w:lvl>
    <w:lvl w:ilvl="1" w:tplc="4EB84C86" w:tentative="1">
      <w:start w:val="1"/>
      <w:numFmt w:val="bullet"/>
      <w:lvlText w:val=""/>
      <w:lvlJc w:val="left"/>
      <w:pPr>
        <w:tabs>
          <w:tab w:val="num" w:pos="1440"/>
        </w:tabs>
        <w:ind w:left="1440" w:hanging="360"/>
      </w:pPr>
      <w:rPr>
        <w:rFonts w:ascii="Wingdings" w:hAnsi="Wingdings" w:hint="default"/>
      </w:rPr>
    </w:lvl>
    <w:lvl w:ilvl="2" w:tplc="230E4394" w:tentative="1">
      <w:start w:val="1"/>
      <w:numFmt w:val="bullet"/>
      <w:lvlText w:val=""/>
      <w:lvlJc w:val="left"/>
      <w:pPr>
        <w:tabs>
          <w:tab w:val="num" w:pos="2160"/>
        </w:tabs>
        <w:ind w:left="2160" w:hanging="360"/>
      </w:pPr>
      <w:rPr>
        <w:rFonts w:ascii="Wingdings" w:hAnsi="Wingdings" w:hint="default"/>
      </w:rPr>
    </w:lvl>
    <w:lvl w:ilvl="3" w:tplc="F87651D2" w:tentative="1">
      <w:start w:val="1"/>
      <w:numFmt w:val="bullet"/>
      <w:lvlText w:val=""/>
      <w:lvlJc w:val="left"/>
      <w:pPr>
        <w:tabs>
          <w:tab w:val="num" w:pos="2880"/>
        </w:tabs>
        <w:ind w:left="2880" w:hanging="360"/>
      </w:pPr>
      <w:rPr>
        <w:rFonts w:ascii="Wingdings" w:hAnsi="Wingdings" w:hint="default"/>
      </w:rPr>
    </w:lvl>
    <w:lvl w:ilvl="4" w:tplc="34DC38C4" w:tentative="1">
      <w:start w:val="1"/>
      <w:numFmt w:val="bullet"/>
      <w:lvlText w:val=""/>
      <w:lvlJc w:val="left"/>
      <w:pPr>
        <w:tabs>
          <w:tab w:val="num" w:pos="3600"/>
        </w:tabs>
        <w:ind w:left="3600" w:hanging="360"/>
      </w:pPr>
      <w:rPr>
        <w:rFonts w:ascii="Wingdings" w:hAnsi="Wingdings" w:hint="default"/>
      </w:rPr>
    </w:lvl>
    <w:lvl w:ilvl="5" w:tplc="39C21526" w:tentative="1">
      <w:start w:val="1"/>
      <w:numFmt w:val="bullet"/>
      <w:lvlText w:val=""/>
      <w:lvlJc w:val="left"/>
      <w:pPr>
        <w:tabs>
          <w:tab w:val="num" w:pos="4320"/>
        </w:tabs>
        <w:ind w:left="4320" w:hanging="360"/>
      </w:pPr>
      <w:rPr>
        <w:rFonts w:ascii="Wingdings" w:hAnsi="Wingdings" w:hint="default"/>
      </w:rPr>
    </w:lvl>
    <w:lvl w:ilvl="6" w:tplc="9B8012DC" w:tentative="1">
      <w:start w:val="1"/>
      <w:numFmt w:val="bullet"/>
      <w:lvlText w:val=""/>
      <w:lvlJc w:val="left"/>
      <w:pPr>
        <w:tabs>
          <w:tab w:val="num" w:pos="5040"/>
        </w:tabs>
        <w:ind w:left="5040" w:hanging="360"/>
      </w:pPr>
      <w:rPr>
        <w:rFonts w:ascii="Wingdings" w:hAnsi="Wingdings" w:hint="default"/>
      </w:rPr>
    </w:lvl>
    <w:lvl w:ilvl="7" w:tplc="BFC6B84C" w:tentative="1">
      <w:start w:val="1"/>
      <w:numFmt w:val="bullet"/>
      <w:lvlText w:val=""/>
      <w:lvlJc w:val="left"/>
      <w:pPr>
        <w:tabs>
          <w:tab w:val="num" w:pos="5760"/>
        </w:tabs>
        <w:ind w:left="5760" w:hanging="360"/>
      </w:pPr>
      <w:rPr>
        <w:rFonts w:ascii="Wingdings" w:hAnsi="Wingdings" w:hint="default"/>
      </w:rPr>
    </w:lvl>
    <w:lvl w:ilvl="8" w:tplc="C4C0926C" w:tentative="1">
      <w:start w:val="1"/>
      <w:numFmt w:val="bullet"/>
      <w:lvlText w:val=""/>
      <w:lvlJc w:val="left"/>
      <w:pPr>
        <w:tabs>
          <w:tab w:val="num" w:pos="6480"/>
        </w:tabs>
        <w:ind w:left="6480" w:hanging="360"/>
      </w:pPr>
      <w:rPr>
        <w:rFonts w:ascii="Wingdings" w:hAnsi="Wingdings" w:hint="default"/>
      </w:rPr>
    </w:lvl>
  </w:abstractNum>
  <w:abstractNum w:abstractNumId="12">
    <w:nsid w:val="489C43BA"/>
    <w:multiLevelType w:val="hybridMultilevel"/>
    <w:tmpl w:val="F91C31C8"/>
    <w:lvl w:ilvl="0" w:tplc="1C2663EE">
      <w:start w:val="1"/>
      <w:numFmt w:val="bullet"/>
      <w:lvlText w:val=""/>
      <w:lvlJc w:val="left"/>
      <w:pPr>
        <w:tabs>
          <w:tab w:val="num" w:pos="720"/>
        </w:tabs>
        <w:ind w:left="720" w:hanging="360"/>
      </w:pPr>
      <w:rPr>
        <w:rFonts w:ascii="Wingdings" w:hAnsi="Wingdings" w:hint="default"/>
      </w:rPr>
    </w:lvl>
    <w:lvl w:ilvl="1" w:tplc="0486ED4C" w:tentative="1">
      <w:start w:val="1"/>
      <w:numFmt w:val="bullet"/>
      <w:lvlText w:val=""/>
      <w:lvlJc w:val="left"/>
      <w:pPr>
        <w:tabs>
          <w:tab w:val="num" w:pos="1440"/>
        </w:tabs>
        <w:ind w:left="1440" w:hanging="360"/>
      </w:pPr>
      <w:rPr>
        <w:rFonts w:ascii="Wingdings" w:hAnsi="Wingdings" w:hint="default"/>
      </w:rPr>
    </w:lvl>
    <w:lvl w:ilvl="2" w:tplc="FC9C95CA" w:tentative="1">
      <w:start w:val="1"/>
      <w:numFmt w:val="bullet"/>
      <w:lvlText w:val=""/>
      <w:lvlJc w:val="left"/>
      <w:pPr>
        <w:tabs>
          <w:tab w:val="num" w:pos="2160"/>
        </w:tabs>
        <w:ind w:left="2160" w:hanging="360"/>
      </w:pPr>
      <w:rPr>
        <w:rFonts w:ascii="Wingdings" w:hAnsi="Wingdings" w:hint="default"/>
      </w:rPr>
    </w:lvl>
    <w:lvl w:ilvl="3" w:tplc="F6ACA5DC" w:tentative="1">
      <w:start w:val="1"/>
      <w:numFmt w:val="bullet"/>
      <w:lvlText w:val=""/>
      <w:lvlJc w:val="left"/>
      <w:pPr>
        <w:tabs>
          <w:tab w:val="num" w:pos="2880"/>
        </w:tabs>
        <w:ind w:left="2880" w:hanging="360"/>
      </w:pPr>
      <w:rPr>
        <w:rFonts w:ascii="Wingdings" w:hAnsi="Wingdings" w:hint="default"/>
      </w:rPr>
    </w:lvl>
    <w:lvl w:ilvl="4" w:tplc="6E029EEE" w:tentative="1">
      <w:start w:val="1"/>
      <w:numFmt w:val="bullet"/>
      <w:lvlText w:val=""/>
      <w:lvlJc w:val="left"/>
      <w:pPr>
        <w:tabs>
          <w:tab w:val="num" w:pos="3600"/>
        </w:tabs>
        <w:ind w:left="3600" w:hanging="360"/>
      </w:pPr>
      <w:rPr>
        <w:rFonts w:ascii="Wingdings" w:hAnsi="Wingdings" w:hint="default"/>
      </w:rPr>
    </w:lvl>
    <w:lvl w:ilvl="5" w:tplc="B5425368" w:tentative="1">
      <w:start w:val="1"/>
      <w:numFmt w:val="bullet"/>
      <w:lvlText w:val=""/>
      <w:lvlJc w:val="left"/>
      <w:pPr>
        <w:tabs>
          <w:tab w:val="num" w:pos="4320"/>
        </w:tabs>
        <w:ind w:left="4320" w:hanging="360"/>
      </w:pPr>
      <w:rPr>
        <w:rFonts w:ascii="Wingdings" w:hAnsi="Wingdings" w:hint="default"/>
      </w:rPr>
    </w:lvl>
    <w:lvl w:ilvl="6" w:tplc="1B6A24B0" w:tentative="1">
      <w:start w:val="1"/>
      <w:numFmt w:val="bullet"/>
      <w:lvlText w:val=""/>
      <w:lvlJc w:val="left"/>
      <w:pPr>
        <w:tabs>
          <w:tab w:val="num" w:pos="5040"/>
        </w:tabs>
        <w:ind w:left="5040" w:hanging="360"/>
      </w:pPr>
      <w:rPr>
        <w:rFonts w:ascii="Wingdings" w:hAnsi="Wingdings" w:hint="default"/>
      </w:rPr>
    </w:lvl>
    <w:lvl w:ilvl="7" w:tplc="E580E798" w:tentative="1">
      <w:start w:val="1"/>
      <w:numFmt w:val="bullet"/>
      <w:lvlText w:val=""/>
      <w:lvlJc w:val="left"/>
      <w:pPr>
        <w:tabs>
          <w:tab w:val="num" w:pos="5760"/>
        </w:tabs>
        <w:ind w:left="5760" w:hanging="360"/>
      </w:pPr>
      <w:rPr>
        <w:rFonts w:ascii="Wingdings" w:hAnsi="Wingdings" w:hint="default"/>
      </w:rPr>
    </w:lvl>
    <w:lvl w:ilvl="8" w:tplc="3294DA4E" w:tentative="1">
      <w:start w:val="1"/>
      <w:numFmt w:val="bullet"/>
      <w:lvlText w:val=""/>
      <w:lvlJc w:val="left"/>
      <w:pPr>
        <w:tabs>
          <w:tab w:val="num" w:pos="6480"/>
        </w:tabs>
        <w:ind w:left="6480" w:hanging="360"/>
      </w:pPr>
      <w:rPr>
        <w:rFonts w:ascii="Wingdings" w:hAnsi="Wingdings" w:hint="default"/>
      </w:rPr>
    </w:lvl>
  </w:abstractNum>
  <w:abstractNum w:abstractNumId="13">
    <w:nsid w:val="48F76435"/>
    <w:multiLevelType w:val="hybridMultilevel"/>
    <w:tmpl w:val="9B326F16"/>
    <w:lvl w:ilvl="0" w:tplc="0BAE895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4E514870"/>
    <w:multiLevelType w:val="hybridMultilevel"/>
    <w:tmpl w:val="8B18B340"/>
    <w:lvl w:ilvl="0" w:tplc="43B27422">
      <w:start w:val="1"/>
      <w:numFmt w:val="bullet"/>
      <w:lvlText w:val=""/>
      <w:lvlJc w:val="left"/>
      <w:pPr>
        <w:tabs>
          <w:tab w:val="num" w:pos="720"/>
        </w:tabs>
        <w:ind w:left="720" w:hanging="360"/>
      </w:pPr>
      <w:rPr>
        <w:rFonts w:ascii="Wingdings" w:hAnsi="Wingdings" w:hint="default"/>
      </w:rPr>
    </w:lvl>
    <w:lvl w:ilvl="1" w:tplc="D5606B3E" w:tentative="1">
      <w:start w:val="1"/>
      <w:numFmt w:val="bullet"/>
      <w:lvlText w:val=""/>
      <w:lvlJc w:val="left"/>
      <w:pPr>
        <w:tabs>
          <w:tab w:val="num" w:pos="1440"/>
        </w:tabs>
        <w:ind w:left="1440" w:hanging="360"/>
      </w:pPr>
      <w:rPr>
        <w:rFonts w:ascii="Wingdings" w:hAnsi="Wingdings" w:hint="default"/>
      </w:rPr>
    </w:lvl>
    <w:lvl w:ilvl="2" w:tplc="B6DC92A0" w:tentative="1">
      <w:start w:val="1"/>
      <w:numFmt w:val="bullet"/>
      <w:lvlText w:val=""/>
      <w:lvlJc w:val="left"/>
      <w:pPr>
        <w:tabs>
          <w:tab w:val="num" w:pos="2160"/>
        </w:tabs>
        <w:ind w:left="2160" w:hanging="360"/>
      </w:pPr>
      <w:rPr>
        <w:rFonts w:ascii="Wingdings" w:hAnsi="Wingdings" w:hint="default"/>
      </w:rPr>
    </w:lvl>
    <w:lvl w:ilvl="3" w:tplc="82068A4C" w:tentative="1">
      <w:start w:val="1"/>
      <w:numFmt w:val="bullet"/>
      <w:lvlText w:val=""/>
      <w:lvlJc w:val="left"/>
      <w:pPr>
        <w:tabs>
          <w:tab w:val="num" w:pos="2880"/>
        </w:tabs>
        <w:ind w:left="2880" w:hanging="360"/>
      </w:pPr>
      <w:rPr>
        <w:rFonts w:ascii="Wingdings" w:hAnsi="Wingdings" w:hint="default"/>
      </w:rPr>
    </w:lvl>
    <w:lvl w:ilvl="4" w:tplc="EF2AA342" w:tentative="1">
      <w:start w:val="1"/>
      <w:numFmt w:val="bullet"/>
      <w:lvlText w:val=""/>
      <w:lvlJc w:val="left"/>
      <w:pPr>
        <w:tabs>
          <w:tab w:val="num" w:pos="3600"/>
        </w:tabs>
        <w:ind w:left="3600" w:hanging="360"/>
      </w:pPr>
      <w:rPr>
        <w:rFonts w:ascii="Wingdings" w:hAnsi="Wingdings" w:hint="default"/>
      </w:rPr>
    </w:lvl>
    <w:lvl w:ilvl="5" w:tplc="B566B580" w:tentative="1">
      <w:start w:val="1"/>
      <w:numFmt w:val="bullet"/>
      <w:lvlText w:val=""/>
      <w:lvlJc w:val="left"/>
      <w:pPr>
        <w:tabs>
          <w:tab w:val="num" w:pos="4320"/>
        </w:tabs>
        <w:ind w:left="4320" w:hanging="360"/>
      </w:pPr>
      <w:rPr>
        <w:rFonts w:ascii="Wingdings" w:hAnsi="Wingdings" w:hint="default"/>
      </w:rPr>
    </w:lvl>
    <w:lvl w:ilvl="6" w:tplc="6FCE976A" w:tentative="1">
      <w:start w:val="1"/>
      <w:numFmt w:val="bullet"/>
      <w:lvlText w:val=""/>
      <w:lvlJc w:val="left"/>
      <w:pPr>
        <w:tabs>
          <w:tab w:val="num" w:pos="5040"/>
        </w:tabs>
        <w:ind w:left="5040" w:hanging="360"/>
      </w:pPr>
      <w:rPr>
        <w:rFonts w:ascii="Wingdings" w:hAnsi="Wingdings" w:hint="default"/>
      </w:rPr>
    </w:lvl>
    <w:lvl w:ilvl="7" w:tplc="56AC582E" w:tentative="1">
      <w:start w:val="1"/>
      <w:numFmt w:val="bullet"/>
      <w:lvlText w:val=""/>
      <w:lvlJc w:val="left"/>
      <w:pPr>
        <w:tabs>
          <w:tab w:val="num" w:pos="5760"/>
        </w:tabs>
        <w:ind w:left="5760" w:hanging="360"/>
      </w:pPr>
      <w:rPr>
        <w:rFonts w:ascii="Wingdings" w:hAnsi="Wingdings" w:hint="default"/>
      </w:rPr>
    </w:lvl>
    <w:lvl w:ilvl="8" w:tplc="7892F286" w:tentative="1">
      <w:start w:val="1"/>
      <w:numFmt w:val="bullet"/>
      <w:lvlText w:val=""/>
      <w:lvlJc w:val="left"/>
      <w:pPr>
        <w:tabs>
          <w:tab w:val="num" w:pos="6480"/>
        </w:tabs>
        <w:ind w:left="6480" w:hanging="360"/>
      </w:pPr>
      <w:rPr>
        <w:rFonts w:ascii="Wingdings" w:hAnsi="Wingdings" w:hint="default"/>
      </w:rPr>
    </w:lvl>
  </w:abstractNum>
  <w:abstractNum w:abstractNumId="15">
    <w:nsid w:val="5627590C"/>
    <w:multiLevelType w:val="hybridMultilevel"/>
    <w:tmpl w:val="C37290AA"/>
    <w:lvl w:ilvl="0" w:tplc="3D706E56">
      <w:start w:val="1"/>
      <w:numFmt w:val="bullet"/>
      <w:lvlText w:val=""/>
      <w:lvlJc w:val="left"/>
      <w:pPr>
        <w:tabs>
          <w:tab w:val="num" w:pos="720"/>
        </w:tabs>
        <w:ind w:left="720" w:hanging="360"/>
      </w:pPr>
      <w:rPr>
        <w:rFonts w:ascii="Wingdings" w:hAnsi="Wingdings" w:hint="default"/>
      </w:rPr>
    </w:lvl>
    <w:lvl w:ilvl="1" w:tplc="50FE881C" w:tentative="1">
      <w:start w:val="1"/>
      <w:numFmt w:val="bullet"/>
      <w:lvlText w:val=""/>
      <w:lvlJc w:val="left"/>
      <w:pPr>
        <w:tabs>
          <w:tab w:val="num" w:pos="1440"/>
        </w:tabs>
        <w:ind w:left="1440" w:hanging="360"/>
      </w:pPr>
      <w:rPr>
        <w:rFonts w:ascii="Wingdings" w:hAnsi="Wingdings" w:hint="default"/>
      </w:rPr>
    </w:lvl>
    <w:lvl w:ilvl="2" w:tplc="0FFA45CA" w:tentative="1">
      <w:start w:val="1"/>
      <w:numFmt w:val="bullet"/>
      <w:lvlText w:val=""/>
      <w:lvlJc w:val="left"/>
      <w:pPr>
        <w:tabs>
          <w:tab w:val="num" w:pos="2160"/>
        </w:tabs>
        <w:ind w:left="2160" w:hanging="360"/>
      </w:pPr>
      <w:rPr>
        <w:rFonts w:ascii="Wingdings" w:hAnsi="Wingdings" w:hint="default"/>
      </w:rPr>
    </w:lvl>
    <w:lvl w:ilvl="3" w:tplc="BC0E0614" w:tentative="1">
      <w:start w:val="1"/>
      <w:numFmt w:val="bullet"/>
      <w:lvlText w:val=""/>
      <w:lvlJc w:val="left"/>
      <w:pPr>
        <w:tabs>
          <w:tab w:val="num" w:pos="2880"/>
        </w:tabs>
        <w:ind w:left="2880" w:hanging="360"/>
      </w:pPr>
      <w:rPr>
        <w:rFonts w:ascii="Wingdings" w:hAnsi="Wingdings" w:hint="default"/>
      </w:rPr>
    </w:lvl>
    <w:lvl w:ilvl="4" w:tplc="AFE8F2E0" w:tentative="1">
      <w:start w:val="1"/>
      <w:numFmt w:val="bullet"/>
      <w:lvlText w:val=""/>
      <w:lvlJc w:val="left"/>
      <w:pPr>
        <w:tabs>
          <w:tab w:val="num" w:pos="3600"/>
        </w:tabs>
        <w:ind w:left="3600" w:hanging="360"/>
      </w:pPr>
      <w:rPr>
        <w:rFonts w:ascii="Wingdings" w:hAnsi="Wingdings" w:hint="default"/>
      </w:rPr>
    </w:lvl>
    <w:lvl w:ilvl="5" w:tplc="4198B1C2" w:tentative="1">
      <w:start w:val="1"/>
      <w:numFmt w:val="bullet"/>
      <w:lvlText w:val=""/>
      <w:lvlJc w:val="left"/>
      <w:pPr>
        <w:tabs>
          <w:tab w:val="num" w:pos="4320"/>
        </w:tabs>
        <w:ind w:left="4320" w:hanging="360"/>
      </w:pPr>
      <w:rPr>
        <w:rFonts w:ascii="Wingdings" w:hAnsi="Wingdings" w:hint="default"/>
      </w:rPr>
    </w:lvl>
    <w:lvl w:ilvl="6" w:tplc="EDD0F8A0" w:tentative="1">
      <w:start w:val="1"/>
      <w:numFmt w:val="bullet"/>
      <w:lvlText w:val=""/>
      <w:lvlJc w:val="left"/>
      <w:pPr>
        <w:tabs>
          <w:tab w:val="num" w:pos="5040"/>
        </w:tabs>
        <w:ind w:left="5040" w:hanging="360"/>
      </w:pPr>
      <w:rPr>
        <w:rFonts w:ascii="Wingdings" w:hAnsi="Wingdings" w:hint="default"/>
      </w:rPr>
    </w:lvl>
    <w:lvl w:ilvl="7" w:tplc="95F205D4" w:tentative="1">
      <w:start w:val="1"/>
      <w:numFmt w:val="bullet"/>
      <w:lvlText w:val=""/>
      <w:lvlJc w:val="left"/>
      <w:pPr>
        <w:tabs>
          <w:tab w:val="num" w:pos="5760"/>
        </w:tabs>
        <w:ind w:left="5760" w:hanging="360"/>
      </w:pPr>
      <w:rPr>
        <w:rFonts w:ascii="Wingdings" w:hAnsi="Wingdings" w:hint="default"/>
      </w:rPr>
    </w:lvl>
    <w:lvl w:ilvl="8" w:tplc="DFFA04EE" w:tentative="1">
      <w:start w:val="1"/>
      <w:numFmt w:val="bullet"/>
      <w:lvlText w:val=""/>
      <w:lvlJc w:val="left"/>
      <w:pPr>
        <w:tabs>
          <w:tab w:val="num" w:pos="6480"/>
        </w:tabs>
        <w:ind w:left="6480" w:hanging="360"/>
      </w:pPr>
      <w:rPr>
        <w:rFonts w:ascii="Wingdings" w:hAnsi="Wingdings" w:hint="default"/>
      </w:rPr>
    </w:lvl>
  </w:abstractNum>
  <w:abstractNum w:abstractNumId="16">
    <w:nsid w:val="5C003E8C"/>
    <w:multiLevelType w:val="hybridMultilevel"/>
    <w:tmpl w:val="475AC0D8"/>
    <w:lvl w:ilvl="0" w:tplc="E08E5D22">
      <w:start w:val="1"/>
      <w:numFmt w:val="decimal"/>
      <w:lvlText w:val="%1、"/>
      <w:lvlJc w:val="left"/>
      <w:pPr>
        <w:ind w:left="1200" w:hanging="720"/>
      </w:pPr>
      <w:rPr>
        <w:rFonts w:hint="default"/>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nsid w:val="5C5F63A9"/>
    <w:multiLevelType w:val="hybridMultilevel"/>
    <w:tmpl w:val="314A2B18"/>
    <w:lvl w:ilvl="0" w:tplc="7E863EF2">
      <w:start w:val="1"/>
      <w:numFmt w:val="japaneseCounting"/>
      <w:lvlText w:val="第%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nsid w:val="60BC4A89"/>
    <w:multiLevelType w:val="hybridMultilevel"/>
    <w:tmpl w:val="586EE950"/>
    <w:lvl w:ilvl="0" w:tplc="6A165E04">
      <w:start w:val="1"/>
      <w:numFmt w:val="bullet"/>
      <w:lvlText w:val=""/>
      <w:lvlJc w:val="left"/>
      <w:pPr>
        <w:tabs>
          <w:tab w:val="num" w:pos="720"/>
        </w:tabs>
        <w:ind w:left="720" w:hanging="360"/>
      </w:pPr>
      <w:rPr>
        <w:rFonts w:ascii="Wingdings" w:hAnsi="Wingdings" w:hint="default"/>
      </w:rPr>
    </w:lvl>
    <w:lvl w:ilvl="1" w:tplc="21AC195E" w:tentative="1">
      <w:start w:val="1"/>
      <w:numFmt w:val="bullet"/>
      <w:lvlText w:val=""/>
      <w:lvlJc w:val="left"/>
      <w:pPr>
        <w:tabs>
          <w:tab w:val="num" w:pos="1440"/>
        </w:tabs>
        <w:ind w:left="1440" w:hanging="360"/>
      </w:pPr>
      <w:rPr>
        <w:rFonts w:ascii="Wingdings" w:hAnsi="Wingdings" w:hint="default"/>
      </w:rPr>
    </w:lvl>
    <w:lvl w:ilvl="2" w:tplc="A0B615E8" w:tentative="1">
      <w:start w:val="1"/>
      <w:numFmt w:val="bullet"/>
      <w:lvlText w:val=""/>
      <w:lvlJc w:val="left"/>
      <w:pPr>
        <w:tabs>
          <w:tab w:val="num" w:pos="2160"/>
        </w:tabs>
        <w:ind w:left="2160" w:hanging="360"/>
      </w:pPr>
      <w:rPr>
        <w:rFonts w:ascii="Wingdings" w:hAnsi="Wingdings" w:hint="default"/>
      </w:rPr>
    </w:lvl>
    <w:lvl w:ilvl="3" w:tplc="E75C4E4C" w:tentative="1">
      <w:start w:val="1"/>
      <w:numFmt w:val="bullet"/>
      <w:lvlText w:val=""/>
      <w:lvlJc w:val="left"/>
      <w:pPr>
        <w:tabs>
          <w:tab w:val="num" w:pos="2880"/>
        </w:tabs>
        <w:ind w:left="2880" w:hanging="360"/>
      </w:pPr>
      <w:rPr>
        <w:rFonts w:ascii="Wingdings" w:hAnsi="Wingdings" w:hint="default"/>
      </w:rPr>
    </w:lvl>
    <w:lvl w:ilvl="4" w:tplc="4AEA7F6E" w:tentative="1">
      <w:start w:val="1"/>
      <w:numFmt w:val="bullet"/>
      <w:lvlText w:val=""/>
      <w:lvlJc w:val="left"/>
      <w:pPr>
        <w:tabs>
          <w:tab w:val="num" w:pos="3600"/>
        </w:tabs>
        <w:ind w:left="3600" w:hanging="360"/>
      </w:pPr>
      <w:rPr>
        <w:rFonts w:ascii="Wingdings" w:hAnsi="Wingdings" w:hint="default"/>
      </w:rPr>
    </w:lvl>
    <w:lvl w:ilvl="5" w:tplc="2D6A9648" w:tentative="1">
      <w:start w:val="1"/>
      <w:numFmt w:val="bullet"/>
      <w:lvlText w:val=""/>
      <w:lvlJc w:val="left"/>
      <w:pPr>
        <w:tabs>
          <w:tab w:val="num" w:pos="4320"/>
        </w:tabs>
        <w:ind w:left="4320" w:hanging="360"/>
      </w:pPr>
      <w:rPr>
        <w:rFonts w:ascii="Wingdings" w:hAnsi="Wingdings" w:hint="default"/>
      </w:rPr>
    </w:lvl>
    <w:lvl w:ilvl="6" w:tplc="CB7E3146" w:tentative="1">
      <w:start w:val="1"/>
      <w:numFmt w:val="bullet"/>
      <w:lvlText w:val=""/>
      <w:lvlJc w:val="left"/>
      <w:pPr>
        <w:tabs>
          <w:tab w:val="num" w:pos="5040"/>
        </w:tabs>
        <w:ind w:left="5040" w:hanging="360"/>
      </w:pPr>
      <w:rPr>
        <w:rFonts w:ascii="Wingdings" w:hAnsi="Wingdings" w:hint="default"/>
      </w:rPr>
    </w:lvl>
    <w:lvl w:ilvl="7" w:tplc="B1988EC6" w:tentative="1">
      <w:start w:val="1"/>
      <w:numFmt w:val="bullet"/>
      <w:lvlText w:val=""/>
      <w:lvlJc w:val="left"/>
      <w:pPr>
        <w:tabs>
          <w:tab w:val="num" w:pos="5760"/>
        </w:tabs>
        <w:ind w:left="5760" w:hanging="360"/>
      </w:pPr>
      <w:rPr>
        <w:rFonts w:ascii="Wingdings" w:hAnsi="Wingdings" w:hint="default"/>
      </w:rPr>
    </w:lvl>
    <w:lvl w:ilvl="8" w:tplc="B71C61B0" w:tentative="1">
      <w:start w:val="1"/>
      <w:numFmt w:val="bullet"/>
      <w:lvlText w:val=""/>
      <w:lvlJc w:val="left"/>
      <w:pPr>
        <w:tabs>
          <w:tab w:val="num" w:pos="6480"/>
        </w:tabs>
        <w:ind w:left="6480" w:hanging="360"/>
      </w:pPr>
      <w:rPr>
        <w:rFonts w:ascii="Wingdings" w:hAnsi="Wingdings" w:hint="default"/>
      </w:rPr>
    </w:lvl>
  </w:abstractNum>
  <w:abstractNum w:abstractNumId="19">
    <w:nsid w:val="61E30A09"/>
    <w:multiLevelType w:val="hybridMultilevel"/>
    <w:tmpl w:val="61DA731C"/>
    <w:lvl w:ilvl="0" w:tplc="768C7888">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nsid w:val="6AA464D0"/>
    <w:multiLevelType w:val="hybridMultilevel"/>
    <w:tmpl w:val="87CE8456"/>
    <w:lvl w:ilvl="0" w:tplc="4D4E41E0">
      <w:start w:val="1"/>
      <w:numFmt w:val="bullet"/>
      <w:lvlText w:val=""/>
      <w:lvlJc w:val="left"/>
      <w:pPr>
        <w:tabs>
          <w:tab w:val="num" w:pos="720"/>
        </w:tabs>
        <w:ind w:left="720" w:hanging="360"/>
      </w:pPr>
      <w:rPr>
        <w:rFonts w:ascii="Wingdings" w:hAnsi="Wingdings" w:hint="default"/>
      </w:rPr>
    </w:lvl>
    <w:lvl w:ilvl="1" w:tplc="983CE176" w:tentative="1">
      <w:start w:val="1"/>
      <w:numFmt w:val="bullet"/>
      <w:lvlText w:val=""/>
      <w:lvlJc w:val="left"/>
      <w:pPr>
        <w:tabs>
          <w:tab w:val="num" w:pos="1440"/>
        </w:tabs>
        <w:ind w:left="1440" w:hanging="360"/>
      </w:pPr>
      <w:rPr>
        <w:rFonts w:ascii="Wingdings" w:hAnsi="Wingdings" w:hint="default"/>
      </w:rPr>
    </w:lvl>
    <w:lvl w:ilvl="2" w:tplc="EE9ECB80" w:tentative="1">
      <w:start w:val="1"/>
      <w:numFmt w:val="bullet"/>
      <w:lvlText w:val=""/>
      <w:lvlJc w:val="left"/>
      <w:pPr>
        <w:tabs>
          <w:tab w:val="num" w:pos="2160"/>
        </w:tabs>
        <w:ind w:left="2160" w:hanging="360"/>
      </w:pPr>
      <w:rPr>
        <w:rFonts w:ascii="Wingdings" w:hAnsi="Wingdings" w:hint="default"/>
      </w:rPr>
    </w:lvl>
    <w:lvl w:ilvl="3" w:tplc="61A2DFD8" w:tentative="1">
      <w:start w:val="1"/>
      <w:numFmt w:val="bullet"/>
      <w:lvlText w:val=""/>
      <w:lvlJc w:val="left"/>
      <w:pPr>
        <w:tabs>
          <w:tab w:val="num" w:pos="2880"/>
        </w:tabs>
        <w:ind w:left="2880" w:hanging="360"/>
      </w:pPr>
      <w:rPr>
        <w:rFonts w:ascii="Wingdings" w:hAnsi="Wingdings" w:hint="default"/>
      </w:rPr>
    </w:lvl>
    <w:lvl w:ilvl="4" w:tplc="26142642" w:tentative="1">
      <w:start w:val="1"/>
      <w:numFmt w:val="bullet"/>
      <w:lvlText w:val=""/>
      <w:lvlJc w:val="left"/>
      <w:pPr>
        <w:tabs>
          <w:tab w:val="num" w:pos="3600"/>
        </w:tabs>
        <w:ind w:left="3600" w:hanging="360"/>
      </w:pPr>
      <w:rPr>
        <w:rFonts w:ascii="Wingdings" w:hAnsi="Wingdings" w:hint="default"/>
      </w:rPr>
    </w:lvl>
    <w:lvl w:ilvl="5" w:tplc="F73C735E" w:tentative="1">
      <w:start w:val="1"/>
      <w:numFmt w:val="bullet"/>
      <w:lvlText w:val=""/>
      <w:lvlJc w:val="left"/>
      <w:pPr>
        <w:tabs>
          <w:tab w:val="num" w:pos="4320"/>
        </w:tabs>
        <w:ind w:left="4320" w:hanging="360"/>
      </w:pPr>
      <w:rPr>
        <w:rFonts w:ascii="Wingdings" w:hAnsi="Wingdings" w:hint="default"/>
      </w:rPr>
    </w:lvl>
    <w:lvl w:ilvl="6" w:tplc="3F82EBD8" w:tentative="1">
      <w:start w:val="1"/>
      <w:numFmt w:val="bullet"/>
      <w:lvlText w:val=""/>
      <w:lvlJc w:val="left"/>
      <w:pPr>
        <w:tabs>
          <w:tab w:val="num" w:pos="5040"/>
        </w:tabs>
        <w:ind w:left="5040" w:hanging="360"/>
      </w:pPr>
      <w:rPr>
        <w:rFonts w:ascii="Wingdings" w:hAnsi="Wingdings" w:hint="default"/>
      </w:rPr>
    </w:lvl>
    <w:lvl w:ilvl="7" w:tplc="83D649B4" w:tentative="1">
      <w:start w:val="1"/>
      <w:numFmt w:val="bullet"/>
      <w:lvlText w:val=""/>
      <w:lvlJc w:val="left"/>
      <w:pPr>
        <w:tabs>
          <w:tab w:val="num" w:pos="5760"/>
        </w:tabs>
        <w:ind w:left="5760" w:hanging="360"/>
      </w:pPr>
      <w:rPr>
        <w:rFonts w:ascii="Wingdings" w:hAnsi="Wingdings" w:hint="default"/>
      </w:rPr>
    </w:lvl>
    <w:lvl w:ilvl="8" w:tplc="EC785C22" w:tentative="1">
      <w:start w:val="1"/>
      <w:numFmt w:val="bullet"/>
      <w:lvlText w:val=""/>
      <w:lvlJc w:val="left"/>
      <w:pPr>
        <w:tabs>
          <w:tab w:val="num" w:pos="6480"/>
        </w:tabs>
        <w:ind w:left="6480" w:hanging="360"/>
      </w:pPr>
      <w:rPr>
        <w:rFonts w:ascii="Wingdings" w:hAnsi="Wingdings" w:hint="default"/>
      </w:rPr>
    </w:lvl>
  </w:abstractNum>
  <w:abstractNum w:abstractNumId="21">
    <w:nsid w:val="6F9C03C7"/>
    <w:multiLevelType w:val="hybridMultilevel"/>
    <w:tmpl w:val="3E6AE66A"/>
    <w:lvl w:ilvl="0" w:tplc="32D22218">
      <w:start w:val="1"/>
      <w:numFmt w:val="bullet"/>
      <w:lvlText w:val=""/>
      <w:lvlJc w:val="left"/>
      <w:pPr>
        <w:tabs>
          <w:tab w:val="num" w:pos="720"/>
        </w:tabs>
        <w:ind w:left="720" w:hanging="360"/>
      </w:pPr>
      <w:rPr>
        <w:rFonts w:ascii="Wingdings" w:hAnsi="Wingdings" w:hint="default"/>
      </w:rPr>
    </w:lvl>
    <w:lvl w:ilvl="1" w:tplc="63AC403C" w:tentative="1">
      <w:start w:val="1"/>
      <w:numFmt w:val="bullet"/>
      <w:lvlText w:val=""/>
      <w:lvlJc w:val="left"/>
      <w:pPr>
        <w:tabs>
          <w:tab w:val="num" w:pos="1440"/>
        </w:tabs>
        <w:ind w:left="1440" w:hanging="360"/>
      </w:pPr>
      <w:rPr>
        <w:rFonts w:ascii="Wingdings" w:hAnsi="Wingdings" w:hint="default"/>
      </w:rPr>
    </w:lvl>
    <w:lvl w:ilvl="2" w:tplc="8E0CD4A4" w:tentative="1">
      <w:start w:val="1"/>
      <w:numFmt w:val="bullet"/>
      <w:lvlText w:val=""/>
      <w:lvlJc w:val="left"/>
      <w:pPr>
        <w:tabs>
          <w:tab w:val="num" w:pos="2160"/>
        </w:tabs>
        <w:ind w:left="2160" w:hanging="360"/>
      </w:pPr>
      <w:rPr>
        <w:rFonts w:ascii="Wingdings" w:hAnsi="Wingdings" w:hint="default"/>
      </w:rPr>
    </w:lvl>
    <w:lvl w:ilvl="3" w:tplc="3F0AE334" w:tentative="1">
      <w:start w:val="1"/>
      <w:numFmt w:val="bullet"/>
      <w:lvlText w:val=""/>
      <w:lvlJc w:val="left"/>
      <w:pPr>
        <w:tabs>
          <w:tab w:val="num" w:pos="2880"/>
        </w:tabs>
        <w:ind w:left="2880" w:hanging="360"/>
      </w:pPr>
      <w:rPr>
        <w:rFonts w:ascii="Wingdings" w:hAnsi="Wingdings" w:hint="default"/>
      </w:rPr>
    </w:lvl>
    <w:lvl w:ilvl="4" w:tplc="F44E0768" w:tentative="1">
      <w:start w:val="1"/>
      <w:numFmt w:val="bullet"/>
      <w:lvlText w:val=""/>
      <w:lvlJc w:val="left"/>
      <w:pPr>
        <w:tabs>
          <w:tab w:val="num" w:pos="3600"/>
        </w:tabs>
        <w:ind w:left="3600" w:hanging="360"/>
      </w:pPr>
      <w:rPr>
        <w:rFonts w:ascii="Wingdings" w:hAnsi="Wingdings" w:hint="default"/>
      </w:rPr>
    </w:lvl>
    <w:lvl w:ilvl="5" w:tplc="74C672F0" w:tentative="1">
      <w:start w:val="1"/>
      <w:numFmt w:val="bullet"/>
      <w:lvlText w:val=""/>
      <w:lvlJc w:val="left"/>
      <w:pPr>
        <w:tabs>
          <w:tab w:val="num" w:pos="4320"/>
        </w:tabs>
        <w:ind w:left="4320" w:hanging="360"/>
      </w:pPr>
      <w:rPr>
        <w:rFonts w:ascii="Wingdings" w:hAnsi="Wingdings" w:hint="default"/>
      </w:rPr>
    </w:lvl>
    <w:lvl w:ilvl="6" w:tplc="BE0421A6" w:tentative="1">
      <w:start w:val="1"/>
      <w:numFmt w:val="bullet"/>
      <w:lvlText w:val=""/>
      <w:lvlJc w:val="left"/>
      <w:pPr>
        <w:tabs>
          <w:tab w:val="num" w:pos="5040"/>
        </w:tabs>
        <w:ind w:left="5040" w:hanging="360"/>
      </w:pPr>
      <w:rPr>
        <w:rFonts w:ascii="Wingdings" w:hAnsi="Wingdings" w:hint="default"/>
      </w:rPr>
    </w:lvl>
    <w:lvl w:ilvl="7" w:tplc="57DADC78" w:tentative="1">
      <w:start w:val="1"/>
      <w:numFmt w:val="bullet"/>
      <w:lvlText w:val=""/>
      <w:lvlJc w:val="left"/>
      <w:pPr>
        <w:tabs>
          <w:tab w:val="num" w:pos="5760"/>
        </w:tabs>
        <w:ind w:left="5760" w:hanging="360"/>
      </w:pPr>
      <w:rPr>
        <w:rFonts w:ascii="Wingdings" w:hAnsi="Wingdings" w:hint="default"/>
      </w:rPr>
    </w:lvl>
    <w:lvl w:ilvl="8" w:tplc="911A1FF4"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4"/>
  </w:num>
  <w:num w:numId="6">
    <w:abstractNumId w:val="19"/>
  </w:num>
  <w:num w:numId="7">
    <w:abstractNumId w:val="11"/>
  </w:num>
  <w:num w:numId="8">
    <w:abstractNumId w:val="10"/>
  </w:num>
  <w:num w:numId="9">
    <w:abstractNumId w:val="5"/>
  </w:num>
  <w:num w:numId="10">
    <w:abstractNumId w:val="14"/>
  </w:num>
  <w:num w:numId="11">
    <w:abstractNumId w:val="18"/>
  </w:num>
  <w:num w:numId="12">
    <w:abstractNumId w:val="12"/>
  </w:num>
  <w:num w:numId="13">
    <w:abstractNumId w:val="20"/>
  </w:num>
  <w:num w:numId="14">
    <w:abstractNumId w:val="21"/>
  </w:num>
  <w:num w:numId="15">
    <w:abstractNumId w:val="15"/>
  </w:num>
  <w:num w:numId="16">
    <w:abstractNumId w:val="9"/>
  </w:num>
  <w:num w:numId="17">
    <w:abstractNumId w:val="7"/>
  </w:num>
  <w:num w:numId="18">
    <w:abstractNumId w:val="17"/>
  </w:num>
  <w:num w:numId="19">
    <w:abstractNumId w:val="8"/>
  </w:num>
  <w:num w:numId="20">
    <w:abstractNumId w:val="16"/>
  </w:num>
  <w:num w:numId="21">
    <w:abstractNumId w:val="6"/>
  </w:num>
  <w:num w:numId="2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F28DE503"/>
    <w:rsid w:val="0000048E"/>
    <w:rsid w:val="000006A1"/>
    <w:rsid w:val="00001755"/>
    <w:rsid w:val="0000180B"/>
    <w:rsid w:val="000022B0"/>
    <w:rsid w:val="0000327C"/>
    <w:rsid w:val="000037AD"/>
    <w:rsid w:val="00003DA4"/>
    <w:rsid w:val="00003F08"/>
    <w:rsid w:val="00003F49"/>
    <w:rsid w:val="00003F92"/>
    <w:rsid w:val="000047B9"/>
    <w:rsid w:val="00004DA9"/>
    <w:rsid w:val="00004DF6"/>
    <w:rsid w:val="00004F92"/>
    <w:rsid w:val="00005076"/>
    <w:rsid w:val="00005AF2"/>
    <w:rsid w:val="00005D9A"/>
    <w:rsid w:val="000060AC"/>
    <w:rsid w:val="000060DE"/>
    <w:rsid w:val="00006135"/>
    <w:rsid w:val="0000649D"/>
    <w:rsid w:val="00006593"/>
    <w:rsid w:val="00006787"/>
    <w:rsid w:val="000068CF"/>
    <w:rsid w:val="00006911"/>
    <w:rsid w:val="00006B83"/>
    <w:rsid w:val="00007A5A"/>
    <w:rsid w:val="00007F30"/>
    <w:rsid w:val="00010654"/>
    <w:rsid w:val="000106E3"/>
    <w:rsid w:val="00010B19"/>
    <w:rsid w:val="00010DAA"/>
    <w:rsid w:val="000119EF"/>
    <w:rsid w:val="00011C5F"/>
    <w:rsid w:val="000128CB"/>
    <w:rsid w:val="00012A25"/>
    <w:rsid w:val="00012DA7"/>
    <w:rsid w:val="00012E48"/>
    <w:rsid w:val="0001311B"/>
    <w:rsid w:val="00013AC4"/>
    <w:rsid w:val="00013D8C"/>
    <w:rsid w:val="00013DBA"/>
    <w:rsid w:val="00014480"/>
    <w:rsid w:val="0001500B"/>
    <w:rsid w:val="00015542"/>
    <w:rsid w:val="00015981"/>
    <w:rsid w:val="00015C26"/>
    <w:rsid w:val="00015ECB"/>
    <w:rsid w:val="00015EE5"/>
    <w:rsid w:val="00015F11"/>
    <w:rsid w:val="00015F3D"/>
    <w:rsid w:val="00016248"/>
    <w:rsid w:val="00016A8C"/>
    <w:rsid w:val="00016C6A"/>
    <w:rsid w:val="00017B9C"/>
    <w:rsid w:val="0002051A"/>
    <w:rsid w:val="00020970"/>
    <w:rsid w:val="00020BBA"/>
    <w:rsid w:val="00020F7F"/>
    <w:rsid w:val="000219C9"/>
    <w:rsid w:val="00021B34"/>
    <w:rsid w:val="00022DD3"/>
    <w:rsid w:val="0002319C"/>
    <w:rsid w:val="000232BB"/>
    <w:rsid w:val="00023531"/>
    <w:rsid w:val="00023C51"/>
    <w:rsid w:val="00023E14"/>
    <w:rsid w:val="0002431B"/>
    <w:rsid w:val="00025073"/>
    <w:rsid w:val="00025B9D"/>
    <w:rsid w:val="00025F12"/>
    <w:rsid w:val="00026193"/>
    <w:rsid w:val="000270FF"/>
    <w:rsid w:val="000274EB"/>
    <w:rsid w:val="000275C9"/>
    <w:rsid w:val="0002765B"/>
    <w:rsid w:val="00027AAB"/>
    <w:rsid w:val="00027E39"/>
    <w:rsid w:val="0003065D"/>
    <w:rsid w:val="00030711"/>
    <w:rsid w:val="000312AB"/>
    <w:rsid w:val="00031A0F"/>
    <w:rsid w:val="00032A5F"/>
    <w:rsid w:val="00032A68"/>
    <w:rsid w:val="00032ABF"/>
    <w:rsid w:val="000331EC"/>
    <w:rsid w:val="0003324E"/>
    <w:rsid w:val="000332AD"/>
    <w:rsid w:val="00033828"/>
    <w:rsid w:val="00034E64"/>
    <w:rsid w:val="0003520F"/>
    <w:rsid w:val="0003530E"/>
    <w:rsid w:val="00035D3D"/>
    <w:rsid w:val="00036DAA"/>
    <w:rsid w:val="00037494"/>
    <w:rsid w:val="0003773F"/>
    <w:rsid w:val="00037E6C"/>
    <w:rsid w:val="00037F38"/>
    <w:rsid w:val="000400EC"/>
    <w:rsid w:val="000401C9"/>
    <w:rsid w:val="000409E0"/>
    <w:rsid w:val="00040A6A"/>
    <w:rsid w:val="0004102C"/>
    <w:rsid w:val="000417A6"/>
    <w:rsid w:val="00041B38"/>
    <w:rsid w:val="00043A6D"/>
    <w:rsid w:val="00043DB6"/>
    <w:rsid w:val="00043E48"/>
    <w:rsid w:val="0004427C"/>
    <w:rsid w:val="000449F0"/>
    <w:rsid w:val="0004549D"/>
    <w:rsid w:val="00045A17"/>
    <w:rsid w:val="00045AB5"/>
    <w:rsid w:val="000463F4"/>
    <w:rsid w:val="0004644B"/>
    <w:rsid w:val="000465B1"/>
    <w:rsid w:val="000467D7"/>
    <w:rsid w:val="0004715A"/>
    <w:rsid w:val="000472E5"/>
    <w:rsid w:val="00047BC0"/>
    <w:rsid w:val="00047BF1"/>
    <w:rsid w:val="00047FA6"/>
    <w:rsid w:val="0005003A"/>
    <w:rsid w:val="00050047"/>
    <w:rsid w:val="000504C8"/>
    <w:rsid w:val="000505E2"/>
    <w:rsid w:val="000507BC"/>
    <w:rsid w:val="00050AE2"/>
    <w:rsid w:val="00050E8F"/>
    <w:rsid w:val="0005155B"/>
    <w:rsid w:val="00051575"/>
    <w:rsid w:val="0005161A"/>
    <w:rsid w:val="00051CD0"/>
    <w:rsid w:val="00051D9D"/>
    <w:rsid w:val="000523C8"/>
    <w:rsid w:val="00052427"/>
    <w:rsid w:val="00053051"/>
    <w:rsid w:val="000537A4"/>
    <w:rsid w:val="00054893"/>
    <w:rsid w:val="00054AE0"/>
    <w:rsid w:val="00054AFD"/>
    <w:rsid w:val="00054E2A"/>
    <w:rsid w:val="0005504F"/>
    <w:rsid w:val="000553C1"/>
    <w:rsid w:val="00055485"/>
    <w:rsid w:val="0005558A"/>
    <w:rsid w:val="00055679"/>
    <w:rsid w:val="00055A52"/>
    <w:rsid w:val="00055D29"/>
    <w:rsid w:val="00055F3B"/>
    <w:rsid w:val="000562D4"/>
    <w:rsid w:val="0005655B"/>
    <w:rsid w:val="0005721A"/>
    <w:rsid w:val="00057442"/>
    <w:rsid w:val="0005758B"/>
    <w:rsid w:val="000576DA"/>
    <w:rsid w:val="000603EF"/>
    <w:rsid w:val="00060BBF"/>
    <w:rsid w:val="000617BF"/>
    <w:rsid w:val="00061869"/>
    <w:rsid w:val="00061C3C"/>
    <w:rsid w:val="00061D9E"/>
    <w:rsid w:val="000620E2"/>
    <w:rsid w:val="0006250F"/>
    <w:rsid w:val="00062981"/>
    <w:rsid w:val="000629A2"/>
    <w:rsid w:val="00062E89"/>
    <w:rsid w:val="0006364B"/>
    <w:rsid w:val="00063EF1"/>
    <w:rsid w:val="00064007"/>
    <w:rsid w:val="000643F4"/>
    <w:rsid w:val="0006472D"/>
    <w:rsid w:val="00064DDC"/>
    <w:rsid w:val="00065B19"/>
    <w:rsid w:val="0006662C"/>
    <w:rsid w:val="0006679B"/>
    <w:rsid w:val="00066A4B"/>
    <w:rsid w:val="00066B90"/>
    <w:rsid w:val="00066C46"/>
    <w:rsid w:val="00066F10"/>
    <w:rsid w:val="00067963"/>
    <w:rsid w:val="00067A49"/>
    <w:rsid w:val="000701D0"/>
    <w:rsid w:val="00070606"/>
    <w:rsid w:val="00070A5D"/>
    <w:rsid w:val="0007166F"/>
    <w:rsid w:val="000719CA"/>
    <w:rsid w:val="0007212E"/>
    <w:rsid w:val="000722B7"/>
    <w:rsid w:val="00072410"/>
    <w:rsid w:val="0007254B"/>
    <w:rsid w:val="00073F36"/>
    <w:rsid w:val="00075608"/>
    <w:rsid w:val="00075EC6"/>
    <w:rsid w:val="000760C6"/>
    <w:rsid w:val="0007614B"/>
    <w:rsid w:val="000771ED"/>
    <w:rsid w:val="000772BD"/>
    <w:rsid w:val="0007794F"/>
    <w:rsid w:val="00077B1B"/>
    <w:rsid w:val="00080318"/>
    <w:rsid w:val="000807AE"/>
    <w:rsid w:val="00080D8B"/>
    <w:rsid w:val="0008119E"/>
    <w:rsid w:val="00081E60"/>
    <w:rsid w:val="00082044"/>
    <w:rsid w:val="00082CE4"/>
    <w:rsid w:val="00083341"/>
    <w:rsid w:val="00083392"/>
    <w:rsid w:val="00083A35"/>
    <w:rsid w:val="00083B64"/>
    <w:rsid w:val="00083E1C"/>
    <w:rsid w:val="00084085"/>
    <w:rsid w:val="000840CD"/>
    <w:rsid w:val="00084873"/>
    <w:rsid w:val="0008490D"/>
    <w:rsid w:val="000853E5"/>
    <w:rsid w:val="00085AC0"/>
    <w:rsid w:val="00085CBE"/>
    <w:rsid w:val="0008649A"/>
    <w:rsid w:val="000869DB"/>
    <w:rsid w:val="00086E6D"/>
    <w:rsid w:val="00086E99"/>
    <w:rsid w:val="0008719E"/>
    <w:rsid w:val="000875B7"/>
    <w:rsid w:val="00087DC6"/>
    <w:rsid w:val="00087E90"/>
    <w:rsid w:val="00090261"/>
    <w:rsid w:val="000907BC"/>
    <w:rsid w:val="0009124F"/>
    <w:rsid w:val="00091402"/>
    <w:rsid w:val="000915F6"/>
    <w:rsid w:val="000917A1"/>
    <w:rsid w:val="000917C9"/>
    <w:rsid w:val="000918CD"/>
    <w:rsid w:val="00091AC2"/>
    <w:rsid w:val="00091F14"/>
    <w:rsid w:val="00092207"/>
    <w:rsid w:val="0009252A"/>
    <w:rsid w:val="0009258F"/>
    <w:rsid w:val="00092AD5"/>
    <w:rsid w:val="00094523"/>
    <w:rsid w:val="00094D94"/>
    <w:rsid w:val="00094F6C"/>
    <w:rsid w:val="00094FF4"/>
    <w:rsid w:val="000951D3"/>
    <w:rsid w:val="000952BB"/>
    <w:rsid w:val="000953DE"/>
    <w:rsid w:val="00095B18"/>
    <w:rsid w:val="00095BC5"/>
    <w:rsid w:val="000962C2"/>
    <w:rsid w:val="00096648"/>
    <w:rsid w:val="000967FE"/>
    <w:rsid w:val="00096C99"/>
    <w:rsid w:val="0009703A"/>
    <w:rsid w:val="00097104"/>
    <w:rsid w:val="0009729E"/>
    <w:rsid w:val="0009756E"/>
    <w:rsid w:val="00097A7F"/>
    <w:rsid w:val="00097D5D"/>
    <w:rsid w:val="00097E52"/>
    <w:rsid w:val="000A030E"/>
    <w:rsid w:val="000A0751"/>
    <w:rsid w:val="000A07AB"/>
    <w:rsid w:val="000A0975"/>
    <w:rsid w:val="000A1929"/>
    <w:rsid w:val="000A1B69"/>
    <w:rsid w:val="000A1ECC"/>
    <w:rsid w:val="000A2DAA"/>
    <w:rsid w:val="000A2E6B"/>
    <w:rsid w:val="000A2FC7"/>
    <w:rsid w:val="000A315A"/>
    <w:rsid w:val="000A3DC8"/>
    <w:rsid w:val="000A4BF8"/>
    <w:rsid w:val="000A51BC"/>
    <w:rsid w:val="000A58A7"/>
    <w:rsid w:val="000A5D4F"/>
    <w:rsid w:val="000A64B9"/>
    <w:rsid w:val="000A6B05"/>
    <w:rsid w:val="000A6DE0"/>
    <w:rsid w:val="000A71BF"/>
    <w:rsid w:val="000A7DAC"/>
    <w:rsid w:val="000B026D"/>
    <w:rsid w:val="000B05E2"/>
    <w:rsid w:val="000B0BF6"/>
    <w:rsid w:val="000B10BC"/>
    <w:rsid w:val="000B1789"/>
    <w:rsid w:val="000B17BD"/>
    <w:rsid w:val="000B210C"/>
    <w:rsid w:val="000B22FC"/>
    <w:rsid w:val="000B25D3"/>
    <w:rsid w:val="000B2B07"/>
    <w:rsid w:val="000B3764"/>
    <w:rsid w:val="000B3AFD"/>
    <w:rsid w:val="000B3C90"/>
    <w:rsid w:val="000B42CE"/>
    <w:rsid w:val="000B46DA"/>
    <w:rsid w:val="000B470C"/>
    <w:rsid w:val="000B4B75"/>
    <w:rsid w:val="000B5925"/>
    <w:rsid w:val="000B6513"/>
    <w:rsid w:val="000B7BEA"/>
    <w:rsid w:val="000B7CD4"/>
    <w:rsid w:val="000B7E48"/>
    <w:rsid w:val="000C0119"/>
    <w:rsid w:val="000C078B"/>
    <w:rsid w:val="000C0CF9"/>
    <w:rsid w:val="000C11F7"/>
    <w:rsid w:val="000C183E"/>
    <w:rsid w:val="000C1B8F"/>
    <w:rsid w:val="000C2B22"/>
    <w:rsid w:val="000C3787"/>
    <w:rsid w:val="000C39FF"/>
    <w:rsid w:val="000C4BC7"/>
    <w:rsid w:val="000C60B9"/>
    <w:rsid w:val="000C6120"/>
    <w:rsid w:val="000C64EF"/>
    <w:rsid w:val="000C66E9"/>
    <w:rsid w:val="000C6919"/>
    <w:rsid w:val="000C6997"/>
    <w:rsid w:val="000C715A"/>
    <w:rsid w:val="000C7EFF"/>
    <w:rsid w:val="000C7FD1"/>
    <w:rsid w:val="000D03DB"/>
    <w:rsid w:val="000D0A66"/>
    <w:rsid w:val="000D0C47"/>
    <w:rsid w:val="000D0D13"/>
    <w:rsid w:val="000D20CB"/>
    <w:rsid w:val="000D2ABF"/>
    <w:rsid w:val="000D2ACF"/>
    <w:rsid w:val="000D3239"/>
    <w:rsid w:val="000D39B6"/>
    <w:rsid w:val="000D476C"/>
    <w:rsid w:val="000D4D45"/>
    <w:rsid w:val="000D4F30"/>
    <w:rsid w:val="000D5319"/>
    <w:rsid w:val="000D5735"/>
    <w:rsid w:val="000D6268"/>
    <w:rsid w:val="000D6D98"/>
    <w:rsid w:val="000D7167"/>
    <w:rsid w:val="000D7AE6"/>
    <w:rsid w:val="000D7AF4"/>
    <w:rsid w:val="000E0C96"/>
    <w:rsid w:val="000E0E2A"/>
    <w:rsid w:val="000E0E59"/>
    <w:rsid w:val="000E1BF0"/>
    <w:rsid w:val="000E2002"/>
    <w:rsid w:val="000E2496"/>
    <w:rsid w:val="000E25F5"/>
    <w:rsid w:val="000E2962"/>
    <w:rsid w:val="000E2A9F"/>
    <w:rsid w:val="000E2AF3"/>
    <w:rsid w:val="000E3A11"/>
    <w:rsid w:val="000E3A48"/>
    <w:rsid w:val="000E3B01"/>
    <w:rsid w:val="000E3F98"/>
    <w:rsid w:val="000E41C4"/>
    <w:rsid w:val="000E4BFC"/>
    <w:rsid w:val="000E4CB9"/>
    <w:rsid w:val="000E4E3A"/>
    <w:rsid w:val="000E544C"/>
    <w:rsid w:val="000E5513"/>
    <w:rsid w:val="000E5709"/>
    <w:rsid w:val="000E5994"/>
    <w:rsid w:val="000E59F8"/>
    <w:rsid w:val="000E5C5E"/>
    <w:rsid w:val="000E5CD3"/>
    <w:rsid w:val="000E5D4B"/>
    <w:rsid w:val="000E60E9"/>
    <w:rsid w:val="000E64C5"/>
    <w:rsid w:val="000E7157"/>
    <w:rsid w:val="000E7483"/>
    <w:rsid w:val="000E7583"/>
    <w:rsid w:val="000E79B7"/>
    <w:rsid w:val="000F0182"/>
    <w:rsid w:val="000F0675"/>
    <w:rsid w:val="000F06A6"/>
    <w:rsid w:val="000F0944"/>
    <w:rsid w:val="000F17DC"/>
    <w:rsid w:val="000F1881"/>
    <w:rsid w:val="000F1FB1"/>
    <w:rsid w:val="000F2087"/>
    <w:rsid w:val="000F2794"/>
    <w:rsid w:val="000F2996"/>
    <w:rsid w:val="000F2BF3"/>
    <w:rsid w:val="000F314D"/>
    <w:rsid w:val="000F3AC7"/>
    <w:rsid w:val="000F4125"/>
    <w:rsid w:val="000F4318"/>
    <w:rsid w:val="000F4A50"/>
    <w:rsid w:val="000F4D7B"/>
    <w:rsid w:val="000F52CC"/>
    <w:rsid w:val="000F56B5"/>
    <w:rsid w:val="000F58C3"/>
    <w:rsid w:val="000F5D77"/>
    <w:rsid w:val="000F74B8"/>
    <w:rsid w:val="000F76D9"/>
    <w:rsid w:val="000F7D19"/>
    <w:rsid w:val="000F7F35"/>
    <w:rsid w:val="00100559"/>
    <w:rsid w:val="001005A9"/>
    <w:rsid w:val="00100E6A"/>
    <w:rsid w:val="00100F77"/>
    <w:rsid w:val="00101DDE"/>
    <w:rsid w:val="001021F0"/>
    <w:rsid w:val="00102909"/>
    <w:rsid w:val="00102B5E"/>
    <w:rsid w:val="00102BB3"/>
    <w:rsid w:val="00102EDA"/>
    <w:rsid w:val="001032B0"/>
    <w:rsid w:val="0010359C"/>
    <w:rsid w:val="00103934"/>
    <w:rsid w:val="00103F06"/>
    <w:rsid w:val="001046A3"/>
    <w:rsid w:val="0010475E"/>
    <w:rsid w:val="00104DA0"/>
    <w:rsid w:val="00105570"/>
    <w:rsid w:val="00105EE6"/>
    <w:rsid w:val="00106571"/>
    <w:rsid w:val="001072C7"/>
    <w:rsid w:val="001072EB"/>
    <w:rsid w:val="001076D5"/>
    <w:rsid w:val="00107E45"/>
    <w:rsid w:val="00110783"/>
    <w:rsid w:val="001119F5"/>
    <w:rsid w:val="00111E0B"/>
    <w:rsid w:val="0011228C"/>
    <w:rsid w:val="0011230D"/>
    <w:rsid w:val="00112AFF"/>
    <w:rsid w:val="00112CB9"/>
    <w:rsid w:val="0011318D"/>
    <w:rsid w:val="001136A5"/>
    <w:rsid w:val="00113CDE"/>
    <w:rsid w:val="00113D88"/>
    <w:rsid w:val="00114286"/>
    <w:rsid w:val="00114B4D"/>
    <w:rsid w:val="001152D0"/>
    <w:rsid w:val="001159B4"/>
    <w:rsid w:val="0011638E"/>
    <w:rsid w:val="0011651B"/>
    <w:rsid w:val="00116698"/>
    <w:rsid w:val="0011682A"/>
    <w:rsid w:val="0011689A"/>
    <w:rsid w:val="00116B60"/>
    <w:rsid w:val="00116C60"/>
    <w:rsid w:val="00116F1A"/>
    <w:rsid w:val="001170AF"/>
    <w:rsid w:val="001176C7"/>
    <w:rsid w:val="00117AF6"/>
    <w:rsid w:val="00120548"/>
    <w:rsid w:val="001209D6"/>
    <w:rsid w:val="00121000"/>
    <w:rsid w:val="00121021"/>
    <w:rsid w:val="00121910"/>
    <w:rsid w:val="00121ABD"/>
    <w:rsid w:val="00121D0D"/>
    <w:rsid w:val="00121ED8"/>
    <w:rsid w:val="00122676"/>
    <w:rsid w:val="00122DB4"/>
    <w:rsid w:val="00122E09"/>
    <w:rsid w:val="00122E5C"/>
    <w:rsid w:val="001230CB"/>
    <w:rsid w:val="001232DD"/>
    <w:rsid w:val="0012345B"/>
    <w:rsid w:val="00123923"/>
    <w:rsid w:val="00123B14"/>
    <w:rsid w:val="00123B8E"/>
    <w:rsid w:val="00124044"/>
    <w:rsid w:val="001244E8"/>
    <w:rsid w:val="001245CC"/>
    <w:rsid w:val="00124DD0"/>
    <w:rsid w:val="001253B1"/>
    <w:rsid w:val="001254DA"/>
    <w:rsid w:val="001254F6"/>
    <w:rsid w:val="0012599B"/>
    <w:rsid w:val="00125D11"/>
    <w:rsid w:val="00125FF7"/>
    <w:rsid w:val="001262D7"/>
    <w:rsid w:val="00126A2D"/>
    <w:rsid w:val="00126DBF"/>
    <w:rsid w:val="00127808"/>
    <w:rsid w:val="00127AE1"/>
    <w:rsid w:val="00127E16"/>
    <w:rsid w:val="00127F69"/>
    <w:rsid w:val="00127F71"/>
    <w:rsid w:val="00130403"/>
    <w:rsid w:val="001305A4"/>
    <w:rsid w:val="00130DCD"/>
    <w:rsid w:val="00131317"/>
    <w:rsid w:val="0013157D"/>
    <w:rsid w:val="0013161A"/>
    <w:rsid w:val="00131744"/>
    <w:rsid w:val="00131E4A"/>
    <w:rsid w:val="00132281"/>
    <w:rsid w:val="00132E92"/>
    <w:rsid w:val="00133A1F"/>
    <w:rsid w:val="00134D58"/>
    <w:rsid w:val="001353A1"/>
    <w:rsid w:val="001357FD"/>
    <w:rsid w:val="00136119"/>
    <w:rsid w:val="001364F2"/>
    <w:rsid w:val="00136E93"/>
    <w:rsid w:val="00136EC5"/>
    <w:rsid w:val="001371B1"/>
    <w:rsid w:val="001372BD"/>
    <w:rsid w:val="00137539"/>
    <w:rsid w:val="00137FD9"/>
    <w:rsid w:val="00140019"/>
    <w:rsid w:val="001403D4"/>
    <w:rsid w:val="0014091D"/>
    <w:rsid w:val="00140DA1"/>
    <w:rsid w:val="00140DB4"/>
    <w:rsid w:val="001417AA"/>
    <w:rsid w:val="00143596"/>
    <w:rsid w:val="00143A9A"/>
    <w:rsid w:val="00144281"/>
    <w:rsid w:val="0014448A"/>
    <w:rsid w:val="001445CA"/>
    <w:rsid w:val="0014500B"/>
    <w:rsid w:val="001453E3"/>
    <w:rsid w:val="00145481"/>
    <w:rsid w:val="001457CA"/>
    <w:rsid w:val="001458E5"/>
    <w:rsid w:val="00146098"/>
    <w:rsid w:val="001461DD"/>
    <w:rsid w:val="0014665B"/>
    <w:rsid w:val="001472D4"/>
    <w:rsid w:val="00147336"/>
    <w:rsid w:val="001473F4"/>
    <w:rsid w:val="00147557"/>
    <w:rsid w:val="00147C93"/>
    <w:rsid w:val="00150CF6"/>
    <w:rsid w:val="00150E16"/>
    <w:rsid w:val="0015135E"/>
    <w:rsid w:val="001517A4"/>
    <w:rsid w:val="001517F0"/>
    <w:rsid w:val="001522D8"/>
    <w:rsid w:val="001524B5"/>
    <w:rsid w:val="001525AD"/>
    <w:rsid w:val="00152828"/>
    <w:rsid w:val="001529B7"/>
    <w:rsid w:val="00152EF2"/>
    <w:rsid w:val="0015336C"/>
    <w:rsid w:val="001534C6"/>
    <w:rsid w:val="00153A65"/>
    <w:rsid w:val="00153C30"/>
    <w:rsid w:val="00153E05"/>
    <w:rsid w:val="00153FE5"/>
    <w:rsid w:val="001541BE"/>
    <w:rsid w:val="001541EE"/>
    <w:rsid w:val="0015463A"/>
    <w:rsid w:val="00154762"/>
    <w:rsid w:val="00154E1C"/>
    <w:rsid w:val="00155063"/>
    <w:rsid w:val="001551C9"/>
    <w:rsid w:val="00155427"/>
    <w:rsid w:val="001556C9"/>
    <w:rsid w:val="00155C96"/>
    <w:rsid w:val="00155CBE"/>
    <w:rsid w:val="00155D06"/>
    <w:rsid w:val="00156190"/>
    <w:rsid w:val="0015634E"/>
    <w:rsid w:val="00156515"/>
    <w:rsid w:val="00156B73"/>
    <w:rsid w:val="0015798B"/>
    <w:rsid w:val="00157A31"/>
    <w:rsid w:val="00157AEE"/>
    <w:rsid w:val="001602AE"/>
    <w:rsid w:val="00160370"/>
    <w:rsid w:val="0016096D"/>
    <w:rsid w:val="0016107A"/>
    <w:rsid w:val="001611C1"/>
    <w:rsid w:val="0016142C"/>
    <w:rsid w:val="0016155D"/>
    <w:rsid w:val="00161568"/>
    <w:rsid w:val="00161909"/>
    <w:rsid w:val="00161984"/>
    <w:rsid w:val="00161D5D"/>
    <w:rsid w:val="001629D2"/>
    <w:rsid w:val="00162C39"/>
    <w:rsid w:val="001644C8"/>
    <w:rsid w:val="0016453E"/>
    <w:rsid w:val="00166825"/>
    <w:rsid w:val="001668A4"/>
    <w:rsid w:val="00166EF2"/>
    <w:rsid w:val="00167137"/>
    <w:rsid w:val="00167E3A"/>
    <w:rsid w:val="00170521"/>
    <w:rsid w:val="00170F26"/>
    <w:rsid w:val="001715B3"/>
    <w:rsid w:val="0017214C"/>
    <w:rsid w:val="0017231C"/>
    <w:rsid w:val="0017232C"/>
    <w:rsid w:val="001723BD"/>
    <w:rsid w:val="001724C7"/>
    <w:rsid w:val="001725E0"/>
    <w:rsid w:val="0017270C"/>
    <w:rsid w:val="00172A27"/>
    <w:rsid w:val="00173BBF"/>
    <w:rsid w:val="00174443"/>
    <w:rsid w:val="001746BF"/>
    <w:rsid w:val="0017514E"/>
    <w:rsid w:val="001754D1"/>
    <w:rsid w:val="00175927"/>
    <w:rsid w:val="00175DB7"/>
    <w:rsid w:val="001763F2"/>
    <w:rsid w:val="00176428"/>
    <w:rsid w:val="00176585"/>
    <w:rsid w:val="0017689A"/>
    <w:rsid w:val="00176B4A"/>
    <w:rsid w:val="00176FCB"/>
    <w:rsid w:val="00177075"/>
    <w:rsid w:val="00180451"/>
    <w:rsid w:val="001811C5"/>
    <w:rsid w:val="001814D0"/>
    <w:rsid w:val="00181C6F"/>
    <w:rsid w:val="00181E75"/>
    <w:rsid w:val="00182924"/>
    <w:rsid w:val="00182A28"/>
    <w:rsid w:val="00182C74"/>
    <w:rsid w:val="00183657"/>
    <w:rsid w:val="0018385C"/>
    <w:rsid w:val="00183F22"/>
    <w:rsid w:val="00184B95"/>
    <w:rsid w:val="001851D4"/>
    <w:rsid w:val="00185778"/>
    <w:rsid w:val="00186335"/>
    <w:rsid w:val="001864F2"/>
    <w:rsid w:val="001865E2"/>
    <w:rsid w:val="00187188"/>
    <w:rsid w:val="0018722E"/>
    <w:rsid w:val="0019031C"/>
    <w:rsid w:val="001909FD"/>
    <w:rsid w:val="00191121"/>
    <w:rsid w:val="00191347"/>
    <w:rsid w:val="001917D7"/>
    <w:rsid w:val="001919E4"/>
    <w:rsid w:val="00191D54"/>
    <w:rsid w:val="00192B5D"/>
    <w:rsid w:val="0019318B"/>
    <w:rsid w:val="00193F49"/>
    <w:rsid w:val="001947A8"/>
    <w:rsid w:val="00194F80"/>
    <w:rsid w:val="00195012"/>
    <w:rsid w:val="001952E5"/>
    <w:rsid w:val="001954E8"/>
    <w:rsid w:val="00195544"/>
    <w:rsid w:val="001967C0"/>
    <w:rsid w:val="00196ABA"/>
    <w:rsid w:val="00196FDB"/>
    <w:rsid w:val="001973D0"/>
    <w:rsid w:val="00197AF1"/>
    <w:rsid w:val="00197F64"/>
    <w:rsid w:val="00197F76"/>
    <w:rsid w:val="001A056C"/>
    <w:rsid w:val="001A074B"/>
    <w:rsid w:val="001A07EE"/>
    <w:rsid w:val="001A0B1B"/>
    <w:rsid w:val="001A0EC4"/>
    <w:rsid w:val="001A122C"/>
    <w:rsid w:val="001A1299"/>
    <w:rsid w:val="001A1663"/>
    <w:rsid w:val="001A17C9"/>
    <w:rsid w:val="001A199F"/>
    <w:rsid w:val="001A1BC5"/>
    <w:rsid w:val="001A2799"/>
    <w:rsid w:val="001A2A8D"/>
    <w:rsid w:val="001A2E46"/>
    <w:rsid w:val="001A308F"/>
    <w:rsid w:val="001A351C"/>
    <w:rsid w:val="001A35CF"/>
    <w:rsid w:val="001A3EC3"/>
    <w:rsid w:val="001A3F75"/>
    <w:rsid w:val="001A4719"/>
    <w:rsid w:val="001A4879"/>
    <w:rsid w:val="001A4A03"/>
    <w:rsid w:val="001A4D57"/>
    <w:rsid w:val="001A4E9A"/>
    <w:rsid w:val="001A5060"/>
    <w:rsid w:val="001A510B"/>
    <w:rsid w:val="001A59CA"/>
    <w:rsid w:val="001A5CA0"/>
    <w:rsid w:val="001A621B"/>
    <w:rsid w:val="001A62A8"/>
    <w:rsid w:val="001A6417"/>
    <w:rsid w:val="001A6D3B"/>
    <w:rsid w:val="001A6DF0"/>
    <w:rsid w:val="001A6F68"/>
    <w:rsid w:val="001A6FA9"/>
    <w:rsid w:val="001A73A0"/>
    <w:rsid w:val="001A744D"/>
    <w:rsid w:val="001A7792"/>
    <w:rsid w:val="001A7A22"/>
    <w:rsid w:val="001B0403"/>
    <w:rsid w:val="001B0F99"/>
    <w:rsid w:val="001B1517"/>
    <w:rsid w:val="001B1AFF"/>
    <w:rsid w:val="001B27AB"/>
    <w:rsid w:val="001B28BB"/>
    <w:rsid w:val="001B29BE"/>
    <w:rsid w:val="001B3023"/>
    <w:rsid w:val="001B3BAE"/>
    <w:rsid w:val="001B4228"/>
    <w:rsid w:val="001B42F8"/>
    <w:rsid w:val="001B4E4D"/>
    <w:rsid w:val="001B5009"/>
    <w:rsid w:val="001B536D"/>
    <w:rsid w:val="001B5D78"/>
    <w:rsid w:val="001B5E55"/>
    <w:rsid w:val="001B5F7A"/>
    <w:rsid w:val="001B5FFD"/>
    <w:rsid w:val="001B60F6"/>
    <w:rsid w:val="001B62B9"/>
    <w:rsid w:val="001B6392"/>
    <w:rsid w:val="001B71E3"/>
    <w:rsid w:val="001B767D"/>
    <w:rsid w:val="001B7768"/>
    <w:rsid w:val="001B7A64"/>
    <w:rsid w:val="001B7FE1"/>
    <w:rsid w:val="001C0755"/>
    <w:rsid w:val="001C090A"/>
    <w:rsid w:val="001C0CD6"/>
    <w:rsid w:val="001C170A"/>
    <w:rsid w:val="001C1BEB"/>
    <w:rsid w:val="001C225E"/>
    <w:rsid w:val="001C23AD"/>
    <w:rsid w:val="001C269A"/>
    <w:rsid w:val="001C2789"/>
    <w:rsid w:val="001C2DB8"/>
    <w:rsid w:val="001C3579"/>
    <w:rsid w:val="001C398F"/>
    <w:rsid w:val="001C44D6"/>
    <w:rsid w:val="001C4E64"/>
    <w:rsid w:val="001C532E"/>
    <w:rsid w:val="001C53EB"/>
    <w:rsid w:val="001C574D"/>
    <w:rsid w:val="001C5AAA"/>
    <w:rsid w:val="001C64E1"/>
    <w:rsid w:val="001C682E"/>
    <w:rsid w:val="001D0BB7"/>
    <w:rsid w:val="001D0BFB"/>
    <w:rsid w:val="001D0EDD"/>
    <w:rsid w:val="001D1897"/>
    <w:rsid w:val="001D19D7"/>
    <w:rsid w:val="001D1D32"/>
    <w:rsid w:val="001D2283"/>
    <w:rsid w:val="001D2EC7"/>
    <w:rsid w:val="001D3429"/>
    <w:rsid w:val="001D3599"/>
    <w:rsid w:val="001D35B3"/>
    <w:rsid w:val="001D4032"/>
    <w:rsid w:val="001D42A4"/>
    <w:rsid w:val="001D435F"/>
    <w:rsid w:val="001D466E"/>
    <w:rsid w:val="001D4C19"/>
    <w:rsid w:val="001D4EA0"/>
    <w:rsid w:val="001D4EEF"/>
    <w:rsid w:val="001D526B"/>
    <w:rsid w:val="001D61B9"/>
    <w:rsid w:val="001D69C6"/>
    <w:rsid w:val="001D6A11"/>
    <w:rsid w:val="001D6ABC"/>
    <w:rsid w:val="001D7492"/>
    <w:rsid w:val="001D7759"/>
    <w:rsid w:val="001D77AD"/>
    <w:rsid w:val="001D7EE8"/>
    <w:rsid w:val="001E0137"/>
    <w:rsid w:val="001E0BE0"/>
    <w:rsid w:val="001E0C27"/>
    <w:rsid w:val="001E0C47"/>
    <w:rsid w:val="001E0DD0"/>
    <w:rsid w:val="001E1007"/>
    <w:rsid w:val="001E1353"/>
    <w:rsid w:val="001E1474"/>
    <w:rsid w:val="001E15BC"/>
    <w:rsid w:val="001E30B3"/>
    <w:rsid w:val="001E3431"/>
    <w:rsid w:val="001E386F"/>
    <w:rsid w:val="001E38AC"/>
    <w:rsid w:val="001E38B1"/>
    <w:rsid w:val="001E40F3"/>
    <w:rsid w:val="001E4679"/>
    <w:rsid w:val="001E4FE8"/>
    <w:rsid w:val="001E5940"/>
    <w:rsid w:val="001E5995"/>
    <w:rsid w:val="001E6075"/>
    <w:rsid w:val="001E6B9A"/>
    <w:rsid w:val="001E7065"/>
    <w:rsid w:val="001E7A2B"/>
    <w:rsid w:val="001E7ACC"/>
    <w:rsid w:val="001F0039"/>
    <w:rsid w:val="001F00D6"/>
    <w:rsid w:val="001F0325"/>
    <w:rsid w:val="001F0EA2"/>
    <w:rsid w:val="001F1991"/>
    <w:rsid w:val="001F2627"/>
    <w:rsid w:val="001F298D"/>
    <w:rsid w:val="001F39CF"/>
    <w:rsid w:val="001F3BB3"/>
    <w:rsid w:val="001F3E6B"/>
    <w:rsid w:val="001F430F"/>
    <w:rsid w:val="001F494C"/>
    <w:rsid w:val="001F4D2F"/>
    <w:rsid w:val="001F5DD0"/>
    <w:rsid w:val="001F6A8F"/>
    <w:rsid w:val="001F71F3"/>
    <w:rsid w:val="001F73BF"/>
    <w:rsid w:val="001F7802"/>
    <w:rsid w:val="001F7EFC"/>
    <w:rsid w:val="0020043F"/>
    <w:rsid w:val="00200710"/>
    <w:rsid w:val="00200F46"/>
    <w:rsid w:val="0020107C"/>
    <w:rsid w:val="00201225"/>
    <w:rsid w:val="00201641"/>
    <w:rsid w:val="00202995"/>
    <w:rsid w:val="00202ACE"/>
    <w:rsid w:val="00202B3E"/>
    <w:rsid w:val="00202D86"/>
    <w:rsid w:val="002032C1"/>
    <w:rsid w:val="00204321"/>
    <w:rsid w:val="00204474"/>
    <w:rsid w:val="00204577"/>
    <w:rsid w:val="002049E4"/>
    <w:rsid w:val="00204BC4"/>
    <w:rsid w:val="00205BC6"/>
    <w:rsid w:val="00205C6E"/>
    <w:rsid w:val="00205E07"/>
    <w:rsid w:val="002070D2"/>
    <w:rsid w:val="002073A0"/>
    <w:rsid w:val="002073BC"/>
    <w:rsid w:val="002075E0"/>
    <w:rsid w:val="0020773A"/>
    <w:rsid w:val="002100B2"/>
    <w:rsid w:val="0021034A"/>
    <w:rsid w:val="002103DF"/>
    <w:rsid w:val="0021075B"/>
    <w:rsid w:val="00210A9B"/>
    <w:rsid w:val="00210BB0"/>
    <w:rsid w:val="00210EDA"/>
    <w:rsid w:val="002111EC"/>
    <w:rsid w:val="00211B09"/>
    <w:rsid w:val="00212471"/>
    <w:rsid w:val="00213D37"/>
    <w:rsid w:val="0021431F"/>
    <w:rsid w:val="0021444E"/>
    <w:rsid w:val="00214A94"/>
    <w:rsid w:val="00214FD0"/>
    <w:rsid w:val="00215416"/>
    <w:rsid w:val="0021546F"/>
    <w:rsid w:val="002155C1"/>
    <w:rsid w:val="00216159"/>
    <w:rsid w:val="002162C0"/>
    <w:rsid w:val="00216577"/>
    <w:rsid w:val="00217328"/>
    <w:rsid w:val="00217A87"/>
    <w:rsid w:val="00220375"/>
    <w:rsid w:val="00220ABD"/>
    <w:rsid w:val="00220C12"/>
    <w:rsid w:val="00220FD6"/>
    <w:rsid w:val="00223749"/>
    <w:rsid w:val="00223D9B"/>
    <w:rsid w:val="00224570"/>
    <w:rsid w:val="00224D4C"/>
    <w:rsid w:val="00224F88"/>
    <w:rsid w:val="00224F8F"/>
    <w:rsid w:val="00224FA5"/>
    <w:rsid w:val="0022709F"/>
    <w:rsid w:val="002279C5"/>
    <w:rsid w:val="0023023E"/>
    <w:rsid w:val="00230372"/>
    <w:rsid w:val="00230DE4"/>
    <w:rsid w:val="00230E84"/>
    <w:rsid w:val="00230F62"/>
    <w:rsid w:val="00231973"/>
    <w:rsid w:val="00231B4A"/>
    <w:rsid w:val="00231B55"/>
    <w:rsid w:val="00231C7A"/>
    <w:rsid w:val="00231D1F"/>
    <w:rsid w:val="00231E63"/>
    <w:rsid w:val="00232244"/>
    <w:rsid w:val="00232295"/>
    <w:rsid w:val="00232A2D"/>
    <w:rsid w:val="00233451"/>
    <w:rsid w:val="002334CA"/>
    <w:rsid w:val="002335E8"/>
    <w:rsid w:val="00233DD7"/>
    <w:rsid w:val="0023464F"/>
    <w:rsid w:val="002346CA"/>
    <w:rsid w:val="00234ABC"/>
    <w:rsid w:val="00234E86"/>
    <w:rsid w:val="00235216"/>
    <w:rsid w:val="00235BF6"/>
    <w:rsid w:val="00235D91"/>
    <w:rsid w:val="00235FFB"/>
    <w:rsid w:val="0023672D"/>
    <w:rsid w:val="00237A86"/>
    <w:rsid w:val="00240018"/>
    <w:rsid w:val="002404F8"/>
    <w:rsid w:val="0024069E"/>
    <w:rsid w:val="00240B2A"/>
    <w:rsid w:val="00240D71"/>
    <w:rsid w:val="0024107D"/>
    <w:rsid w:val="00241108"/>
    <w:rsid w:val="00241413"/>
    <w:rsid w:val="00241448"/>
    <w:rsid w:val="00241A5F"/>
    <w:rsid w:val="0024233C"/>
    <w:rsid w:val="002423FD"/>
    <w:rsid w:val="00242403"/>
    <w:rsid w:val="002426C7"/>
    <w:rsid w:val="00242E58"/>
    <w:rsid w:val="00242F34"/>
    <w:rsid w:val="0024318B"/>
    <w:rsid w:val="00243469"/>
    <w:rsid w:val="002440A7"/>
    <w:rsid w:val="002441AE"/>
    <w:rsid w:val="00244247"/>
    <w:rsid w:val="00244957"/>
    <w:rsid w:val="00244A2C"/>
    <w:rsid w:val="0024511F"/>
    <w:rsid w:val="00245A3C"/>
    <w:rsid w:val="00245B94"/>
    <w:rsid w:val="00246034"/>
    <w:rsid w:val="002467C7"/>
    <w:rsid w:val="00246900"/>
    <w:rsid w:val="00246929"/>
    <w:rsid w:val="00247349"/>
    <w:rsid w:val="0024771C"/>
    <w:rsid w:val="0024775F"/>
    <w:rsid w:val="00250493"/>
    <w:rsid w:val="00250B82"/>
    <w:rsid w:val="00251A0A"/>
    <w:rsid w:val="0025204E"/>
    <w:rsid w:val="002520B1"/>
    <w:rsid w:val="00252456"/>
    <w:rsid w:val="00252619"/>
    <w:rsid w:val="002527E5"/>
    <w:rsid w:val="0025286C"/>
    <w:rsid w:val="00252E46"/>
    <w:rsid w:val="00252E69"/>
    <w:rsid w:val="00253A3B"/>
    <w:rsid w:val="00253BEB"/>
    <w:rsid w:val="00254460"/>
    <w:rsid w:val="002544BF"/>
    <w:rsid w:val="002556C4"/>
    <w:rsid w:val="00255AC9"/>
    <w:rsid w:val="00256370"/>
    <w:rsid w:val="0025759D"/>
    <w:rsid w:val="00257624"/>
    <w:rsid w:val="00257637"/>
    <w:rsid w:val="00257B67"/>
    <w:rsid w:val="00257C02"/>
    <w:rsid w:val="00257C3A"/>
    <w:rsid w:val="00257DC8"/>
    <w:rsid w:val="00257E28"/>
    <w:rsid w:val="00260290"/>
    <w:rsid w:val="0026048F"/>
    <w:rsid w:val="00260DCF"/>
    <w:rsid w:val="0026138E"/>
    <w:rsid w:val="002614A1"/>
    <w:rsid w:val="002617A0"/>
    <w:rsid w:val="00262607"/>
    <w:rsid w:val="0026273B"/>
    <w:rsid w:val="00262E95"/>
    <w:rsid w:val="00262E9D"/>
    <w:rsid w:val="0026374A"/>
    <w:rsid w:val="0026390F"/>
    <w:rsid w:val="00263ADB"/>
    <w:rsid w:val="00263E6A"/>
    <w:rsid w:val="00264010"/>
    <w:rsid w:val="002641BF"/>
    <w:rsid w:val="002643F6"/>
    <w:rsid w:val="00264AAD"/>
    <w:rsid w:val="00264FC0"/>
    <w:rsid w:val="002652EA"/>
    <w:rsid w:val="00265A07"/>
    <w:rsid w:val="00265B99"/>
    <w:rsid w:val="002661B0"/>
    <w:rsid w:val="00266468"/>
    <w:rsid w:val="002673BE"/>
    <w:rsid w:val="00271825"/>
    <w:rsid w:val="00271835"/>
    <w:rsid w:val="00271EDC"/>
    <w:rsid w:val="002728FC"/>
    <w:rsid w:val="00272B90"/>
    <w:rsid w:val="00273B77"/>
    <w:rsid w:val="00273BF9"/>
    <w:rsid w:val="00273F66"/>
    <w:rsid w:val="0027404F"/>
    <w:rsid w:val="002749A4"/>
    <w:rsid w:val="00275727"/>
    <w:rsid w:val="00275C52"/>
    <w:rsid w:val="00275C90"/>
    <w:rsid w:val="00275F5F"/>
    <w:rsid w:val="00276EDD"/>
    <w:rsid w:val="00277145"/>
    <w:rsid w:val="002775AA"/>
    <w:rsid w:val="00277ACC"/>
    <w:rsid w:val="002801AD"/>
    <w:rsid w:val="002802D6"/>
    <w:rsid w:val="002803A4"/>
    <w:rsid w:val="00280639"/>
    <w:rsid w:val="00280A1E"/>
    <w:rsid w:val="00280AF0"/>
    <w:rsid w:val="00281689"/>
    <w:rsid w:val="00281DE4"/>
    <w:rsid w:val="00281E67"/>
    <w:rsid w:val="00281F4B"/>
    <w:rsid w:val="00282279"/>
    <w:rsid w:val="00282432"/>
    <w:rsid w:val="0028243F"/>
    <w:rsid w:val="002824B0"/>
    <w:rsid w:val="002824BE"/>
    <w:rsid w:val="002827C1"/>
    <w:rsid w:val="0028297A"/>
    <w:rsid w:val="00282CEB"/>
    <w:rsid w:val="002831A9"/>
    <w:rsid w:val="002836C0"/>
    <w:rsid w:val="0028385C"/>
    <w:rsid w:val="00283E53"/>
    <w:rsid w:val="0028459A"/>
    <w:rsid w:val="00284B89"/>
    <w:rsid w:val="0028516F"/>
    <w:rsid w:val="002856CC"/>
    <w:rsid w:val="002856E8"/>
    <w:rsid w:val="00285713"/>
    <w:rsid w:val="00285A3D"/>
    <w:rsid w:val="00285D12"/>
    <w:rsid w:val="00286111"/>
    <w:rsid w:val="002861B5"/>
    <w:rsid w:val="00286247"/>
    <w:rsid w:val="0028680B"/>
    <w:rsid w:val="00286D81"/>
    <w:rsid w:val="00286F89"/>
    <w:rsid w:val="002870F0"/>
    <w:rsid w:val="00287601"/>
    <w:rsid w:val="00287827"/>
    <w:rsid w:val="0028792D"/>
    <w:rsid w:val="002905B6"/>
    <w:rsid w:val="0029087F"/>
    <w:rsid w:val="0029103E"/>
    <w:rsid w:val="002914F7"/>
    <w:rsid w:val="002921DB"/>
    <w:rsid w:val="0029295E"/>
    <w:rsid w:val="00292EFF"/>
    <w:rsid w:val="00293334"/>
    <w:rsid w:val="0029358E"/>
    <w:rsid w:val="00293978"/>
    <w:rsid w:val="00293DD9"/>
    <w:rsid w:val="00293F65"/>
    <w:rsid w:val="00293F6A"/>
    <w:rsid w:val="00294384"/>
    <w:rsid w:val="00294530"/>
    <w:rsid w:val="00294A4B"/>
    <w:rsid w:val="00295171"/>
    <w:rsid w:val="0029549E"/>
    <w:rsid w:val="0029551B"/>
    <w:rsid w:val="00296316"/>
    <w:rsid w:val="00296658"/>
    <w:rsid w:val="00296FE0"/>
    <w:rsid w:val="00297DC5"/>
    <w:rsid w:val="00297DF3"/>
    <w:rsid w:val="00297FBC"/>
    <w:rsid w:val="002A08C3"/>
    <w:rsid w:val="002A0FA8"/>
    <w:rsid w:val="002A136E"/>
    <w:rsid w:val="002A1736"/>
    <w:rsid w:val="002A1B45"/>
    <w:rsid w:val="002A1D1C"/>
    <w:rsid w:val="002A1E53"/>
    <w:rsid w:val="002A2451"/>
    <w:rsid w:val="002A32DB"/>
    <w:rsid w:val="002A3977"/>
    <w:rsid w:val="002A3ABC"/>
    <w:rsid w:val="002A3BC3"/>
    <w:rsid w:val="002A3CF7"/>
    <w:rsid w:val="002A43D9"/>
    <w:rsid w:val="002A4761"/>
    <w:rsid w:val="002A535F"/>
    <w:rsid w:val="002A6C52"/>
    <w:rsid w:val="002A7075"/>
    <w:rsid w:val="002A72BA"/>
    <w:rsid w:val="002A73B5"/>
    <w:rsid w:val="002A7AEC"/>
    <w:rsid w:val="002B0590"/>
    <w:rsid w:val="002B05D6"/>
    <w:rsid w:val="002B0752"/>
    <w:rsid w:val="002B0F81"/>
    <w:rsid w:val="002B0FF4"/>
    <w:rsid w:val="002B1948"/>
    <w:rsid w:val="002B19F0"/>
    <w:rsid w:val="002B1B67"/>
    <w:rsid w:val="002B23F4"/>
    <w:rsid w:val="002B24D7"/>
    <w:rsid w:val="002B2930"/>
    <w:rsid w:val="002B2C83"/>
    <w:rsid w:val="002B2FEC"/>
    <w:rsid w:val="002B33F5"/>
    <w:rsid w:val="002B39EC"/>
    <w:rsid w:val="002B3EFF"/>
    <w:rsid w:val="002B4025"/>
    <w:rsid w:val="002B43E7"/>
    <w:rsid w:val="002B50F8"/>
    <w:rsid w:val="002B5ECD"/>
    <w:rsid w:val="002B69D7"/>
    <w:rsid w:val="002B773F"/>
    <w:rsid w:val="002B7863"/>
    <w:rsid w:val="002B7968"/>
    <w:rsid w:val="002B7E69"/>
    <w:rsid w:val="002B7E74"/>
    <w:rsid w:val="002C0667"/>
    <w:rsid w:val="002C0898"/>
    <w:rsid w:val="002C1BC4"/>
    <w:rsid w:val="002C2475"/>
    <w:rsid w:val="002C2CA8"/>
    <w:rsid w:val="002C352A"/>
    <w:rsid w:val="002C3941"/>
    <w:rsid w:val="002C3C3B"/>
    <w:rsid w:val="002C3E85"/>
    <w:rsid w:val="002C4EA8"/>
    <w:rsid w:val="002C5496"/>
    <w:rsid w:val="002C6182"/>
    <w:rsid w:val="002C61A1"/>
    <w:rsid w:val="002C6BBD"/>
    <w:rsid w:val="002C70B3"/>
    <w:rsid w:val="002C763E"/>
    <w:rsid w:val="002C7910"/>
    <w:rsid w:val="002C7DA8"/>
    <w:rsid w:val="002C7E05"/>
    <w:rsid w:val="002D0834"/>
    <w:rsid w:val="002D0C2B"/>
    <w:rsid w:val="002D0D12"/>
    <w:rsid w:val="002D14C6"/>
    <w:rsid w:val="002D19CF"/>
    <w:rsid w:val="002D251D"/>
    <w:rsid w:val="002D27D9"/>
    <w:rsid w:val="002D2B4C"/>
    <w:rsid w:val="002D32D5"/>
    <w:rsid w:val="002D354D"/>
    <w:rsid w:val="002D3DEE"/>
    <w:rsid w:val="002D521C"/>
    <w:rsid w:val="002D5222"/>
    <w:rsid w:val="002D525F"/>
    <w:rsid w:val="002D5DF7"/>
    <w:rsid w:val="002D714B"/>
    <w:rsid w:val="002D7606"/>
    <w:rsid w:val="002D7893"/>
    <w:rsid w:val="002D7959"/>
    <w:rsid w:val="002E022C"/>
    <w:rsid w:val="002E05B2"/>
    <w:rsid w:val="002E087C"/>
    <w:rsid w:val="002E09F8"/>
    <w:rsid w:val="002E0B91"/>
    <w:rsid w:val="002E1393"/>
    <w:rsid w:val="002E13ED"/>
    <w:rsid w:val="002E1AEC"/>
    <w:rsid w:val="002E232D"/>
    <w:rsid w:val="002E24BC"/>
    <w:rsid w:val="002E3768"/>
    <w:rsid w:val="002E3F59"/>
    <w:rsid w:val="002E4008"/>
    <w:rsid w:val="002E4918"/>
    <w:rsid w:val="002E50AB"/>
    <w:rsid w:val="002E5663"/>
    <w:rsid w:val="002E5BED"/>
    <w:rsid w:val="002E5EC9"/>
    <w:rsid w:val="002E68A7"/>
    <w:rsid w:val="002E6DD1"/>
    <w:rsid w:val="002E7231"/>
    <w:rsid w:val="002E7640"/>
    <w:rsid w:val="002E7B6D"/>
    <w:rsid w:val="002F027E"/>
    <w:rsid w:val="002F047D"/>
    <w:rsid w:val="002F05CB"/>
    <w:rsid w:val="002F1095"/>
    <w:rsid w:val="002F12B1"/>
    <w:rsid w:val="002F15F2"/>
    <w:rsid w:val="002F1E29"/>
    <w:rsid w:val="002F21B5"/>
    <w:rsid w:val="002F236C"/>
    <w:rsid w:val="002F2D06"/>
    <w:rsid w:val="002F31FD"/>
    <w:rsid w:val="002F3857"/>
    <w:rsid w:val="002F415F"/>
    <w:rsid w:val="002F4257"/>
    <w:rsid w:val="002F4832"/>
    <w:rsid w:val="002F4DE5"/>
    <w:rsid w:val="002F501E"/>
    <w:rsid w:val="002F517B"/>
    <w:rsid w:val="002F5424"/>
    <w:rsid w:val="002F5C5D"/>
    <w:rsid w:val="002F61D0"/>
    <w:rsid w:val="002F64C0"/>
    <w:rsid w:val="002F68A3"/>
    <w:rsid w:val="002F718E"/>
    <w:rsid w:val="002F781D"/>
    <w:rsid w:val="002F7956"/>
    <w:rsid w:val="002F7993"/>
    <w:rsid w:val="002F7ACC"/>
    <w:rsid w:val="002F7B58"/>
    <w:rsid w:val="002F7DAF"/>
    <w:rsid w:val="002F7E4E"/>
    <w:rsid w:val="00300046"/>
    <w:rsid w:val="00301057"/>
    <w:rsid w:val="0030212C"/>
    <w:rsid w:val="00302151"/>
    <w:rsid w:val="00302427"/>
    <w:rsid w:val="003026AE"/>
    <w:rsid w:val="00302A7B"/>
    <w:rsid w:val="00302CD4"/>
    <w:rsid w:val="00302F67"/>
    <w:rsid w:val="00303034"/>
    <w:rsid w:val="0030333F"/>
    <w:rsid w:val="00303424"/>
    <w:rsid w:val="00304388"/>
    <w:rsid w:val="0030453B"/>
    <w:rsid w:val="00304AAB"/>
    <w:rsid w:val="00304F57"/>
    <w:rsid w:val="00305223"/>
    <w:rsid w:val="00305345"/>
    <w:rsid w:val="0030543F"/>
    <w:rsid w:val="003059AA"/>
    <w:rsid w:val="00306187"/>
    <w:rsid w:val="00306416"/>
    <w:rsid w:val="00306942"/>
    <w:rsid w:val="00307024"/>
    <w:rsid w:val="0030704C"/>
    <w:rsid w:val="00307095"/>
    <w:rsid w:val="00307E61"/>
    <w:rsid w:val="00310328"/>
    <w:rsid w:val="003105CE"/>
    <w:rsid w:val="0031077E"/>
    <w:rsid w:val="00310E5A"/>
    <w:rsid w:val="003110A6"/>
    <w:rsid w:val="003113AE"/>
    <w:rsid w:val="0031171F"/>
    <w:rsid w:val="00311999"/>
    <w:rsid w:val="00311C5D"/>
    <w:rsid w:val="00312492"/>
    <w:rsid w:val="003128C3"/>
    <w:rsid w:val="00312ACA"/>
    <w:rsid w:val="00312C21"/>
    <w:rsid w:val="00312D90"/>
    <w:rsid w:val="00312DE6"/>
    <w:rsid w:val="00313717"/>
    <w:rsid w:val="003141E8"/>
    <w:rsid w:val="00314775"/>
    <w:rsid w:val="0031490D"/>
    <w:rsid w:val="00314CAA"/>
    <w:rsid w:val="00315022"/>
    <w:rsid w:val="00315124"/>
    <w:rsid w:val="003154AB"/>
    <w:rsid w:val="00315B34"/>
    <w:rsid w:val="00315D42"/>
    <w:rsid w:val="0031666C"/>
    <w:rsid w:val="00316D85"/>
    <w:rsid w:val="00317181"/>
    <w:rsid w:val="003171BE"/>
    <w:rsid w:val="003177C4"/>
    <w:rsid w:val="00317827"/>
    <w:rsid w:val="00317BB6"/>
    <w:rsid w:val="00320C50"/>
    <w:rsid w:val="00320F1C"/>
    <w:rsid w:val="00320FE7"/>
    <w:rsid w:val="00321BA2"/>
    <w:rsid w:val="00322D22"/>
    <w:rsid w:val="00323C88"/>
    <w:rsid w:val="003246AA"/>
    <w:rsid w:val="003247D4"/>
    <w:rsid w:val="00324AC9"/>
    <w:rsid w:val="00324C9B"/>
    <w:rsid w:val="00325015"/>
    <w:rsid w:val="0032541B"/>
    <w:rsid w:val="003254FF"/>
    <w:rsid w:val="00325646"/>
    <w:rsid w:val="00325660"/>
    <w:rsid w:val="003257D9"/>
    <w:rsid w:val="00325D57"/>
    <w:rsid w:val="00325DEE"/>
    <w:rsid w:val="00325E50"/>
    <w:rsid w:val="00325E69"/>
    <w:rsid w:val="003265C4"/>
    <w:rsid w:val="003273BF"/>
    <w:rsid w:val="0033013A"/>
    <w:rsid w:val="00330401"/>
    <w:rsid w:val="00330DBC"/>
    <w:rsid w:val="00330EE4"/>
    <w:rsid w:val="003319CA"/>
    <w:rsid w:val="00331AB0"/>
    <w:rsid w:val="00331DA4"/>
    <w:rsid w:val="00332161"/>
    <w:rsid w:val="003323A9"/>
    <w:rsid w:val="0033261F"/>
    <w:rsid w:val="00332707"/>
    <w:rsid w:val="00332D86"/>
    <w:rsid w:val="00332E84"/>
    <w:rsid w:val="0033311E"/>
    <w:rsid w:val="00333658"/>
    <w:rsid w:val="0033460E"/>
    <w:rsid w:val="00335A08"/>
    <w:rsid w:val="003370C6"/>
    <w:rsid w:val="003373AF"/>
    <w:rsid w:val="00337BF7"/>
    <w:rsid w:val="003401AF"/>
    <w:rsid w:val="00340776"/>
    <w:rsid w:val="00340BAB"/>
    <w:rsid w:val="0034105F"/>
    <w:rsid w:val="00341169"/>
    <w:rsid w:val="003411E9"/>
    <w:rsid w:val="00341DD0"/>
    <w:rsid w:val="00342223"/>
    <w:rsid w:val="00342482"/>
    <w:rsid w:val="00342E46"/>
    <w:rsid w:val="00342F15"/>
    <w:rsid w:val="00343038"/>
    <w:rsid w:val="00343434"/>
    <w:rsid w:val="00343EAD"/>
    <w:rsid w:val="00344169"/>
    <w:rsid w:val="00344EFD"/>
    <w:rsid w:val="00345A51"/>
    <w:rsid w:val="00345EBD"/>
    <w:rsid w:val="00346468"/>
    <w:rsid w:val="0034649F"/>
    <w:rsid w:val="00346B8F"/>
    <w:rsid w:val="00347A0C"/>
    <w:rsid w:val="00347E5A"/>
    <w:rsid w:val="00347EF5"/>
    <w:rsid w:val="00347F2C"/>
    <w:rsid w:val="00347FE3"/>
    <w:rsid w:val="00350034"/>
    <w:rsid w:val="00351448"/>
    <w:rsid w:val="00351F93"/>
    <w:rsid w:val="003525CC"/>
    <w:rsid w:val="00352CF5"/>
    <w:rsid w:val="003531CB"/>
    <w:rsid w:val="003539D5"/>
    <w:rsid w:val="00353E46"/>
    <w:rsid w:val="0035462A"/>
    <w:rsid w:val="00354C0F"/>
    <w:rsid w:val="003556F3"/>
    <w:rsid w:val="0035654D"/>
    <w:rsid w:val="00356FD0"/>
    <w:rsid w:val="003570A1"/>
    <w:rsid w:val="00357946"/>
    <w:rsid w:val="00360DBD"/>
    <w:rsid w:val="0036112B"/>
    <w:rsid w:val="003612EE"/>
    <w:rsid w:val="003617DB"/>
    <w:rsid w:val="00361909"/>
    <w:rsid w:val="00362051"/>
    <w:rsid w:val="00362098"/>
    <w:rsid w:val="0036249E"/>
    <w:rsid w:val="003629DD"/>
    <w:rsid w:val="003630C7"/>
    <w:rsid w:val="00363421"/>
    <w:rsid w:val="003635B8"/>
    <w:rsid w:val="003658B1"/>
    <w:rsid w:val="00365C46"/>
    <w:rsid w:val="00365F8E"/>
    <w:rsid w:val="00366556"/>
    <w:rsid w:val="00366CEA"/>
    <w:rsid w:val="003673CA"/>
    <w:rsid w:val="00367DA6"/>
    <w:rsid w:val="003708C4"/>
    <w:rsid w:val="00370BFD"/>
    <w:rsid w:val="00371885"/>
    <w:rsid w:val="00371BBF"/>
    <w:rsid w:val="003721E5"/>
    <w:rsid w:val="003728F4"/>
    <w:rsid w:val="0037297A"/>
    <w:rsid w:val="003729D4"/>
    <w:rsid w:val="00372BBC"/>
    <w:rsid w:val="00372EDF"/>
    <w:rsid w:val="00372F0C"/>
    <w:rsid w:val="00373D7E"/>
    <w:rsid w:val="00374344"/>
    <w:rsid w:val="003747CD"/>
    <w:rsid w:val="00374A2B"/>
    <w:rsid w:val="00375406"/>
    <w:rsid w:val="00375570"/>
    <w:rsid w:val="003755D1"/>
    <w:rsid w:val="0037567E"/>
    <w:rsid w:val="003757B1"/>
    <w:rsid w:val="00375C42"/>
    <w:rsid w:val="003763C8"/>
    <w:rsid w:val="00376E64"/>
    <w:rsid w:val="0037746C"/>
    <w:rsid w:val="0038010B"/>
    <w:rsid w:val="003819B9"/>
    <w:rsid w:val="00381DA1"/>
    <w:rsid w:val="0038293F"/>
    <w:rsid w:val="00382E7F"/>
    <w:rsid w:val="003835C6"/>
    <w:rsid w:val="00383AA2"/>
    <w:rsid w:val="00383ACB"/>
    <w:rsid w:val="00383BD0"/>
    <w:rsid w:val="00384504"/>
    <w:rsid w:val="00384804"/>
    <w:rsid w:val="00384EEB"/>
    <w:rsid w:val="003852DD"/>
    <w:rsid w:val="00385EA9"/>
    <w:rsid w:val="0038608B"/>
    <w:rsid w:val="003860D8"/>
    <w:rsid w:val="00387003"/>
    <w:rsid w:val="0038736E"/>
    <w:rsid w:val="003904DB"/>
    <w:rsid w:val="00391755"/>
    <w:rsid w:val="0039197C"/>
    <w:rsid w:val="00391C66"/>
    <w:rsid w:val="00391F8F"/>
    <w:rsid w:val="0039230E"/>
    <w:rsid w:val="00392565"/>
    <w:rsid w:val="003932DF"/>
    <w:rsid w:val="003934BF"/>
    <w:rsid w:val="00394046"/>
    <w:rsid w:val="003943C2"/>
    <w:rsid w:val="003944EC"/>
    <w:rsid w:val="003947F1"/>
    <w:rsid w:val="0039481E"/>
    <w:rsid w:val="00394855"/>
    <w:rsid w:val="00394AC2"/>
    <w:rsid w:val="00394C0B"/>
    <w:rsid w:val="00395468"/>
    <w:rsid w:val="00397022"/>
    <w:rsid w:val="003970F7"/>
    <w:rsid w:val="0039739E"/>
    <w:rsid w:val="003978BF"/>
    <w:rsid w:val="00397E01"/>
    <w:rsid w:val="00397E22"/>
    <w:rsid w:val="003A1587"/>
    <w:rsid w:val="003A1612"/>
    <w:rsid w:val="003A2440"/>
    <w:rsid w:val="003A2501"/>
    <w:rsid w:val="003A281D"/>
    <w:rsid w:val="003A28CE"/>
    <w:rsid w:val="003A29E2"/>
    <w:rsid w:val="003A2AE0"/>
    <w:rsid w:val="003A2F68"/>
    <w:rsid w:val="003A3392"/>
    <w:rsid w:val="003A37E5"/>
    <w:rsid w:val="003A3A6A"/>
    <w:rsid w:val="003A3CE5"/>
    <w:rsid w:val="003A4103"/>
    <w:rsid w:val="003A43F1"/>
    <w:rsid w:val="003A4BAC"/>
    <w:rsid w:val="003A4DCD"/>
    <w:rsid w:val="003A5249"/>
    <w:rsid w:val="003A56DF"/>
    <w:rsid w:val="003A596B"/>
    <w:rsid w:val="003A5D5D"/>
    <w:rsid w:val="003A5DFD"/>
    <w:rsid w:val="003A5E9A"/>
    <w:rsid w:val="003A5E9B"/>
    <w:rsid w:val="003A65EB"/>
    <w:rsid w:val="003A6735"/>
    <w:rsid w:val="003A67B6"/>
    <w:rsid w:val="003A734D"/>
    <w:rsid w:val="003A750D"/>
    <w:rsid w:val="003A7EED"/>
    <w:rsid w:val="003A7F8D"/>
    <w:rsid w:val="003B0425"/>
    <w:rsid w:val="003B0460"/>
    <w:rsid w:val="003B1584"/>
    <w:rsid w:val="003B1A43"/>
    <w:rsid w:val="003B1C7E"/>
    <w:rsid w:val="003B2407"/>
    <w:rsid w:val="003B2C94"/>
    <w:rsid w:val="003B2CC2"/>
    <w:rsid w:val="003B39A0"/>
    <w:rsid w:val="003B406A"/>
    <w:rsid w:val="003B44E9"/>
    <w:rsid w:val="003B54C0"/>
    <w:rsid w:val="003B5AA5"/>
    <w:rsid w:val="003B6140"/>
    <w:rsid w:val="003B6715"/>
    <w:rsid w:val="003B68CE"/>
    <w:rsid w:val="003B6C6A"/>
    <w:rsid w:val="003B6C95"/>
    <w:rsid w:val="003B6E41"/>
    <w:rsid w:val="003B783E"/>
    <w:rsid w:val="003B7EF1"/>
    <w:rsid w:val="003C04ED"/>
    <w:rsid w:val="003C087A"/>
    <w:rsid w:val="003C1818"/>
    <w:rsid w:val="003C1CC8"/>
    <w:rsid w:val="003C25F5"/>
    <w:rsid w:val="003C275F"/>
    <w:rsid w:val="003C2A04"/>
    <w:rsid w:val="003C2EED"/>
    <w:rsid w:val="003C3DED"/>
    <w:rsid w:val="003C440F"/>
    <w:rsid w:val="003C441B"/>
    <w:rsid w:val="003C4AD7"/>
    <w:rsid w:val="003C5307"/>
    <w:rsid w:val="003C54D5"/>
    <w:rsid w:val="003C5690"/>
    <w:rsid w:val="003C63C5"/>
    <w:rsid w:val="003C6B0A"/>
    <w:rsid w:val="003C6D25"/>
    <w:rsid w:val="003C6DF2"/>
    <w:rsid w:val="003C7291"/>
    <w:rsid w:val="003C7569"/>
    <w:rsid w:val="003D0AF1"/>
    <w:rsid w:val="003D0FD2"/>
    <w:rsid w:val="003D1313"/>
    <w:rsid w:val="003D1384"/>
    <w:rsid w:val="003D1493"/>
    <w:rsid w:val="003D1660"/>
    <w:rsid w:val="003D1C6C"/>
    <w:rsid w:val="003D2004"/>
    <w:rsid w:val="003D2289"/>
    <w:rsid w:val="003D24B4"/>
    <w:rsid w:val="003D29E3"/>
    <w:rsid w:val="003D2A25"/>
    <w:rsid w:val="003D34BA"/>
    <w:rsid w:val="003D369E"/>
    <w:rsid w:val="003D3995"/>
    <w:rsid w:val="003D3D77"/>
    <w:rsid w:val="003D4D3B"/>
    <w:rsid w:val="003D5A3C"/>
    <w:rsid w:val="003D5DDA"/>
    <w:rsid w:val="003D67CB"/>
    <w:rsid w:val="003D6B07"/>
    <w:rsid w:val="003D70AF"/>
    <w:rsid w:val="003D7138"/>
    <w:rsid w:val="003D79C6"/>
    <w:rsid w:val="003E0356"/>
    <w:rsid w:val="003E07FA"/>
    <w:rsid w:val="003E18C7"/>
    <w:rsid w:val="003E1D40"/>
    <w:rsid w:val="003E1E12"/>
    <w:rsid w:val="003E255B"/>
    <w:rsid w:val="003E261E"/>
    <w:rsid w:val="003E2793"/>
    <w:rsid w:val="003E2D54"/>
    <w:rsid w:val="003E39D2"/>
    <w:rsid w:val="003E3A33"/>
    <w:rsid w:val="003E3A5E"/>
    <w:rsid w:val="003E42BE"/>
    <w:rsid w:val="003E4804"/>
    <w:rsid w:val="003E4BF7"/>
    <w:rsid w:val="003E578A"/>
    <w:rsid w:val="003E62BD"/>
    <w:rsid w:val="003E64BA"/>
    <w:rsid w:val="003E6A42"/>
    <w:rsid w:val="003E6FC1"/>
    <w:rsid w:val="003E74C3"/>
    <w:rsid w:val="003E767D"/>
    <w:rsid w:val="003E7A03"/>
    <w:rsid w:val="003F00C6"/>
    <w:rsid w:val="003F074B"/>
    <w:rsid w:val="003F1214"/>
    <w:rsid w:val="003F146C"/>
    <w:rsid w:val="003F161C"/>
    <w:rsid w:val="003F168D"/>
    <w:rsid w:val="003F1A3E"/>
    <w:rsid w:val="003F1EA2"/>
    <w:rsid w:val="003F2B42"/>
    <w:rsid w:val="003F31F0"/>
    <w:rsid w:val="003F3299"/>
    <w:rsid w:val="003F395F"/>
    <w:rsid w:val="003F4F77"/>
    <w:rsid w:val="003F5897"/>
    <w:rsid w:val="003F5A02"/>
    <w:rsid w:val="003F5BA2"/>
    <w:rsid w:val="003F6042"/>
    <w:rsid w:val="003F63D6"/>
    <w:rsid w:val="003F66B9"/>
    <w:rsid w:val="003F6779"/>
    <w:rsid w:val="003F680F"/>
    <w:rsid w:val="003F6A5F"/>
    <w:rsid w:val="003F73D3"/>
    <w:rsid w:val="003F74D8"/>
    <w:rsid w:val="003F7777"/>
    <w:rsid w:val="0040039A"/>
    <w:rsid w:val="004003D2"/>
    <w:rsid w:val="004013FD"/>
    <w:rsid w:val="0040147C"/>
    <w:rsid w:val="004014B6"/>
    <w:rsid w:val="0040184D"/>
    <w:rsid w:val="00401C45"/>
    <w:rsid w:val="004021EE"/>
    <w:rsid w:val="004025FF"/>
    <w:rsid w:val="0040275C"/>
    <w:rsid w:val="00402C1B"/>
    <w:rsid w:val="0040350C"/>
    <w:rsid w:val="00403529"/>
    <w:rsid w:val="0040366C"/>
    <w:rsid w:val="00404169"/>
    <w:rsid w:val="00404517"/>
    <w:rsid w:val="004049CF"/>
    <w:rsid w:val="00404A4A"/>
    <w:rsid w:val="00404BDE"/>
    <w:rsid w:val="00405263"/>
    <w:rsid w:val="0040544C"/>
    <w:rsid w:val="00405849"/>
    <w:rsid w:val="0040599A"/>
    <w:rsid w:val="00405F02"/>
    <w:rsid w:val="004062C0"/>
    <w:rsid w:val="00410004"/>
    <w:rsid w:val="00410555"/>
    <w:rsid w:val="00410D3C"/>
    <w:rsid w:val="00410F2F"/>
    <w:rsid w:val="00410FAC"/>
    <w:rsid w:val="00410FB0"/>
    <w:rsid w:val="0041121A"/>
    <w:rsid w:val="00412FD1"/>
    <w:rsid w:val="00413398"/>
    <w:rsid w:val="004134F2"/>
    <w:rsid w:val="004153CA"/>
    <w:rsid w:val="0041553E"/>
    <w:rsid w:val="00415BBA"/>
    <w:rsid w:val="00415CB0"/>
    <w:rsid w:val="00415FF1"/>
    <w:rsid w:val="004162C7"/>
    <w:rsid w:val="0041696B"/>
    <w:rsid w:val="0041697C"/>
    <w:rsid w:val="00416C5F"/>
    <w:rsid w:val="00417694"/>
    <w:rsid w:val="00417703"/>
    <w:rsid w:val="0042032E"/>
    <w:rsid w:val="00420340"/>
    <w:rsid w:val="00420358"/>
    <w:rsid w:val="004203E0"/>
    <w:rsid w:val="004206DB"/>
    <w:rsid w:val="00420A20"/>
    <w:rsid w:val="00420CAA"/>
    <w:rsid w:val="00421384"/>
    <w:rsid w:val="0042191D"/>
    <w:rsid w:val="00422BB3"/>
    <w:rsid w:val="004237FC"/>
    <w:rsid w:val="00423FF5"/>
    <w:rsid w:val="00424396"/>
    <w:rsid w:val="00424BEC"/>
    <w:rsid w:val="00424FB1"/>
    <w:rsid w:val="00425AC4"/>
    <w:rsid w:val="004260F2"/>
    <w:rsid w:val="004267FF"/>
    <w:rsid w:val="00426CDF"/>
    <w:rsid w:val="004274D3"/>
    <w:rsid w:val="00427E08"/>
    <w:rsid w:val="004311BD"/>
    <w:rsid w:val="0043129E"/>
    <w:rsid w:val="00431609"/>
    <w:rsid w:val="00431BD1"/>
    <w:rsid w:val="00431F41"/>
    <w:rsid w:val="00431F5E"/>
    <w:rsid w:val="00432D93"/>
    <w:rsid w:val="00433579"/>
    <w:rsid w:val="004343E7"/>
    <w:rsid w:val="0043476F"/>
    <w:rsid w:val="004347F7"/>
    <w:rsid w:val="00434D85"/>
    <w:rsid w:val="00434EAB"/>
    <w:rsid w:val="00435665"/>
    <w:rsid w:val="00435B2A"/>
    <w:rsid w:val="004361A4"/>
    <w:rsid w:val="00436363"/>
    <w:rsid w:val="00436365"/>
    <w:rsid w:val="004364CA"/>
    <w:rsid w:val="00436E48"/>
    <w:rsid w:val="004372BB"/>
    <w:rsid w:val="00437483"/>
    <w:rsid w:val="0043792E"/>
    <w:rsid w:val="00437B38"/>
    <w:rsid w:val="00437B8B"/>
    <w:rsid w:val="00440218"/>
    <w:rsid w:val="00440425"/>
    <w:rsid w:val="00440DC6"/>
    <w:rsid w:val="00441533"/>
    <w:rsid w:val="00441F09"/>
    <w:rsid w:val="00442C1A"/>
    <w:rsid w:val="0044312D"/>
    <w:rsid w:val="0044314B"/>
    <w:rsid w:val="00443709"/>
    <w:rsid w:val="00443863"/>
    <w:rsid w:val="00444527"/>
    <w:rsid w:val="00444DC7"/>
    <w:rsid w:val="00445125"/>
    <w:rsid w:val="00445182"/>
    <w:rsid w:val="00445328"/>
    <w:rsid w:val="004454A2"/>
    <w:rsid w:val="0044583C"/>
    <w:rsid w:val="00445E47"/>
    <w:rsid w:val="00445F01"/>
    <w:rsid w:val="004464DB"/>
    <w:rsid w:val="00446EB6"/>
    <w:rsid w:val="00447081"/>
    <w:rsid w:val="00447155"/>
    <w:rsid w:val="00447263"/>
    <w:rsid w:val="0044771A"/>
    <w:rsid w:val="00447CA2"/>
    <w:rsid w:val="004510B8"/>
    <w:rsid w:val="0045246D"/>
    <w:rsid w:val="0045260D"/>
    <w:rsid w:val="00452916"/>
    <w:rsid w:val="00452988"/>
    <w:rsid w:val="0045306C"/>
    <w:rsid w:val="004544EB"/>
    <w:rsid w:val="004545E0"/>
    <w:rsid w:val="004547FE"/>
    <w:rsid w:val="00454AA0"/>
    <w:rsid w:val="0045651B"/>
    <w:rsid w:val="004568B0"/>
    <w:rsid w:val="004570BF"/>
    <w:rsid w:val="00457323"/>
    <w:rsid w:val="00457C5D"/>
    <w:rsid w:val="004603A4"/>
    <w:rsid w:val="0046046E"/>
    <w:rsid w:val="0046091F"/>
    <w:rsid w:val="00460E09"/>
    <w:rsid w:val="00461755"/>
    <w:rsid w:val="0046247B"/>
    <w:rsid w:val="004627BB"/>
    <w:rsid w:val="00462891"/>
    <w:rsid w:val="00462AA7"/>
    <w:rsid w:val="004631DB"/>
    <w:rsid w:val="00463396"/>
    <w:rsid w:val="0046375D"/>
    <w:rsid w:val="0046388A"/>
    <w:rsid w:val="00463BA8"/>
    <w:rsid w:val="00464E00"/>
    <w:rsid w:val="00465471"/>
    <w:rsid w:val="00465654"/>
    <w:rsid w:val="00465A18"/>
    <w:rsid w:val="00465B90"/>
    <w:rsid w:val="00466666"/>
    <w:rsid w:val="00466D78"/>
    <w:rsid w:val="00467564"/>
    <w:rsid w:val="00467D7C"/>
    <w:rsid w:val="00467FF9"/>
    <w:rsid w:val="00470404"/>
    <w:rsid w:val="004706FF"/>
    <w:rsid w:val="004707F2"/>
    <w:rsid w:val="004709A5"/>
    <w:rsid w:val="00470E95"/>
    <w:rsid w:val="00470F16"/>
    <w:rsid w:val="004713C4"/>
    <w:rsid w:val="004716CF"/>
    <w:rsid w:val="00471CA5"/>
    <w:rsid w:val="00471F19"/>
    <w:rsid w:val="00471FDE"/>
    <w:rsid w:val="00472947"/>
    <w:rsid w:val="00472D83"/>
    <w:rsid w:val="00473601"/>
    <w:rsid w:val="0047397A"/>
    <w:rsid w:val="00473BCF"/>
    <w:rsid w:val="00473CD0"/>
    <w:rsid w:val="004740FF"/>
    <w:rsid w:val="004743DC"/>
    <w:rsid w:val="00474549"/>
    <w:rsid w:val="0047471C"/>
    <w:rsid w:val="00474CB9"/>
    <w:rsid w:val="00474CE3"/>
    <w:rsid w:val="00474EC1"/>
    <w:rsid w:val="00474F3A"/>
    <w:rsid w:val="00475307"/>
    <w:rsid w:val="0047570D"/>
    <w:rsid w:val="004759D4"/>
    <w:rsid w:val="00476105"/>
    <w:rsid w:val="00476A37"/>
    <w:rsid w:val="00476CA7"/>
    <w:rsid w:val="00476D24"/>
    <w:rsid w:val="00477375"/>
    <w:rsid w:val="00477728"/>
    <w:rsid w:val="0047774E"/>
    <w:rsid w:val="0047776E"/>
    <w:rsid w:val="0047780C"/>
    <w:rsid w:val="00477E95"/>
    <w:rsid w:val="00477FEE"/>
    <w:rsid w:val="004803D2"/>
    <w:rsid w:val="004817D7"/>
    <w:rsid w:val="00482ACC"/>
    <w:rsid w:val="00482AD1"/>
    <w:rsid w:val="00482C84"/>
    <w:rsid w:val="00483575"/>
    <w:rsid w:val="0048361B"/>
    <w:rsid w:val="00483B27"/>
    <w:rsid w:val="00483F4F"/>
    <w:rsid w:val="00484C09"/>
    <w:rsid w:val="00484FE8"/>
    <w:rsid w:val="004855F6"/>
    <w:rsid w:val="00485BD6"/>
    <w:rsid w:val="00485BF3"/>
    <w:rsid w:val="00485D01"/>
    <w:rsid w:val="00486C61"/>
    <w:rsid w:val="00487533"/>
    <w:rsid w:val="004901FB"/>
    <w:rsid w:val="00490569"/>
    <w:rsid w:val="00490F0B"/>
    <w:rsid w:val="004910FA"/>
    <w:rsid w:val="00491215"/>
    <w:rsid w:val="00491B39"/>
    <w:rsid w:val="00491BDF"/>
    <w:rsid w:val="0049209D"/>
    <w:rsid w:val="004924CF"/>
    <w:rsid w:val="00492755"/>
    <w:rsid w:val="0049280A"/>
    <w:rsid w:val="00492C70"/>
    <w:rsid w:val="00494871"/>
    <w:rsid w:val="00495749"/>
    <w:rsid w:val="00495A84"/>
    <w:rsid w:val="00495B47"/>
    <w:rsid w:val="00495FBC"/>
    <w:rsid w:val="0049661C"/>
    <w:rsid w:val="004966F2"/>
    <w:rsid w:val="00496C34"/>
    <w:rsid w:val="00496F68"/>
    <w:rsid w:val="004978BB"/>
    <w:rsid w:val="004A05CD"/>
    <w:rsid w:val="004A06BB"/>
    <w:rsid w:val="004A17BC"/>
    <w:rsid w:val="004A1808"/>
    <w:rsid w:val="004A18FC"/>
    <w:rsid w:val="004A1E74"/>
    <w:rsid w:val="004A1F41"/>
    <w:rsid w:val="004A1F71"/>
    <w:rsid w:val="004A21A0"/>
    <w:rsid w:val="004A2348"/>
    <w:rsid w:val="004A2DB5"/>
    <w:rsid w:val="004A3394"/>
    <w:rsid w:val="004A3508"/>
    <w:rsid w:val="004A38A6"/>
    <w:rsid w:val="004A3EE6"/>
    <w:rsid w:val="004A453A"/>
    <w:rsid w:val="004A49F1"/>
    <w:rsid w:val="004A4E45"/>
    <w:rsid w:val="004A533E"/>
    <w:rsid w:val="004A555F"/>
    <w:rsid w:val="004A6C30"/>
    <w:rsid w:val="004A6FD7"/>
    <w:rsid w:val="004A7AF1"/>
    <w:rsid w:val="004A7B3D"/>
    <w:rsid w:val="004A7E2B"/>
    <w:rsid w:val="004B0573"/>
    <w:rsid w:val="004B06D6"/>
    <w:rsid w:val="004B116C"/>
    <w:rsid w:val="004B122F"/>
    <w:rsid w:val="004B12A8"/>
    <w:rsid w:val="004B1941"/>
    <w:rsid w:val="004B1A9A"/>
    <w:rsid w:val="004B1D12"/>
    <w:rsid w:val="004B1E88"/>
    <w:rsid w:val="004B2144"/>
    <w:rsid w:val="004B243D"/>
    <w:rsid w:val="004B2809"/>
    <w:rsid w:val="004B30E9"/>
    <w:rsid w:val="004B310A"/>
    <w:rsid w:val="004B33D8"/>
    <w:rsid w:val="004B3730"/>
    <w:rsid w:val="004B5223"/>
    <w:rsid w:val="004B52CB"/>
    <w:rsid w:val="004B56B4"/>
    <w:rsid w:val="004B5A5C"/>
    <w:rsid w:val="004B5ADF"/>
    <w:rsid w:val="004B67CE"/>
    <w:rsid w:val="004B6DC5"/>
    <w:rsid w:val="004B7377"/>
    <w:rsid w:val="004B74ED"/>
    <w:rsid w:val="004B7B88"/>
    <w:rsid w:val="004C0393"/>
    <w:rsid w:val="004C08D2"/>
    <w:rsid w:val="004C131A"/>
    <w:rsid w:val="004C22E9"/>
    <w:rsid w:val="004C232D"/>
    <w:rsid w:val="004C32F6"/>
    <w:rsid w:val="004C359D"/>
    <w:rsid w:val="004C364A"/>
    <w:rsid w:val="004C4387"/>
    <w:rsid w:val="004C497E"/>
    <w:rsid w:val="004C4A62"/>
    <w:rsid w:val="004C4ABA"/>
    <w:rsid w:val="004C5268"/>
    <w:rsid w:val="004C59EC"/>
    <w:rsid w:val="004C5BC1"/>
    <w:rsid w:val="004C5E9C"/>
    <w:rsid w:val="004C5FE1"/>
    <w:rsid w:val="004C6005"/>
    <w:rsid w:val="004C64F9"/>
    <w:rsid w:val="004C6AAD"/>
    <w:rsid w:val="004C70C5"/>
    <w:rsid w:val="004C712B"/>
    <w:rsid w:val="004C7CF7"/>
    <w:rsid w:val="004C7F54"/>
    <w:rsid w:val="004D0759"/>
    <w:rsid w:val="004D0C61"/>
    <w:rsid w:val="004D1363"/>
    <w:rsid w:val="004D13A5"/>
    <w:rsid w:val="004D1ABE"/>
    <w:rsid w:val="004D22B8"/>
    <w:rsid w:val="004D2618"/>
    <w:rsid w:val="004D2913"/>
    <w:rsid w:val="004D30D9"/>
    <w:rsid w:val="004D41BF"/>
    <w:rsid w:val="004D4478"/>
    <w:rsid w:val="004D44CC"/>
    <w:rsid w:val="004D477D"/>
    <w:rsid w:val="004D50B4"/>
    <w:rsid w:val="004D566C"/>
    <w:rsid w:val="004D5940"/>
    <w:rsid w:val="004D5D28"/>
    <w:rsid w:val="004D63BA"/>
    <w:rsid w:val="004D668B"/>
    <w:rsid w:val="004D6814"/>
    <w:rsid w:val="004D6C06"/>
    <w:rsid w:val="004D6D28"/>
    <w:rsid w:val="004D772F"/>
    <w:rsid w:val="004D7863"/>
    <w:rsid w:val="004E02E2"/>
    <w:rsid w:val="004E04AE"/>
    <w:rsid w:val="004E0CBB"/>
    <w:rsid w:val="004E1347"/>
    <w:rsid w:val="004E1893"/>
    <w:rsid w:val="004E1B2F"/>
    <w:rsid w:val="004E1CA6"/>
    <w:rsid w:val="004E22C3"/>
    <w:rsid w:val="004E2551"/>
    <w:rsid w:val="004E27EE"/>
    <w:rsid w:val="004E2F82"/>
    <w:rsid w:val="004E3C68"/>
    <w:rsid w:val="004E45C3"/>
    <w:rsid w:val="004E4616"/>
    <w:rsid w:val="004E498D"/>
    <w:rsid w:val="004E4F49"/>
    <w:rsid w:val="004E583D"/>
    <w:rsid w:val="004E685D"/>
    <w:rsid w:val="004E6B0C"/>
    <w:rsid w:val="004E6CF8"/>
    <w:rsid w:val="004E6D62"/>
    <w:rsid w:val="004E7103"/>
    <w:rsid w:val="004E7A63"/>
    <w:rsid w:val="004F0020"/>
    <w:rsid w:val="004F0116"/>
    <w:rsid w:val="004F0526"/>
    <w:rsid w:val="004F07EC"/>
    <w:rsid w:val="004F0916"/>
    <w:rsid w:val="004F0D08"/>
    <w:rsid w:val="004F11F5"/>
    <w:rsid w:val="004F132D"/>
    <w:rsid w:val="004F1963"/>
    <w:rsid w:val="004F1BB5"/>
    <w:rsid w:val="004F1DE8"/>
    <w:rsid w:val="004F2008"/>
    <w:rsid w:val="004F29E1"/>
    <w:rsid w:val="004F2F98"/>
    <w:rsid w:val="004F306C"/>
    <w:rsid w:val="004F311A"/>
    <w:rsid w:val="004F38C5"/>
    <w:rsid w:val="004F3CC7"/>
    <w:rsid w:val="004F3D46"/>
    <w:rsid w:val="004F405B"/>
    <w:rsid w:val="004F57AE"/>
    <w:rsid w:val="004F5CB0"/>
    <w:rsid w:val="004F6333"/>
    <w:rsid w:val="004F63FA"/>
    <w:rsid w:val="004F64F2"/>
    <w:rsid w:val="004F69E1"/>
    <w:rsid w:val="004F6A24"/>
    <w:rsid w:val="004F713E"/>
    <w:rsid w:val="004F755E"/>
    <w:rsid w:val="004F78E8"/>
    <w:rsid w:val="004F7939"/>
    <w:rsid w:val="004F7B13"/>
    <w:rsid w:val="005000ED"/>
    <w:rsid w:val="00500244"/>
    <w:rsid w:val="00500552"/>
    <w:rsid w:val="005006B3"/>
    <w:rsid w:val="005011CB"/>
    <w:rsid w:val="00501479"/>
    <w:rsid w:val="00501673"/>
    <w:rsid w:val="00501771"/>
    <w:rsid w:val="005017A4"/>
    <w:rsid w:val="00502537"/>
    <w:rsid w:val="00502D27"/>
    <w:rsid w:val="00502D9A"/>
    <w:rsid w:val="00503241"/>
    <w:rsid w:val="005038E9"/>
    <w:rsid w:val="00503B32"/>
    <w:rsid w:val="0050492F"/>
    <w:rsid w:val="00504DE7"/>
    <w:rsid w:val="00505303"/>
    <w:rsid w:val="005058E5"/>
    <w:rsid w:val="00506033"/>
    <w:rsid w:val="005063D4"/>
    <w:rsid w:val="00506D6C"/>
    <w:rsid w:val="00506E80"/>
    <w:rsid w:val="005070AA"/>
    <w:rsid w:val="005075F1"/>
    <w:rsid w:val="005076AD"/>
    <w:rsid w:val="00507F7F"/>
    <w:rsid w:val="00510339"/>
    <w:rsid w:val="005103FF"/>
    <w:rsid w:val="00510895"/>
    <w:rsid w:val="00510F7D"/>
    <w:rsid w:val="0051134B"/>
    <w:rsid w:val="00511441"/>
    <w:rsid w:val="0051168C"/>
    <w:rsid w:val="00511E33"/>
    <w:rsid w:val="00511EC4"/>
    <w:rsid w:val="00511FA5"/>
    <w:rsid w:val="0051208F"/>
    <w:rsid w:val="005124E4"/>
    <w:rsid w:val="0051317F"/>
    <w:rsid w:val="0051343F"/>
    <w:rsid w:val="005137E4"/>
    <w:rsid w:val="00513963"/>
    <w:rsid w:val="00513ACB"/>
    <w:rsid w:val="00514221"/>
    <w:rsid w:val="005146D6"/>
    <w:rsid w:val="0051508F"/>
    <w:rsid w:val="00515C5A"/>
    <w:rsid w:val="005160FD"/>
    <w:rsid w:val="005164AA"/>
    <w:rsid w:val="005164E9"/>
    <w:rsid w:val="00517D5F"/>
    <w:rsid w:val="00520516"/>
    <w:rsid w:val="00520CE9"/>
    <w:rsid w:val="00521091"/>
    <w:rsid w:val="005213E5"/>
    <w:rsid w:val="00521707"/>
    <w:rsid w:val="00522378"/>
    <w:rsid w:val="005223C6"/>
    <w:rsid w:val="005228ED"/>
    <w:rsid w:val="00522D9C"/>
    <w:rsid w:val="00522E2D"/>
    <w:rsid w:val="005235AA"/>
    <w:rsid w:val="00524F9F"/>
    <w:rsid w:val="005251C5"/>
    <w:rsid w:val="00525438"/>
    <w:rsid w:val="00525E34"/>
    <w:rsid w:val="005268AD"/>
    <w:rsid w:val="00526D94"/>
    <w:rsid w:val="00527445"/>
    <w:rsid w:val="00527D98"/>
    <w:rsid w:val="00530B93"/>
    <w:rsid w:val="00530BFA"/>
    <w:rsid w:val="00531699"/>
    <w:rsid w:val="00531807"/>
    <w:rsid w:val="005326FE"/>
    <w:rsid w:val="0053271B"/>
    <w:rsid w:val="00532911"/>
    <w:rsid w:val="005329A3"/>
    <w:rsid w:val="00532B16"/>
    <w:rsid w:val="00534597"/>
    <w:rsid w:val="00534C7E"/>
    <w:rsid w:val="00534CC3"/>
    <w:rsid w:val="005350F3"/>
    <w:rsid w:val="00535933"/>
    <w:rsid w:val="00535A31"/>
    <w:rsid w:val="00535C62"/>
    <w:rsid w:val="005368CE"/>
    <w:rsid w:val="005373F9"/>
    <w:rsid w:val="005376BC"/>
    <w:rsid w:val="005377DF"/>
    <w:rsid w:val="005377FC"/>
    <w:rsid w:val="00537A08"/>
    <w:rsid w:val="0054003B"/>
    <w:rsid w:val="00540089"/>
    <w:rsid w:val="00540472"/>
    <w:rsid w:val="00540677"/>
    <w:rsid w:val="00541553"/>
    <w:rsid w:val="00541931"/>
    <w:rsid w:val="00541C52"/>
    <w:rsid w:val="0054259E"/>
    <w:rsid w:val="00542BB5"/>
    <w:rsid w:val="00542E6A"/>
    <w:rsid w:val="00543854"/>
    <w:rsid w:val="005439F8"/>
    <w:rsid w:val="00543A29"/>
    <w:rsid w:val="00543F92"/>
    <w:rsid w:val="005441DF"/>
    <w:rsid w:val="005442E6"/>
    <w:rsid w:val="00544993"/>
    <w:rsid w:val="00544B6D"/>
    <w:rsid w:val="00544EE2"/>
    <w:rsid w:val="00545AB6"/>
    <w:rsid w:val="005460D9"/>
    <w:rsid w:val="0054621A"/>
    <w:rsid w:val="005465C4"/>
    <w:rsid w:val="005466C0"/>
    <w:rsid w:val="00546C9F"/>
    <w:rsid w:val="00546D35"/>
    <w:rsid w:val="0054735C"/>
    <w:rsid w:val="00547456"/>
    <w:rsid w:val="00547A4A"/>
    <w:rsid w:val="00547EF5"/>
    <w:rsid w:val="00550BD2"/>
    <w:rsid w:val="00551298"/>
    <w:rsid w:val="00551B85"/>
    <w:rsid w:val="00552161"/>
    <w:rsid w:val="005525C6"/>
    <w:rsid w:val="005529EE"/>
    <w:rsid w:val="005529FF"/>
    <w:rsid w:val="00552B68"/>
    <w:rsid w:val="00553504"/>
    <w:rsid w:val="005536E4"/>
    <w:rsid w:val="00553AA0"/>
    <w:rsid w:val="00553FE1"/>
    <w:rsid w:val="005540B5"/>
    <w:rsid w:val="00554DEE"/>
    <w:rsid w:val="0055516F"/>
    <w:rsid w:val="0055536A"/>
    <w:rsid w:val="0055561A"/>
    <w:rsid w:val="005556F9"/>
    <w:rsid w:val="005559C2"/>
    <w:rsid w:val="00556125"/>
    <w:rsid w:val="00557216"/>
    <w:rsid w:val="005574E5"/>
    <w:rsid w:val="00557547"/>
    <w:rsid w:val="005611CD"/>
    <w:rsid w:val="00561FE2"/>
    <w:rsid w:val="005627EC"/>
    <w:rsid w:val="005633F2"/>
    <w:rsid w:val="005634AA"/>
    <w:rsid w:val="005638D0"/>
    <w:rsid w:val="00564429"/>
    <w:rsid w:val="00564A57"/>
    <w:rsid w:val="00564ADE"/>
    <w:rsid w:val="00564C85"/>
    <w:rsid w:val="005655B5"/>
    <w:rsid w:val="005655F4"/>
    <w:rsid w:val="0056579D"/>
    <w:rsid w:val="00565900"/>
    <w:rsid w:val="00565A1E"/>
    <w:rsid w:val="00565A30"/>
    <w:rsid w:val="00565D7B"/>
    <w:rsid w:val="00565E2E"/>
    <w:rsid w:val="00565F9F"/>
    <w:rsid w:val="0056608B"/>
    <w:rsid w:val="005666DB"/>
    <w:rsid w:val="0056683F"/>
    <w:rsid w:val="00566BA9"/>
    <w:rsid w:val="00566DD0"/>
    <w:rsid w:val="00566DD2"/>
    <w:rsid w:val="0056751C"/>
    <w:rsid w:val="00567C61"/>
    <w:rsid w:val="0057023D"/>
    <w:rsid w:val="005707EB"/>
    <w:rsid w:val="00570822"/>
    <w:rsid w:val="00570DBD"/>
    <w:rsid w:val="0057151F"/>
    <w:rsid w:val="005715B5"/>
    <w:rsid w:val="005715FD"/>
    <w:rsid w:val="00571840"/>
    <w:rsid w:val="0057185D"/>
    <w:rsid w:val="005718BC"/>
    <w:rsid w:val="00571977"/>
    <w:rsid w:val="0057268E"/>
    <w:rsid w:val="00572CB3"/>
    <w:rsid w:val="0057315D"/>
    <w:rsid w:val="00574313"/>
    <w:rsid w:val="00575ED6"/>
    <w:rsid w:val="00575FD5"/>
    <w:rsid w:val="00576744"/>
    <w:rsid w:val="00576DE2"/>
    <w:rsid w:val="00576E56"/>
    <w:rsid w:val="00577012"/>
    <w:rsid w:val="00577282"/>
    <w:rsid w:val="0057740E"/>
    <w:rsid w:val="00577749"/>
    <w:rsid w:val="00577B3B"/>
    <w:rsid w:val="00577FFE"/>
    <w:rsid w:val="00580B37"/>
    <w:rsid w:val="00580BC5"/>
    <w:rsid w:val="00580F54"/>
    <w:rsid w:val="00581B77"/>
    <w:rsid w:val="00581D26"/>
    <w:rsid w:val="00581D5B"/>
    <w:rsid w:val="00581F07"/>
    <w:rsid w:val="0058229A"/>
    <w:rsid w:val="005822DA"/>
    <w:rsid w:val="00582411"/>
    <w:rsid w:val="0058294C"/>
    <w:rsid w:val="00583902"/>
    <w:rsid w:val="0058396F"/>
    <w:rsid w:val="00583C28"/>
    <w:rsid w:val="00583DBB"/>
    <w:rsid w:val="00584109"/>
    <w:rsid w:val="005842CE"/>
    <w:rsid w:val="0058453E"/>
    <w:rsid w:val="00584C21"/>
    <w:rsid w:val="0058563C"/>
    <w:rsid w:val="00585B0D"/>
    <w:rsid w:val="0058662C"/>
    <w:rsid w:val="00586F0B"/>
    <w:rsid w:val="00587093"/>
    <w:rsid w:val="005874A8"/>
    <w:rsid w:val="00587837"/>
    <w:rsid w:val="00587A42"/>
    <w:rsid w:val="00587A9B"/>
    <w:rsid w:val="00587AED"/>
    <w:rsid w:val="005902FB"/>
    <w:rsid w:val="00590D5A"/>
    <w:rsid w:val="005915FA"/>
    <w:rsid w:val="00592A67"/>
    <w:rsid w:val="00592CB3"/>
    <w:rsid w:val="00592DFA"/>
    <w:rsid w:val="00593B52"/>
    <w:rsid w:val="00593E86"/>
    <w:rsid w:val="00594767"/>
    <w:rsid w:val="00594837"/>
    <w:rsid w:val="00595862"/>
    <w:rsid w:val="00595AD2"/>
    <w:rsid w:val="00595F7B"/>
    <w:rsid w:val="0059662D"/>
    <w:rsid w:val="00596D0A"/>
    <w:rsid w:val="00596DC2"/>
    <w:rsid w:val="005973C1"/>
    <w:rsid w:val="0059774F"/>
    <w:rsid w:val="00597CDD"/>
    <w:rsid w:val="005A06A5"/>
    <w:rsid w:val="005A0ADD"/>
    <w:rsid w:val="005A0D6D"/>
    <w:rsid w:val="005A117F"/>
    <w:rsid w:val="005A17F4"/>
    <w:rsid w:val="005A1AD1"/>
    <w:rsid w:val="005A24D7"/>
    <w:rsid w:val="005A2E94"/>
    <w:rsid w:val="005A35E3"/>
    <w:rsid w:val="005A3BDC"/>
    <w:rsid w:val="005A4826"/>
    <w:rsid w:val="005A4B2B"/>
    <w:rsid w:val="005A4E9D"/>
    <w:rsid w:val="005A5254"/>
    <w:rsid w:val="005A5345"/>
    <w:rsid w:val="005A5810"/>
    <w:rsid w:val="005A59BA"/>
    <w:rsid w:val="005A5F8D"/>
    <w:rsid w:val="005A6231"/>
    <w:rsid w:val="005A6630"/>
    <w:rsid w:val="005A67F9"/>
    <w:rsid w:val="005A69B2"/>
    <w:rsid w:val="005A7F88"/>
    <w:rsid w:val="005B1AA7"/>
    <w:rsid w:val="005B1D9E"/>
    <w:rsid w:val="005B2ACA"/>
    <w:rsid w:val="005B2C07"/>
    <w:rsid w:val="005B2DB2"/>
    <w:rsid w:val="005B2F90"/>
    <w:rsid w:val="005B32BC"/>
    <w:rsid w:val="005B33EC"/>
    <w:rsid w:val="005B354F"/>
    <w:rsid w:val="005B375C"/>
    <w:rsid w:val="005B377B"/>
    <w:rsid w:val="005B3BDD"/>
    <w:rsid w:val="005B3F76"/>
    <w:rsid w:val="005B44E3"/>
    <w:rsid w:val="005B44E7"/>
    <w:rsid w:val="005B4AB5"/>
    <w:rsid w:val="005B4F1A"/>
    <w:rsid w:val="005B51BC"/>
    <w:rsid w:val="005B5B30"/>
    <w:rsid w:val="005B5F13"/>
    <w:rsid w:val="005B636D"/>
    <w:rsid w:val="005B6E9D"/>
    <w:rsid w:val="005B7230"/>
    <w:rsid w:val="005B7F3C"/>
    <w:rsid w:val="005C1352"/>
    <w:rsid w:val="005C1538"/>
    <w:rsid w:val="005C18BB"/>
    <w:rsid w:val="005C2BD3"/>
    <w:rsid w:val="005C3C1E"/>
    <w:rsid w:val="005C4BA8"/>
    <w:rsid w:val="005C514B"/>
    <w:rsid w:val="005C51D7"/>
    <w:rsid w:val="005C5E52"/>
    <w:rsid w:val="005C5F5F"/>
    <w:rsid w:val="005C61A4"/>
    <w:rsid w:val="005C62E1"/>
    <w:rsid w:val="005C6814"/>
    <w:rsid w:val="005C6B09"/>
    <w:rsid w:val="005C7131"/>
    <w:rsid w:val="005C7EBD"/>
    <w:rsid w:val="005D00BE"/>
    <w:rsid w:val="005D086D"/>
    <w:rsid w:val="005D0B01"/>
    <w:rsid w:val="005D0EB0"/>
    <w:rsid w:val="005D10BE"/>
    <w:rsid w:val="005D155F"/>
    <w:rsid w:val="005D160C"/>
    <w:rsid w:val="005D30BA"/>
    <w:rsid w:val="005D3197"/>
    <w:rsid w:val="005D3A12"/>
    <w:rsid w:val="005D4082"/>
    <w:rsid w:val="005D44C0"/>
    <w:rsid w:val="005D5DCB"/>
    <w:rsid w:val="005D6554"/>
    <w:rsid w:val="005D65C2"/>
    <w:rsid w:val="005D70EC"/>
    <w:rsid w:val="005D7568"/>
    <w:rsid w:val="005D7719"/>
    <w:rsid w:val="005D7ED9"/>
    <w:rsid w:val="005D7FDC"/>
    <w:rsid w:val="005E0ABD"/>
    <w:rsid w:val="005E1131"/>
    <w:rsid w:val="005E1B78"/>
    <w:rsid w:val="005E1D88"/>
    <w:rsid w:val="005E20F9"/>
    <w:rsid w:val="005E23FC"/>
    <w:rsid w:val="005E2B38"/>
    <w:rsid w:val="005E315B"/>
    <w:rsid w:val="005E31F0"/>
    <w:rsid w:val="005E335D"/>
    <w:rsid w:val="005E355B"/>
    <w:rsid w:val="005E3811"/>
    <w:rsid w:val="005E4396"/>
    <w:rsid w:val="005E4544"/>
    <w:rsid w:val="005E45CC"/>
    <w:rsid w:val="005E4A97"/>
    <w:rsid w:val="005E51AE"/>
    <w:rsid w:val="005E5580"/>
    <w:rsid w:val="005E5CB1"/>
    <w:rsid w:val="005E70FD"/>
    <w:rsid w:val="005E771B"/>
    <w:rsid w:val="005E7BE3"/>
    <w:rsid w:val="005F0576"/>
    <w:rsid w:val="005F05C5"/>
    <w:rsid w:val="005F0A33"/>
    <w:rsid w:val="005F0DAA"/>
    <w:rsid w:val="005F1732"/>
    <w:rsid w:val="005F2E97"/>
    <w:rsid w:val="005F2FD6"/>
    <w:rsid w:val="005F34B9"/>
    <w:rsid w:val="005F34FB"/>
    <w:rsid w:val="005F3720"/>
    <w:rsid w:val="005F37A1"/>
    <w:rsid w:val="005F3805"/>
    <w:rsid w:val="005F4CE9"/>
    <w:rsid w:val="005F4FC8"/>
    <w:rsid w:val="005F5841"/>
    <w:rsid w:val="005F6910"/>
    <w:rsid w:val="005F6965"/>
    <w:rsid w:val="005F6E13"/>
    <w:rsid w:val="005F6EB8"/>
    <w:rsid w:val="005F6EE2"/>
    <w:rsid w:val="006008D9"/>
    <w:rsid w:val="00600D1C"/>
    <w:rsid w:val="006016A4"/>
    <w:rsid w:val="0060187D"/>
    <w:rsid w:val="00601973"/>
    <w:rsid w:val="00601B5A"/>
    <w:rsid w:val="00602033"/>
    <w:rsid w:val="006022A6"/>
    <w:rsid w:val="00602C49"/>
    <w:rsid w:val="00603349"/>
    <w:rsid w:val="0060370C"/>
    <w:rsid w:val="00603EF0"/>
    <w:rsid w:val="00603F3E"/>
    <w:rsid w:val="00604490"/>
    <w:rsid w:val="00604528"/>
    <w:rsid w:val="00604D15"/>
    <w:rsid w:val="0060524A"/>
    <w:rsid w:val="006052B5"/>
    <w:rsid w:val="006059D2"/>
    <w:rsid w:val="006067A9"/>
    <w:rsid w:val="00606C55"/>
    <w:rsid w:val="00606CB9"/>
    <w:rsid w:val="00606FD4"/>
    <w:rsid w:val="0060705C"/>
    <w:rsid w:val="006071A0"/>
    <w:rsid w:val="0060734E"/>
    <w:rsid w:val="00607657"/>
    <w:rsid w:val="00610D41"/>
    <w:rsid w:val="0061127F"/>
    <w:rsid w:val="006113CC"/>
    <w:rsid w:val="00611A07"/>
    <w:rsid w:val="006121A8"/>
    <w:rsid w:val="006122DF"/>
    <w:rsid w:val="00612360"/>
    <w:rsid w:val="0061299F"/>
    <w:rsid w:val="00612C83"/>
    <w:rsid w:val="006135F5"/>
    <w:rsid w:val="00613719"/>
    <w:rsid w:val="00613F82"/>
    <w:rsid w:val="0061402E"/>
    <w:rsid w:val="006140B7"/>
    <w:rsid w:val="006145DE"/>
    <w:rsid w:val="00615060"/>
    <w:rsid w:val="00615A9E"/>
    <w:rsid w:val="00615CD5"/>
    <w:rsid w:val="00616128"/>
    <w:rsid w:val="006163CD"/>
    <w:rsid w:val="00616969"/>
    <w:rsid w:val="00616F27"/>
    <w:rsid w:val="0061738E"/>
    <w:rsid w:val="00617413"/>
    <w:rsid w:val="0062045F"/>
    <w:rsid w:val="00620E7E"/>
    <w:rsid w:val="00621626"/>
    <w:rsid w:val="006222C2"/>
    <w:rsid w:val="0062271C"/>
    <w:rsid w:val="00622E55"/>
    <w:rsid w:val="00622F02"/>
    <w:rsid w:val="00622F3A"/>
    <w:rsid w:val="006230ED"/>
    <w:rsid w:val="006239F6"/>
    <w:rsid w:val="00623AF3"/>
    <w:rsid w:val="00623F17"/>
    <w:rsid w:val="00624273"/>
    <w:rsid w:val="0062464E"/>
    <w:rsid w:val="00624BCE"/>
    <w:rsid w:val="00624FF0"/>
    <w:rsid w:val="006250B6"/>
    <w:rsid w:val="0062516F"/>
    <w:rsid w:val="00625CFE"/>
    <w:rsid w:val="00625DCE"/>
    <w:rsid w:val="006261E4"/>
    <w:rsid w:val="0062628C"/>
    <w:rsid w:val="006262DA"/>
    <w:rsid w:val="0062699C"/>
    <w:rsid w:val="00627041"/>
    <w:rsid w:val="00627C76"/>
    <w:rsid w:val="0063020A"/>
    <w:rsid w:val="0063050F"/>
    <w:rsid w:val="0063059B"/>
    <w:rsid w:val="00630782"/>
    <w:rsid w:val="00630D51"/>
    <w:rsid w:val="00630D8F"/>
    <w:rsid w:val="00630EBF"/>
    <w:rsid w:val="00630F08"/>
    <w:rsid w:val="00631253"/>
    <w:rsid w:val="00631860"/>
    <w:rsid w:val="0063192C"/>
    <w:rsid w:val="00631A17"/>
    <w:rsid w:val="0063279A"/>
    <w:rsid w:val="00632ECA"/>
    <w:rsid w:val="0063323D"/>
    <w:rsid w:val="00633F3D"/>
    <w:rsid w:val="0063487C"/>
    <w:rsid w:val="0063512F"/>
    <w:rsid w:val="00635222"/>
    <w:rsid w:val="00635540"/>
    <w:rsid w:val="00635CA9"/>
    <w:rsid w:val="006362E8"/>
    <w:rsid w:val="006365C1"/>
    <w:rsid w:val="00636618"/>
    <w:rsid w:val="0063712C"/>
    <w:rsid w:val="006375B9"/>
    <w:rsid w:val="00637B04"/>
    <w:rsid w:val="00640364"/>
    <w:rsid w:val="006416D0"/>
    <w:rsid w:val="00642E2C"/>
    <w:rsid w:val="006439FF"/>
    <w:rsid w:val="00643A07"/>
    <w:rsid w:val="00644885"/>
    <w:rsid w:val="0064507C"/>
    <w:rsid w:val="00645180"/>
    <w:rsid w:val="00645569"/>
    <w:rsid w:val="00645616"/>
    <w:rsid w:val="0064568E"/>
    <w:rsid w:val="006456A8"/>
    <w:rsid w:val="00645AF1"/>
    <w:rsid w:val="00645D78"/>
    <w:rsid w:val="00646AB8"/>
    <w:rsid w:val="00646E3F"/>
    <w:rsid w:val="006470D2"/>
    <w:rsid w:val="006472D3"/>
    <w:rsid w:val="006472E0"/>
    <w:rsid w:val="0064767D"/>
    <w:rsid w:val="0064772E"/>
    <w:rsid w:val="006501B9"/>
    <w:rsid w:val="00650A21"/>
    <w:rsid w:val="0065110A"/>
    <w:rsid w:val="00651A8E"/>
    <w:rsid w:val="00651C7F"/>
    <w:rsid w:val="00651FA5"/>
    <w:rsid w:val="00652258"/>
    <w:rsid w:val="006523D7"/>
    <w:rsid w:val="006526BB"/>
    <w:rsid w:val="00652BDC"/>
    <w:rsid w:val="006530B0"/>
    <w:rsid w:val="006531F6"/>
    <w:rsid w:val="0065422F"/>
    <w:rsid w:val="006543FB"/>
    <w:rsid w:val="006545A9"/>
    <w:rsid w:val="00654A5C"/>
    <w:rsid w:val="00654E91"/>
    <w:rsid w:val="00654FB5"/>
    <w:rsid w:val="006554FE"/>
    <w:rsid w:val="00655A49"/>
    <w:rsid w:val="00655DAF"/>
    <w:rsid w:val="00655F6B"/>
    <w:rsid w:val="006560D6"/>
    <w:rsid w:val="0065631E"/>
    <w:rsid w:val="0065665E"/>
    <w:rsid w:val="00656D0A"/>
    <w:rsid w:val="00657341"/>
    <w:rsid w:val="00657DB0"/>
    <w:rsid w:val="00657F57"/>
    <w:rsid w:val="00660E0E"/>
    <w:rsid w:val="00660F91"/>
    <w:rsid w:val="00660FB6"/>
    <w:rsid w:val="006613C1"/>
    <w:rsid w:val="00661D14"/>
    <w:rsid w:val="00662B71"/>
    <w:rsid w:val="0066321A"/>
    <w:rsid w:val="0066365D"/>
    <w:rsid w:val="00665168"/>
    <w:rsid w:val="00665997"/>
    <w:rsid w:val="00666EA1"/>
    <w:rsid w:val="006671E7"/>
    <w:rsid w:val="00667451"/>
    <w:rsid w:val="006674F6"/>
    <w:rsid w:val="006675F8"/>
    <w:rsid w:val="00670296"/>
    <w:rsid w:val="0067037F"/>
    <w:rsid w:val="0067170A"/>
    <w:rsid w:val="00672034"/>
    <w:rsid w:val="006723EC"/>
    <w:rsid w:val="0067329F"/>
    <w:rsid w:val="00673B3C"/>
    <w:rsid w:val="00673DE4"/>
    <w:rsid w:val="006741B4"/>
    <w:rsid w:val="006741D8"/>
    <w:rsid w:val="006744B9"/>
    <w:rsid w:val="00674522"/>
    <w:rsid w:val="00674B00"/>
    <w:rsid w:val="00674BEC"/>
    <w:rsid w:val="00675F02"/>
    <w:rsid w:val="00676267"/>
    <w:rsid w:val="006774BE"/>
    <w:rsid w:val="00677597"/>
    <w:rsid w:val="00677642"/>
    <w:rsid w:val="0067776E"/>
    <w:rsid w:val="00677CF1"/>
    <w:rsid w:val="00677E4E"/>
    <w:rsid w:val="0068033D"/>
    <w:rsid w:val="0068065E"/>
    <w:rsid w:val="00680C30"/>
    <w:rsid w:val="00680C71"/>
    <w:rsid w:val="006810B1"/>
    <w:rsid w:val="00681559"/>
    <w:rsid w:val="00681BD0"/>
    <w:rsid w:val="00682425"/>
    <w:rsid w:val="00682A95"/>
    <w:rsid w:val="00682C1B"/>
    <w:rsid w:val="00682D80"/>
    <w:rsid w:val="00682F6A"/>
    <w:rsid w:val="00682F8C"/>
    <w:rsid w:val="00683213"/>
    <w:rsid w:val="0068347F"/>
    <w:rsid w:val="006834DF"/>
    <w:rsid w:val="0068374E"/>
    <w:rsid w:val="00683B0E"/>
    <w:rsid w:val="006842BD"/>
    <w:rsid w:val="0068440F"/>
    <w:rsid w:val="006845E2"/>
    <w:rsid w:val="00685C2D"/>
    <w:rsid w:val="00686298"/>
    <w:rsid w:val="0068675E"/>
    <w:rsid w:val="00686E7D"/>
    <w:rsid w:val="00686FED"/>
    <w:rsid w:val="006871A8"/>
    <w:rsid w:val="00687B0F"/>
    <w:rsid w:val="006904CE"/>
    <w:rsid w:val="006907D1"/>
    <w:rsid w:val="006909D5"/>
    <w:rsid w:val="00690CC6"/>
    <w:rsid w:val="0069132F"/>
    <w:rsid w:val="0069148E"/>
    <w:rsid w:val="006917E7"/>
    <w:rsid w:val="00691BC8"/>
    <w:rsid w:val="00691FB2"/>
    <w:rsid w:val="006923CC"/>
    <w:rsid w:val="006931D0"/>
    <w:rsid w:val="00693374"/>
    <w:rsid w:val="006939E7"/>
    <w:rsid w:val="00693AD7"/>
    <w:rsid w:val="00695437"/>
    <w:rsid w:val="0069562C"/>
    <w:rsid w:val="00695938"/>
    <w:rsid w:val="00695B5A"/>
    <w:rsid w:val="00695D17"/>
    <w:rsid w:val="00695FC7"/>
    <w:rsid w:val="0069695A"/>
    <w:rsid w:val="00697835"/>
    <w:rsid w:val="00697FA3"/>
    <w:rsid w:val="006A03B7"/>
    <w:rsid w:val="006A072A"/>
    <w:rsid w:val="006A09CB"/>
    <w:rsid w:val="006A0F00"/>
    <w:rsid w:val="006A0FCA"/>
    <w:rsid w:val="006A162B"/>
    <w:rsid w:val="006A181A"/>
    <w:rsid w:val="006A25FE"/>
    <w:rsid w:val="006A2E5F"/>
    <w:rsid w:val="006A3538"/>
    <w:rsid w:val="006A3A60"/>
    <w:rsid w:val="006A3BED"/>
    <w:rsid w:val="006A4CD1"/>
    <w:rsid w:val="006A58DE"/>
    <w:rsid w:val="006A5914"/>
    <w:rsid w:val="006A5CEB"/>
    <w:rsid w:val="006A61A6"/>
    <w:rsid w:val="006A684E"/>
    <w:rsid w:val="006A7297"/>
    <w:rsid w:val="006B0394"/>
    <w:rsid w:val="006B053B"/>
    <w:rsid w:val="006B06D2"/>
    <w:rsid w:val="006B0956"/>
    <w:rsid w:val="006B0A3C"/>
    <w:rsid w:val="006B0A43"/>
    <w:rsid w:val="006B0B09"/>
    <w:rsid w:val="006B1396"/>
    <w:rsid w:val="006B139F"/>
    <w:rsid w:val="006B18FC"/>
    <w:rsid w:val="006B1B97"/>
    <w:rsid w:val="006B204A"/>
    <w:rsid w:val="006B2E6D"/>
    <w:rsid w:val="006B30CC"/>
    <w:rsid w:val="006B46AF"/>
    <w:rsid w:val="006B4923"/>
    <w:rsid w:val="006B4E0C"/>
    <w:rsid w:val="006B4F3F"/>
    <w:rsid w:val="006B55D5"/>
    <w:rsid w:val="006B56D7"/>
    <w:rsid w:val="006B58AC"/>
    <w:rsid w:val="006B60ED"/>
    <w:rsid w:val="006B6129"/>
    <w:rsid w:val="006B6739"/>
    <w:rsid w:val="006B6DFA"/>
    <w:rsid w:val="006B6E4F"/>
    <w:rsid w:val="006B7028"/>
    <w:rsid w:val="006B7098"/>
    <w:rsid w:val="006B73AA"/>
    <w:rsid w:val="006B73F9"/>
    <w:rsid w:val="006B742A"/>
    <w:rsid w:val="006B7656"/>
    <w:rsid w:val="006B7D82"/>
    <w:rsid w:val="006B7E79"/>
    <w:rsid w:val="006C05C0"/>
    <w:rsid w:val="006C07B6"/>
    <w:rsid w:val="006C1011"/>
    <w:rsid w:val="006C1535"/>
    <w:rsid w:val="006C1E08"/>
    <w:rsid w:val="006C1E23"/>
    <w:rsid w:val="006C3B9F"/>
    <w:rsid w:val="006C425F"/>
    <w:rsid w:val="006C470F"/>
    <w:rsid w:val="006C47C9"/>
    <w:rsid w:val="006C503D"/>
    <w:rsid w:val="006C51C0"/>
    <w:rsid w:val="006C52B5"/>
    <w:rsid w:val="006C5320"/>
    <w:rsid w:val="006C5B23"/>
    <w:rsid w:val="006C65D2"/>
    <w:rsid w:val="006C6917"/>
    <w:rsid w:val="006C6AD9"/>
    <w:rsid w:val="006C7295"/>
    <w:rsid w:val="006C72FD"/>
    <w:rsid w:val="006C7663"/>
    <w:rsid w:val="006C76B5"/>
    <w:rsid w:val="006D0530"/>
    <w:rsid w:val="006D0613"/>
    <w:rsid w:val="006D0886"/>
    <w:rsid w:val="006D0D8D"/>
    <w:rsid w:val="006D11D5"/>
    <w:rsid w:val="006D1841"/>
    <w:rsid w:val="006D1AD9"/>
    <w:rsid w:val="006D224E"/>
    <w:rsid w:val="006D25C9"/>
    <w:rsid w:val="006D3290"/>
    <w:rsid w:val="006D3BA9"/>
    <w:rsid w:val="006D409B"/>
    <w:rsid w:val="006D40C6"/>
    <w:rsid w:val="006D4243"/>
    <w:rsid w:val="006D465A"/>
    <w:rsid w:val="006D55C6"/>
    <w:rsid w:val="006D5C49"/>
    <w:rsid w:val="006D61B9"/>
    <w:rsid w:val="006D68AE"/>
    <w:rsid w:val="006D6FB3"/>
    <w:rsid w:val="006D7D68"/>
    <w:rsid w:val="006E0EA1"/>
    <w:rsid w:val="006E1390"/>
    <w:rsid w:val="006E15A8"/>
    <w:rsid w:val="006E17E4"/>
    <w:rsid w:val="006E2081"/>
    <w:rsid w:val="006E228A"/>
    <w:rsid w:val="006E2D34"/>
    <w:rsid w:val="006E34AB"/>
    <w:rsid w:val="006E3741"/>
    <w:rsid w:val="006E379A"/>
    <w:rsid w:val="006E3B64"/>
    <w:rsid w:val="006E3C31"/>
    <w:rsid w:val="006E3DAB"/>
    <w:rsid w:val="006E42F2"/>
    <w:rsid w:val="006E4391"/>
    <w:rsid w:val="006E4569"/>
    <w:rsid w:val="006E4898"/>
    <w:rsid w:val="006E4923"/>
    <w:rsid w:val="006E4B17"/>
    <w:rsid w:val="006E4C06"/>
    <w:rsid w:val="006E594F"/>
    <w:rsid w:val="006E5E0F"/>
    <w:rsid w:val="006E6811"/>
    <w:rsid w:val="006E6BA5"/>
    <w:rsid w:val="006E6EFB"/>
    <w:rsid w:val="006E78DD"/>
    <w:rsid w:val="006E798E"/>
    <w:rsid w:val="006F0A7B"/>
    <w:rsid w:val="006F0CA7"/>
    <w:rsid w:val="006F1138"/>
    <w:rsid w:val="006F1F5D"/>
    <w:rsid w:val="006F2072"/>
    <w:rsid w:val="006F26B5"/>
    <w:rsid w:val="006F2AB6"/>
    <w:rsid w:val="006F2CBB"/>
    <w:rsid w:val="006F306D"/>
    <w:rsid w:val="006F346F"/>
    <w:rsid w:val="006F34EC"/>
    <w:rsid w:val="006F351A"/>
    <w:rsid w:val="006F35F6"/>
    <w:rsid w:val="006F3870"/>
    <w:rsid w:val="006F3B4F"/>
    <w:rsid w:val="006F4916"/>
    <w:rsid w:val="006F4DE8"/>
    <w:rsid w:val="006F4E0C"/>
    <w:rsid w:val="006F578C"/>
    <w:rsid w:val="006F5E0A"/>
    <w:rsid w:val="006F6303"/>
    <w:rsid w:val="006F632C"/>
    <w:rsid w:val="006F6F50"/>
    <w:rsid w:val="006F70A6"/>
    <w:rsid w:val="006F7416"/>
    <w:rsid w:val="006F7657"/>
    <w:rsid w:val="006F789D"/>
    <w:rsid w:val="006F78EF"/>
    <w:rsid w:val="006F7B8F"/>
    <w:rsid w:val="006F7BF2"/>
    <w:rsid w:val="0070018D"/>
    <w:rsid w:val="007003B3"/>
    <w:rsid w:val="007009F4"/>
    <w:rsid w:val="00700A38"/>
    <w:rsid w:val="007011B0"/>
    <w:rsid w:val="00701360"/>
    <w:rsid w:val="007014F5"/>
    <w:rsid w:val="00701596"/>
    <w:rsid w:val="007019EA"/>
    <w:rsid w:val="007024A5"/>
    <w:rsid w:val="007031B9"/>
    <w:rsid w:val="00703F4D"/>
    <w:rsid w:val="007041C6"/>
    <w:rsid w:val="007047C3"/>
    <w:rsid w:val="00704A4A"/>
    <w:rsid w:val="0070568D"/>
    <w:rsid w:val="007056A5"/>
    <w:rsid w:val="007068DB"/>
    <w:rsid w:val="00707088"/>
    <w:rsid w:val="0070717D"/>
    <w:rsid w:val="0070722C"/>
    <w:rsid w:val="00707899"/>
    <w:rsid w:val="00707BBB"/>
    <w:rsid w:val="00707C5D"/>
    <w:rsid w:val="00710573"/>
    <w:rsid w:val="00710821"/>
    <w:rsid w:val="00710C35"/>
    <w:rsid w:val="00710EEA"/>
    <w:rsid w:val="00711C69"/>
    <w:rsid w:val="00711CC7"/>
    <w:rsid w:val="00711F75"/>
    <w:rsid w:val="0071241F"/>
    <w:rsid w:val="007127C2"/>
    <w:rsid w:val="007127CF"/>
    <w:rsid w:val="00712BE8"/>
    <w:rsid w:val="00713050"/>
    <w:rsid w:val="0071345E"/>
    <w:rsid w:val="007137DA"/>
    <w:rsid w:val="00714211"/>
    <w:rsid w:val="00714A6D"/>
    <w:rsid w:val="00714F1E"/>
    <w:rsid w:val="007152AC"/>
    <w:rsid w:val="007157CA"/>
    <w:rsid w:val="00715F2B"/>
    <w:rsid w:val="007160E2"/>
    <w:rsid w:val="00716175"/>
    <w:rsid w:val="00716627"/>
    <w:rsid w:val="007167EA"/>
    <w:rsid w:val="00716933"/>
    <w:rsid w:val="00716C51"/>
    <w:rsid w:val="00717070"/>
    <w:rsid w:val="0071710C"/>
    <w:rsid w:val="0071731C"/>
    <w:rsid w:val="00717338"/>
    <w:rsid w:val="00717C6E"/>
    <w:rsid w:val="00720074"/>
    <w:rsid w:val="007206BD"/>
    <w:rsid w:val="0072127C"/>
    <w:rsid w:val="007217CA"/>
    <w:rsid w:val="0072204B"/>
    <w:rsid w:val="00722C10"/>
    <w:rsid w:val="00722F16"/>
    <w:rsid w:val="00723C6E"/>
    <w:rsid w:val="00723D3A"/>
    <w:rsid w:val="0072437F"/>
    <w:rsid w:val="007245BD"/>
    <w:rsid w:val="00724656"/>
    <w:rsid w:val="00724E18"/>
    <w:rsid w:val="0072565D"/>
    <w:rsid w:val="007267F2"/>
    <w:rsid w:val="00726802"/>
    <w:rsid w:val="00726984"/>
    <w:rsid w:val="0072707B"/>
    <w:rsid w:val="00727402"/>
    <w:rsid w:val="00727CF4"/>
    <w:rsid w:val="007302AF"/>
    <w:rsid w:val="00730542"/>
    <w:rsid w:val="0073106C"/>
    <w:rsid w:val="00731961"/>
    <w:rsid w:val="00731B6F"/>
    <w:rsid w:val="007325E3"/>
    <w:rsid w:val="00732848"/>
    <w:rsid w:val="00732EF0"/>
    <w:rsid w:val="0073307C"/>
    <w:rsid w:val="00733D6D"/>
    <w:rsid w:val="00734226"/>
    <w:rsid w:val="00734C10"/>
    <w:rsid w:val="007353D9"/>
    <w:rsid w:val="007355E5"/>
    <w:rsid w:val="007359FD"/>
    <w:rsid w:val="0073612D"/>
    <w:rsid w:val="0073685C"/>
    <w:rsid w:val="00737551"/>
    <w:rsid w:val="0073798A"/>
    <w:rsid w:val="00737E37"/>
    <w:rsid w:val="0074000C"/>
    <w:rsid w:val="00740285"/>
    <w:rsid w:val="0074058D"/>
    <w:rsid w:val="007406A3"/>
    <w:rsid w:val="0074138F"/>
    <w:rsid w:val="00741817"/>
    <w:rsid w:val="00742A7C"/>
    <w:rsid w:val="00743235"/>
    <w:rsid w:val="00743A44"/>
    <w:rsid w:val="00743BA6"/>
    <w:rsid w:val="00743D9E"/>
    <w:rsid w:val="00744129"/>
    <w:rsid w:val="0074420E"/>
    <w:rsid w:val="00744549"/>
    <w:rsid w:val="00744925"/>
    <w:rsid w:val="00744B30"/>
    <w:rsid w:val="007452B2"/>
    <w:rsid w:val="007465F8"/>
    <w:rsid w:val="00746730"/>
    <w:rsid w:val="00747950"/>
    <w:rsid w:val="00747958"/>
    <w:rsid w:val="00747B85"/>
    <w:rsid w:val="00751162"/>
    <w:rsid w:val="007512C4"/>
    <w:rsid w:val="00751348"/>
    <w:rsid w:val="007515C2"/>
    <w:rsid w:val="00751991"/>
    <w:rsid w:val="007519F6"/>
    <w:rsid w:val="007523A5"/>
    <w:rsid w:val="00752EC5"/>
    <w:rsid w:val="007532A5"/>
    <w:rsid w:val="00753584"/>
    <w:rsid w:val="007536AA"/>
    <w:rsid w:val="00753822"/>
    <w:rsid w:val="00753831"/>
    <w:rsid w:val="007538DB"/>
    <w:rsid w:val="007539E9"/>
    <w:rsid w:val="00753FF3"/>
    <w:rsid w:val="00754312"/>
    <w:rsid w:val="00754389"/>
    <w:rsid w:val="00754D73"/>
    <w:rsid w:val="00755057"/>
    <w:rsid w:val="007553AB"/>
    <w:rsid w:val="007554FC"/>
    <w:rsid w:val="00755724"/>
    <w:rsid w:val="0075573E"/>
    <w:rsid w:val="007561AE"/>
    <w:rsid w:val="007565D0"/>
    <w:rsid w:val="00756686"/>
    <w:rsid w:val="0075702E"/>
    <w:rsid w:val="007573CC"/>
    <w:rsid w:val="00757B98"/>
    <w:rsid w:val="00757E06"/>
    <w:rsid w:val="00757EB6"/>
    <w:rsid w:val="00757FFB"/>
    <w:rsid w:val="00760230"/>
    <w:rsid w:val="0076035D"/>
    <w:rsid w:val="007609FD"/>
    <w:rsid w:val="00760D20"/>
    <w:rsid w:val="00760FC9"/>
    <w:rsid w:val="00761033"/>
    <w:rsid w:val="00761259"/>
    <w:rsid w:val="00761518"/>
    <w:rsid w:val="007615A3"/>
    <w:rsid w:val="007628D2"/>
    <w:rsid w:val="00762936"/>
    <w:rsid w:val="00762B84"/>
    <w:rsid w:val="0076302E"/>
    <w:rsid w:val="007636F0"/>
    <w:rsid w:val="00763FA1"/>
    <w:rsid w:val="007648CA"/>
    <w:rsid w:val="00764B50"/>
    <w:rsid w:val="00764CE9"/>
    <w:rsid w:val="00764D1B"/>
    <w:rsid w:val="00765803"/>
    <w:rsid w:val="00765E83"/>
    <w:rsid w:val="007660AD"/>
    <w:rsid w:val="00766202"/>
    <w:rsid w:val="00766F53"/>
    <w:rsid w:val="00770032"/>
    <w:rsid w:val="0077072F"/>
    <w:rsid w:val="00771D0D"/>
    <w:rsid w:val="00771DF6"/>
    <w:rsid w:val="0077203E"/>
    <w:rsid w:val="007734DC"/>
    <w:rsid w:val="00773827"/>
    <w:rsid w:val="00773EA7"/>
    <w:rsid w:val="0077492A"/>
    <w:rsid w:val="00774C2E"/>
    <w:rsid w:val="00774DA4"/>
    <w:rsid w:val="007753DD"/>
    <w:rsid w:val="00775530"/>
    <w:rsid w:val="0077583D"/>
    <w:rsid w:val="007773D4"/>
    <w:rsid w:val="00777979"/>
    <w:rsid w:val="00780034"/>
    <w:rsid w:val="007803FC"/>
    <w:rsid w:val="00780A58"/>
    <w:rsid w:val="00780A5C"/>
    <w:rsid w:val="007811A3"/>
    <w:rsid w:val="00781597"/>
    <w:rsid w:val="00781932"/>
    <w:rsid w:val="00781955"/>
    <w:rsid w:val="00781B00"/>
    <w:rsid w:val="00781CD8"/>
    <w:rsid w:val="00781E50"/>
    <w:rsid w:val="00782B79"/>
    <w:rsid w:val="00783306"/>
    <w:rsid w:val="0078358E"/>
    <w:rsid w:val="007837A9"/>
    <w:rsid w:val="00784417"/>
    <w:rsid w:val="007848B8"/>
    <w:rsid w:val="00784956"/>
    <w:rsid w:val="00785310"/>
    <w:rsid w:val="00785748"/>
    <w:rsid w:val="00785E8E"/>
    <w:rsid w:val="007860DC"/>
    <w:rsid w:val="0078621B"/>
    <w:rsid w:val="0078680D"/>
    <w:rsid w:val="007872AD"/>
    <w:rsid w:val="00787AAD"/>
    <w:rsid w:val="00790010"/>
    <w:rsid w:val="00790642"/>
    <w:rsid w:val="00790C07"/>
    <w:rsid w:val="00790C2A"/>
    <w:rsid w:val="00790F32"/>
    <w:rsid w:val="00791056"/>
    <w:rsid w:val="007914EB"/>
    <w:rsid w:val="0079154D"/>
    <w:rsid w:val="007927BD"/>
    <w:rsid w:val="00792851"/>
    <w:rsid w:val="00792B0A"/>
    <w:rsid w:val="00792EA6"/>
    <w:rsid w:val="00793DD0"/>
    <w:rsid w:val="00794662"/>
    <w:rsid w:val="007946A0"/>
    <w:rsid w:val="00795B1F"/>
    <w:rsid w:val="00796656"/>
    <w:rsid w:val="00796CE4"/>
    <w:rsid w:val="007976D4"/>
    <w:rsid w:val="007978C1"/>
    <w:rsid w:val="00797A40"/>
    <w:rsid w:val="007A08A9"/>
    <w:rsid w:val="007A11A5"/>
    <w:rsid w:val="007A1399"/>
    <w:rsid w:val="007A26DA"/>
    <w:rsid w:val="007A2C99"/>
    <w:rsid w:val="007A2E4E"/>
    <w:rsid w:val="007A325B"/>
    <w:rsid w:val="007A39C1"/>
    <w:rsid w:val="007A3C8F"/>
    <w:rsid w:val="007A3F0D"/>
    <w:rsid w:val="007A44A0"/>
    <w:rsid w:val="007A53DD"/>
    <w:rsid w:val="007A54BE"/>
    <w:rsid w:val="007A59B1"/>
    <w:rsid w:val="007A5D24"/>
    <w:rsid w:val="007A6106"/>
    <w:rsid w:val="007A6520"/>
    <w:rsid w:val="007A6BEE"/>
    <w:rsid w:val="007A6DC1"/>
    <w:rsid w:val="007A7727"/>
    <w:rsid w:val="007A78E9"/>
    <w:rsid w:val="007A7AA0"/>
    <w:rsid w:val="007A7BB1"/>
    <w:rsid w:val="007B01C1"/>
    <w:rsid w:val="007B07B3"/>
    <w:rsid w:val="007B0B1F"/>
    <w:rsid w:val="007B0C5D"/>
    <w:rsid w:val="007B13AB"/>
    <w:rsid w:val="007B1A3D"/>
    <w:rsid w:val="007B1A58"/>
    <w:rsid w:val="007B22E7"/>
    <w:rsid w:val="007B2726"/>
    <w:rsid w:val="007B35DA"/>
    <w:rsid w:val="007B41B8"/>
    <w:rsid w:val="007B4265"/>
    <w:rsid w:val="007B42FD"/>
    <w:rsid w:val="007B4E87"/>
    <w:rsid w:val="007B4F5B"/>
    <w:rsid w:val="007B578D"/>
    <w:rsid w:val="007B59F8"/>
    <w:rsid w:val="007B5C42"/>
    <w:rsid w:val="007B6DC2"/>
    <w:rsid w:val="007B7519"/>
    <w:rsid w:val="007B768C"/>
    <w:rsid w:val="007C0C38"/>
    <w:rsid w:val="007C0E3D"/>
    <w:rsid w:val="007C185F"/>
    <w:rsid w:val="007C1EE5"/>
    <w:rsid w:val="007C21B7"/>
    <w:rsid w:val="007C2613"/>
    <w:rsid w:val="007C3798"/>
    <w:rsid w:val="007C3D10"/>
    <w:rsid w:val="007C3F5B"/>
    <w:rsid w:val="007C42C4"/>
    <w:rsid w:val="007C43ED"/>
    <w:rsid w:val="007C52C6"/>
    <w:rsid w:val="007C5839"/>
    <w:rsid w:val="007C5E9A"/>
    <w:rsid w:val="007C6573"/>
    <w:rsid w:val="007C6A46"/>
    <w:rsid w:val="007C6AB3"/>
    <w:rsid w:val="007C6C29"/>
    <w:rsid w:val="007C7245"/>
    <w:rsid w:val="007C786B"/>
    <w:rsid w:val="007C7CD9"/>
    <w:rsid w:val="007D009A"/>
    <w:rsid w:val="007D0735"/>
    <w:rsid w:val="007D0990"/>
    <w:rsid w:val="007D1784"/>
    <w:rsid w:val="007D1A82"/>
    <w:rsid w:val="007D249B"/>
    <w:rsid w:val="007D2AAD"/>
    <w:rsid w:val="007D306B"/>
    <w:rsid w:val="007D34CA"/>
    <w:rsid w:val="007D387D"/>
    <w:rsid w:val="007D45C2"/>
    <w:rsid w:val="007D4738"/>
    <w:rsid w:val="007D48F4"/>
    <w:rsid w:val="007D4EC0"/>
    <w:rsid w:val="007D50A3"/>
    <w:rsid w:val="007D5A1C"/>
    <w:rsid w:val="007D65D9"/>
    <w:rsid w:val="007D67FB"/>
    <w:rsid w:val="007D6A27"/>
    <w:rsid w:val="007D6A91"/>
    <w:rsid w:val="007D6B6A"/>
    <w:rsid w:val="007D6F07"/>
    <w:rsid w:val="007D71CB"/>
    <w:rsid w:val="007D7938"/>
    <w:rsid w:val="007E0097"/>
    <w:rsid w:val="007E02BE"/>
    <w:rsid w:val="007E0980"/>
    <w:rsid w:val="007E12CF"/>
    <w:rsid w:val="007E15E2"/>
    <w:rsid w:val="007E1C62"/>
    <w:rsid w:val="007E21B6"/>
    <w:rsid w:val="007E2F63"/>
    <w:rsid w:val="007E314E"/>
    <w:rsid w:val="007E317F"/>
    <w:rsid w:val="007E3C64"/>
    <w:rsid w:val="007E42E7"/>
    <w:rsid w:val="007E480B"/>
    <w:rsid w:val="007E57DA"/>
    <w:rsid w:val="007E59F7"/>
    <w:rsid w:val="007E6E24"/>
    <w:rsid w:val="007E7147"/>
    <w:rsid w:val="007F08E9"/>
    <w:rsid w:val="007F0DC6"/>
    <w:rsid w:val="007F0F7C"/>
    <w:rsid w:val="007F14F1"/>
    <w:rsid w:val="007F15DA"/>
    <w:rsid w:val="007F15F2"/>
    <w:rsid w:val="007F1B22"/>
    <w:rsid w:val="007F1FCD"/>
    <w:rsid w:val="007F22A6"/>
    <w:rsid w:val="007F236E"/>
    <w:rsid w:val="007F2684"/>
    <w:rsid w:val="007F29E9"/>
    <w:rsid w:val="007F2EDB"/>
    <w:rsid w:val="007F305D"/>
    <w:rsid w:val="007F31C0"/>
    <w:rsid w:val="007F34C4"/>
    <w:rsid w:val="007F36FD"/>
    <w:rsid w:val="007F38EF"/>
    <w:rsid w:val="007F3C17"/>
    <w:rsid w:val="007F3E6E"/>
    <w:rsid w:val="007F432B"/>
    <w:rsid w:val="007F4CFE"/>
    <w:rsid w:val="007F5A66"/>
    <w:rsid w:val="007F5A87"/>
    <w:rsid w:val="007F5D94"/>
    <w:rsid w:val="007F676A"/>
    <w:rsid w:val="007F6A12"/>
    <w:rsid w:val="007F6A6F"/>
    <w:rsid w:val="007F6BCF"/>
    <w:rsid w:val="007F6D26"/>
    <w:rsid w:val="007F780C"/>
    <w:rsid w:val="007F7F46"/>
    <w:rsid w:val="00800139"/>
    <w:rsid w:val="008003F6"/>
    <w:rsid w:val="00801445"/>
    <w:rsid w:val="00801702"/>
    <w:rsid w:val="00801936"/>
    <w:rsid w:val="00801962"/>
    <w:rsid w:val="00802293"/>
    <w:rsid w:val="00802E71"/>
    <w:rsid w:val="00802F0E"/>
    <w:rsid w:val="00803028"/>
    <w:rsid w:val="008032B0"/>
    <w:rsid w:val="00803B8E"/>
    <w:rsid w:val="0080420E"/>
    <w:rsid w:val="00804803"/>
    <w:rsid w:val="008048C5"/>
    <w:rsid w:val="0080496A"/>
    <w:rsid w:val="0080570E"/>
    <w:rsid w:val="00805765"/>
    <w:rsid w:val="00805E0D"/>
    <w:rsid w:val="0080636B"/>
    <w:rsid w:val="00806582"/>
    <w:rsid w:val="008065B2"/>
    <w:rsid w:val="0080700C"/>
    <w:rsid w:val="00807CEC"/>
    <w:rsid w:val="008108AA"/>
    <w:rsid w:val="008109DB"/>
    <w:rsid w:val="00810D88"/>
    <w:rsid w:val="00810DF1"/>
    <w:rsid w:val="0081138B"/>
    <w:rsid w:val="00811BB9"/>
    <w:rsid w:val="00811BEA"/>
    <w:rsid w:val="00812064"/>
    <w:rsid w:val="008122EA"/>
    <w:rsid w:val="008125E2"/>
    <w:rsid w:val="00812A6C"/>
    <w:rsid w:val="00812AA6"/>
    <w:rsid w:val="00812B17"/>
    <w:rsid w:val="00812D8B"/>
    <w:rsid w:val="00812F0F"/>
    <w:rsid w:val="008139AD"/>
    <w:rsid w:val="008140D5"/>
    <w:rsid w:val="00814549"/>
    <w:rsid w:val="00814669"/>
    <w:rsid w:val="0081495E"/>
    <w:rsid w:val="00814AB4"/>
    <w:rsid w:val="00814BE5"/>
    <w:rsid w:val="00814D7A"/>
    <w:rsid w:val="00814E07"/>
    <w:rsid w:val="00815141"/>
    <w:rsid w:val="0081675B"/>
    <w:rsid w:val="00816E7D"/>
    <w:rsid w:val="00817214"/>
    <w:rsid w:val="00817222"/>
    <w:rsid w:val="0081783D"/>
    <w:rsid w:val="00820130"/>
    <w:rsid w:val="00820585"/>
    <w:rsid w:val="008206D7"/>
    <w:rsid w:val="008207A7"/>
    <w:rsid w:val="00820C26"/>
    <w:rsid w:val="008212AB"/>
    <w:rsid w:val="00821C63"/>
    <w:rsid w:val="00821E10"/>
    <w:rsid w:val="008224C8"/>
    <w:rsid w:val="008227EA"/>
    <w:rsid w:val="008229E6"/>
    <w:rsid w:val="00822D4D"/>
    <w:rsid w:val="0082327C"/>
    <w:rsid w:val="0082343A"/>
    <w:rsid w:val="0082357F"/>
    <w:rsid w:val="00823EEB"/>
    <w:rsid w:val="00823EF1"/>
    <w:rsid w:val="00824423"/>
    <w:rsid w:val="008249DA"/>
    <w:rsid w:val="00824B72"/>
    <w:rsid w:val="00824CA2"/>
    <w:rsid w:val="00825630"/>
    <w:rsid w:val="00825EBE"/>
    <w:rsid w:val="00826070"/>
    <w:rsid w:val="0082610F"/>
    <w:rsid w:val="0082614E"/>
    <w:rsid w:val="00826BE7"/>
    <w:rsid w:val="008273AE"/>
    <w:rsid w:val="0082791D"/>
    <w:rsid w:val="00827CC7"/>
    <w:rsid w:val="008305AD"/>
    <w:rsid w:val="008307F5"/>
    <w:rsid w:val="00831122"/>
    <w:rsid w:val="00831598"/>
    <w:rsid w:val="00831628"/>
    <w:rsid w:val="00831CED"/>
    <w:rsid w:val="00832616"/>
    <w:rsid w:val="008327E5"/>
    <w:rsid w:val="00832986"/>
    <w:rsid w:val="008334CE"/>
    <w:rsid w:val="00833B10"/>
    <w:rsid w:val="00833CBD"/>
    <w:rsid w:val="00834765"/>
    <w:rsid w:val="00834852"/>
    <w:rsid w:val="00834D36"/>
    <w:rsid w:val="008354DF"/>
    <w:rsid w:val="00835B26"/>
    <w:rsid w:val="00835B8F"/>
    <w:rsid w:val="00836171"/>
    <w:rsid w:val="00836308"/>
    <w:rsid w:val="00836342"/>
    <w:rsid w:val="00836474"/>
    <w:rsid w:val="0083689A"/>
    <w:rsid w:val="00836DCF"/>
    <w:rsid w:val="00836DD1"/>
    <w:rsid w:val="00836F32"/>
    <w:rsid w:val="00837550"/>
    <w:rsid w:val="008378E9"/>
    <w:rsid w:val="00837CF8"/>
    <w:rsid w:val="00837F45"/>
    <w:rsid w:val="0084009C"/>
    <w:rsid w:val="008402CD"/>
    <w:rsid w:val="008405C0"/>
    <w:rsid w:val="00840A81"/>
    <w:rsid w:val="0084119E"/>
    <w:rsid w:val="0084159B"/>
    <w:rsid w:val="008419CE"/>
    <w:rsid w:val="0084213A"/>
    <w:rsid w:val="00842650"/>
    <w:rsid w:val="00842A29"/>
    <w:rsid w:val="008436FF"/>
    <w:rsid w:val="00844168"/>
    <w:rsid w:val="00844879"/>
    <w:rsid w:val="00844BA3"/>
    <w:rsid w:val="0084526F"/>
    <w:rsid w:val="00845751"/>
    <w:rsid w:val="008457CA"/>
    <w:rsid w:val="00845B6E"/>
    <w:rsid w:val="0084636A"/>
    <w:rsid w:val="0084637A"/>
    <w:rsid w:val="008464C3"/>
    <w:rsid w:val="00846FCE"/>
    <w:rsid w:val="008477F7"/>
    <w:rsid w:val="00847A0F"/>
    <w:rsid w:val="00850026"/>
    <w:rsid w:val="00850548"/>
    <w:rsid w:val="008507E6"/>
    <w:rsid w:val="008509C9"/>
    <w:rsid w:val="008510CB"/>
    <w:rsid w:val="00852383"/>
    <w:rsid w:val="00852ECE"/>
    <w:rsid w:val="00853B2D"/>
    <w:rsid w:val="00853D0C"/>
    <w:rsid w:val="00854107"/>
    <w:rsid w:val="0085459B"/>
    <w:rsid w:val="008549FC"/>
    <w:rsid w:val="00854F91"/>
    <w:rsid w:val="00855529"/>
    <w:rsid w:val="008558D5"/>
    <w:rsid w:val="008560FB"/>
    <w:rsid w:val="00856223"/>
    <w:rsid w:val="00856776"/>
    <w:rsid w:val="00856B49"/>
    <w:rsid w:val="00857571"/>
    <w:rsid w:val="0085792F"/>
    <w:rsid w:val="00857946"/>
    <w:rsid w:val="0085796A"/>
    <w:rsid w:val="00857DEA"/>
    <w:rsid w:val="00860254"/>
    <w:rsid w:val="0086030B"/>
    <w:rsid w:val="00860CEA"/>
    <w:rsid w:val="00860E43"/>
    <w:rsid w:val="0086146D"/>
    <w:rsid w:val="008618FC"/>
    <w:rsid w:val="00861991"/>
    <w:rsid w:val="008628CA"/>
    <w:rsid w:val="008628FA"/>
    <w:rsid w:val="008633F1"/>
    <w:rsid w:val="00863833"/>
    <w:rsid w:val="00863C38"/>
    <w:rsid w:val="00864106"/>
    <w:rsid w:val="00864513"/>
    <w:rsid w:val="00864591"/>
    <w:rsid w:val="008645A2"/>
    <w:rsid w:val="00864BCE"/>
    <w:rsid w:val="00864F74"/>
    <w:rsid w:val="00865301"/>
    <w:rsid w:val="00865381"/>
    <w:rsid w:val="008656EF"/>
    <w:rsid w:val="00865AEC"/>
    <w:rsid w:val="00865B01"/>
    <w:rsid w:val="00865E8F"/>
    <w:rsid w:val="00866091"/>
    <w:rsid w:val="0086617B"/>
    <w:rsid w:val="008665F7"/>
    <w:rsid w:val="008667E2"/>
    <w:rsid w:val="00866A0D"/>
    <w:rsid w:val="00867727"/>
    <w:rsid w:val="008678C3"/>
    <w:rsid w:val="0087017F"/>
    <w:rsid w:val="0087029C"/>
    <w:rsid w:val="008705E6"/>
    <w:rsid w:val="00870640"/>
    <w:rsid w:val="008706C1"/>
    <w:rsid w:val="00870F74"/>
    <w:rsid w:val="0087124D"/>
    <w:rsid w:val="008715EE"/>
    <w:rsid w:val="008723AE"/>
    <w:rsid w:val="008732C3"/>
    <w:rsid w:val="00873421"/>
    <w:rsid w:val="00873890"/>
    <w:rsid w:val="00873946"/>
    <w:rsid w:val="00873ABA"/>
    <w:rsid w:val="00873BCC"/>
    <w:rsid w:val="00874CDE"/>
    <w:rsid w:val="00874F25"/>
    <w:rsid w:val="008753F2"/>
    <w:rsid w:val="00875A6B"/>
    <w:rsid w:val="00875E4F"/>
    <w:rsid w:val="00880284"/>
    <w:rsid w:val="008802EC"/>
    <w:rsid w:val="00880329"/>
    <w:rsid w:val="00880FE2"/>
    <w:rsid w:val="00881083"/>
    <w:rsid w:val="00881AB2"/>
    <w:rsid w:val="0088255E"/>
    <w:rsid w:val="00882963"/>
    <w:rsid w:val="00882FA5"/>
    <w:rsid w:val="0088359C"/>
    <w:rsid w:val="008841AD"/>
    <w:rsid w:val="00884635"/>
    <w:rsid w:val="00884C3C"/>
    <w:rsid w:val="00884FF6"/>
    <w:rsid w:val="008850E6"/>
    <w:rsid w:val="00885228"/>
    <w:rsid w:val="00885793"/>
    <w:rsid w:val="00885AFE"/>
    <w:rsid w:val="008861A9"/>
    <w:rsid w:val="00887005"/>
    <w:rsid w:val="00887033"/>
    <w:rsid w:val="00887C9F"/>
    <w:rsid w:val="0089089E"/>
    <w:rsid w:val="0089090E"/>
    <w:rsid w:val="00890B55"/>
    <w:rsid w:val="0089121F"/>
    <w:rsid w:val="008916D8"/>
    <w:rsid w:val="00891D74"/>
    <w:rsid w:val="00892005"/>
    <w:rsid w:val="008922A1"/>
    <w:rsid w:val="00893097"/>
    <w:rsid w:val="008930EC"/>
    <w:rsid w:val="00893406"/>
    <w:rsid w:val="008938BA"/>
    <w:rsid w:val="00893FE6"/>
    <w:rsid w:val="008943F0"/>
    <w:rsid w:val="00894600"/>
    <w:rsid w:val="00894C53"/>
    <w:rsid w:val="00894C62"/>
    <w:rsid w:val="00896300"/>
    <w:rsid w:val="0089649E"/>
    <w:rsid w:val="00896C82"/>
    <w:rsid w:val="008975B4"/>
    <w:rsid w:val="00897B79"/>
    <w:rsid w:val="008A014B"/>
    <w:rsid w:val="008A104E"/>
    <w:rsid w:val="008A1157"/>
    <w:rsid w:val="008A1592"/>
    <w:rsid w:val="008A17F0"/>
    <w:rsid w:val="008A1AD3"/>
    <w:rsid w:val="008A1C86"/>
    <w:rsid w:val="008A214A"/>
    <w:rsid w:val="008A30A8"/>
    <w:rsid w:val="008A3858"/>
    <w:rsid w:val="008A38A0"/>
    <w:rsid w:val="008A4451"/>
    <w:rsid w:val="008A4C00"/>
    <w:rsid w:val="008A4FAB"/>
    <w:rsid w:val="008A51A5"/>
    <w:rsid w:val="008A5BE8"/>
    <w:rsid w:val="008A604F"/>
    <w:rsid w:val="008A63BF"/>
    <w:rsid w:val="008A6769"/>
    <w:rsid w:val="008A687E"/>
    <w:rsid w:val="008A6AB1"/>
    <w:rsid w:val="008A6C04"/>
    <w:rsid w:val="008A6CBD"/>
    <w:rsid w:val="008A7C9F"/>
    <w:rsid w:val="008B0528"/>
    <w:rsid w:val="008B0D5B"/>
    <w:rsid w:val="008B1167"/>
    <w:rsid w:val="008B1580"/>
    <w:rsid w:val="008B1B47"/>
    <w:rsid w:val="008B2560"/>
    <w:rsid w:val="008B2A90"/>
    <w:rsid w:val="008B2D77"/>
    <w:rsid w:val="008B34E4"/>
    <w:rsid w:val="008B380B"/>
    <w:rsid w:val="008B392E"/>
    <w:rsid w:val="008B3D67"/>
    <w:rsid w:val="008B3D73"/>
    <w:rsid w:val="008B4325"/>
    <w:rsid w:val="008B457C"/>
    <w:rsid w:val="008B4CA5"/>
    <w:rsid w:val="008B53FE"/>
    <w:rsid w:val="008B5954"/>
    <w:rsid w:val="008B5E73"/>
    <w:rsid w:val="008B61A1"/>
    <w:rsid w:val="008B6413"/>
    <w:rsid w:val="008B73E0"/>
    <w:rsid w:val="008B7885"/>
    <w:rsid w:val="008B7D39"/>
    <w:rsid w:val="008C013F"/>
    <w:rsid w:val="008C103F"/>
    <w:rsid w:val="008C1820"/>
    <w:rsid w:val="008C23BD"/>
    <w:rsid w:val="008C25EA"/>
    <w:rsid w:val="008C29F0"/>
    <w:rsid w:val="008C2D23"/>
    <w:rsid w:val="008C305F"/>
    <w:rsid w:val="008C3522"/>
    <w:rsid w:val="008C41F4"/>
    <w:rsid w:val="008C51CD"/>
    <w:rsid w:val="008C55CF"/>
    <w:rsid w:val="008C5645"/>
    <w:rsid w:val="008C5ADD"/>
    <w:rsid w:val="008C6A31"/>
    <w:rsid w:val="008C6EC6"/>
    <w:rsid w:val="008C736F"/>
    <w:rsid w:val="008C76B8"/>
    <w:rsid w:val="008C79B4"/>
    <w:rsid w:val="008C7F90"/>
    <w:rsid w:val="008D00B5"/>
    <w:rsid w:val="008D0721"/>
    <w:rsid w:val="008D09A9"/>
    <w:rsid w:val="008D0A55"/>
    <w:rsid w:val="008D151F"/>
    <w:rsid w:val="008D1FBA"/>
    <w:rsid w:val="008D25E2"/>
    <w:rsid w:val="008D2A30"/>
    <w:rsid w:val="008D2A96"/>
    <w:rsid w:val="008D2AFD"/>
    <w:rsid w:val="008D2D29"/>
    <w:rsid w:val="008D2EA8"/>
    <w:rsid w:val="008D30A8"/>
    <w:rsid w:val="008D3622"/>
    <w:rsid w:val="008D3665"/>
    <w:rsid w:val="008D3A8A"/>
    <w:rsid w:val="008D4119"/>
    <w:rsid w:val="008D443F"/>
    <w:rsid w:val="008D4D50"/>
    <w:rsid w:val="008D4EBA"/>
    <w:rsid w:val="008D62D9"/>
    <w:rsid w:val="008D6F83"/>
    <w:rsid w:val="008D7AA7"/>
    <w:rsid w:val="008D7EA6"/>
    <w:rsid w:val="008E0319"/>
    <w:rsid w:val="008E0862"/>
    <w:rsid w:val="008E0BDA"/>
    <w:rsid w:val="008E11B4"/>
    <w:rsid w:val="008E134C"/>
    <w:rsid w:val="008E17AF"/>
    <w:rsid w:val="008E1BD8"/>
    <w:rsid w:val="008E1D1C"/>
    <w:rsid w:val="008E2314"/>
    <w:rsid w:val="008E273D"/>
    <w:rsid w:val="008E2779"/>
    <w:rsid w:val="008E2920"/>
    <w:rsid w:val="008E3E9D"/>
    <w:rsid w:val="008E3FF4"/>
    <w:rsid w:val="008E467A"/>
    <w:rsid w:val="008E534C"/>
    <w:rsid w:val="008E5559"/>
    <w:rsid w:val="008E5908"/>
    <w:rsid w:val="008E5967"/>
    <w:rsid w:val="008E5C91"/>
    <w:rsid w:val="008E5DFE"/>
    <w:rsid w:val="008E5F91"/>
    <w:rsid w:val="008E6133"/>
    <w:rsid w:val="008E647A"/>
    <w:rsid w:val="008E69D2"/>
    <w:rsid w:val="008E6B02"/>
    <w:rsid w:val="008E6B39"/>
    <w:rsid w:val="008E6FD6"/>
    <w:rsid w:val="008E70E9"/>
    <w:rsid w:val="008E75CD"/>
    <w:rsid w:val="008E7B74"/>
    <w:rsid w:val="008E7BAC"/>
    <w:rsid w:val="008E7CA7"/>
    <w:rsid w:val="008E7CB6"/>
    <w:rsid w:val="008E7CEF"/>
    <w:rsid w:val="008F06A4"/>
    <w:rsid w:val="008F0A40"/>
    <w:rsid w:val="008F0B73"/>
    <w:rsid w:val="008F1369"/>
    <w:rsid w:val="008F1CA2"/>
    <w:rsid w:val="008F1CFF"/>
    <w:rsid w:val="008F2100"/>
    <w:rsid w:val="008F2F55"/>
    <w:rsid w:val="008F305B"/>
    <w:rsid w:val="008F499F"/>
    <w:rsid w:val="008F4A92"/>
    <w:rsid w:val="008F4CDE"/>
    <w:rsid w:val="008F4D7B"/>
    <w:rsid w:val="008F5B73"/>
    <w:rsid w:val="008F604D"/>
    <w:rsid w:val="008F60CD"/>
    <w:rsid w:val="008F6249"/>
    <w:rsid w:val="008F64E5"/>
    <w:rsid w:val="008F7053"/>
    <w:rsid w:val="008F79BE"/>
    <w:rsid w:val="008F79F0"/>
    <w:rsid w:val="0090004E"/>
    <w:rsid w:val="009010F9"/>
    <w:rsid w:val="0090129C"/>
    <w:rsid w:val="00903328"/>
    <w:rsid w:val="009036A8"/>
    <w:rsid w:val="00903B09"/>
    <w:rsid w:val="009048F0"/>
    <w:rsid w:val="00904CBF"/>
    <w:rsid w:val="00904FE3"/>
    <w:rsid w:val="00905885"/>
    <w:rsid w:val="0090605D"/>
    <w:rsid w:val="00906AF9"/>
    <w:rsid w:val="00907220"/>
    <w:rsid w:val="00907297"/>
    <w:rsid w:val="00907326"/>
    <w:rsid w:val="00907933"/>
    <w:rsid w:val="00910263"/>
    <w:rsid w:val="00910421"/>
    <w:rsid w:val="00910574"/>
    <w:rsid w:val="00910F74"/>
    <w:rsid w:val="00911135"/>
    <w:rsid w:val="009117EB"/>
    <w:rsid w:val="00911B5E"/>
    <w:rsid w:val="0091219C"/>
    <w:rsid w:val="00912945"/>
    <w:rsid w:val="00912C67"/>
    <w:rsid w:val="009131C4"/>
    <w:rsid w:val="0091354A"/>
    <w:rsid w:val="00913727"/>
    <w:rsid w:val="00914BEE"/>
    <w:rsid w:val="00914F10"/>
    <w:rsid w:val="00915624"/>
    <w:rsid w:val="0091562F"/>
    <w:rsid w:val="0091626D"/>
    <w:rsid w:val="0091655A"/>
    <w:rsid w:val="00916A5C"/>
    <w:rsid w:val="00916A7F"/>
    <w:rsid w:val="00916BF5"/>
    <w:rsid w:val="00920125"/>
    <w:rsid w:val="0092024D"/>
    <w:rsid w:val="00920559"/>
    <w:rsid w:val="00920C0A"/>
    <w:rsid w:val="00920C3A"/>
    <w:rsid w:val="00921179"/>
    <w:rsid w:val="00921BF7"/>
    <w:rsid w:val="0092226C"/>
    <w:rsid w:val="009230CE"/>
    <w:rsid w:val="009237CA"/>
    <w:rsid w:val="00923A8A"/>
    <w:rsid w:val="00923D23"/>
    <w:rsid w:val="00923F3F"/>
    <w:rsid w:val="00924146"/>
    <w:rsid w:val="00924452"/>
    <w:rsid w:val="009249B2"/>
    <w:rsid w:val="009259CD"/>
    <w:rsid w:val="00926C3D"/>
    <w:rsid w:val="00927011"/>
    <w:rsid w:val="0092766F"/>
    <w:rsid w:val="00927A83"/>
    <w:rsid w:val="00927B47"/>
    <w:rsid w:val="0093009C"/>
    <w:rsid w:val="009313D6"/>
    <w:rsid w:val="0093156F"/>
    <w:rsid w:val="009316FA"/>
    <w:rsid w:val="00931999"/>
    <w:rsid w:val="00931DB7"/>
    <w:rsid w:val="00931E3B"/>
    <w:rsid w:val="009321E9"/>
    <w:rsid w:val="00932956"/>
    <w:rsid w:val="00932DC8"/>
    <w:rsid w:val="0093309D"/>
    <w:rsid w:val="00933219"/>
    <w:rsid w:val="00933F6B"/>
    <w:rsid w:val="00934A6C"/>
    <w:rsid w:val="00934F66"/>
    <w:rsid w:val="00935A5F"/>
    <w:rsid w:val="00935CAF"/>
    <w:rsid w:val="00935EDA"/>
    <w:rsid w:val="00936B4B"/>
    <w:rsid w:val="00936F6A"/>
    <w:rsid w:val="00937436"/>
    <w:rsid w:val="0094023F"/>
    <w:rsid w:val="00940919"/>
    <w:rsid w:val="009412F2"/>
    <w:rsid w:val="00941D46"/>
    <w:rsid w:val="00941DE9"/>
    <w:rsid w:val="00942059"/>
    <w:rsid w:val="00942392"/>
    <w:rsid w:val="009428BA"/>
    <w:rsid w:val="009430F8"/>
    <w:rsid w:val="00943247"/>
    <w:rsid w:val="0094350D"/>
    <w:rsid w:val="00943995"/>
    <w:rsid w:val="00943F1F"/>
    <w:rsid w:val="0094476D"/>
    <w:rsid w:val="00944F15"/>
    <w:rsid w:val="00945033"/>
    <w:rsid w:val="00945073"/>
    <w:rsid w:val="00945519"/>
    <w:rsid w:val="00945ADF"/>
    <w:rsid w:val="00945BFC"/>
    <w:rsid w:val="0094638C"/>
    <w:rsid w:val="0094765E"/>
    <w:rsid w:val="00947EBF"/>
    <w:rsid w:val="009502B1"/>
    <w:rsid w:val="0095038B"/>
    <w:rsid w:val="00950B66"/>
    <w:rsid w:val="00951A68"/>
    <w:rsid w:val="00951D29"/>
    <w:rsid w:val="00951F47"/>
    <w:rsid w:val="00952227"/>
    <w:rsid w:val="00952635"/>
    <w:rsid w:val="00953179"/>
    <w:rsid w:val="0095317A"/>
    <w:rsid w:val="00953653"/>
    <w:rsid w:val="00953776"/>
    <w:rsid w:val="00953D4B"/>
    <w:rsid w:val="00953EBB"/>
    <w:rsid w:val="00953FB6"/>
    <w:rsid w:val="0095468F"/>
    <w:rsid w:val="00954F61"/>
    <w:rsid w:val="00955A97"/>
    <w:rsid w:val="00955E1F"/>
    <w:rsid w:val="00956279"/>
    <w:rsid w:val="0095651A"/>
    <w:rsid w:val="0095657C"/>
    <w:rsid w:val="009565CA"/>
    <w:rsid w:val="00956E0E"/>
    <w:rsid w:val="0095720E"/>
    <w:rsid w:val="009577B3"/>
    <w:rsid w:val="00960480"/>
    <w:rsid w:val="00960960"/>
    <w:rsid w:val="00960BDD"/>
    <w:rsid w:val="00960D57"/>
    <w:rsid w:val="009611A4"/>
    <w:rsid w:val="00961BD9"/>
    <w:rsid w:val="00961CA6"/>
    <w:rsid w:val="0096218F"/>
    <w:rsid w:val="00962876"/>
    <w:rsid w:val="00962ABF"/>
    <w:rsid w:val="009632EA"/>
    <w:rsid w:val="009636B9"/>
    <w:rsid w:val="00963D43"/>
    <w:rsid w:val="00963DF0"/>
    <w:rsid w:val="00963EE8"/>
    <w:rsid w:val="00964348"/>
    <w:rsid w:val="00964CE2"/>
    <w:rsid w:val="00964D3E"/>
    <w:rsid w:val="00964D4F"/>
    <w:rsid w:val="0096570A"/>
    <w:rsid w:val="0096597E"/>
    <w:rsid w:val="00965FE4"/>
    <w:rsid w:val="009665FF"/>
    <w:rsid w:val="0096687C"/>
    <w:rsid w:val="00967346"/>
    <w:rsid w:val="00967BC2"/>
    <w:rsid w:val="00970075"/>
    <w:rsid w:val="009700D6"/>
    <w:rsid w:val="009700FB"/>
    <w:rsid w:val="009703EA"/>
    <w:rsid w:val="00970DB7"/>
    <w:rsid w:val="00971118"/>
    <w:rsid w:val="0097125F"/>
    <w:rsid w:val="009717B3"/>
    <w:rsid w:val="009718D9"/>
    <w:rsid w:val="00972033"/>
    <w:rsid w:val="009722BA"/>
    <w:rsid w:val="00972449"/>
    <w:rsid w:val="00972EE1"/>
    <w:rsid w:val="00973051"/>
    <w:rsid w:val="0097306D"/>
    <w:rsid w:val="0097360B"/>
    <w:rsid w:val="0097386E"/>
    <w:rsid w:val="009738EC"/>
    <w:rsid w:val="00973E52"/>
    <w:rsid w:val="009744F7"/>
    <w:rsid w:val="00974D79"/>
    <w:rsid w:val="00975093"/>
    <w:rsid w:val="009757BA"/>
    <w:rsid w:val="009765C0"/>
    <w:rsid w:val="009766E7"/>
    <w:rsid w:val="009766EB"/>
    <w:rsid w:val="009769B2"/>
    <w:rsid w:val="00976D68"/>
    <w:rsid w:val="00976DFB"/>
    <w:rsid w:val="009777C1"/>
    <w:rsid w:val="009779F4"/>
    <w:rsid w:val="00977F1B"/>
    <w:rsid w:val="00980013"/>
    <w:rsid w:val="0098179A"/>
    <w:rsid w:val="0098209F"/>
    <w:rsid w:val="009825CA"/>
    <w:rsid w:val="00982967"/>
    <w:rsid w:val="00983817"/>
    <w:rsid w:val="00983E46"/>
    <w:rsid w:val="009846F7"/>
    <w:rsid w:val="009848DB"/>
    <w:rsid w:val="009853A2"/>
    <w:rsid w:val="0098587E"/>
    <w:rsid w:val="0098591D"/>
    <w:rsid w:val="00985BEA"/>
    <w:rsid w:val="00985D9E"/>
    <w:rsid w:val="00986154"/>
    <w:rsid w:val="009871C9"/>
    <w:rsid w:val="0098763B"/>
    <w:rsid w:val="0098793C"/>
    <w:rsid w:val="00987BA3"/>
    <w:rsid w:val="0099012D"/>
    <w:rsid w:val="009909B8"/>
    <w:rsid w:val="00990F73"/>
    <w:rsid w:val="0099143D"/>
    <w:rsid w:val="00991AA3"/>
    <w:rsid w:val="009921E6"/>
    <w:rsid w:val="00992374"/>
    <w:rsid w:val="00992431"/>
    <w:rsid w:val="0099270F"/>
    <w:rsid w:val="00992B01"/>
    <w:rsid w:val="00993053"/>
    <w:rsid w:val="0099333A"/>
    <w:rsid w:val="00993F46"/>
    <w:rsid w:val="00994301"/>
    <w:rsid w:val="0099486C"/>
    <w:rsid w:val="009948C4"/>
    <w:rsid w:val="009951C0"/>
    <w:rsid w:val="00995713"/>
    <w:rsid w:val="00995B91"/>
    <w:rsid w:val="009967F3"/>
    <w:rsid w:val="009969AE"/>
    <w:rsid w:val="00996C9B"/>
    <w:rsid w:val="00996D24"/>
    <w:rsid w:val="009971AF"/>
    <w:rsid w:val="009977EF"/>
    <w:rsid w:val="009A0606"/>
    <w:rsid w:val="009A0671"/>
    <w:rsid w:val="009A0AFE"/>
    <w:rsid w:val="009A0C34"/>
    <w:rsid w:val="009A0FBF"/>
    <w:rsid w:val="009A1430"/>
    <w:rsid w:val="009A2397"/>
    <w:rsid w:val="009A23EC"/>
    <w:rsid w:val="009A2A0F"/>
    <w:rsid w:val="009A2BA0"/>
    <w:rsid w:val="009A2C67"/>
    <w:rsid w:val="009A3482"/>
    <w:rsid w:val="009A3EF7"/>
    <w:rsid w:val="009A4077"/>
    <w:rsid w:val="009A4D3B"/>
    <w:rsid w:val="009A5A69"/>
    <w:rsid w:val="009A655A"/>
    <w:rsid w:val="009A6737"/>
    <w:rsid w:val="009A67FC"/>
    <w:rsid w:val="009A6EB8"/>
    <w:rsid w:val="009A70C4"/>
    <w:rsid w:val="009A7B93"/>
    <w:rsid w:val="009A7CE1"/>
    <w:rsid w:val="009A7E5C"/>
    <w:rsid w:val="009B013E"/>
    <w:rsid w:val="009B0237"/>
    <w:rsid w:val="009B03A5"/>
    <w:rsid w:val="009B097E"/>
    <w:rsid w:val="009B0D08"/>
    <w:rsid w:val="009B1371"/>
    <w:rsid w:val="009B1D72"/>
    <w:rsid w:val="009B1F76"/>
    <w:rsid w:val="009B25CD"/>
    <w:rsid w:val="009B2F0F"/>
    <w:rsid w:val="009B3DF8"/>
    <w:rsid w:val="009B3F48"/>
    <w:rsid w:val="009B46C8"/>
    <w:rsid w:val="009B4F00"/>
    <w:rsid w:val="009B5528"/>
    <w:rsid w:val="009B5640"/>
    <w:rsid w:val="009B5AF3"/>
    <w:rsid w:val="009B5B2D"/>
    <w:rsid w:val="009B5D52"/>
    <w:rsid w:val="009B61DF"/>
    <w:rsid w:val="009B6AE9"/>
    <w:rsid w:val="009B7027"/>
    <w:rsid w:val="009B7028"/>
    <w:rsid w:val="009B7186"/>
    <w:rsid w:val="009B7231"/>
    <w:rsid w:val="009B7D7B"/>
    <w:rsid w:val="009C04A9"/>
    <w:rsid w:val="009C15F4"/>
    <w:rsid w:val="009C1971"/>
    <w:rsid w:val="009C1F55"/>
    <w:rsid w:val="009C25E7"/>
    <w:rsid w:val="009C2686"/>
    <w:rsid w:val="009C30E2"/>
    <w:rsid w:val="009C33D2"/>
    <w:rsid w:val="009C3CF6"/>
    <w:rsid w:val="009C3E0A"/>
    <w:rsid w:val="009C3FEC"/>
    <w:rsid w:val="009C40CE"/>
    <w:rsid w:val="009C46A5"/>
    <w:rsid w:val="009C4A33"/>
    <w:rsid w:val="009C4A41"/>
    <w:rsid w:val="009C4B6B"/>
    <w:rsid w:val="009C516B"/>
    <w:rsid w:val="009C5966"/>
    <w:rsid w:val="009C6036"/>
    <w:rsid w:val="009D045F"/>
    <w:rsid w:val="009D05BF"/>
    <w:rsid w:val="009D060D"/>
    <w:rsid w:val="009D07C3"/>
    <w:rsid w:val="009D0A8F"/>
    <w:rsid w:val="009D0EBC"/>
    <w:rsid w:val="009D0FF8"/>
    <w:rsid w:val="009D19E0"/>
    <w:rsid w:val="009D1A77"/>
    <w:rsid w:val="009D1BEC"/>
    <w:rsid w:val="009D1E9D"/>
    <w:rsid w:val="009D1F60"/>
    <w:rsid w:val="009D203E"/>
    <w:rsid w:val="009D227B"/>
    <w:rsid w:val="009D22E3"/>
    <w:rsid w:val="009D2EB9"/>
    <w:rsid w:val="009D2EBA"/>
    <w:rsid w:val="009D3148"/>
    <w:rsid w:val="009D3702"/>
    <w:rsid w:val="009D388C"/>
    <w:rsid w:val="009D3993"/>
    <w:rsid w:val="009D3E01"/>
    <w:rsid w:val="009D435B"/>
    <w:rsid w:val="009D44D6"/>
    <w:rsid w:val="009D5305"/>
    <w:rsid w:val="009D568A"/>
    <w:rsid w:val="009D628D"/>
    <w:rsid w:val="009D6497"/>
    <w:rsid w:val="009D71FF"/>
    <w:rsid w:val="009D798A"/>
    <w:rsid w:val="009D7E3B"/>
    <w:rsid w:val="009D7EB8"/>
    <w:rsid w:val="009E0097"/>
    <w:rsid w:val="009E0557"/>
    <w:rsid w:val="009E0720"/>
    <w:rsid w:val="009E0970"/>
    <w:rsid w:val="009E0F3D"/>
    <w:rsid w:val="009E25BC"/>
    <w:rsid w:val="009E304F"/>
    <w:rsid w:val="009E3553"/>
    <w:rsid w:val="009E4AD6"/>
    <w:rsid w:val="009E543F"/>
    <w:rsid w:val="009E5700"/>
    <w:rsid w:val="009E5800"/>
    <w:rsid w:val="009E5BDB"/>
    <w:rsid w:val="009E5F82"/>
    <w:rsid w:val="009E6CCC"/>
    <w:rsid w:val="009E75BB"/>
    <w:rsid w:val="009E76BB"/>
    <w:rsid w:val="009E7CE5"/>
    <w:rsid w:val="009E7D99"/>
    <w:rsid w:val="009F01A8"/>
    <w:rsid w:val="009F033E"/>
    <w:rsid w:val="009F03F4"/>
    <w:rsid w:val="009F0E49"/>
    <w:rsid w:val="009F1D17"/>
    <w:rsid w:val="009F2111"/>
    <w:rsid w:val="009F229A"/>
    <w:rsid w:val="009F233B"/>
    <w:rsid w:val="009F236D"/>
    <w:rsid w:val="009F2C35"/>
    <w:rsid w:val="009F2D7E"/>
    <w:rsid w:val="009F3405"/>
    <w:rsid w:val="009F35BF"/>
    <w:rsid w:val="009F3641"/>
    <w:rsid w:val="009F3EAF"/>
    <w:rsid w:val="009F4798"/>
    <w:rsid w:val="009F4E8E"/>
    <w:rsid w:val="009F4F0E"/>
    <w:rsid w:val="009F54A2"/>
    <w:rsid w:val="009F5754"/>
    <w:rsid w:val="009F585A"/>
    <w:rsid w:val="009F6072"/>
    <w:rsid w:val="009F65CC"/>
    <w:rsid w:val="009F671E"/>
    <w:rsid w:val="009F67BD"/>
    <w:rsid w:val="009F6816"/>
    <w:rsid w:val="009F6CB1"/>
    <w:rsid w:val="009F731E"/>
    <w:rsid w:val="009F7795"/>
    <w:rsid w:val="009F786B"/>
    <w:rsid w:val="009F797E"/>
    <w:rsid w:val="009F79CF"/>
    <w:rsid w:val="00A001FE"/>
    <w:rsid w:val="00A00322"/>
    <w:rsid w:val="00A00611"/>
    <w:rsid w:val="00A00944"/>
    <w:rsid w:val="00A0169A"/>
    <w:rsid w:val="00A01F0D"/>
    <w:rsid w:val="00A027BA"/>
    <w:rsid w:val="00A02DD0"/>
    <w:rsid w:val="00A036A0"/>
    <w:rsid w:val="00A037A4"/>
    <w:rsid w:val="00A03C3A"/>
    <w:rsid w:val="00A040E8"/>
    <w:rsid w:val="00A0455D"/>
    <w:rsid w:val="00A04899"/>
    <w:rsid w:val="00A04950"/>
    <w:rsid w:val="00A04B51"/>
    <w:rsid w:val="00A04EA7"/>
    <w:rsid w:val="00A058AB"/>
    <w:rsid w:val="00A0606A"/>
    <w:rsid w:val="00A06F24"/>
    <w:rsid w:val="00A071AD"/>
    <w:rsid w:val="00A07267"/>
    <w:rsid w:val="00A0728A"/>
    <w:rsid w:val="00A07AE8"/>
    <w:rsid w:val="00A07B90"/>
    <w:rsid w:val="00A1035E"/>
    <w:rsid w:val="00A1102D"/>
    <w:rsid w:val="00A112DB"/>
    <w:rsid w:val="00A11343"/>
    <w:rsid w:val="00A11791"/>
    <w:rsid w:val="00A11829"/>
    <w:rsid w:val="00A1281A"/>
    <w:rsid w:val="00A1370A"/>
    <w:rsid w:val="00A13DB2"/>
    <w:rsid w:val="00A13F70"/>
    <w:rsid w:val="00A141F8"/>
    <w:rsid w:val="00A142F3"/>
    <w:rsid w:val="00A14C03"/>
    <w:rsid w:val="00A14CC1"/>
    <w:rsid w:val="00A1537F"/>
    <w:rsid w:val="00A15BA0"/>
    <w:rsid w:val="00A15C20"/>
    <w:rsid w:val="00A16FFF"/>
    <w:rsid w:val="00A17B4E"/>
    <w:rsid w:val="00A17C8D"/>
    <w:rsid w:val="00A200E2"/>
    <w:rsid w:val="00A20208"/>
    <w:rsid w:val="00A20619"/>
    <w:rsid w:val="00A20EA7"/>
    <w:rsid w:val="00A2149B"/>
    <w:rsid w:val="00A214CC"/>
    <w:rsid w:val="00A21722"/>
    <w:rsid w:val="00A21807"/>
    <w:rsid w:val="00A22001"/>
    <w:rsid w:val="00A2267B"/>
    <w:rsid w:val="00A226D5"/>
    <w:rsid w:val="00A2285F"/>
    <w:rsid w:val="00A22B3B"/>
    <w:rsid w:val="00A22CFA"/>
    <w:rsid w:val="00A23026"/>
    <w:rsid w:val="00A23492"/>
    <w:rsid w:val="00A23B8F"/>
    <w:rsid w:val="00A24004"/>
    <w:rsid w:val="00A24779"/>
    <w:rsid w:val="00A248CF"/>
    <w:rsid w:val="00A24A55"/>
    <w:rsid w:val="00A24A85"/>
    <w:rsid w:val="00A24F1A"/>
    <w:rsid w:val="00A25AE4"/>
    <w:rsid w:val="00A25E9A"/>
    <w:rsid w:val="00A27A5B"/>
    <w:rsid w:val="00A301A6"/>
    <w:rsid w:val="00A3045D"/>
    <w:rsid w:val="00A308CE"/>
    <w:rsid w:val="00A30CEE"/>
    <w:rsid w:val="00A31749"/>
    <w:rsid w:val="00A317A1"/>
    <w:rsid w:val="00A31823"/>
    <w:rsid w:val="00A31AFB"/>
    <w:rsid w:val="00A3215D"/>
    <w:rsid w:val="00A321A0"/>
    <w:rsid w:val="00A3225A"/>
    <w:rsid w:val="00A32321"/>
    <w:rsid w:val="00A32DC9"/>
    <w:rsid w:val="00A331D7"/>
    <w:rsid w:val="00A33751"/>
    <w:rsid w:val="00A337AE"/>
    <w:rsid w:val="00A33B1A"/>
    <w:rsid w:val="00A3458A"/>
    <w:rsid w:val="00A3475C"/>
    <w:rsid w:val="00A354E0"/>
    <w:rsid w:val="00A35C0C"/>
    <w:rsid w:val="00A3647F"/>
    <w:rsid w:val="00A3710D"/>
    <w:rsid w:val="00A3724A"/>
    <w:rsid w:val="00A372E9"/>
    <w:rsid w:val="00A37575"/>
    <w:rsid w:val="00A402A4"/>
    <w:rsid w:val="00A405CF"/>
    <w:rsid w:val="00A40C38"/>
    <w:rsid w:val="00A4100F"/>
    <w:rsid w:val="00A41673"/>
    <w:rsid w:val="00A41698"/>
    <w:rsid w:val="00A4174B"/>
    <w:rsid w:val="00A41A4F"/>
    <w:rsid w:val="00A41B59"/>
    <w:rsid w:val="00A41C09"/>
    <w:rsid w:val="00A41F7D"/>
    <w:rsid w:val="00A41F99"/>
    <w:rsid w:val="00A42194"/>
    <w:rsid w:val="00A42278"/>
    <w:rsid w:val="00A42338"/>
    <w:rsid w:val="00A4292C"/>
    <w:rsid w:val="00A429F9"/>
    <w:rsid w:val="00A42DBA"/>
    <w:rsid w:val="00A4355A"/>
    <w:rsid w:val="00A43701"/>
    <w:rsid w:val="00A43F2D"/>
    <w:rsid w:val="00A43F82"/>
    <w:rsid w:val="00A44414"/>
    <w:rsid w:val="00A4463F"/>
    <w:rsid w:val="00A44E4F"/>
    <w:rsid w:val="00A45145"/>
    <w:rsid w:val="00A45375"/>
    <w:rsid w:val="00A458E0"/>
    <w:rsid w:val="00A45C5B"/>
    <w:rsid w:val="00A45FE6"/>
    <w:rsid w:val="00A464FD"/>
    <w:rsid w:val="00A46D65"/>
    <w:rsid w:val="00A46DCD"/>
    <w:rsid w:val="00A509FF"/>
    <w:rsid w:val="00A50E21"/>
    <w:rsid w:val="00A51159"/>
    <w:rsid w:val="00A51646"/>
    <w:rsid w:val="00A5275E"/>
    <w:rsid w:val="00A52BE0"/>
    <w:rsid w:val="00A53203"/>
    <w:rsid w:val="00A53220"/>
    <w:rsid w:val="00A53735"/>
    <w:rsid w:val="00A53C6A"/>
    <w:rsid w:val="00A549B9"/>
    <w:rsid w:val="00A54A0D"/>
    <w:rsid w:val="00A54C21"/>
    <w:rsid w:val="00A550E4"/>
    <w:rsid w:val="00A5540A"/>
    <w:rsid w:val="00A5566F"/>
    <w:rsid w:val="00A557BE"/>
    <w:rsid w:val="00A56DA3"/>
    <w:rsid w:val="00A57003"/>
    <w:rsid w:val="00A5730D"/>
    <w:rsid w:val="00A5785F"/>
    <w:rsid w:val="00A57C93"/>
    <w:rsid w:val="00A60100"/>
    <w:rsid w:val="00A601AF"/>
    <w:rsid w:val="00A6087B"/>
    <w:rsid w:val="00A6090E"/>
    <w:rsid w:val="00A61ED1"/>
    <w:rsid w:val="00A62904"/>
    <w:rsid w:val="00A63513"/>
    <w:rsid w:val="00A63A82"/>
    <w:rsid w:val="00A63EF6"/>
    <w:rsid w:val="00A64272"/>
    <w:rsid w:val="00A646FD"/>
    <w:rsid w:val="00A6471B"/>
    <w:rsid w:val="00A64C91"/>
    <w:rsid w:val="00A64E5A"/>
    <w:rsid w:val="00A65353"/>
    <w:rsid w:val="00A657BD"/>
    <w:rsid w:val="00A65D60"/>
    <w:rsid w:val="00A65D9F"/>
    <w:rsid w:val="00A66A8C"/>
    <w:rsid w:val="00A66B80"/>
    <w:rsid w:val="00A6716D"/>
    <w:rsid w:val="00A67658"/>
    <w:rsid w:val="00A67B89"/>
    <w:rsid w:val="00A67CA2"/>
    <w:rsid w:val="00A67DAD"/>
    <w:rsid w:val="00A67DB8"/>
    <w:rsid w:val="00A70159"/>
    <w:rsid w:val="00A70938"/>
    <w:rsid w:val="00A70B31"/>
    <w:rsid w:val="00A70C29"/>
    <w:rsid w:val="00A7175D"/>
    <w:rsid w:val="00A719AF"/>
    <w:rsid w:val="00A719C1"/>
    <w:rsid w:val="00A72C41"/>
    <w:rsid w:val="00A73193"/>
    <w:rsid w:val="00A73716"/>
    <w:rsid w:val="00A73827"/>
    <w:rsid w:val="00A74A9D"/>
    <w:rsid w:val="00A75FE8"/>
    <w:rsid w:val="00A762A1"/>
    <w:rsid w:val="00A76D35"/>
    <w:rsid w:val="00A77268"/>
    <w:rsid w:val="00A77A84"/>
    <w:rsid w:val="00A77E8A"/>
    <w:rsid w:val="00A8061F"/>
    <w:rsid w:val="00A8068F"/>
    <w:rsid w:val="00A80BCC"/>
    <w:rsid w:val="00A80DCB"/>
    <w:rsid w:val="00A81977"/>
    <w:rsid w:val="00A81D70"/>
    <w:rsid w:val="00A8212E"/>
    <w:rsid w:val="00A8229D"/>
    <w:rsid w:val="00A828A2"/>
    <w:rsid w:val="00A82970"/>
    <w:rsid w:val="00A82E22"/>
    <w:rsid w:val="00A82FE0"/>
    <w:rsid w:val="00A8498A"/>
    <w:rsid w:val="00A84B86"/>
    <w:rsid w:val="00A84CA5"/>
    <w:rsid w:val="00A84E94"/>
    <w:rsid w:val="00A85157"/>
    <w:rsid w:val="00A853B0"/>
    <w:rsid w:val="00A85CA9"/>
    <w:rsid w:val="00A868AA"/>
    <w:rsid w:val="00A875E7"/>
    <w:rsid w:val="00A878AE"/>
    <w:rsid w:val="00A87AE0"/>
    <w:rsid w:val="00A87C2D"/>
    <w:rsid w:val="00A87D5D"/>
    <w:rsid w:val="00A903EB"/>
    <w:rsid w:val="00A9079B"/>
    <w:rsid w:val="00A9219F"/>
    <w:rsid w:val="00A92BCC"/>
    <w:rsid w:val="00A932E8"/>
    <w:rsid w:val="00A93955"/>
    <w:rsid w:val="00A93B28"/>
    <w:rsid w:val="00A93CDD"/>
    <w:rsid w:val="00A93D07"/>
    <w:rsid w:val="00A941DD"/>
    <w:rsid w:val="00A9435D"/>
    <w:rsid w:val="00A94D25"/>
    <w:rsid w:val="00A94FF9"/>
    <w:rsid w:val="00A95186"/>
    <w:rsid w:val="00A95527"/>
    <w:rsid w:val="00A959EB"/>
    <w:rsid w:val="00A95B0C"/>
    <w:rsid w:val="00A9694A"/>
    <w:rsid w:val="00A96D8E"/>
    <w:rsid w:val="00A97306"/>
    <w:rsid w:val="00A97800"/>
    <w:rsid w:val="00A9792B"/>
    <w:rsid w:val="00A979AD"/>
    <w:rsid w:val="00A97D91"/>
    <w:rsid w:val="00A97FF2"/>
    <w:rsid w:val="00AA0184"/>
    <w:rsid w:val="00AA0419"/>
    <w:rsid w:val="00AA044A"/>
    <w:rsid w:val="00AA052B"/>
    <w:rsid w:val="00AA0779"/>
    <w:rsid w:val="00AA0782"/>
    <w:rsid w:val="00AA0968"/>
    <w:rsid w:val="00AA0E4E"/>
    <w:rsid w:val="00AA0EC4"/>
    <w:rsid w:val="00AA11D0"/>
    <w:rsid w:val="00AA24C1"/>
    <w:rsid w:val="00AA2671"/>
    <w:rsid w:val="00AA2ABE"/>
    <w:rsid w:val="00AA2C48"/>
    <w:rsid w:val="00AA36F1"/>
    <w:rsid w:val="00AA3864"/>
    <w:rsid w:val="00AA38A9"/>
    <w:rsid w:val="00AA399A"/>
    <w:rsid w:val="00AA3A9E"/>
    <w:rsid w:val="00AA3E93"/>
    <w:rsid w:val="00AA44FF"/>
    <w:rsid w:val="00AA4565"/>
    <w:rsid w:val="00AA55D4"/>
    <w:rsid w:val="00AA5ABD"/>
    <w:rsid w:val="00AA614B"/>
    <w:rsid w:val="00AA6C5A"/>
    <w:rsid w:val="00AA6D3C"/>
    <w:rsid w:val="00AA6F9D"/>
    <w:rsid w:val="00AA6FCF"/>
    <w:rsid w:val="00AA748E"/>
    <w:rsid w:val="00AA781B"/>
    <w:rsid w:val="00AA79CB"/>
    <w:rsid w:val="00AA7CAD"/>
    <w:rsid w:val="00AB06D9"/>
    <w:rsid w:val="00AB0E3A"/>
    <w:rsid w:val="00AB2323"/>
    <w:rsid w:val="00AB2F5E"/>
    <w:rsid w:val="00AB34FA"/>
    <w:rsid w:val="00AB364A"/>
    <w:rsid w:val="00AB4772"/>
    <w:rsid w:val="00AB546C"/>
    <w:rsid w:val="00AB546E"/>
    <w:rsid w:val="00AB5D99"/>
    <w:rsid w:val="00AB6560"/>
    <w:rsid w:val="00AB6B3E"/>
    <w:rsid w:val="00AB7413"/>
    <w:rsid w:val="00AB75F4"/>
    <w:rsid w:val="00AB78C4"/>
    <w:rsid w:val="00AB7DC1"/>
    <w:rsid w:val="00AC038E"/>
    <w:rsid w:val="00AC06DA"/>
    <w:rsid w:val="00AC2976"/>
    <w:rsid w:val="00AC2A72"/>
    <w:rsid w:val="00AC2B90"/>
    <w:rsid w:val="00AC2D58"/>
    <w:rsid w:val="00AC2F64"/>
    <w:rsid w:val="00AC32F8"/>
    <w:rsid w:val="00AC35E0"/>
    <w:rsid w:val="00AC3E7B"/>
    <w:rsid w:val="00AC4A56"/>
    <w:rsid w:val="00AC4B5A"/>
    <w:rsid w:val="00AC4DF4"/>
    <w:rsid w:val="00AC5F63"/>
    <w:rsid w:val="00AC641D"/>
    <w:rsid w:val="00AC66F8"/>
    <w:rsid w:val="00AC6830"/>
    <w:rsid w:val="00AC6D1B"/>
    <w:rsid w:val="00AC6DFF"/>
    <w:rsid w:val="00AC6F48"/>
    <w:rsid w:val="00AC701E"/>
    <w:rsid w:val="00AD0512"/>
    <w:rsid w:val="00AD112D"/>
    <w:rsid w:val="00AD1170"/>
    <w:rsid w:val="00AD1345"/>
    <w:rsid w:val="00AD1722"/>
    <w:rsid w:val="00AD1917"/>
    <w:rsid w:val="00AD1BDB"/>
    <w:rsid w:val="00AD1C83"/>
    <w:rsid w:val="00AD25D0"/>
    <w:rsid w:val="00AD2771"/>
    <w:rsid w:val="00AD2AAC"/>
    <w:rsid w:val="00AD2D74"/>
    <w:rsid w:val="00AD33CB"/>
    <w:rsid w:val="00AD3A86"/>
    <w:rsid w:val="00AD3B62"/>
    <w:rsid w:val="00AD3F01"/>
    <w:rsid w:val="00AD49E6"/>
    <w:rsid w:val="00AD4FDE"/>
    <w:rsid w:val="00AD5080"/>
    <w:rsid w:val="00AD50C1"/>
    <w:rsid w:val="00AD5515"/>
    <w:rsid w:val="00AD58A6"/>
    <w:rsid w:val="00AD62A9"/>
    <w:rsid w:val="00AD65E7"/>
    <w:rsid w:val="00AD67BE"/>
    <w:rsid w:val="00AD6D19"/>
    <w:rsid w:val="00AD6D75"/>
    <w:rsid w:val="00AD76C8"/>
    <w:rsid w:val="00AD777F"/>
    <w:rsid w:val="00AD7A91"/>
    <w:rsid w:val="00AE04CA"/>
    <w:rsid w:val="00AE0CD6"/>
    <w:rsid w:val="00AE1543"/>
    <w:rsid w:val="00AE1669"/>
    <w:rsid w:val="00AE16A2"/>
    <w:rsid w:val="00AE1BD4"/>
    <w:rsid w:val="00AE22B7"/>
    <w:rsid w:val="00AE2314"/>
    <w:rsid w:val="00AE284F"/>
    <w:rsid w:val="00AE2A3A"/>
    <w:rsid w:val="00AE2DD7"/>
    <w:rsid w:val="00AE319C"/>
    <w:rsid w:val="00AE3D82"/>
    <w:rsid w:val="00AE438F"/>
    <w:rsid w:val="00AE4415"/>
    <w:rsid w:val="00AE4C03"/>
    <w:rsid w:val="00AE57B3"/>
    <w:rsid w:val="00AE57F5"/>
    <w:rsid w:val="00AE5DF2"/>
    <w:rsid w:val="00AE612E"/>
    <w:rsid w:val="00AE6848"/>
    <w:rsid w:val="00AE69BF"/>
    <w:rsid w:val="00AE6A4F"/>
    <w:rsid w:val="00AE6D17"/>
    <w:rsid w:val="00AE6D5A"/>
    <w:rsid w:val="00AE72F3"/>
    <w:rsid w:val="00AE72F7"/>
    <w:rsid w:val="00AE7309"/>
    <w:rsid w:val="00AF0240"/>
    <w:rsid w:val="00AF0795"/>
    <w:rsid w:val="00AF0861"/>
    <w:rsid w:val="00AF0A53"/>
    <w:rsid w:val="00AF0BD3"/>
    <w:rsid w:val="00AF0FCF"/>
    <w:rsid w:val="00AF1046"/>
    <w:rsid w:val="00AF12AA"/>
    <w:rsid w:val="00AF1CE1"/>
    <w:rsid w:val="00AF29A8"/>
    <w:rsid w:val="00AF2AAF"/>
    <w:rsid w:val="00AF30A5"/>
    <w:rsid w:val="00AF33EB"/>
    <w:rsid w:val="00AF3429"/>
    <w:rsid w:val="00AF37AC"/>
    <w:rsid w:val="00AF3A14"/>
    <w:rsid w:val="00AF3CD0"/>
    <w:rsid w:val="00AF403A"/>
    <w:rsid w:val="00AF483F"/>
    <w:rsid w:val="00AF610E"/>
    <w:rsid w:val="00AF623B"/>
    <w:rsid w:val="00AF6340"/>
    <w:rsid w:val="00AF6821"/>
    <w:rsid w:val="00AF6B60"/>
    <w:rsid w:val="00AF6F25"/>
    <w:rsid w:val="00AF7950"/>
    <w:rsid w:val="00AF7977"/>
    <w:rsid w:val="00B0077D"/>
    <w:rsid w:val="00B0099E"/>
    <w:rsid w:val="00B01951"/>
    <w:rsid w:val="00B019AF"/>
    <w:rsid w:val="00B0298F"/>
    <w:rsid w:val="00B0312C"/>
    <w:rsid w:val="00B03156"/>
    <w:rsid w:val="00B03224"/>
    <w:rsid w:val="00B03A2C"/>
    <w:rsid w:val="00B041FC"/>
    <w:rsid w:val="00B0481D"/>
    <w:rsid w:val="00B0509A"/>
    <w:rsid w:val="00B055F1"/>
    <w:rsid w:val="00B05D41"/>
    <w:rsid w:val="00B0650B"/>
    <w:rsid w:val="00B066B0"/>
    <w:rsid w:val="00B06B3D"/>
    <w:rsid w:val="00B06BD0"/>
    <w:rsid w:val="00B06D92"/>
    <w:rsid w:val="00B06F85"/>
    <w:rsid w:val="00B06FA9"/>
    <w:rsid w:val="00B07122"/>
    <w:rsid w:val="00B07250"/>
    <w:rsid w:val="00B0731A"/>
    <w:rsid w:val="00B0767F"/>
    <w:rsid w:val="00B07D67"/>
    <w:rsid w:val="00B07E05"/>
    <w:rsid w:val="00B07F1A"/>
    <w:rsid w:val="00B10350"/>
    <w:rsid w:val="00B104A5"/>
    <w:rsid w:val="00B1101F"/>
    <w:rsid w:val="00B1134F"/>
    <w:rsid w:val="00B11377"/>
    <w:rsid w:val="00B12437"/>
    <w:rsid w:val="00B1313A"/>
    <w:rsid w:val="00B13675"/>
    <w:rsid w:val="00B1368E"/>
    <w:rsid w:val="00B150CF"/>
    <w:rsid w:val="00B1574A"/>
    <w:rsid w:val="00B16E5A"/>
    <w:rsid w:val="00B17D03"/>
    <w:rsid w:val="00B20080"/>
    <w:rsid w:val="00B204F2"/>
    <w:rsid w:val="00B20734"/>
    <w:rsid w:val="00B20E85"/>
    <w:rsid w:val="00B2181C"/>
    <w:rsid w:val="00B2186F"/>
    <w:rsid w:val="00B218A4"/>
    <w:rsid w:val="00B21AFF"/>
    <w:rsid w:val="00B21B8B"/>
    <w:rsid w:val="00B22156"/>
    <w:rsid w:val="00B2218F"/>
    <w:rsid w:val="00B22FD3"/>
    <w:rsid w:val="00B23677"/>
    <w:rsid w:val="00B23A25"/>
    <w:rsid w:val="00B243B5"/>
    <w:rsid w:val="00B2494B"/>
    <w:rsid w:val="00B24CAB"/>
    <w:rsid w:val="00B254DE"/>
    <w:rsid w:val="00B25AF0"/>
    <w:rsid w:val="00B260BB"/>
    <w:rsid w:val="00B27341"/>
    <w:rsid w:val="00B27B34"/>
    <w:rsid w:val="00B27D60"/>
    <w:rsid w:val="00B3004D"/>
    <w:rsid w:val="00B30549"/>
    <w:rsid w:val="00B30B9E"/>
    <w:rsid w:val="00B30CE5"/>
    <w:rsid w:val="00B30D54"/>
    <w:rsid w:val="00B30D6E"/>
    <w:rsid w:val="00B30F41"/>
    <w:rsid w:val="00B3126C"/>
    <w:rsid w:val="00B314F2"/>
    <w:rsid w:val="00B3155E"/>
    <w:rsid w:val="00B31731"/>
    <w:rsid w:val="00B31A7E"/>
    <w:rsid w:val="00B3209B"/>
    <w:rsid w:val="00B3254A"/>
    <w:rsid w:val="00B32EEF"/>
    <w:rsid w:val="00B33340"/>
    <w:rsid w:val="00B3337B"/>
    <w:rsid w:val="00B33CE5"/>
    <w:rsid w:val="00B33EB2"/>
    <w:rsid w:val="00B34053"/>
    <w:rsid w:val="00B343F3"/>
    <w:rsid w:val="00B3572B"/>
    <w:rsid w:val="00B362A5"/>
    <w:rsid w:val="00B363F6"/>
    <w:rsid w:val="00B36841"/>
    <w:rsid w:val="00B36C3A"/>
    <w:rsid w:val="00B3766F"/>
    <w:rsid w:val="00B40093"/>
    <w:rsid w:val="00B40726"/>
    <w:rsid w:val="00B40A1A"/>
    <w:rsid w:val="00B40BE5"/>
    <w:rsid w:val="00B40C32"/>
    <w:rsid w:val="00B4168B"/>
    <w:rsid w:val="00B41F55"/>
    <w:rsid w:val="00B42493"/>
    <w:rsid w:val="00B42AEF"/>
    <w:rsid w:val="00B42C17"/>
    <w:rsid w:val="00B433BD"/>
    <w:rsid w:val="00B43C37"/>
    <w:rsid w:val="00B43EA8"/>
    <w:rsid w:val="00B45F9F"/>
    <w:rsid w:val="00B465B2"/>
    <w:rsid w:val="00B467FA"/>
    <w:rsid w:val="00B46A7F"/>
    <w:rsid w:val="00B46C2A"/>
    <w:rsid w:val="00B46D13"/>
    <w:rsid w:val="00B47A82"/>
    <w:rsid w:val="00B47D06"/>
    <w:rsid w:val="00B47EE2"/>
    <w:rsid w:val="00B50446"/>
    <w:rsid w:val="00B50694"/>
    <w:rsid w:val="00B514DF"/>
    <w:rsid w:val="00B51743"/>
    <w:rsid w:val="00B51F34"/>
    <w:rsid w:val="00B521CF"/>
    <w:rsid w:val="00B52716"/>
    <w:rsid w:val="00B52740"/>
    <w:rsid w:val="00B527DE"/>
    <w:rsid w:val="00B52B4C"/>
    <w:rsid w:val="00B52B4D"/>
    <w:rsid w:val="00B52CA0"/>
    <w:rsid w:val="00B52E3D"/>
    <w:rsid w:val="00B52FF3"/>
    <w:rsid w:val="00B53037"/>
    <w:rsid w:val="00B53670"/>
    <w:rsid w:val="00B53D06"/>
    <w:rsid w:val="00B53F36"/>
    <w:rsid w:val="00B54188"/>
    <w:rsid w:val="00B543A1"/>
    <w:rsid w:val="00B54B44"/>
    <w:rsid w:val="00B55068"/>
    <w:rsid w:val="00B550F2"/>
    <w:rsid w:val="00B55D4E"/>
    <w:rsid w:val="00B5634A"/>
    <w:rsid w:val="00B565F5"/>
    <w:rsid w:val="00B565F6"/>
    <w:rsid w:val="00B56FFC"/>
    <w:rsid w:val="00B5744B"/>
    <w:rsid w:val="00B5751B"/>
    <w:rsid w:val="00B57A5C"/>
    <w:rsid w:val="00B57C12"/>
    <w:rsid w:val="00B57F71"/>
    <w:rsid w:val="00B60442"/>
    <w:rsid w:val="00B60C1A"/>
    <w:rsid w:val="00B61727"/>
    <w:rsid w:val="00B61737"/>
    <w:rsid w:val="00B61D66"/>
    <w:rsid w:val="00B6233C"/>
    <w:rsid w:val="00B627F7"/>
    <w:rsid w:val="00B62B92"/>
    <w:rsid w:val="00B62D8C"/>
    <w:rsid w:val="00B63206"/>
    <w:rsid w:val="00B63E8B"/>
    <w:rsid w:val="00B63F0F"/>
    <w:rsid w:val="00B63F2E"/>
    <w:rsid w:val="00B63F97"/>
    <w:rsid w:val="00B6484C"/>
    <w:rsid w:val="00B6487C"/>
    <w:rsid w:val="00B64951"/>
    <w:rsid w:val="00B64969"/>
    <w:rsid w:val="00B65022"/>
    <w:rsid w:val="00B6589D"/>
    <w:rsid w:val="00B65C32"/>
    <w:rsid w:val="00B6631F"/>
    <w:rsid w:val="00B66918"/>
    <w:rsid w:val="00B66BC8"/>
    <w:rsid w:val="00B675B8"/>
    <w:rsid w:val="00B676A3"/>
    <w:rsid w:val="00B6793D"/>
    <w:rsid w:val="00B7032E"/>
    <w:rsid w:val="00B705C8"/>
    <w:rsid w:val="00B70719"/>
    <w:rsid w:val="00B707CD"/>
    <w:rsid w:val="00B70B4A"/>
    <w:rsid w:val="00B71162"/>
    <w:rsid w:val="00B71163"/>
    <w:rsid w:val="00B71166"/>
    <w:rsid w:val="00B712C5"/>
    <w:rsid w:val="00B7137A"/>
    <w:rsid w:val="00B7181D"/>
    <w:rsid w:val="00B718A9"/>
    <w:rsid w:val="00B71AC5"/>
    <w:rsid w:val="00B71BE0"/>
    <w:rsid w:val="00B71F30"/>
    <w:rsid w:val="00B727A4"/>
    <w:rsid w:val="00B743C3"/>
    <w:rsid w:val="00B7523B"/>
    <w:rsid w:val="00B75AB6"/>
    <w:rsid w:val="00B76445"/>
    <w:rsid w:val="00B76564"/>
    <w:rsid w:val="00B76B7D"/>
    <w:rsid w:val="00B7743A"/>
    <w:rsid w:val="00B7760C"/>
    <w:rsid w:val="00B77713"/>
    <w:rsid w:val="00B77C7F"/>
    <w:rsid w:val="00B77D78"/>
    <w:rsid w:val="00B77F28"/>
    <w:rsid w:val="00B80422"/>
    <w:rsid w:val="00B80489"/>
    <w:rsid w:val="00B8059E"/>
    <w:rsid w:val="00B81132"/>
    <w:rsid w:val="00B81BCA"/>
    <w:rsid w:val="00B82011"/>
    <w:rsid w:val="00B82214"/>
    <w:rsid w:val="00B82E6C"/>
    <w:rsid w:val="00B830A3"/>
    <w:rsid w:val="00B83593"/>
    <w:rsid w:val="00B83B6C"/>
    <w:rsid w:val="00B83C90"/>
    <w:rsid w:val="00B83F58"/>
    <w:rsid w:val="00B84044"/>
    <w:rsid w:val="00B848E9"/>
    <w:rsid w:val="00B8530C"/>
    <w:rsid w:val="00B85397"/>
    <w:rsid w:val="00B85ACA"/>
    <w:rsid w:val="00B85D59"/>
    <w:rsid w:val="00B8601D"/>
    <w:rsid w:val="00B86393"/>
    <w:rsid w:val="00B86564"/>
    <w:rsid w:val="00B86910"/>
    <w:rsid w:val="00B86D45"/>
    <w:rsid w:val="00B86F7C"/>
    <w:rsid w:val="00B8701F"/>
    <w:rsid w:val="00B8709B"/>
    <w:rsid w:val="00B87207"/>
    <w:rsid w:val="00B876F9"/>
    <w:rsid w:val="00B87784"/>
    <w:rsid w:val="00B9057F"/>
    <w:rsid w:val="00B90580"/>
    <w:rsid w:val="00B90716"/>
    <w:rsid w:val="00B908F6"/>
    <w:rsid w:val="00B90FBB"/>
    <w:rsid w:val="00B918C4"/>
    <w:rsid w:val="00B919E3"/>
    <w:rsid w:val="00B91CDD"/>
    <w:rsid w:val="00B927D6"/>
    <w:rsid w:val="00B93042"/>
    <w:rsid w:val="00B93971"/>
    <w:rsid w:val="00B93A2E"/>
    <w:rsid w:val="00B93AB8"/>
    <w:rsid w:val="00B93B3A"/>
    <w:rsid w:val="00B93C00"/>
    <w:rsid w:val="00B93C0A"/>
    <w:rsid w:val="00B94558"/>
    <w:rsid w:val="00B94807"/>
    <w:rsid w:val="00B94E22"/>
    <w:rsid w:val="00B954BD"/>
    <w:rsid w:val="00B958CF"/>
    <w:rsid w:val="00B959DE"/>
    <w:rsid w:val="00B9637B"/>
    <w:rsid w:val="00B96A0E"/>
    <w:rsid w:val="00B96DBA"/>
    <w:rsid w:val="00B96E8A"/>
    <w:rsid w:val="00B96EBE"/>
    <w:rsid w:val="00B97417"/>
    <w:rsid w:val="00B977F9"/>
    <w:rsid w:val="00B9785B"/>
    <w:rsid w:val="00BA02DA"/>
    <w:rsid w:val="00BA1243"/>
    <w:rsid w:val="00BA1405"/>
    <w:rsid w:val="00BA14AD"/>
    <w:rsid w:val="00BA168E"/>
    <w:rsid w:val="00BA19D8"/>
    <w:rsid w:val="00BA1BA6"/>
    <w:rsid w:val="00BA1EEF"/>
    <w:rsid w:val="00BA222C"/>
    <w:rsid w:val="00BA26B4"/>
    <w:rsid w:val="00BA3D40"/>
    <w:rsid w:val="00BA42E9"/>
    <w:rsid w:val="00BA4BB9"/>
    <w:rsid w:val="00BA54EB"/>
    <w:rsid w:val="00BA57B6"/>
    <w:rsid w:val="00BA5CBC"/>
    <w:rsid w:val="00BA720A"/>
    <w:rsid w:val="00BA747F"/>
    <w:rsid w:val="00BA78FB"/>
    <w:rsid w:val="00BB04DE"/>
    <w:rsid w:val="00BB05CF"/>
    <w:rsid w:val="00BB0B30"/>
    <w:rsid w:val="00BB1C85"/>
    <w:rsid w:val="00BB3082"/>
    <w:rsid w:val="00BB30A5"/>
    <w:rsid w:val="00BB3764"/>
    <w:rsid w:val="00BB3FF3"/>
    <w:rsid w:val="00BB44AD"/>
    <w:rsid w:val="00BB45AB"/>
    <w:rsid w:val="00BB48AF"/>
    <w:rsid w:val="00BB4A92"/>
    <w:rsid w:val="00BB4DBD"/>
    <w:rsid w:val="00BB4DFC"/>
    <w:rsid w:val="00BB5105"/>
    <w:rsid w:val="00BB5475"/>
    <w:rsid w:val="00BB5749"/>
    <w:rsid w:val="00BB5DB4"/>
    <w:rsid w:val="00BB745E"/>
    <w:rsid w:val="00BB7529"/>
    <w:rsid w:val="00BB7F3C"/>
    <w:rsid w:val="00BC04CA"/>
    <w:rsid w:val="00BC0C52"/>
    <w:rsid w:val="00BC0CC4"/>
    <w:rsid w:val="00BC0EF9"/>
    <w:rsid w:val="00BC10C3"/>
    <w:rsid w:val="00BC143B"/>
    <w:rsid w:val="00BC16F1"/>
    <w:rsid w:val="00BC1E10"/>
    <w:rsid w:val="00BC2133"/>
    <w:rsid w:val="00BC269B"/>
    <w:rsid w:val="00BC2932"/>
    <w:rsid w:val="00BC2AB7"/>
    <w:rsid w:val="00BC3092"/>
    <w:rsid w:val="00BC35EB"/>
    <w:rsid w:val="00BC3DD8"/>
    <w:rsid w:val="00BC4AF0"/>
    <w:rsid w:val="00BC5128"/>
    <w:rsid w:val="00BC5193"/>
    <w:rsid w:val="00BC5366"/>
    <w:rsid w:val="00BC5613"/>
    <w:rsid w:val="00BC5C0C"/>
    <w:rsid w:val="00BC5E4B"/>
    <w:rsid w:val="00BC613D"/>
    <w:rsid w:val="00BC64E0"/>
    <w:rsid w:val="00BC69EE"/>
    <w:rsid w:val="00BC72B2"/>
    <w:rsid w:val="00BC7403"/>
    <w:rsid w:val="00BD006F"/>
    <w:rsid w:val="00BD0423"/>
    <w:rsid w:val="00BD1A7D"/>
    <w:rsid w:val="00BD1AAE"/>
    <w:rsid w:val="00BD2727"/>
    <w:rsid w:val="00BD2A63"/>
    <w:rsid w:val="00BD2A6C"/>
    <w:rsid w:val="00BD2B17"/>
    <w:rsid w:val="00BD324B"/>
    <w:rsid w:val="00BD37A6"/>
    <w:rsid w:val="00BD4451"/>
    <w:rsid w:val="00BD4AD2"/>
    <w:rsid w:val="00BD4ADB"/>
    <w:rsid w:val="00BD4D87"/>
    <w:rsid w:val="00BD5C37"/>
    <w:rsid w:val="00BD603C"/>
    <w:rsid w:val="00BD62AD"/>
    <w:rsid w:val="00BD6677"/>
    <w:rsid w:val="00BD6AE5"/>
    <w:rsid w:val="00BD6E79"/>
    <w:rsid w:val="00BD71B1"/>
    <w:rsid w:val="00BD768F"/>
    <w:rsid w:val="00BE0080"/>
    <w:rsid w:val="00BE053F"/>
    <w:rsid w:val="00BE06B6"/>
    <w:rsid w:val="00BE096D"/>
    <w:rsid w:val="00BE09C5"/>
    <w:rsid w:val="00BE0E28"/>
    <w:rsid w:val="00BE104B"/>
    <w:rsid w:val="00BE1473"/>
    <w:rsid w:val="00BE179E"/>
    <w:rsid w:val="00BE1D99"/>
    <w:rsid w:val="00BE2285"/>
    <w:rsid w:val="00BE2486"/>
    <w:rsid w:val="00BE2819"/>
    <w:rsid w:val="00BE2AB0"/>
    <w:rsid w:val="00BE3228"/>
    <w:rsid w:val="00BE3923"/>
    <w:rsid w:val="00BE4138"/>
    <w:rsid w:val="00BE5024"/>
    <w:rsid w:val="00BE55D2"/>
    <w:rsid w:val="00BE5D77"/>
    <w:rsid w:val="00BE5D94"/>
    <w:rsid w:val="00BE6049"/>
    <w:rsid w:val="00BE69B0"/>
    <w:rsid w:val="00BE76D1"/>
    <w:rsid w:val="00BE7ADE"/>
    <w:rsid w:val="00BF0A51"/>
    <w:rsid w:val="00BF16F6"/>
    <w:rsid w:val="00BF1C5B"/>
    <w:rsid w:val="00BF1FF3"/>
    <w:rsid w:val="00BF23D7"/>
    <w:rsid w:val="00BF325C"/>
    <w:rsid w:val="00BF36F7"/>
    <w:rsid w:val="00BF3B2C"/>
    <w:rsid w:val="00BF3B94"/>
    <w:rsid w:val="00BF3D45"/>
    <w:rsid w:val="00BF3DD6"/>
    <w:rsid w:val="00BF5F86"/>
    <w:rsid w:val="00BF6C13"/>
    <w:rsid w:val="00BF702E"/>
    <w:rsid w:val="00BF77E0"/>
    <w:rsid w:val="00BF793C"/>
    <w:rsid w:val="00BF79D9"/>
    <w:rsid w:val="00BF7CB6"/>
    <w:rsid w:val="00C00428"/>
    <w:rsid w:val="00C008BC"/>
    <w:rsid w:val="00C01408"/>
    <w:rsid w:val="00C015F4"/>
    <w:rsid w:val="00C0194C"/>
    <w:rsid w:val="00C01D77"/>
    <w:rsid w:val="00C02929"/>
    <w:rsid w:val="00C02933"/>
    <w:rsid w:val="00C02AD1"/>
    <w:rsid w:val="00C02BD7"/>
    <w:rsid w:val="00C032D4"/>
    <w:rsid w:val="00C03692"/>
    <w:rsid w:val="00C03A9E"/>
    <w:rsid w:val="00C03E9E"/>
    <w:rsid w:val="00C0408A"/>
    <w:rsid w:val="00C05B0D"/>
    <w:rsid w:val="00C05CFA"/>
    <w:rsid w:val="00C0676D"/>
    <w:rsid w:val="00C070BF"/>
    <w:rsid w:val="00C07146"/>
    <w:rsid w:val="00C07362"/>
    <w:rsid w:val="00C07ECA"/>
    <w:rsid w:val="00C07FBE"/>
    <w:rsid w:val="00C10D65"/>
    <w:rsid w:val="00C10D78"/>
    <w:rsid w:val="00C12D12"/>
    <w:rsid w:val="00C12D15"/>
    <w:rsid w:val="00C12F86"/>
    <w:rsid w:val="00C135DF"/>
    <w:rsid w:val="00C13707"/>
    <w:rsid w:val="00C14673"/>
    <w:rsid w:val="00C14C69"/>
    <w:rsid w:val="00C14D2B"/>
    <w:rsid w:val="00C14EA7"/>
    <w:rsid w:val="00C14F54"/>
    <w:rsid w:val="00C1570A"/>
    <w:rsid w:val="00C1578D"/>
    <w:rsid w:val="00C15806"/>
    <w:rsid w:val="00C1619B"/>
    <w:rsid w:val="00C16434"/>
    <w:rsid w:val="00C1677B"/>
    <w:rsid w:val="00C1687D"/>
    <w:rsid w:val="00C16B56"/>
    <w:rsid w:val="00C171C7"/>
    <w:rsid w:val="00C1733C"/>
    <w:rsid w:val="00C17808"/>
    <w:rsid w:val="00C17A8F"/>
    <w:rsid w:val="00C20059"/>
    <w:rsid w:val="00C204FE"/>
    <w:rsid w:val="00C2056D"/>
    <w:rsid w:val="00C20B23"/>
    <w:rsid w:val="00C20D8A"/>
    <w:rsid w:val="00C20FAA"/>
    <w:rsid w:val="00C214DD"/>
    <w:rsid w:val="00C215DD"/>
    <w:rsid w:val="00C22512"/>
    <w:rsid w:val="00C230D4"/>
    <w:rsid w:val="00C23BE6"/>
    <w:rsid w:val="00C23C02"/>
    <w:rsid w:val="00C24862"/>
    <w:rsid w:val="00C24C46"/>
    <w:rsid w:val="00C24FFF"/>
    <w:rsid w:val="00C25348"/>
    <w:rsid w:val="00C2581A"/>
    <w:rsid w:val="00C26518"/>
    <w:rsid w:val="00C265C3"/>
    <w:rsid w:val="00C270DD"/>
    <w:rsid w:val="00C27DF1"/>
    <w:rsid w:val="00C3105E"/>
    <w:rsid w:val="00C318C9"/>
    <w:rsid w:val="00C32E7A"/>
    <w:rsid w:val="00C331D3"/>
    <w:rsid w:val="00C331E8"/>
    <w:rsid w:val="00C333F6"/>
    <w:rsid w:val="00C33A45"/>
    <w:rsid w:val="00C34501"/>
    <w:rsid w:val="00C346A1"/>
    <w:rsid w:val="00C34875"/>
    <w:rsid w:val="00C34905"/>
    <w:rsid w:val="00C349A0"/>
    <w:rsid w:val="00C34A1B"/>
    <w:rsid w:val="00C34D64"/>
    <w:rsid w:val="00C34E1B"/>
    <w:rsid w:val="00C35245"/>
    <w:rsid w:val="00C35D1B"/>
    <w:rsid w:val="00C35F3A"/>
    <w:rsid w:val="00C3615D"/>
    <w:rsid w:val="00C3644A"/>
    <w:rsid w:val="00C364C5"/>
    <w:rsid w:val="00C36CD0"/>
    <w:rsid w:val="00C36CFD"/>
    <w:rsid w:val="00C37204"/>
    <w:rsid w:val="00C373C0"/>
    <w:rsid w:val="00C374E2"/>
    <w:rsid w:val="00C4086E"/>
    <w:rsid w:val="00C40D38"/>
    <w:rsid w:val="00C40EB9"/>
    <w:rsid w:val="00C4168A"/>
    <w:rsid w:val="00C41E56"/>
    <w:rsid w:val="00C41EBF"/>
    <w:rsid w:val="00C422CF"/>
    <w:rsid w:val="00C4281A"/>
    <w:rsid w:val="00C4320E"/>
    <w:rsid w:val="00C433AF"/>
    <w:rsid w:val="00C4343B"/>
    <w:rsid w:val="00C43B36"/>
    <w:rsid w:val="00C441E7"/>
    <w:rsid w:val="00C4422D"/>
    <w:rsid w:val="00C442B3"/>
    <w:rsid w:val="00C442D6"/>
    <w:rsid w:val="00C444B4"/>
    <w:rsid w:val="00C4616C"/>
    <w:rsid w:val="00C461FD"/>
    <w:rsid w:val="00C46EE3"/>
    <w:rsid w:val="00C4765B"/>
    <w:rsid w:val="00C4794F"/>
    <w:rsid w:val="00C47C24"/>
    <w:rsid w:val="00C47F0B"/>
    <w:rsid w:val="00C5004C"/>
    <w:rsid w:val="00C505BD"/>
    <w:rsid w:val="00C506C1"/>
    <w:rsid w:val="00C50D0B"/>
    <w:rsid w:val="00C50EDE"/>
    <w:rsid w:val="00C51164"/>
    <w:rsid w:val="00C51AC1"/>
    <w:rsid w:val="00C5244C"/>
    <w:rsid w:val="00C52677"/>
    <w:rsid w:val="00C52733"/>
    <w:rsid w:val="00C52FE8"/>
    <w:rsid w:val="00C539A4"/>
    <w:rsid w:val="00C53B5A"/>
    <w:rsid w:val="00C53C5E"/>
    <w:rsid w:val="00C54006"/>
    <w:rsid w:val="00C54047"/>
    <w:rsid w:val="00C545EB"/>
    <w:rsid w:val="00C54897"/>
    <w:rsid w:val="00C5528F"/>
    <w:rsid w:val="00C55AE3"/>
    <w:rsid w:val="00C56444"/>
    <w:rsid w:val="00C56627"/>
    <w:rsid w:val="00C56ED6"/>
    <w:rsid w:val="00C57215"/>
    <w:rsid w:val="00C574BD"/>
    <w:rsid w:val="00C57D50"/>
    <w:rsid w:val="00C6043A"/>
    <w:rsid w:val="00C60448"/>
    <w:rsid w:val="00C6070A"/>
    <w:rsid w:val="00C60B83"/>
    <w:rsid w:val="00C61A51"/>
    <w:rsid w:val="00C61A5F"/>
    <w:rsid w:val="00C61C2C"/>
    <w:rsid w:val="00C61FAA"/>
    <w:rsid w:val="00C620FE"/>
    <w:rsid w:val="00C62613"/>
    <w:rsid w:val="00C627F1"/>
    <w:rsid w:val="00C62AFB"/>
    <w:rsid w:val="00C62F0C"/>
    <w:rsid w:val="00C632A4"/>
    <w:rsid w:val="00C640FA"/>
    <w:rsid w:val="00C6460A"/>
    <w:rsid w:val="00C6499F"/>
    <w:rsid w:val="00C64BAC"/>
    <w:rsid w:val="00C64BC1"/>
    <w:rsid w:val="00C64F2F"/>
    <w:rsid w:val="00C65D72"/>
    <w:rsid w:val="00C65D79"/>
    <w:rsid w:val="00C65E92"/>
    <w:rsid w:val="00C65F1D"/>
    <w:rsid w:val="00C66291"/>
    <w:rsid w:val="00C664C7"/>
    <w:rsid w:val="00C6682F"/>
    <w:rsid w:val="00C66B94"/>
    <w:rsid w:val="00C67734"/>
    <w:rsid w:val="00C6776D"/>
    <w:rsid w:val="00C677AE"/>
    <w:rsid w:val="00C67A3C"/>
    <w:rsid w:val="00C67C32"/>
    <w:rsid w:val="00C703DE"/>
    <w:rsid w:val="00C703E9"/>
    <w:rsid w:val="00C70580"/>
    <w:rsid w:val="00C70E5C"/>
    <w:rsid w:val="00C70E8E"/>
    <w:rsid w:val="00C71069"/>
    <w:rsid w:val="00C71CD4"/>
    <w:rsid w:val="00C71D86"/>
    <w:rsid w:val="00C71D8A"/>
    <w:rsid w:val="00C72033"/>
    <w:rsid w:val="00C72743"/>
    <w:rsid w:val="00C727B0"/>
    <w:rsid w:val="00C73411"/>
    <w:rsid w:val="00C73583"/>
    <w:rsid w:val="00C73613"/>
    <w:rsid w:val="00C73975"/>
    <w:rsid w:val="00C73E5D"/>
    <w:rsid w:val="00C74A23"/>
    <w:rsid w:val="00C74B46"/>
    <w:rsid w:val="00C74F68"/>
    <w:rsid w:val="00C755C3"/>
    <w:rsid w:val="00C76122"/>
    <w:rsid w:val="00C76E9C"/>
    <w:rsid w:val="00C77A34"/>
    <w:rsid w:val="00C77CEB"/>
    <w:rsid w:val="00C80B82"/>
    <w:rsid w:val="00C80BCF"/>
    <w:rsid w:val="00C80DAB"/>
    <w:rsid w:val="00C810C9"/>
    <w:rsid w:val="00C81201"/>
    <w:rsid w:val="00C812B5"/>
    <w:rsid w:val="00C81392"/>
    <w:rsid w:val="00C81540"/>
    <w:rsid w:val="00C81FD2"/>
    <w:rsid w:val="00C827F2"/>
    <w:rsid w:val="00C83A5F"/>
    <w:rsid w:val="00C83E68"/>
    <w:rsid w:val="00C84569"/>
    <w:rsid w:val="00C846B0"/>
    <w:rsid w:val="00C85005"/>
    <w:rsid w:val="00C85750"/>
    <w:rsid w:val="00C858C2"/>
    <w:rsid w:val="00C85CB9"/>
    <w:rsid w:val="00C866C2"/>
    <w:rsid w:val="00C86940"/>
    <w:rsid w:val="00C86996"/>
    <w:rsid w:val="00C86A44"/>
    <w:rsid w:val="00C87B76"/>
    <w:rsid w:val="00C87FED"/>
    <w:rsid w:val="00C90299"/>
    <w:rsid w:val="00C908E2"/>
    <w:rsid w:val="00C9126E"/>
    <w:rsid w:val="00C914B9"/>
    <w:rsid w:val="00C91692"/>
    <w:rsid w:val="00C91A36"/>
    <w:rsid w:val="00C92614"/>
    <w:rsid w:val="00C92779"/>
    <w:rsid w:val="00C92BF9"/>
    <w:rsid w:val="00C92FC9"/>
    <w:rsid w:val="00C93376"/>
    <w:rsid w:val="00C93945"/>
    <w:rsid w:val="00C93AB6"/>
    <w:rsid w:val="00C94627"/>
    <w:rsid w:val="00C94D30"/>
    <w:rsid w:val="00C94ECA"/>
    <w:rsid w:val="00C9562A"/>
    <w:rsid w:val="00C95ADE"/>
    <w:rsid w:val="00C966EE"/>
    <w:rsid w:val="00C96783"/>
    <w:rsid w:val="00C96FF2"/>
    <w:rsid w:val="00C97565"/>
    <w:rsid w:val="00C97C9B"/>
    <w:rsid w:val="00CA008E"/>
    <w:rsid w:val="00CA01A5"/>
    <w:rsid w:val="00CA0A27"/>
    <w:rsid w:val="00CA0DAC"/>
    <w:rsid w:val="00CA1126"/>
    <w:rsid w:val="00CA144C"/>
    <w:rsid w:val="00CA1451"/>
    <w:rsid w:val="00CA14D5"/>
    <w:rsid w:val="00CA1A88"/>
    <w:rsid w:val="00CA204A"/>
    <w:rsid w:val="00CA210E"/>
    <w:rsid w:val="00CA255E"/>
    <w:rsid w:val="00CA2837"/>
    <w:rsid w:val="00CA3525"/>
    <w:rsid w:val="00CA3C12"/>
    <w:rsid w:val="00CA41C5"/>
    <w:rsid w:val="00CA490A"/>
    <w:rsid w:val="00CA4D4E"/>
    <w:rsid w:val="00CA60F0"/>
    <w:rsid w:val="00CA65A4"/>
    <w:rsid w:val="00CA66A0"/>
    <w:rsid w:val="00CA7655"/>
    <w:rsid w:val="00CA7984"/>
    <w:rsid w:val="00CA7A83"/>
    <w:rsid w:val="00CB0299"/>
    <w:rsid w:val="00CB0DC7"/>
    <w:rsid w:val="00CB1453"/>
    <w:rsid w:val="00CB14F4"/>
    <w:rsid w:val="00CB1696"/>
    <w:rsid w:val="00CB16E9"/>
    <w:rsid w:val="00CB16F6"/>
    <w:rsid w:val="00CB19D5"/>
    <w:rsid w:val="00CB19F0"/>
    <w:rsid w:val="00CB1AB3"/>
    <w:rsid w:val="00CB24E8"/>
    <w:rsid w:val="00CB2551"/>
    <w:rsid w:val="00CB255F"/>
    <w:rsid w:val="00CB2B53"/>
    <w:rsid w:val="00CB2E1E"/>
    <w:rsid w:val="00CB32E5"/>
    <w:rsid w:val="00CB3B05"/>
    <w:rsid w:val="00CB3BD5"/>
    <w:rsid w:val="00CB4128"/>
    <w:rsid w:val="00CB4141"/>
    <w:rsid w:val="00CB4247"/>
    <w:rsid w:val="00CB446A"/>
    <w:rsid w:val="00CB4564"/>
    <w:rsid w:val="00CB48FE"/>
    <w:rsid w:val="00CB4FB8"/>
    <w:rsid w:val="00CB55BE"/>
    <w:rsid w:val="00CB5843"/>
    <w:rsid w:val="00CB5DA3"/>
    <w:rsid w:val="00CB6184"/>
    <w:rsid w:val="00CB65F2"/>
    <w:rsid w:val="00CB6656"/>
    <w:rsid w:val="00CB7D33"/>
    <w:rsid w:val="00CC0A63"/>
    <w:rsid w:val="00CC0CAE"/>
    <w:rsid w:val="00CC1587"/>
    <w:rsid w:val="00CC1EE2"/>
    <w:rsid w:val="00CC2861"/>
    <w:rsid w:val="00CC2BDC"/>
    <w:rsid w:val="00CC2F5D"/>
    <w:rsid w:val="00CC31F9"/>
    <w:rsid w:val="00CC3B25"/>
    <w:rsid w:val="00CC4226"/>
    <w:rsid w:val="00CC4255"/>
    <w:rsid w:val="00CC4FC0"/>
    <w:rsid w:val="00CC5B7E"/>
    <w:rsid w:val="00CC5F00"/>
    <w:rsid w:val="00CC6D09"/>
    <w:rsid w:val="00CC7800"/>
    <w:rsid w:val="00CC79CE"/>
    <w:rsid w:val="00CD0131"/>
    <w:rsid w:val="00CD07CD"/>
    <w:rsid w:val="00CD0B81"/>
    <w:rsid w:val="00CD11AB"/>
    <w:rsid w:val="00CD15A0"/>
    <w:rsid w:val="00CD1A01"/>
    <w:rsid w:val="00CD1AC5"/>
    <w:rsid w:val="00CD1C9C"/>
    <w:rsid w:val="00CD2767"/>
    <w:rsid w:val="00CD2A54"/>
    <w:rsid w:val="00CD2BEE"/>
    <w:rsid w:val="00CD2D7F"/>
    <w:rsid w:val="00CD3AF1"/>
    <w:rsid w:val="00CD441E"/>
    <w:rsid w:val="00CD4496"/>
    <w:rsid w:val="00CD4BE1"/>
    <w:rsid w:val="00CD4CCF"/>
    <w:rsid w:val="00CD59CF"/>
    <w:rsid w:val="00CD5BBE"/>
    <w:rsid w:val="00CD5BF0"/>
    <w:rsid w:val="00CD67EE"/>
    <w:rsid w:val="00CD7D7A"/>
    <w:rsid w:val="00CE0C38"/>
    <w:rsid w:val="00CE0F29"/>
    <w:rsid w:val="00CE10A8"/>
    <w:rsid w:val="00CE1665"/>
    <w:rsid w:val="00CE2A41"/>
    <w:rsid w:val="00CE33B0"/>
    <w:rsid w:val="00CE33C3"/>
    <w:rsid w:val="00CE3749"/>
    <w:rsid w:val="00CE3A5E"/>
    <w:rsid w:val="00CE3C20"/>
    <w:rsid w:val="00CE4131"/>
    <w:rsid w:val="00CE4311"/>
    <w:rsid w:val="00CE459E"/>
    <w:rsid w:val="00CE4B34"/>
    <w:rsid w:val="00CE4FC8"/>
    <w:rsid w:val="00CE5087"/>
    <w:rsid w:val="00CE5170"/>
    <w:rsid w:val="00CE6373"/>
    <w:rsid w:val="00CE673C"/>
    <w:rsid w:val="00CE7ABF"/>
    <w:rsid w:val="00CE7ADB"/>
    <w:rsid w:val="00CE7C10"/>
    <w:rsid w:val="00CE7FF3"/>
    <w:rsid w:val="00CF0418"/>
    <w:rsid w:val="00CF0573"/>
    <w:rsid w:val="00CF165C"/>
    <w:rsid w:val="00CF1761"/>
    <w:rsid w:val="00CF1861"/>
    <w:rsid w:val="00CF26A5"/>
    <w:rsid w:val="00CF350F"/>
    <w:rsid w:val="00CF37C4"/>
    <w:rsid w:val="00CF390B"/>
    <w:rsid w:val="00CF3927"/>
    <w:rsid w:val="00CF3EA5"/>
    <w:rsid w:val="00CF4ABF"/>
    <w:rsid w:val="00CF51A2"/>
    <w:rsid w:val="00CF5412"/>
    <w:rsid w:val="00CF5AF0"/>
    <w:rsid w:val="00CF68B3"/>
    <w:rsid w:val="00CF6BA5"/>
    <w:rsid w:val="00CF6FDA"/>
    <w:rsid w:val="00CF724E"/>
    <w:rsid w:val="00CF7B9E"/>
    <w:rsid w:val="00D0138E"/>
    <w:rsid w:val="00D033D9"/>
    <w:rsid w:val="00D034F5"/>
    <w:rsid w:val="00D03AB2"/>
    <w:rsid w:val="00D03E1B"/>
    <w:rsid w:val="00D048FD"/>
    <w:rsid w:val="00D04A7D"/>
    <w:rsid w:val="00D05177"/>
    <w:rsid w:val="00D05667"/>
    <w:rsid w:val="00D056D3"/>
    <w:rsid w:val="00D0596E"/>
    <w:rsid w:val="00D05B06"/>
    <w:rsid w:val="00D06701"/>
    <w:rsid w:val="00D069FA"/>
    <w:rsid w:val="00D07DD8"/>
    <w:rsid w:val="00D07F97"/>
    <w:rsid w:val="00D1005A"/>
    <w:rsid w:val="00D10809"/>
    <w:rsid w:val="00D1085F"/>
    <w:rsid w:val="00D1095C"/>
    <w:rsid w:val="00D11091"/>
    <w:rsid w:val="00D1140E"/>
    <w:rsid w:val="00D115B0"/>
    <w:rsid w:val="00D116F9"/>
    <w:rsid w:val="00D11E6C"/>
    <w:rsid w:val="00D11FBD"/>
    <w:rsid w:val="00D126E5"/>
    <w:rsid w:val="00D12789"/>
    <w:rsid w:val="00D128A6"/>
    <w:rsid w:val="00D12B1F"/>
    <w:rsid w:val="00D12E2D"/>
    <w:rsid w:val="00D12EF8"/>
    <w:rsid w:val="00D138CD"/>
    <w:rsid w:val="00D13AF5"/>
    <w:rsid w:val="00D13E2E"/>
    <w:rsid w:val="00D14B59"/>
    <w:rsid w:val="00D155AA"/>
    <w:rsid w:val="00D15646"/>
    <w:rsid w:val="00D1591C"/>
    <w:rsid w:val="00D15958"/>
    <w:rsid w:val="00D15B30"/>
    <w:rsid w:val="00D16090"/>
    <w:rsid w:val="00D16295"/>
    <w:rsid w:val="00D162CD"/>
    <w:rsid w:val="00D16571"/>
    <w:rsid w:val="00D168B2"/>
    <w:rsid w:val="00D175B7"/>
    <w:rsid w:val="00D17A58"/>
    <w:rsid w:val="00D17AEE"/>
    <w:rsid w:val="00D17B45"/>
    <w:rsid w:val="00D17E76"/>
    <w:rsid w:val="00D203CF"/>
    <w:rsid w:val="00D21136"/>
    <w:rsid w:val="00D22A91"/>
    <w:rsid w:val="00D22B1C"/>
    <w:rsid w:val="00D22D42"/>
    <w:rsid w:val="00D22DC1"/>
    <w:rsid w:val="00D23001"/>
    <w:rsid w:val="00D233EB"/>
    <w:rsid w:val="00D2425A"/>
    <w:rsid w:val="00D24451"/>
    <w:rsid w:val="00D24EF0"/>
    <w:rsid w:val="00D25D70"/>
    <w:rsid w:val="00D25E39"/>
    <w:rsid w:val="00D262B3"/>
    <w:rsid w:val="00D26F4D"/>
    <w:rsid w:val="00D26FF3"/>
    <w:rsid w:val="00D271AD"/>
    <w:rsid w:val="00D27D1B"/>
    <w:rsid w:val="00D27EAB"/>
    <w:rsid w:val="00D30759"/>
    <w:rsid w:val="00D31727"/>
    <w:rsid w:val="00D31AEF"/>
    <w:rsid w:val="00D31BC6"/>
    <w:rsid w:val="00D31E4E"/>
    <w:rsid w:val="00D32ACC"/>
    <w:rsid w:val="00D32C7E"/>
    <w:rsid w:val="00D33087"/>
    <w:rsid w:val="00D330B2"/>
    <w:rsid w:val="00D3402B"/>
    <w:rsid w:val="00D34702"/>
    <w:rsid w:val="00D34EDF"/>
    <w:rsid w:val="00D3587F"/>
    <w:rsid w:val="00D35F82"/>
    <w:rsid w:val="00D36274"/>
    <w:rsid w:val="00D367B2"/>
    <w:rsid w:val="00D36A78"/>
    <w:rsid w:val="00D36B8D"/>
    <w:rsid w:val="00D37430"/>
    <w:rsid w:val="00D37A7B"/>
    <w:rsid w:val="00D37B45"/>
    <w:rsid w:val="00D4011C"/>
    <w:rsid w:val="00D404B3"/>
    <w:rsid w:val="00D407A0"/>
    <w:rsid w:val="00D40B08"/>
    <w:rsid w:val="00D4194D"/>
    <w:rsid w:val="00D41A4D"/>
    <w:rsid w:val="00D41CE6"/>
    <w:rsid w:val="00D41DC0"/>
    <w:rsid w:val="00D42A48"/>
    <w:rsid w:val="00D42B94"/>
    <w:rsid w:val="00D4415D"/>
    <w:rsid w:val="00D44199"/>
    <w:rsid w:val="00D4419B"/>
    <w:rsid w:val="00D443B9"/>
    <w:rsid w:val="00D443E0"/>
    <w:rsid w:val="00D445B2"/>
    <w:rsid w:val="00D44B1B"/>
    <w:rsid w:val="00D44F2F"/>
    <w:rsid w:val="00D45572"/>
    <w:rsid w:val="00D46363"/>
    <w:rsid w:val="00D464F5"/>
    <w:rsid w:val="00D4717C"/>
    <w:rsid w:val="00D47C39"/>
    <w:rsid w:val="00D504A0"/>
    <w:rsid w:val="00D50A89"/>
    <w:rsid w:val="00D50C96"/>
    <w:rsid w:val="00D50F36"/>
    <w:rsid w:val="00D51923"/>
    <w:rsid w:val="00D51DFD"/>
    <w:rsid w:val="00D51E62"/>
    <w:rsid w:val="00D522B1"/>
    <w:rsid w:val="00D52DAF"/>
    <w:rsid w:val="00D5436D"/>
    <w:rsid w:val="00D54378"/>
    <w:rsid w:val="00D54865"/>
    <w:rsid w:val="00D54889"/>
    <w:rsid w:val="00D54D6C"/>
    <w:rsid w:val="00D55275"/>
    <w:rsid w:val="00D553BC"/>
    <w:rsid w:val="00D555F0"/>
    <w:rsid w:val="00D556E3"/>
    <w:rsid w:val="00D556EA"/>
    <w:rsid w:val="00D55D33"/>
    <w:rsid w:val="00D55E0A"/>
    <w:rsid w:val="00D55FE7"/>
    <w:rsid w:val="00D5618C"/>
    <w:rsid w:val="00D56735"/>
    <w:rsid w:val="00D57447"/>
    <w:rsid w:val="00D60169"/>
    <w:rsid w:val="00D609B2"/>
    <w:rsid w:val="00D60F4F"/>
    <w:rsid w:val="00D60FE3"/>
    <w:rsid w:val="00D611E0"/>
    <w:rsid w:val="00D61BF9"/>
    <w:rsid w:val="00D6201A"/>
    <w:rsid w:val="00D62186"/>
    <w:rsid w:val="00D624FD"/>
    <w:rsid w:val="00D6264E"/>
    <w:rsid w:val="00D62E69"/>
    <w:rsid w:val="00D64559"/>
    <w:rsid w:val="00D64650"/>
    <w:rsid w:val="00D64AFE"/>
    <w:rsid w:val="00D64B0C"/>
    <w:rsid w:val="00D64EBE"/>
    <w:rsid w:val="00D64F9C"/>
    <w:rsid w:val="00D6522B"/>
    <w:rsid w:val="00D6534C"/>
    <w:rsid w:val="00D656CF"/>
    <w:rsid w:val="00D65719"/>
    <w:rsid w:val="00D65830"/>
    <w:rsid w:val="00D659EA"/>
    <w:rsid w:val="00D660D4"/>
    <w:rsid w:val="00D66632"/>
    <w:rsid w:val="00D6669F"/>
    <w:rsid w:val="00D670C5"/>
    <w:rsid w:val="00D67257"/>
    <w:rsid w:val="00D67469"/>
    <w:rsid w:val="00D67883"/>
    <w:rsid w:val="00D67BD7"/>
    <w:rsid w:val="00D67C51"/>
    <w:rsid w:val="00D70E3F"/>
    <w:rsid w:val="00D71877"/>
    <w:rsid w:val="00D71DF9"/>
    <w:rsid w:val="00D72154"/>
    <w:rsid w:val="00D723AC"/>
    <w:rsid w:val="00D72C22"/>
    <w:rsid w:val="00D732FC"/>
    <w:rsid w:val="00D7370B"/>
    <w:rsid w:val="00D73E84"/>
    <w:rsid w:val="00D747CD"/>
    <w:rsid w:val="00D75FBF"/>
    <w:rsid w:val="00D75FC3"/>
    <w:rsid w:val="00D75FE8"/>
    <w:rsid w:val="00D76ED1"/>
    <w:rsid w:val="00D77474"/>
    <w:rsid w:val="00D77B63"/>
    <w:rsid w:val="00D80C0E"/>
    <w:rsid w:val="00D81149"/>
    <w:rsid w:val="00D812FB"/>
    <w:rsid w:val="00D816AC"/>
    <w:rsid w:val="00D81B7D"/>
    <w:rsid w:val="00D820DF"/>
    <w:rsid w:val="00D825DC"/>
    <w:rsid w:val="00D82608"/>
    <w:rsid w:val="00D8285C"/>
    <w:rsid w:val="00D82A0C"/>
    <w:rsid w:val="00D82CAF"/>
    <w:rsid w:val="00D82F85"/>
    <w:rsid w:val="00D8302C"/>
    <w:rsid w:val="00D8337B"/>
    <w:rsid w:val="00D83659"/>
    <w:rsid w:val="00D83894"/>
    <w:rsid w:val="00D83EE4"/>
    <w:rsid w:val="00D84ABE"/>
    <w:rsid w:val="00D85027"/>
    <w:rsid w:val="00D85D5A"/>
    <w:rsid w:val="00D86149"/>
    <w:rsid w:val="00D862F6"/>
    <w:rsid w:val="00D8651E"/>
    <w:rsid w:val="00D86924"/>
    <w:rsid w:val="00D869DD"/>
    <w:rsid w:val="00D86D33"/>
    <w:rsid w:val="00D86E50"/>
    <w:rsid w:val="00D8723C"/>
    <w:rsid w:val="00D87455"/>
    <w:rsid w:val="00D90219"/>
    <w:rsid w:val="00D90BB9"/>
    <w:rsid w:val="00D90C6D"/>
    <w:rsid w:val="00D92864"/>
    <w:rsid w:val="00D928E2"/>
    <w:rsid w:val="00D92DF3"/>
    <w:rsid w:val="00D9343E"/>
    <w:rsid w:val="00D936D7"/>
    <w:rsid w:val="00D939D1"/>
    <w:rsid w:val="00D939DB"/>
    <w:rsid w:val="00D93F0D"/>
    <w:rsid w:val="00D93FB3"/>
    <w:rsid w:val="00D948D7"/>
    <w:rsid w:val="00D94B4B"/>
    <w:rsid w:val="00D953A0"/>
    <w:rsid w:val="00D9599F"/>
    <w:rsid w:val="00D95F57"/>
    <w:rsid w:val="00D961D9"/>
    <w:rsid w:val="00D9630F"/>
    <w:rsid w:val="00D96CF8"/>
    <w:rsid w:val="00D96ED0"/>
    <w:rsid w:val="00D96FF1"/>
    <w:rsid w:val="00D9738C"/>
    <w:rsid w:val="00DA046C"/>
    <w:rsid w:val="00DA0CB6"/>
    <w:rsid w:val="00DA1257"/>
    <w:rsid w:val="00DA16F7"/>
    <w:rsid w:val="00DA1D08"/>
    <w:rsid w:val="00DA1DC8"/>
    <w:rsid w:val="00DA248B"/>
    <w:rsid w:val="00DA2BBD"/>
    <w:rsid w:val="00DA30F3"/>
    <w:rsid w:val="00DA3692"/>
    <w:rsid w:val="00DA3BB5"/>
    <w:rsid w:val="00DA3FC6"/>
    <w:rsid w:val="00DA4E24"/>
    <w:rsid w:val="00DA55E3"/>
    <w:rsid w:val="00DA645F"/>
    <w:rsid w:val="00DA7FEE"/>
    <w:rsid w:val="00DB01D9"/>
    <w:rsid w:val="00DB02FF"/>
    <w:rsid w:val="00DB0DCF"/>
    <w:rsid w:val="00DB0FFE"/>
    <w:rsid w:val="00DB1465"/>
    <w:rsid w:val="00DB16B1"/>
    <w:rsid w:val="00DB17DB"/>
    <w:rsid w:val="00DB1E01"/>
    <w:rsid w:val="00DB220D"/>
    <w:rsid w:val="00DB30A8"/>
    <w:rsid w:val="00DB332E"/>
    <w:rsid w:val="00DB33F9"/>
    <w:rsid w:val="00DB3E3C"/>
    <w:rsid w:val="00DB4225"/>
    <w:rsid w:val="00DB436E"/>
    <w:rsid w:val="00DB4E9C"/>
    <w:rsid w:val="00DB51DA"/>
    <w:rsid w:val="00DB5205"/>
    <w:rsid w:val="00DB5597"/>
    <w:rsid w:val="00DB5717"/>
    <w:rsid w:val="00DB5A7D"/>
    <w:rsid w:val="00DB5AE6"/>
    <w:rsid w:val="00DB5AFC"/>
    <w:rsid w:val="00DB5E79"/>
    <w:rsid w:val="00DB6409"/>
    <w:rsid w:val="00DB681D"/>
    <w:rsid w:val="00DB6B69"/>
    <w:rsid w:val="00DB706D"/>
    <w:rsid w:val="00DB709A"/>
    <w:rsid w:val="00DB7893"/>
    <w:rsid w:val="00DC00B5"/>
    <w:rsid w:val="00DC090E"/>
    <w:rsid w:val="00DC0D44"/>
    <w:rsid w:val="00DC0DBF"/>
    <w:rsid w:val="00DC1448"/>
    <w:rsid w:val="00DC1FB7"/>
    <w:rsid w:val="00DC2367"/>
    <w:rsid w:val="00DC2B46"/>
    <w:rsid w:val="00DC2B78"/>
    <w:rsid w:val="00DC3377"/>
    <w:rsid w:val="00DC35B8"/>
    <w:rsid w:val="00DC3DDA"/>
    <w:rsid w:val="00DC4116"/>
    <w:rsid w:val="00DC4486"/>
    <w:rsid w:val="00DC4912"/>
    <w:rsid w:val="00DC5341"/>
    <w:rsid w:val="00DC54A3"/>
    <w:rsid w:val="00DC5940"/>
    <w:rsid w:val="00DC5EB3"/>
    <w:rsid w:val="00DC6114"/>
    <w:rsid w:val="00DC6EF3"/>
    <w:rsid w:val="00DC6FE6"/>
    <w:rsid w:val="00DC7CA6"/>
    <w:rsid w:val="00DC7F90"/>
    <w:rsid w:val="00DD0678"/>
    <w:rsid w:val="00DD14FE"/>
    <w:rsid w:val="00DD15D2"/>
    <w:rsid w:val="00DD1DD5"/>
    <w:rsid w:val="00DD1F38"/>
    <w:rsid w:val="00DD20EF"/>
    <w:rsid w:val="00DD232B"/>
    <w:rsid w:val="00DD2776"/>
    <w:rsid w:val="00DD2EF6"/>
    <w:rsid w:val="00DD2F85"/>
    <w:rsid w:val="00DD344D"/>
    <w:rsid w:val="00DD39FD"/>
    <w:rsid w:val="00DD41CD"/>
    <w:rsid w:val="00DD429F"/>
    <w:rsid w:val="00DD461C"/>
    <w:rsid w:val="00DD4B85"/>
    <w:rsid w:val="00DD5402"/>
    <w:rsid w:val="00DD57A9"/>
    <w:rsid w:val="00DD586F"/>
    <w:rsid w:val="00DD5E0B"/>
    <w:rsid w:val="00DD6702"/>
    <w:rsid w:val="00DD6A73"/>
    <w:rsid w:val="00DD6CCC"/>
    <w:rsid w:val="00DD715C"/>
    <w:rsid w:val="00DD7469"/>
    <w:rsid w:val="00DD7539"/>
    <w:rsid w:val="00DD78EC"/>
    <w:rsid w:val="00DD7F1E"/>
    <w:rsid w:val="00DE01B6"/>
    <w:rsid w:val="00DE07AD"/>
    <w:rsid w:val="00DE0D4B"/>
    <w:rsid w:val="00DE1B1C"/>
    <w:rsid w:val="00DE29C0"/>
    <w:rsid w:val="00DE2EA5"/>
    <w:rsid w:val="00DE311C"/>
    <w:rsid w:val="00DE3E10"/>
    <w:rsid w:val="00DE40AA"/>
    <w:rsid w:val="00DE415F"/>
    <w:rsid w:val="00DE490B"/>
    <w:rsid w:val="00DE5B36"/>
    <w:rsid w:val="00DE6A6D"/>
    <w:rsid w:val="00DE76CC"/>
    <w:rsid w:val="00DE777D"/>
    <w:rsid w:val="00DE7BE2"/>
    <w:rsid w:val="00DE7F13"/>
    <w:rsid w:val="00DF076D"/>
    <w:rsid w:val="00DF0928"/>
    <w:rsid w:val="00DF0C99"/>
    <w:rsid w:val="00DF102E"/>
    <w:rsid w:val="00DF1136"/>
    <w:rsid w:val="00DF12BD"/>
    <w:rsid w:val="00DF1588"/>
    <w:rsid w:val="00DF182D"/>
    <w:rsid w:val="00DF18EE"/>
    <w:rsid w:val="00DF1AF7"/>
    <w:rsid w:val="00DF1ED1"/>
    <w:rsid w:val="00DF1FCC"/>
    <w:rsid w:val="00DF2069"/>
    <w:rsid w:val="00DF258F"/>
    <w:rsid w:val="00DF25DF"/>
    <w:rsid w:val="00DF2794"/>
    <w:rsid w:val="00DF395C"/>
    <w:rsid w:val="00DF459B"/>
    <w:rsid w:val="00DF47DB"/>
    <w:rsid w:val="00DF4873"/>
    <w:rsid w:val="00DF4E31"/>
    <w:rsid w:val="00DF5BAA"/>
    <w:rsid w:val="00DF5EA3"/>
    <w:rsid w:val="00DF6FB9"/>
    <w:rsid w:val="00DF70E5"/>
    <w:rsid w:val="00DF75AB"/>
    <w:rsid w:val="00DF77BD"/>
    <w:rsid w:val="00DF7886"/>
    <w:rsid w:val="00DF7959"/>
    <w:rsid w:val="00DF7BB6"/>
    <w:rsid w:val="00DF7CEB"/>
    <w:rsid w:val="00E0001E"/>
    <w:rsid w:val="00E000B1"/>
    <w:rsid w:val="00E00EC4"/>
    <w:rsid w:val="00E01429"/>
    <w:rsid w:val="00E018D0"/>
    <w:rsid w:val="00E01DF6"/>
    <w:rsid w:val="00E01F1E"/>
    <w:rsid w:val="00E02BEA"/>
    <w:rsid w:val="00E02F63"/>
    <w:rsid w:val="00E03C26"/>
    <w:rsid w:val="00E03D8C"/>
    <w:rsid w:val="00E04783"/>
    <w:rsid w:val="00E04CE7"/>
    <w:rsid w:val="00E052BE"/>
    <w:rsid w:val="00E0575F"/>
    <w:rsid w:val="00E05D98"/>
    <w:rsid w:val="00E0626C"/>
    <w:rsid w:val="00E06492"/>
    <w:rsid w:val="00E06764"/>
    <w:rsid w:val="00E06FF0"/>
    <w:rsid w:val="00E10C3C"/>
    <w:rsid w:val="00E10C88"/>
    <w:rsid w:val="00E11883"/>
    <w:rsid w:val="00E11FFF"/>
    <w:rsid w:val="00E12079"/>
    <w:rsid w:val="00E12EE7"/>
    <w:rsid w:val="00E13285"/>
    <w:rsid w:val="00E1376B"/>
    <w:rsid w:val="00E138F3"/>
    <w:rsid w:val="00E13950"/>
    <w:rsid w:val="00E13978"/>
    <w:rsid w:val="00E1550C"/>
    <w:rsid w:val="00E15D1A"/>
    <w:rsid w:val="00E161F7"/>
    <w:rsid w:val="00E16315"/>
    <w:rsid w:val="00E16A1A"/>
    <w:rsid w:val="00E1744D"/>
    <w:rsid w:val="00E17712"/>
    <w:rsid w:val="00E206BE"/>
    <w:rsid w:val="00E20723"/>
    <w:rsid w:val="00E21174"/>
    <w:rsid w:val="00E21B8D"/>
    <w:rsid w:val="00E2277F"/>
    <w:rsid w:val="00E22825"/>
    <w:rsid w:val="00E229CC"/>
    <w:rsid w:val="00E23618"/>
    <w:rsid w:val="00E238F6"/>
    <w:rsid w:val="00E23F3A"/>
    <w:rsid w:val="00E24E0E"/>
    <w:rsid w:val="00E252BE"/>
    <w:rsid w:val="00E256F0"/>
    <w:rsid w:val="00E258B1"/>
    <w:rsid w:val="00E25A2A"/>
    <w:rsid w:val="00E25AD8"/>
    <w:rsid w:val="00E2740F"/>
    <w:rsid w:val="00E27508"/>
    <w:rsid w:val="00E277DA"/>
    <w:rsid w:val="00E27A3E"/>
    <w:rsid w:val="00E27F1D"/>
    <w:rsid w:val="00E27F2D"/>
    <w:rsid w:val="00E30870"/>
    <w:rsid w:val="00E31529"/>
    <w:rsid w:val="00E31813"/>
    <w:rsid w:val="00E3198C"/>
    <w:rsid w:val="00E31E0C"/>
    <w:rsid w:val="00E31E1A"/>
    <w:rsid w:val="00E31F6B"/>
    <w:rsid w:val="00E3240B"/>
    <w:rsid w:val="00E324EB"/>
    <w:rsid w:val="00E326C2"/>
    <w:rsid w:val="00E3287A"/>
    <w:rsid w:val="00E32D1D"/>
    <w:rsid w:val="00E339AD"/>
    <w:rsid w:val="00E33B3E"/>
    <w:rsid w:val="00E33CD1"/>
    <w:rsid w:val="00E33F53"/>
    <w:rsid w:val="00E33F62"/>
    <w:rsid w:val="00E344C2"/>
    <w:rsid w:val="00E34999"/>
    <w:rsid w:val="00E349F9"/>
    <w:rsid w:val="00E34B22"/>
    <w:rsid w:val="00E34C22"/>
    <w:rsid w:val="00E34ED4"/>
    <w:rsid w:val="00E3541C"/>
    <w:rsid w:val="00E35ED3"/>
    <w:rsid w:val="00E36B06"/>
    <w:rsid w:val="00E375B4"/>
    <w:rsid w:val="00E37645"/>
    <w:rsid w:val="00E37C02"/>
    <w:rsid w:val="00E4066C"/>
    <w:rsid w:val="00E40782"/>
    <w:rsid w:val="00E40ADC"/>
    <w:rsid w:val="00E41517"/>
    <w:rsid w:val="00E4164F"/>
    <w:rsid w:val="00E41FA5"/>
    <w:rsid w:val="00E42048"/>
    <w:rsid w:val="00E42AEB"/>
    <w:rsid w:val="00E42EA0"/>
    <w:rsid w:val="00E43A3A"/>
    <w:rsid w:val="00E44586"/>
    <w:rsid w:val="00E44748"/>
    <w:rsid w:val="00E44A20"/>
    <w:rsid w:val="00E4511E"/>
    <w:rsid w:val="00E45663"/>
    <w:rsid w:val="00E45EF1"/>
    <w:rsid w:val="00E46001"/>
    <w:rsid w:val="00E46126"/>
    <w:rsid w:val="00E46A36"/>
    <w:rsid w:val="00E46EE7"/>
    <w:rsid w:val="00E47E77"/>
    <w:rsid w:val="00E501E7"/>
    <w:rsid w:val="00E5020D"/>
    <w:rsid w:val="00E50EF3"/>
    <w:rsid w:val="00E51335"/>
    <w:rsid w:val="00E517EB"/>
    <w:rsid w:val="00E52BA6"/>
    <w:rsid w:val="00E53631"/>
    <w:rsid w:val="00E53C37"/>
    <w:rsid w:val="00E53E69"/>
    <w:rsid w:val="00E54078"/>
    <w:rsid w:val="00E54336"/>
    <w:rsid w:val="00E543BE"/>
    <w:rsid w:val="00E550B1"/>
    <w:rsid w:val="00E561BB"/>
    <w:rsid w:val="00E572CE"/>
    <w:rsid w:val="00E574F3"/>
    <w:rsid w:val="00E60140"/>
    <w:rsid w:val="00E604B2"/>
    <w:rsid w:val="00E60862"/>
    <w:rsid w:val="00E61846"/>
    <w:rsid w:val="00E61F51"/>
    <w:rsid w:val="00E62082"/>
    <w:rsid w:val="00E62084"/>
    <w:rsid w:val="00E6224F"/>
    <w:rsid w:val="00E626D1"/>
    <w:rsid w:val="00E62D84"/>
    <w:rsid w:val="00E63179"/>
    <w:rsid w:val="00E63F65"/>
    <w:rsid w:val="00E64098"/>
    <w:rsid w:val="00E64508"/>
    <w:rsid w:val="00E6474E"/>
    <w:rsid w:val="00E65107"/>
    <w:rsid w:val="00E6583C"/>
    <w:rsid w:val="00E659C8"/>
    <w:rsid w:val="00E65A50"/>
    <w:rsid w:val="00E665BE"/>
    <w:rsid w:val="00E66761"/>
    <w:rsid w:val="00E667E9"/>
    <w:rsid w:val="00E66C25"/>
    <w:rsid w:val="00E66D84"/>
    <w:rsid w:val="00E67638"/>
    <w:rsid w:val="00E67C35"/>
    <w:rsid w:val="00E67DF4"/>
    <w:rsid w:val="00E700F6"/>
    <w:rsid w:val="00E70137"/>
    <w:rsid w:val="00E70905"/>
    <w:rsid w:val="00E70E9E"/>
    <w:rsid w:val="00E70F0D"/>
    <w:rsid w:val="00E728F0"/>
    <w:rsid w:val="00E72EE6"/>
    <w:rsid w:val="00E730AB"/>
    <w:rsid w:val="00E730D7"/>
    <w:rsid w:val="00E731A4"/>
    <w:rsid w:val="00E7394E"/>
    <w:rsid w:val="00E74D89"/>
    <w:rsid w:val="00E74EBC"/>
    <w:rsid w:val="00E751D1"/>
    <w:rsid w:val="00E7593E"/>
    <w:rsid w:val="00E75A31"/>
    <w:rsid w:val="00E75BE6"/>
    <w:rsid w:val="00E7600B"/>
    <w:rsid w:val="00E76190"/>
    <w:rsid w:val="00E762D2"/>
    <w:rsid w:val="00E76B85"/>
    <w:rsid w:val="00E76C2D"/>
    <w:rsid w:val="00E76F8D"/>
    <w:rsid w:val="00E80014"/>
    <w:rsid w:val="00E8007C"/>
    <w:rsid w:val="00E805E3"/>
    <w:rsid w:val="00E807C9"/>
    <w:rsid w:val="00E810C1"/>
    <w:rsid w:val="00E81491"/>
    <w:rsid w:val="00E82150"/>
    <w:rsid w:val="00E8230D"/>
    <w:rsid w:val="00E8299C"/>
    <w:rsid w:val="00E82BC0"/>
    <w:rsid w:val="00E8344E"/>
    <w:rsid w:val="00E83645"/>
    <w:rsid w:val="00E83877"/>
    <w:rsid w:val="00E84203"/>
    <w:rsid w:val="00E84276"/>
    <w:rsid w:val="00E842FD"/>
    <w:rsid w:val="00E84ABC"/>
    <w:rsid w:val="00E84AD0"/>
    <w:rsid w:val="00E8500A"/>
    <w:rsid w:val="00E853C7"/>
    <w:rsid w:val="00E8573C"/>
    <w:rsid w:val="00E85817"/>
    <w:rsid w:val="00E85AF4"/>
    <w:rsid w:val="00E860B7"/>
    <w:rsid w:val="00E86157"/>
    <w:rsid w:val="00E864BF"/>
    <w:rsid w:val="00E86CEA"/>
    <w:rsid w:val="00E86CF9"/>
    <w:rsid w:val="00E86EE6"/>
    <w:rsid w:val="00E87015"/>
    <w:rsid w:val="00E8791E"/>
    <w:rsid w:val="00E87F32"/>
    <w:rsid w:val="00E907A3"/>
    <w:rsid w:val="00E9082B"/>
    <w:rsid w:val="00E90D87"/>
    <w:rsid w:val="00E925D9"/>
    <w:rsid w:val="00E92F60"/>
    <w:rsid w:val="00E93233"/>
    <w:rsid w:val="00E935BA"/>
    <w:rsid w:val="00E93A7C"/>
    <w:rsid w:val="00E93E57"/>
    <w:rsid w:val="00E946A9"/>
    <w:rsid w:val="00E94CAC"/>
    <w:rsid w:val="00E9501E"/>
    <w:rsid w:val="00E951C2"/>
    <w:rsid w:val="00E958F0"/>
    <w:rsid w:val="00E95B80"/>
    <w:rsid w:val="00E96448"/>
    <w:rsid w:val="00E96596"/>
    <w:rsid w:val="00E969BD"/>
    <w:rsid w:val="00E96A72"/>
    <w:rsid w:val="00E96AD3"/>
    <w:rsid w:val="00E97266"/>
    <w:rsid w:val="00E978D6"/>
    <w:rsid w:val="00E978F0"/>
    <w:rsid w:val="00EA0184"/>
    <w:rsid w:val="00EA0391"/>
    <w:rsid w:val="00EA0518"/>
    <w:rsid w:val="00EA0664"/>
    <w:rsid w:val="00EA0FFA"/>
    <w:rsid w:val="00EA1459"/>
    <w:rsid w:val="00EA2197"/>
    <w:rsid w:val="00EA2340"/>
    <w:rsid w:val="00EA26C8"/>
    <w:rsid w:val="00EA2724"/>
    <w:rsid w:val="00EA2E69"/>
    <w:rsid w:val="00EA301F"/>
    <w:rsid w:val="00EA3900"/>
    <w:rsid w:val="00EA44B5"/>
    <w:rsid w:val="00EA53DD"/>
    <w:rsid w:val="00EA56A1"/>
    <w:rsid w:val="00EA5E85"/>
    <w:rsid w:val="00EA5EDB"/>
    <w:rsid w:val="00EA6F74"/>
    <w:rsid w:val="00EA6FB2"/>
    <w:rsid w:val="00EA7404"/>
    <w:rsid w:val="00EA7739"/>
    <w:rsid w:val="00EA7FBA"/>
    <w:rsid w:val="00EB0068"/>
    <w:rsid w:val="00EB05A6"/>
    <w:rsid w:val="00EB0ADE"/>
    <w:rsid w:val="00EB106D"/>
    <w:rsid w:val="00EB1B57"/>
    <w:rsid w:val="00EB1FA1"/>
    <w:rsid w:val="00EB2141"/>
    <w:rsid w:val="00EB2A26"/>
    <w:rsid w:val="00EB2DBC"/>
    <w:rsid w:val="00EB39EC"/>
    <w:rsid w:val="00EB3A3D"/>
    <w:rsid w:val="00EB3B99"/>
    <w:rsid w:val="00EB3C38"/>
    <w:rsid w:val="00EB3E66"/>
    <w:rsid w:val="00EB4209"/>
    <w:rsid w:val="00EB47DE"/>
    <w:rsid w:val="00EB4F07"/>
    <w:rsid w:val="00EB4F13"/>
    <w:rsid w:val="00EB554C"/>
    <w:rsid w:val="00EB55C6"/>
    <w:rsid w:val="00EB5939"/>
    <w:rsid w:val="00EB5CB3"/>
    <w:rsid w:val="00EB603D"/>
    <w:rsid w:val="00EB62E8"/>
    <w:rsid w:val="00EB6517"/>
    <w:rsid w:val="00EB6DED"/>
    <w:rsid w:val="00EB6EF7"/>
    <w:rsid w:val="00EB7053"/>
    <w:rsid w:val="00EB7175"/>
    <w:rsid w:val="00EB747A"/>
    <w:rsid w:val="00EB78C9"/>
    <w:rsid w:val="00EC011E"/>
    <w:rsid w:val="00EC142E"/>
    <w:rsid w:val="00EC192B"/>
    <w:rsid w:val="00EC1A9E"/>
    <w:rsid w:val="00EC208C"/>
    <w:rsid w:val="00EC2256"/>
    <w:rsid w:val="00EC2AB2"/>
    <w:rsid w:val="00EC2E58"/>
    <w:rsid w:val="00EC2FF1"/>
    <w:rsid w:val="00EC32C7"/>
    <w:rsid w:val="00EC3415"/>
    <w:rsid w:val="00EC3666"/>
    <w:rsid w:val="00EC3A70"/>
    <w:rsid w:val="00EC3B9F"/>
    <w:rsid w:val="00EC3DA5"/>
    <w:rsid w:val="00EC4BC7"/>
    <w:rsid w:val="00EC4DC0"/>
    <w:rsid w:val="00EC5BD0"/>
    <w:rsid w:val="00EC5D9D"/>
    <w:rsid w:val="00EC5EBF"/>
    <w:rsid w:val="00EC60C9"/>
    <w:rsid w:val="00EC6540"/>
    <w:rsid w:val="00EC73C9"/>
    <w:rsid w:val="00EC7621"/>
    <w:rsid w:val="00EC77C7"/>
    <w:rsid w:val="00EC7A79"/>
    <w:rsid w:val="00EC7EB2"/>
    <w:rsid w:val="00ED00A0"/>
    <w:rsid w:val="00ED04DC"/>
    <w:rsid w:val="00ED12BC"/>
    <w:rsid w:val="00ED204D"/>
    <w:rsid w:val="00ED223C"/>
    <w:rsid w:val="00ED2989"/>
    <w:rsid w:val="00ED2F30"/>
    <w:rsid w:val="00ED34C3"/>
    <w:rsid w:val="00ED3853"/>
    <w:rsid w:val="00ED3C64"/>
    <w:rsid w:val="00ED55F9"/>
    <w:rsid w:val="00ED5E05"/>
    <w:rsid w:val="00ED67E4"/>
    <w:rsid w:val="00ED685E"/>
    <w:rsid w:val="00ED691E"/>
    <w:rsid w:val="00ED7521"/>
    <w:rsid w:val="00ED78D5"/>
    <w:rsid w:val="00ED7FD1"/>
    <w:rsid w:val="00EE001E"/>
    <w:rsid w:val="00EE037F"/>
    <w:rsid w:val="00EE070C"/>
    <w:rsid w:val="00EE0CF9"/>
    <w:rsid w:val="00EE1E7F"/>
    <w:rsid w:val="00EE1F57"/>
    <w:rsid w:val="00EE2148"/>
    <w:rsid w:val="00EE232B"/>
    <w:rsid w:val="00EE26B2"/>
    <w:rsid w:val="00EE2AC3"/>
    <w:rsid w:val="00EE30FA"/>
    <w:rsid w:val="00EE355C"/>
    <w:rsid w:val="00EE3C29"/>
    <w:rsid w:val="00EE421C"/>
    <w:rsid w:val="00EE437C"/>
    <w:rsid w:val="00EE4BE9"/>
    <w:rsid w:val="00EE4DF0"/>
    <w:rsid w:val="00EE52A7"/>
    <w:rsid w:val="00EE55ED"/>
    <w:rsid w:val="00EE56EC"/>
    <w:rsid w:val="00EE5C1C"/>
    <w:rsid w:val="00EE63DB"/>
    <w:rsid w:val="00EE66D6"/>
    <w:rsid w:val="00EE6891"/>
    <w:rsid w:val="00EE705B"/>
    <w:rsid w:val="00EE72D0"/>
    <w:rsid w:val="00EF03B4"/>
    <w:rsid w:val="00EF07FA"/>
    <w:rsid w:val="00EF089D"/>
    <w:rsid w:val="00EF0CB6"/>
    <w:rsid w:val="00EF11B6"/>
    <w:rsid w:val="00EF1472"/>
    <w:rsid w:val="00EF1584"/>
    <w:rsid w:val="00EF1688"/>
    <w:rsid w:val="00EF1A52"/>
    <w:rsid w:val="00EF1D64"/>
    <w:rsid w:val="00EF1E0F"/>
    <w:rsid w:val="00EF1FB7"/>
    <w:rsid w:val="00EF2556"/>
    <w:rsid w:val="00EF26D8"/>
    <w:rsid w:val="00EF2D6E"/>
    <w:rsid w:val="00EF368F"/>
    <w:rsid w:val="00EF371F"/>
    <w:rsid w:val="00EF3C90"/>
    <w:rsid w:val="00EF3C9E"/>
    <w:rsid w:val="00EF47E3"/>
    <w:rsid w:val="00EF502B"/>
    <w:rsid w:val="00EF5291"/>
    <w:rsid w:val="00EF539B"/>
    <w:rsid w:val="00EF5CE8"/>
    <w:rsid w:val="00EF5E3C"/>
    <w:rsid w:val="00EF6263"/>
    <w:rsid w:val="00EF6395"/>
    <w:rsid w:val="00EF6825"/>
    <w:rsid w:val="00EF6929"/>
    <w:rsid w:val="00EF6EBE"/>
    <w:rsid w:val="00EF6F15"/>
    <w:rsid w:val="00F00345"/>
    <w:rsid w:val="00F00CF7"/>
    <w:rsid w:val="00F01853"/>
    <w:rsid w:val="00F02D2D"/>
    <w:rsid w:val="00F0314E"/>
    <w:rsid w:val="00F03410"/>
    <w:rsid w:val="00F047D7"/>
    <w:rsid w:val="00F049B9"/>
    <w:rsid w:val="00F052D6"/>
    <w:rsid w:val="00F0533E"/>
    <w:rsid w:val="00F05A78"/>
    <w:rsid w:val="00F05C1E"/>
    <w:rsid w:val="00F05D91"/>
    <w:rsid w:val="00F06E09"/>
    <w:rsid w:val="00F06E47"/>
    <w:rsid w:val="00F07541"/>
    <w:rsid w:val="00F075AC"/>
    <w:rsid w:val="00F07EEB"/>
    <w:rsid w:val="00F07EFF"/>
    <w:rsid w:val="00F101D6"/>
    <w:rsid w:val="00F102E1"/>
    <w:rsid w:val="00F103D4"/>
    <w:rsid w:val="00F10C2B"/>
    <w:rsid w:val="00F10CCB"/>
    <w:rsid w:val="00F1116C"/>
    <w:rsid w:val="00F114DE"/>
    <w:rsid w:val="00F11A6F"/>
    <w:rsid w:val="00F120EF"/>
    <w:rsid w:val="00F12153"/>
    <w:rsid w:val="00F121F5"/>
    <w:rsid w:val="00F128BE"/>
    <w:rsid w:val="00F12C6F"/>
    <w:rsid w:val="00F12EF9"/>
    <w:rsid w:val="00F1378A"/>
    <w:rsid w:val="00F1383A"/>
    <w:rsid w:val="00F14009"/>
    <w:rsid w:val="00F14175"/>
    <w:rsid w:val="00F14439"/>
    <w:rsid w:val="00F14456"/>
    <w:rsid w:val="00F1459D"/>
    <w:rsid w:val="00F14EC9"/>
    <w:rsid w:val="00F156C1"/>
    <w:rsid w:val="00F16967"/>
    <w:rsid w:val="00F17124"/>
    <w:rsid w:val="00F2090F"/>
    <w:rsid w:val="00F211E1"/>
    <w:rsid w:val="00F21243"/>
    <w:rsid w:val="00F21358"/>
    <w:rsid w:val="00F21830"/>
    <w:rsid w:val="00F21DB3"/>
    <w:rsid w:val="00F22859"/>
    <w:rsid w:val="00F231EF"/>
    <w:rsid w:val="00F231F9"/>
    <w:rsid w:val="00F2341C"/>
    <w:rsid w:val="00F23588"/>
    <w:rsid w:val="00F23C3B"/>
    <w:rsid w:val="00F23DB3"/>
    <w:rsid w:val="00F243A2"/>
    <w:rsid w:val="00F24889"/>
    <w:rsid w:val="00F2519A"/>
    <w:rsid w:val="00F25A11"/>
    <w:rsid w:val="00F26150"/>
    <w:rsid w:val="00F261AB"/>
    <w:rsid w:val="00F26422"/>
    <w:rsid w:val="00F26923"/>
    <w:rsid w:val="00F27108"/>
    <w:rsid w:val="00F27C1F"/>
    <w:rsid w:val="00F30C37"/>
    <w:rsid w:val="00F31045"/>
    <w:rsid w:val="00F31073"/>
    <w:rsid w:val="00F31C58"/>
    <w:rsid w:val="00F31E5C"/>
    <w:rsid w:val="00F31F26"/>
    <w:rsid w:val="00F3229A"/>
    <w:rsid w:val="00F32A15"/>
    <w:rsid w:val="00F3464C"/>
    <w:rsid w:val="00F3471C"/>
    <w:rsid w:val="00F35254"/>
    <w:rsid w:val="00F35B5A"/>
    <w:rsid w:val="00F35B99"/>
    <w:rsid w:val="00F35CD3"/>
    <w:rsid w:val="00F36390"/>
    <w:rsid w:val="00F364C9"/>
    <w:rsid w:val="00F36940"/>
    <w:rsid w:val="00F36976"/>
    <w:rsid w:val="00F369BD"/>
    <w:rsid w:val="00F371E8"/>
    <w:rsid w:val="00F377E4"/>
    <w:rsid w:val="00F37B30"/>
    <w:rsid w:val="00F4074F"/>
    <w:rsid w:val="00F407B6"/>
    <w:rsid w:val="00F408E2"/>
    <w:rsid w:val="00F40ABD"/>
    <w:rsid w:val="00F40F31"/>
    <w:rsid w:val="00F416A4"/>
    <w:rsid w:val="00F41799"/>
    <w:rsid w:val="00F423E7"/>
    <w:rsid w:val="00F42882"/>
    <w:rsid w:val="00F42DE8"/>
    <w:rsid w:val="00F43098"/>
    <w:rsid w:val="00F435CB"/>
    <w:rsid w:val="00F439F4"/>
    <w:rsid w:val="00F43A6F"/>
    <w:rsid w:val="00F44100"/>
    <w:rsid w:val="00F443A6"/>
    <w:rsid w:val="00F4459B"/>
    <w:rsid w:val="00F44B75"/>
    <w:rsid w:val="00F45A56"/>
    <w:rsid w:val="00F45D3D"/>
    <w:rsid w:val="00F46245"/>
    <w:rsid w:val="00F469C8"/>
    <w:rsid w:val="00F46A8D"/>
    <w:rsid w:val="00F47A16"/>
    <w:rsid w:val="00F51346"/>
    <w:rsid w:val="00F52089"/>
    <w:rsid w:val="00F523D8"/>
    <w:rsid w:val="00F52AFF"/>
    <w:rsid w:val="00F52BA7"/>
    <w:rsid w:val="00F53409"/>
    <w:rsid w:val="00F5358E"/>
    <w:rsid w:val="00F53967"/>
    <w:rsid w:val="00F53ABF"/>
    <w:rsid w:val="00F53BF9"/>
    <w:rsid w:val="00F54FBF"/>
    <w:rsid w:val="00F5523D"/>
    <w:rsid w:val="00F55245"/>
    <w:rsid w:val="00F566E1"/>
    <w:rsid w:val="00F56B35"/>
    <w:rsid w:val="00F57190"/>
    <w:rsid w:val="00F5722E"/>
    <w:rsid w:val="00F57276"/>
    <w:rsid w:val="00F57A9F"/>
    <w:rsid w:val="00F57C50"/>
    <w:rsid w:val="00F57DC8"/>
    <w:rsid w:val="00F604F3"/>
    <w:rsid w:val="00F6050F"/>
    <w:rsid w:val="00F60523"/>
    <w:rsid w:val="00F606F8"/>
    <w:rsid w:val="00F60E37"/>
    <w:rsid w:val="00F60F33"/>
    <w:rsid w:val="00F612DB"/>
    <w:rsid w:val="00F61778"/>
    <w:rsid w:val="00F61ABA"/>
    <w:rsid w:val="00F61BBA"/>
    <w:rsid w:val="00F61CE8"/>
    <w:rsid w:val="00F6375C"/>
    <w:rsid w:val="00F63C10"/>
    <w:rsid w:val="00F64726"/>
    <w:rsid w:val="00F65927"/>
    <w:rsid w:val="00F65A0B"/>
    <w:rsid w:val="00F65C21"/>
    <w:rsid w:val="00F66073"/>
    <w:rsid w:val="00F66512"/>
    <w:rsid w:val="00F6681D"/>
    <w:rsid w:val="00F66BB5"/>
    <w:rsid w:val="00F66C8C"/>
    <w:rsid w:val="00F66EE8"/>
    <w:rsid w:val="00F670CB"/>
    <w:rsid w:val="00F67769"/>
    <w:rsid w:val="00F67A1B"/>
    <w:rsid w:val="00F67E0C"/>
    <w:rsid w:val="00F703B4"/>
    <w:rsid w:val="00F70769"/>
    <w:rsid w:val="00F7093C"/>
    <w:rsid w:val="00F713FB"/>
    <w:rsid w:val="00F72061"/>
    <w:rsid w:val="00F72AFF"/>
    <w:rsid w:val="00F72D07"/>
    <w:rsid w:val="00F72EB6"/>
    <w:rsid w:val="00F73295"/>
    <w:rsid w:val="00F737BE"/>
    <w:rsid w:val="00F73C19"/>
    <w:rsid w:val="00F744C0"/>
    <w:rsid w:val="00F7463A"/>
    <w:rsid w:val="00F74ED5"/>
    <w:rsid w:val="00F7514E"/>
    <w:rsid w:val="00F75329"/>
    <w:rsid w:val="00F755ED"/>
    <w:rsid w:val="00F75811"/>
    <w:rsid w:val="00F75B88"/>
    <w:rsid w:val="00F76DC8"/>
    <w:rsid w:val="00F7733A"/>
    <w:rsid w:val="00F7778F"/>
    <w:rsid w:val="00F8000A"/>
    <w:rsid w:val="00F802AD"/>
    <w:rsid w:val="00F80778"/>
    <w:rsid w:val="00F807CE"/>
    <w:rsid w:val="00F809DE"/>
    <w:rsid w:val="00F80D3B"/>
    <w:rsid w:val="00F80F92"/>
    <w:rsid w:val="00F81A3D"/>
    <w:rsid w:val="00F81E74"/>
    <w:rsid w:val="00F82293"/>
    <w:rsid w:val="00F82A54"/>
    <w:rsid w:val="00F82AC3"/>
    <w:rsid w:val="00F82C63"/>
    <w:rsid w:val="00F83404"/>
    <w:rsid w:val="00F84157"/>
    <w:rsid w:val="00F8523F"/>
    <w:rsid w:val="00F85D26"/>
    <w:rsid w:val="00F8659A"/>
    <w:rsid w:val="00F86FE0"/>
    <w:rsid w:val="00F87007"/>
    <w:rsid w:val="00F871DB"/>
    <w:rsid w:val="00F87321"/>
    <w:rsid w:val="00F8740E"/>
    <w:rsid w:val="00F8750E"/>
    <w:rsid w:val="00F879FA"/>
    <w:rsid w:val="00F87C58"/>
    <w:rsid w:val="00F905E1"/>
    <w:rsid w:val="00F90761"/>
    <w:rsid w:val="00F90DBF"/>
    <w:rsid w:val="00F91432"/>
    <w:rsid w:val="00F91771"/>
    <w:rsid w:val="00F920B8"/>
    <w:rsid w:val="00F92462"/>
    <w:rsid w:val="00F92C77"/>
    <w:rsid w:val="00F93C51"/>
    <w:rsid w:val="00F93E6A"/>
    <w:rsid w:val="00F94505"/>
    <w:rsid w:val="00F9502C"/>
    <w:rsid w:val="00F95C3F"/>
    <w:rsid w:val="00F95D85"/>
    <w:rsid w:val="00F9600A"/>
    <w:rsid w:val="00F96101"/>
    <w:rsid w:val="00F961AE"/>
    <w:rsid w:val="00F96635"/>
    <w:rsid w:val="00F966B6"/>
    <w:rsid w:val="00F96B01"/>
    <w:rsid w:val="00F9744D"/>
    <w:rsid w:val="00F977D2"/>
    <w:rsid w:val="00FA06F5"/>
    <w:rsid w:val="00FA07EC"/>
    <w:rsid w:val="00FA1045"/>
    <w:rsid w:val="00FA1980"/>
    <w:rsid w:val="00FA1A03"/>
    <w:rsid w:val="00FA1B0D"/>
    <w:rsid w:val="00FA1B76"/>
    <w:rsid w:val="00FA1C10"/>
    <w:rsid w:val="00FA2458"/>
    <w:rsid w:val="00FA273F"/>
    <w:rsid w:val="00FA277F"/>
    <w:rsid w:val="00FA2AF3"/>
    <w:rsid w:val="00FA2B3B"/>
    <w:rsid w:val="00FA2CE4"/>
    <w:rsid w:val="00FA30AF"/>
    <w:rsid w:val="00FA3AA6"/>
    <w:rsid w:val="00FA4520"/>
    <w:rsid w:val="00FA466C"/>
    <w:rsid w:val="00FA4F30"/>
    <w:rsid w:val="00FA4FF6"/>
    <w:rsid w:val="00FA530F"/>
    <w:rsid w:val="00FA5D4F"/>
    <w:rsid w:val="00FA649D"/>
    <w:rsid w:val="00FA6AF2"/>
    <w:rsid w:val="00FA6BC2"/>
    <w:rsid w:val="00FA6C01"/>
    <w:rsid w:val="00FA6C9B"/>
    <w:rsid w:val="00FA7025"/>
    <w:rsid w:val="00FA72E8"/>
    <w:rsid w:val="00FA753E"/>
    <w:rsid w:val="00FB05BB"/>
    <w:rsid w:val="00FB0BC0"/>
    <w:rsid w:val="00FB0C66"/>
    <w:rsid w:val="00FB0E77"/>
    <w:rsid w:val="00FB1673"/>
    <w:rsid w:val="00FB1E46"/>
    <w:rsid w:val="00FB2241"/>
    <w:rsid w:val="00FB2CDD"/>
    <w:rsid w:val="00FB2DD6"/>
    <w:rsid w:val="00FB3B14"/>
    <w:rsid w:val="00FB3BEC"/>
    <w:rsid w:val="00FB3EC5"/>
    <w:rsid w:val="00FB4190"/>
    <w:rsid w:val="00FB41A1"/>
    <w:rsid w:val="00FB4304"/>
    <w:rsid w:val="00FB51D3"/>
    <w:rsid w:val="00FB5393"/>
    <w:rsid w:val="00FB5A62"/>
    <w:rsid w:val="00FB5D55"/>
    <w:rsid w:val="00FB6A69"/>
    <w:rsid w:val="00FB6FD5"/>
    <w:rsid w:val="00FB7739"/>
    <w:rsid w:val="00FB7EE1"/>
    <w:rsid w:val="00FC0B07"/>
    <w:rsid w:val="00FC0CD9"/>
    <w:rsid w:val="00FC10D1"/>
    <w:rsid w:val="00FC1FF9"/>
    <w:rsid w:val="00FC2424"/>
    <w:rsid w:val="00FC2B5B"/>
    <w:rsid w:val="00FC2B62"/>
    <w:rsid w:val="00FC32AB"/>
    <w:rsid w:val="00FC34E5"/>
    <w:rsid w:val="00FC3FC7"/>
    <w:rsid w:val="00FC4351"/>
    <w:rsid w:val="00FC438B"/>
    <w:rsid w:val="00FC453D"/>
    <w:rsid w:val="00FC46C9"/>
    <w:rsid w:val="00FC4D35"/>
    <w:rsid w:val="00FC54DC"/>
    <w:rsid w:val="00FC6144"/>
    <w:rsid w:val="00FC6211"/>
    <w:rsid w:val="00FC66FF"/>
    <w:rsid w:val="00FC6A52"/>
    <w:rsid w:val="00FC6C6F"/>
    <w:rsid w:val="00FC6FD8"/>
    <w:rsid w:val="00FC741D"/>
    <w:rsid w:val="00FC7841"/>
    <w:rsid w:val="00FC7875"/>
    <w:rsid w:val="00FC7F83"/>
    <w:rsid w:val="00FD1280"/>
    <w:rsid w:val="00FD1899"/>
    <w:rsid w:val="00FD2658"/>
    <w:rsid w:val="00FD2D82"/>
    <w:rsid w:val="00FD3031"/>
    <w:rsid w:val="00FD3375"/>
    <w:rsid w:val="00FD361B"/>
    <w:rsid w:val="00FD36E3"/>
    <w:rsid w:val="00FD4812"/>
    <w:rsid w:val="00FD530D"/>
    <w:rsid w:val="00FD5327"/>
    <w:rsid w:val="00FD5500"/>
    <w:rsid w:val="00FD5F47"/>
    <w:rsid w:val="00FD6467"/>
    <w:rsid w:val="00FD76B0"/>
    <w:rsid w:val="00FD7AEB"/>
    <w:rsid w:val="00FD7BDB"/>
    <w:rsid w:val="00FD7DFA"/>
    <w:rsid w:val="00FD7EF1"/>
    <w:rsid w:val="00FD7F9B"/>
    <w:rsid w:val="00FE0317"/>
    <w:rsid w:val="00FE11AA"/>
    <w:rsid w:val="00FE12BD"/>
    <w:rsid w:val="00FE192C"/>
    <w:rsid w:val="00FE1CA7"/>
    <w:rsid w:val="00FE1F45"/>
    <w:rsid w:val="00FE1F64"/>
    <w:rsid w:val="00FE2372"/>
    <w:rsid w:val="00FE3553"/>
    <w:rsid w:val="00FE4356"/>
    <w:rsid w:val="00FE4757"/>
    <w:rsid w:val="00FE4C70"/>
    <w:rsid w:val="00FE5D3C"/>
    <w:rsid w:val="00FE5D61"/>
    <w:rsid w:val="00FE5F1D"/>
    <w:rsid w:val="00FE5FC8"/>
    <w:rsid w:val="00FE725C"/>
    <w:rsid w:val="00FE76AB"/>
    <w:rsid w:val="00FE7821"/>
    <w:rsid w:val="00FE7C86"/>
    <w:rsid w:val="00FF0A80"/>
    <w:rsid w:val="00FF0B12"/>
    <w:rsid w:val="00FF0E05"/>
    <w:rsid w:val="00FF0EE6"/>
    <w:rsid w:val="00FF20A5"/>
    <w:rsid w:val="00FF21D7"/>
    <w:rsid w:val="00FF2BBB"/>
    <w:rsid w:val="00FF2CB1"/>
    <w:rsid w:val="00FF2CBC"/>
    <w:rsid w:val="00FF3811"/>
    <w:rsid w:val="00FF4168"/>
    <w:rsid w:val="00FF4A88"/>
    <w:rsid w:val="00FF54DB"/>
    <w:rsid w:val="00FF5525"/>
    <w:rsid w:val="00FF57DF"/>
    <w:rsid w:val="00FF57FB"/>
    <w:rsid w:val="00FF5ADE"/>
    <w:rsid w:val="00FF6233"/>
    <w:rsid w:val="00FF6527"/>
    <w:rsid w:val="00FF67B9"/>
    <w:rsid w:val="00FF68DF"/>
    <w:rsid w:val="00FF6919"/>
    <w:rsid w:val="00FF6C53"/>
    <w:rsid w:val="00FF723B"/>
    <w:rsid w:val="00FF72A1"/>
    <w:rsid w:val="00FF7545"/>
    <w:rsid w:val="00FF7903"/>
    <w:rsid w:val="00FF7D42"/>
    <w:rsid w:val="00FF7D79"/>
    <w:rsid w:val="702136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73FA022"/>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737516">
      <w:bodyDiv w:val="1"/>
      <w:marLeft w:val="0"/>
      <w:marRight w:val="0"/>
      <w:marTop w:val="0"/>
      <w:marBottom w:val="0"/>
      <w:divBdr>
        <w:top w:val="none" w:sz="0" w:space="0" w:color="auto"/>
        <w:left w:val="none" w:sz="0" w:space="0" w:color="auto"/>
        <w:bottom w:val="none" w:sz="0" w:space="0" w:color="auto"/>
        <w:right w:val="none" w:sz="0" w:space="0" w:color="auto"/>
      </w:divBdr>
    </w:div>
    <w:div w:id="49765581">
      <w:bodyDiv w:val="1"/>
      <w:marLeft w:val="0"/>
      <w:marRight w:val="0"/>
      <w:marTop w:val="0"/>
      <w:marBottom w:val="0"/>
      <w:divBdr>
        <w:top w:val="none" w:sz="0" w:space="0" w:color="auto"/>
        <w:left w:val="none" w:sz="0" w:space="0" w:color="auto"/>
        <w:bottom w:val="none" w:sz="0" w:space="0" w:color="auto"/>
        <w:right w:val="none" w:sz="0" w:space="0" w:color="auto"/>
      </w:divBdr>
    </w:div>
    <w:div w:id="70808911">
      <w:bodyDiv w:val="1"/>
      <w:marLeft w:val="0"/>
      <w:marRight w:val="0"/>
      <w:marTop w:val="0"/>
      <w:marBottom w:val="0"/>
      <w:divBdr>
        <w:top w:val="none" w:sz="0" w:space="0" w:color="auto"/>
        <w:left w:val="none" w:sz="0" w:space="0" w:color="auto"/>
        <w:bottom w:val="none" w:sz="0" w:space="0" w:color="auto"/>
        <w:right w:val="none" w:sz="0" w:space="0" w:color="auto"/>
      </w:divBdr>
    </w:div>
    <w:div w:id="128478330">
      <w:bodyDiv w:val="1"/>
      <w:marLeft w:val="0"/>
      <w:marRight w:val="0"/>
      <w:marTop w:val="0"/>
      <w:marBottom w:val="0"/>
      <w:divBdr>
        <w:top w:val="none" w:sz="0" w:space="0" w:color="auto"/>
        <w:left w:val="none" w:sz="0" w:space="0" w:color="auto"/>
        <w:bottom w:val="none" w:sz="0" w:space="0" w:color="auto"/>
        <w:right w:val="none" w:sz="0" w:space="0" w:color="auto"/>
      </w:divBdr>
    </w:div>
    <w:div w:id="140318787">
      <w:bodyDiv w:val="1"/>
      <w:marLeft w:val="0"/>
      <w:marRight w:val="0"/>
      <w:marTop w:val="0"/>
      <w:marBottom w:val="0"/>
      <w:divBdr>
        <w:top w:val="none" w:sz="0" w:space="0" w:color="auto"/>
        <w:left w:val="none" w:sz="0" w:space="0" w:color="auto"/>
        <w:bottom w:val="none" w:sz="0" w:space="0" w:color="auto"/>
        <w:right w:val="none" w:sz="0" w:space="0" w:color="auto"/>
      </w:divBdr>
    </w:div>
    <w:div w:id="149105645">
      <w:bodyDiv w:val="1"/>
      <w:marLeft w:val="0"/>
      <w:marRight w:val="0"/>
      <w:marTop w:val="0"/>
      <w:marBottom w:val="0"/>
      <w:divBdr>
        <w:top w:val="none" w:sz="0" w:space="0" w:color="auto"/>
        <w:left w:val="none" w:sz="0" w:space="0" w:color="auto"/>
        <w:bottom w:val="none" w:sz="0" w:space="0" w:color="auto"/>
        <w:right w:val="none" w:sz="0" w:space="0" w:color="auto"/>
      </w:divBdr>
    </w:div>
    <w:div w:id="227425062">
      <w:bodyDiv w:val="1"/>
      <w:marLeft w:val="0"/>
      <w:marRight w:val="0"/>
      <w:marTop w:val="0"/>
      <w:marBottom w:val="0"/>
      <w:divBdr>
        <w:top w:val="none" w:sz="0" w:space="0" w:color="auto"/>
        <w:left w:val="none" w:sz="0" w:space="0" w:color="auto"/>
        <w:bottom w:val="none" w:sz="0" w:space="0" w:color="auto"/>
        <w:right w:val="none" w:sz="0" w:space="0" w:color="auto"/>
      </w:divBdr>
    </w:div>
    <w:div w:id="234555626">
      <w:bodyDiv w:val="1"/>
      <w:marLeft w:val="0"/>
      <w:marRight w:val="0"/>
      <w:marTop w:val="0"/>
      <w:marBottom w:val="0"/>
      <w:divBdr>
        <w:top w:val="none" w:sz="0" w:space="0" w:color="auto"/>
        <w:left w:val="none" w:sz="0" w:space="0" w:color="auto"/>
        <w:bottom w:val="none" w:sz="0" w:space="0" w:color="auto"/>
        <w:right w:val="none" w:sz="0" w:space="0" w:color="auto"/>
      </w:divBdr>
    </w:div>
    <w:div w:id="241332597">
      <w:bodyDiv w:val="1"/>
      <w:marLeft w:val="0"/>
      <w:marRight w:val="0"/>
      <w:marTop w:val="0"/>
      <w:marBottom w:val="0"/>
      <w:divBdr>
        <w:top w:val="none" w:sz="0" w:space="0" w:color="auto"/>
        <w:left w:val="none" w:sz="0" w:space="0" w:color="auto"/>
        <w:bottom w:val="none" w:sz="0" w:space="0" w:color="auto"/>
        <w:right w:val="none" w:sz="0" w:space="0" w:color="auto"/>
      </w:divBdr>
      <w:divsChild>
        <w:div w:id="324869102">
          <w:marLeft w:val="533"/>
          <w:marRight w:val="0"/>
          <w:marTop w:val="120"/>
          <w:marBottom w:val="0"/>
          <w:divBdr>
            <w:top w:val="none" w:sz="0" w:space="0" w:color="auto"/>
            <w:left w:val="none" w:sz="0" w:space="0" w:color="auto"/>
            <w:bottom w:val="none" w:sz="0" w:space="0" w:color="auto"/>
            <w:right w:val="none" w:sz="0" w:space="0" w:color="auto"/>
          </w:divBdr>
        </w:div>
      </w:divsChild>
    </w:div>
    <w:div w:id="266085068">
      <w:bodyDiv w:val="1"/>
      <w:marLeft w:val="0"/>
      <w:marRight w:val="0"/>
      <w:marTop w:val="0"/>
      <w:marBottom w:val="0"/>
      <w:divBdr>
        <w:top w:val="none" w:sz="0" w:space="0" w:color="auto"/>
        <w:left w:val="none" w:sz="0" w:space="0" w:color="auto"/>
        <w:bottom w:val="none" w:sz="0" w:space="0" w:color="auto"/>
        <w:right w:val="none" w:sz="0" w:space="0" w:color="auto"/>
      </w:divBdr>
      <w:divsChild>
        <w:div w:id="977614478">
          <w:marLeft w:val="533"/>
          <w:marRight w:val="0"/>
          <w:marTop w:val="120"/>
          <w:marBottom w:val="0"/>
          <w:divBdr>
            <w:top w:val="none" w:sz="0" w:space="0" w:color="auto"/>
            <w:left w:val="none" w:sz="0" w:space="0" w:color="auto"/>
            <w:bottom w:val="none" w:sz="0" w:space="0" w:color="auto"/>
            <w:right w:val="none" w:sz="0" w:space="0" w:color="auto"/>
          </w:divBdr>
        </w:div>
      </w:divsChild>
    </w:div>
    <w:div w:id="274336025">
      <w:bodyDiv w:val="1"/>
      <w:marLeft w:val="0"/>
      <w:marRight w:val="0"/>
      <w:marTop w:val="0"/>
      <w:marBottom w:val="0"/>
      <w:divBdr>
        <w:top w:val="none" w:sz="0" w:space="0" w:color="auto"/>
        <w:left w:val="none" w:sz="0" w:space="0" w:color="auto"/>
        <w:bottom w:val="none" w:sz="0" w:space="0" w:color="auto"/>
        <w:right w:val="none" w:sz="0" w:space="0" w:color="auto"/>
      </w:divBdr>
      <w:divsChild>
        <w:div w:id="1430197797">
          <w:marLeft w:val="0"/>
          <w:marRight w:val="0"/>
          <w:marTop w:val="0"/>
          <w:marBottom w:val="0"/>
          <w:divBdr>
            <w:top w:val="none" w:sz="0" w:space="0" w:color="auto"/>
            <w:left w:val="none" w:sz="0" w:space="0" w:color="auto"/>
            <w:bottom w:val="none" w:sz="0" w:space="0" w:color="auto"/>
            <w:right w:val="none" w:sz="0" w:space="0" w:color="auto"/>
          </w:divBdr>
          <w:divsChild>
            <w:div w:id="1872303054">
              <w:marLeft w:val="0"/>
              <w:marRight w:val="0"/>
              <w:marTop w:val="465"/>
              <w:marBottom w:val="300"/>
              <w:divBdr>
                <w:top w:val="none" w:sz="0" w:space="0" w:color="auto"/>
                <w:left w:val="none" w:sz="0" w:space="0" w:color="auto"/>
                <w:bottom w:val="none" w:sz="0" w:space="0" w:color="auto"/>
                <w:right w:val="none" w:sz="0" w:space="0" w:color="auto"/>
              </w:divBdr>
            </w:div>
          </w:divsChild>
        </w:div>
      </w:divsChild>
    </w:div>
    <w:div w:id="288633107">
      <w:bodyDiv w:val="1"/>
      <w:marLeft w:val="0"/>
      <w:marRight w:val="0"/>
      <w:marTop w:val="0"/>
      <w:marBottom w:val="0"/>
      <w:divBdr>
        <w:top w:val="none" w:sz="0" w:space="0" w:color="auto"/>
        <w:left w:val="none" w:sz="0" w:space="0" w:color="auto"/>
        <w:bottom w:val="none" w:sz="0" w:space="0" w:color="auto"/>
        <w:right w:val="none" w:sz="0" w:space="0" w:color="auto"/>
      </w:divBdr>
      <w:divsChild>
        <w:div w:id="715466554">
          <w:marLeft w:val="533"/>
          <w:marRight w:val="0"/>
          <w:marTop w:val="120"/>
          <w:marBottom w:val="0"/>
          <w:divBdr>
            <w:top w:val="none" w:sz="0" w:space="0" w:color="auto"/>
            <w:left w:val="none" w:sz="0" w:space="0" w:color="auto"/>
            <w:bottom w:val="none" w:sz="0" w:space="0" w:color="auto"/>
            <w:right w:val="none" w:sz="0" w:space="0" w:color="auto"/>
          </w:divBdr>
        </w:div>
        <w:div w:id="1716269990">
          <w:marLeft w:val="533"/>
          <w:marRight w:val="0"/>
          <w:marTop w:val="120"/>
          <w:marBottom w:val="0"/>
          <w:divBdr>
            <w:top w:val="none" w:sz="0" w:space="0" w:color="auto"/>
            <w:left w:val="none" w:sz="0" w:space="0" w:color="auto"/>
            <w:bottom w:val="none" w:sz="0" w:space="0" w:color="auto"/>
            <w:right w:val="none" w:sz="0" w:space="0" w:color="auto"/>
          </w:divBdr>
        </w:div>
      </w:divsChild>
    </w:div>
    <w:div w:id="325741675">
      <w:bodyDiv w:val="1"/>
      <w:marLeft w:val="0"/>
      <w:marRight w:val="0"/>
      <w:marTop w:val="0"/>
      <w:marBottom w:val="0"/>
      <w:divBdr>
        <w:top w:val="none" w:sz="0" w:space="0" w:color="auto"/>
        <w:left w:val="none" w:sz="0" w:space="0" w:color="auto"/>
        <w:bottom w:val="none" w:sz="0" w:space="0" w:color="auto"/>
        <w:right w:val="none" w:sz="0" w:space="0" w:color="auto"/>
      </w:divBdr>
    </w:div>
    <w:div w:id="384717838">
      <w:bodyDiv w:val="1"/>
      <w:marLeft w:val="0"/>
      <w:marRight w:val="0"/>
      <w:marTop w:val="0"/>
      <w:marBottom w:val="0"/>
      <w:divBdr>
        <w:top w:val="none" w:sz="0" w:space="0" w:color="auto"/>
        <w:left w:val="none" w:sz="0" w:space="0" w:color="auto"/>
        <w:bottom w:val="none" w:sz="0" w:space="0" w:color="auto"/>
        <w:right w:val="none" w:sz="0" w:space="0" w:color="auto"/>
      </w:divBdr>
    </w:div>
    <w:div w:id="394743696">
      <w:bodyDiv w:val="1"/>
      <w:marLeft w:val="0"/>
      <w:marRight w:val="0"/>
      <w:marTop w:val="0"/>
      <w:marBottom w:val="0"/>
      <w:divBdr>
        <w:top w:val="none" w:sz="0" w:space="0" w:color="auto"/>
        <w:left w:val="none" w:sz="0" w:space="0" w:color="auto"/>
        <w:bottom w:val="none" w:sz="0" w:space="0" w:color="auto"/>
        <w:right w:val="none" w:sz="0" w:space="0" w:color="auto"/>
      </w:divBdr>
    </w:div>
    <w:div w:id="422344079">
      <w:bodyDiv w:val="1"/>
      <w:marLeft w:val="0"/>
      <w:marRight w:val="0"/>
      <w:marTop w:val="0"/>
      <w:marBottom w:val="0"/>
      <w:divBdr>
        <w:top w:val="none" w:sz="0" w:space="0" w:color="auto"/>
        <w:left w:val="none" w:sz="0" w:space="0" w:color="auto"/>
        <w:bottom w:val="none" w:sz="0" w:space="0" w:color="auto"/>
        <w:right w:val="none" w:sz="0" w:space="0" w:color="auto"/>
      </w:divBdr>
      <w:divsChild>
        <w:div w:id="700126991">
          <w:marLeft w:val="533"/>
          <w:marRight w:val="0"/>
          <w:marTop w:val="120"/>
          <w:marBottom w:val="0"/>
          <w:divBdr>
            <w:top w:val="none" w:sz="0" w:space="0" w:color="auto"/>
            <w:left w:val="none" w:sz="0" w:space="0" w:color="auto"/>
            <w:bottom w:val="none" w:sz="0" w:space="0" w:color="auto"/>
            <w:right w:val="none" w:sz="0" w:space="0" w:color="auto"/>
          </w:divBdr>
        </w:div>
      </w:divsChild>
    </w:div>
    <w:div w:id="430392436">
      <w:bodyDiv w:val="1"/>
      <w:marLeft w:val="0"/>
      <w:marRight w:val="0"/>
      <w:marTop w:val="0"/>
      <w:marBottom w:val="0"/>
      <w:divBdr>
        <w:top w:val="none" w:sz="0" w:space="0" w:color="auto"/>
        <w:left w:val="none" w:sz="0" w:space="0" w:color="auto"/>
        <w:bottom w:val="none" w:sz="0" w:space="0" w:color="auto"/>
        <w:right w:val="none" w:sz="0" w:space="0" w:color="auto"/>
      </w:divBdr>
    </w:div>
    <w:div w:id="452286922">
      <w:bodyDiv w:val="1"/>
      <w:marLeft w:val="0"/>
      <w:marRight w:val="0"/>
      <w:marTop w:val="0"/>
      <w:marBottom w:val="0"/>
      <w:divBdr>
        <w:top w:val="none" w:sz="0" w:space="0" w:color="auto"/>
        <w:left w:val="none" w:sz="0" w:space="0" w:color="auto"/>
        <w:bottom w:val="none" w:sz="0" w:space="0" w:color="auto"/>
        <w:right w:val="none" w:sz="0" w:space="0" w:color="auto"/>
      </w:divBdr>
    </w:div>
    <w:div w:id="458954733">
      <w:bodyDiv w:val="1"/>
      <w:marLeft w:val="0"/>
      <w:marRight w:val="0"/>
      <w:marTop w:val="0"/>
      <w:marBottom w:val="0"/>
      <w:divBdr>
        <w:top w:val="none" w:sz="0" w:space="0" w:color="auto"/>
        <w:left w:val="none" w:sz="0" w:space="0" w:color="auto"/>
        <w:bottom w:val="none" w:sz="0" w:space="0" w:color="auto"/>
        <w:right w:val="none" w:sz="0" w:space="0" w:color="auto"/>
      </w:divBdr>
    </w:div>
    <w:div w:id="592320557">
      <w:bodyDiv w:val="1"/>
      <w:marLeft w:val="0"/>
      <w:marRight w:val="0"/>
      <w:marTop w:val="0"/>
      <w:marBottom w:val="0"/>
      <w:divBdr>
        <w:top w:val="none" w:sz="0" w:space="0" w:color="auto"/>
        <w:left w:val="none" w:sz="0" w:space="0" w:color="auto"/>
        <w:bottom w:val="none" w:sz="0" w:space="0" w:color="auto"/>
        <w:right w:val="none" w:sz="0" w:space="0" w:color="auto"/>
      </w:divBdr>
    </w:div>
    <w:div w:id="831338932">
      <w:bodyDiv w:val="1"/>
      <w:marLeft w:val="0"/>
      <w:marRight w:val="0"/>
      <w:marTop w:val="0"/>
      <w:marBottom w:val="0"/>
      <w:divBdr>
        <w:top w:val="none" w:sz="0" w:space="0" w:color="auto"/>
        <w:left w:val="none" w:sz="0" w:space="0" w:color="auto"/>
        <w:bottom w:val="none" w:sz="0" w:space="0" w:color="auto"/>
        <w:right w:val="none" w:sz="0" w:space="0" w:color="auto"/>
      </w:divBdr>
    </w:div>
    <w:div w:id="837816082">
      <w:bodyDiv w:val="1"/>
      <w:marLeft w:val="0"/>
      <w:marRight w:val="0"/>
      <w:marTop w:val="0"/>
      <w:marBottom w:val="0"/>
      <w:divBdr>
        <w:top w:val="none" w:sz="0" w:space="0" w:color="auto"/>
        <w:left w:val="none" w:sz="0" w:space="0" w:color="auto"/>
        <w:bottom w:val="none" w:sz="0" w:space="0" w:color="auto"/>
        <w:right w:val="none" w:sz="0" w:space="0" w:color="auto"/>
      </w:divBdr>
    </w:div>
    <w:div w:id="866721256">
      <w:bodyDiv w:val="1"/>
      <w:marLeft w:val="0"/>
      <w:marRight w:val="0"/>
      <w:marTop w:val="0"/>
      <w:marBottom w:val="0"/>
      <w:divBdr>
        <w:top w:val="none" w:sz="0" w:space="0" w:color="auto"/>
        <w:left w:val="none" w:sz="0" w:space="0" w:color="auto"/>
        <w:bottom w:val="none" w:sz="0" w:space="0" w:color="auto"/>
        <w:right w:val="none" w:sz="0" w:space="0" w:color="auto"/>
      </w:divBdr>
    </w:div>
    <w:div w:id="870651888">
      <w:bodyDiv w:val="1"/>
      <w:marLeft w:val="0"/>
      <w:marRight w:val="0"/>
      <w:marTop w:val="0"/>
      <w:marBottom w:val="0"/>
      <w:divBdr>
        <w:top w:val="none" w:sz="0" w:space="0" w:color="auto"/>
        <w:left w:val="none" w:sz="0" w:space="0" w:color="auto"/>
        <w:bottom w:val="none" w:sz="0" w:space="0" w:color="auto"/>
        <w:right w:val="none" w:sz="0" w:space="0" w:color="auto"/>
      </w:divBdr>
      <w:divsChild>
        <w:div w:id="949974996">
          <w:marLeft w:val="533"/>
          <w:marRight w:val="0"/>
          <w:marTop w:val="120"/>
          <w:marBottom w:val="0"/>
          <w:divBdr>
            <w:top w:val="none" w:sz="0" w:space="0" w:color="auto"/>
            <w:left w:val="none" w:sz="0" w:space="0" w:color="auto"/>
            <w:bottom w:val="none" w:sz="0" w:space="0" w:color="auto"/>
            <w:right w:val="none" w:sz="0" w:space="0" w:color="auto"/>
          </w:divBdr>
        </w:div>
      </w:divsChild>
    </w:div>
    <w:div w:id="872114340">
      <w:bodyDiv w:val="1"/>
      <w:marLeft w:val="0"/>
      <w:marRight w:val="0"/>
      <w:marTop w:val="0"/>
      <w:marBottom w:val="0"/>
      <w:divBdr>
        <w:top w:val="none" w:sz="0" w:space="0" w:color="auto"/>
        <w:left w:val="none" w:sz="0" w:space="0" w:color="auto"/>
        <w:bottom w:val="none" w:sz="0" w:space="0" w:color="auto"/>
        <w:right w:val="none" w:sz="0" w:space="0" w:color="auto"/>
      </w:divBdr>
    </w:div>
    <w:div w:id="885725113">
      <w:bodyDiv w:val="1"/>
      <w:marLeft w:val="0"/>
      <w:marRight w:val="0"/>
      <w:marTop w:val="0"/>
      <w:marBottom w:val="0"/>
      <w:divBdr>
        <w:top w:val="none" w:sz="0" w:space="0" w:color="auto"/>
        <w:left w:val="none" w:sz="0" w:space="0" w:color="auto"/>
        <w:bottom w:val="none" w:sz="0" w:space="0" w:color="auto"/>
        <w:right w:val="none" w:sz="0" w:space="0" w:color="auto"/>
      </w:divBdr>
    </w:div>
    <w:div w:id="937643826">
      <w:bodyDiv w:val="1"/>
      <w:marLeft w:val="0"/>
      <w:marRight w:val="0"/>
      <w:marTop w:val="0"/>
      <w:marBottom w:val="0"/>
      <w:divBdr>
        <w:top w:val="none" w:sz="0" w:space="0" w:color="auto"/>
        <w:left w:val="none" w:sz="0" w:space="0" w:color="auto"/>
        <w:bottom w:val="none" w:sz="0" w:space="0" w:color="auto"/>
        <w:right w:val="none" w:sz="0" w:space="0" w:color="auto"/>
      </w:divBdr>
    </w:div>
    <w:div w:id="995649443">
      <w:bodyDiv w:val="1"/>
      <w:marLeft w:val="0"/>
      <w:marRight w:val="0"/>
      <w:marTop w:val="0"/>
      <w:marBottom w:val="0"/>
      <w:divBdr>
        <w:top w:val="none" w:sz="0" w:space="0" w:color="auto"/>
        <w:left w:val="none" w:sz="0" w:space="0" w:color="auto"/>
        <w:bottom w:val="none" w:sz="0" w:space="0" w:color="auto"/>
        <w:right w:val="none" w:sz="0" w:space="0" w:color="auto"/>
      </w:divBdr>
      <w:divsChild>
        <w:div w:id="842208820">
          <w:marLeft w:val="533"/>
          <w:marRight w:val="0"/>
          <w:marTop w:val="120"/>
          <w:marBottom w:val="0"/>
          <w:divBdr>
            <w:top w:val="none" w:sz="0" w:space="0" w:color="auto"/>
            <w:left w:val="none" w:sz="0" w:space="0" w:color="auto"/>
            <w:bottom w:val="none" w:sz="0" w:space="0" w:color="auto"/>
            <w:right w:val="none" w:sz="0" w:space="0" w:color="auto"/>
          </w:divBdr>
        </w:div>
        <w:div w:id="951858792">
          <w:marLeft w:val="533"/>
          <w:marRight w:val="0"/>
          <w:marTop w:val="120"/>
          <w:marBottom w:val="0"/>
          <w:divBdr>
            <w:top w:val="none" w:sz="0" w:space="0" w:color="auto"/>
            <w:left w:val="none" w:sz="0" w:space="0" w:color="auto"/>
            <w:bottom w:val="none" w:sz="0" w:space="0" w:color="auto"/>
            <w:right w:val="none" w:sz="0" w:space="0" w:color="auto"/>
          </w:divBdr>
        </w:div>
      </w:divsChild>
    </w:div>
    <w:div w:id="1043362787">
      <w:bodyDiv w:val="1"/>
      <w:marLeft w:val="0"/>
      <w:marRight w:val="0"/>
      <w:marTop w:val="0"/>
      <w:marBottom w:val="0"/>
      <w:divBdr>
        <w:top w:val="none" w:sz="0" w:space="0" w:color="auto"/>
        <w:left w:val="none" w:sz="0" w:space="0" w:color="auto"/>
        <w:bottom w:val="none" w:sz="0" w:space="0" w:color="auto"/>
        <w:right w:val="none" w:sz="0" w:space="0" w:color="auto"/>
      </w:divBdr>
    </w:div>
    <w:div w:id="1064645468">
      <w:bodyDiv w:val="1"/>
      <w:marLeft w:val="0"/>
      <w:marRight w:val="0"/>
      <w:marTop w:val="0"/>
      <w:marBottom w:val="0"/>
      <w:divBdr>
        <w:top w:val="none" w:sz="0" w:space="0" w:color="auto"/>
        <w:left w:val="none" w:sz="0" w:space="0" w:color="auto"/>
        <w:bottom w:val="none" w:sz="0" w:space="0" w:color="auto"/>
        <w:right w:val="none" w:sz="0" w:space="0" w:color="auto"/>
      </w:divBdr>
    </w:div>
    <w:div w:id="1080910377">
      <w:bodyDiv w:val="1"/>
      <w:marLeft w:val="0"/>
      <w:marRight w:val="0"/>
      <w:marTop w:val="0"/>
      <w:marBottom w:val="0"/>
      <w:divBdr>
        <w:top w:val="none" w:sz="0" w:space="0" w:color="auto"/>
        <w:left w:val="none" w:sz="0" w:space="0" w:color="auto"/>
        <w:bottom w:val="none" w:sz="0" w:space="0" w:color="auto"/>
        <w:right w:val="none" w:sz="0" w:space="0" w:color="auto"/>
      </w:divBdr>
    </w:div>
    <w:div w:id="1105463493">
      <w:bodyDiv w:val="1"/>
      <w:marLeft w:val="0"/>
      <w:marRight w:val="0"/>
      <w:marTop w:val="0"/>
      <w:marBottom w:val="0"/>
      <w:divBdr>
        <w:top w:val="none" w:sz="0" w:space="0" w:color="auto"/>
        <w:left w:val="none" w:sz="0" w:space="0" w:color="auto"/>
        <w:bottom w:val="none" w:sz="0" w:space="0" w:color="auto"/>
        <w:right w:val="none" w:sz="0" w:space="0" w:color="auto"/>
      </w:divBdr>
    </w:div>
    <w:div w:id="1114053025">
      <w:bodyDiv w:val="1"/>
      <w:marLeft w:val="0"/>
      <w:marRight w:val="0"/>
      <w:marTop w:val="0"/>
      <w:marBottom w:val="0"/>
      <w:divBdr>
        <w:top w:val="none" w:sz="0" w:space="0" w:color="auto"/>
        <w:left w:val="none" w:sz="0" w:space="0" w:color="auto"/>
        <w:bottom w:val="none" w:sz="0" w:space="0" w:color="auto"/>
        <w:right w:val="none" w:sz="0" w:space="0" w:color="auto"/>
      </w:divBdr>
    </w:div>
    <w:div w:id="1138767164">
      <w:bodyDiv w:val="1"/>
      <w:marLeft w:val="0"/>
      <w:marRight w:val="0"/>
      <w:marTop w:val="0"/>
      <w:marBottom w:val="0"/>
      <w:divBdr>
        <w:top w:val="none" w:sz="0" w:space="0" w:color="auto"/>
        <w:left w:val="none" w:sz="0" w:space="0" w:color="auto"/>
        <w:bottom w:val="none" w:sz="0" w:space="0" w:color="auto"/>
        <w:right w:val="none" w:sz="0" w:space="0" w:color="auto"/>
      </w:divBdr>
    </w:div>
    <w:div w:id="1184172945">
      <w:bodyDiv w:val="1"/>
      <w:marLeft w:val="0"/>
      <w:marRight w:val="0"/>
      <w:marTop w:val="0"/>
      <w:marBottom w:val="0"/>
      <w:divBdr>
        <w:top w:val="none" w:sz="0" w:space="0" w:color="auto"/>
        <w:left w:val="none" w:sz="0" w:space="0" w:color="auto"/>
        <w:bottom w:val="none" w:sz="0" w:space="0" w:color="auto"/>
        <w:right w:val="none" w:sz="0" w:space="0" w:color="auto"/>
      </w:divBdr>
    </w:div>
    <w:div w:id="1298413024">
      <w:bodyDiv w:val="1"/>
      <w:marLeft w:val="0"/>
      <w:marRight w:val="0"/>
      <w:marTop w:val="0"/>
      <w:marBottom w:val="0"/>
      <w:divBdr>
        <w:top w:val="none" w:sz="0" w:space="0" w:color="auto"/>
        <w:left w:val="none" w:sz="0" w:space="0" w:color="auto"/>
        <w:bottom w:val="none" w:sz="0" w:space="0" w:color="auto"/>
        <w:right w:val="none" w:sz="0" w:space="0" w:color="auto"/>
      </w:divBdr>
      <w:divsChild>
        <w:div w:id="1017848379">
          <w:marLeft w:val="533"/>
          <w:marRight w:val="0"/>
          <w:marTop w:val="120"/>
          <w:marBottom w:val="0"/>
          <w:divBdr>
            <w:top w:val="none" w:sz="0" w:space="0" w:color="auto"/>
            <w:left w:val="none" w:sz="0" w:space="0" w:color="auto"/>
            <w:bottom w:val="none" w:sz="0" w:space="0" w:color="auto"/>
            <w:right w:val="none" w:sz="0" w:space="0" w:color="auto"/>
          </w:divBdr>
        </w:div>
      </w:divsChild>
    </w:div>
    <w:div w:id="1344165116">
      <w:bodyDiv w:val="1"/>
      <w:marLeft w:val="0"/>
      <w:marRight w:val="0"/>
      <w:marTop w:val="0"/>
      <w:marBottom w:val="0"/>
      <w:divBdr>
        <w:top w:val="none" w:sz="0" w:space="0" w:color="auto"/>
        <w:left w:val="none" w:sz="0" w:space="0" w:color="auto"/>
        <w:bottom w:val="none" w:sz="0" w:space="0" w:color="auto"/>
        <w:right w:val="none" w:sz="0" w:space="0" w:color="auto"/>
      </w:divBdr>
    </w:div>
    <w:div w:id="1347027026">
      <w:bodyDiv w:val="1"/>
      <w:marLeft w:val="0"/>
      <w:marRight w:val="0"/>
      <w:marTop w:val="0"/>
      <w:marBottom w:val="0"/>
      <w:divBdr>
        <w:top w:val="none" w:sz="0" w:space="0" w:color="auto"/>
        <w:left w:val="none" w:sz="0" w:space="0" w:color="auto"/>
        <w:bottom w:val="none" w:sz="0" w:space="0" w:color="auto"/>
        <w:right w:val="none" w:sz="0" w:space="0" w:color="auto"/>
      </w:divBdr>
    </w:div>
    <w:div w:id="1406148580">
      <w:bodyDiv w:val="1"/>
      <w:marLeft w:val="0"/>
      <w:marRight w:val="0"/>
      <w:marTop w:val="0"/>
      <w:marBottom w:val="0"/>
      <w:divBdr>
        <w:top w:val="none" w:sz="0" w:space="0" w:color="auto"/>
        <w:left w:val="none" w:sz="0" w:space="0" w:color="auto"/>
        <w:bottom w:val="none" w:sz="0" w:space="0" w:color="auto"/>
        <w:right w:val="none" w:sz="0" w:space="0" w:color="auto"/>
      </w:divBdr>
      <w:divsChild>
        <w:div w:id="2091074360">
          <w:marLeft w:val="533"/>
          <w:marRight w:val="0"/>
          <w:marTop w:val="120"/>
          <w:marBottom w:val="0"/>
          <w:divBdr>
            <w:top w:val="none" w:sz="0" w:space="0" w:color="auto"/>
            <w:left w:val="none" w:sz="0" w:space="0" w:color="auto"/>
            <w:bottom w:val="none" w:sz="0" w:space="0" w:color="auto"/>
            <w:right w:val="none" w:sz="0" w:space="0" w:color="auto"/>
          </w:divBdr>
        </w:div>
      </w:divsChild>
    </w:div>
    <w:div w:id="1525437365">
      <w:bodyDiv w:val="1"/>
      <w:marLeft w:val="0"/>
      <w:marRight w:val="0"/>
      <w:marTop w:val="0"/>
      <w:marBottom w:val="0"/>
      <w:divBdr>
        <w:top w:val="none" w:sz="0" w:space="0" w:color="auto"/>
        <w:left w:val="none" w:sz="0" w:space="0" w:color="auto"/>
        <w:bottom w:val="none" w:sz="0" w:space="0" w:color="auto"/>
        <w:right w:val="none" w:sz="0" w:space="0" w:color="auto"/>
      </w:divBdr>
    </w:div>
    <w:div w:id="1533687695">
      <w:bodyDiv w:val="1"/>
      <w:marLeft w:val="0"/>
      <w:marRight w:val="0"/>
      <w:marTop w:val="0"/>
      <w:marBottom w:val="0"/>
      <w:divBdr>
        <w:top w:val="none" w:sz="0" w:space="0" w:color="auto"/>
        <w:left w:val="none" w:sz="0" w:space="0" w:color="auto"/>
        <w:bottom w:val="none" w:sz="0" w:space="0" w:color="auto"/>
        <w:right w:val="none" w:sz="0" w:space="0" w:color="auto"/>
      </w:divBdr>
    </w:div>
    <w:div w:id="1587768524">
      <w:bodyDiv w:val="1"/>
      <w:marLeft w:val="0"/>
      <w:marRight w:val="0"/>
      <w:marTop w:val="0"/>
      <w:marBottom w:val="0"/>
      <w:divBdr>
        <w:top w:val="none" w:sz="0" w:space="0" w:color="auto"/>
        <w:left w:val="none" w:sz="0" w:space="0" w:color="auto"/>
        <w:bottom w:val="none" w:sz="0" w:space="0" w:color="auto"/>
        <w:right w:val="none" w:sz="0" w:space="0" w:color="auto"/>
      </w:divBdr>
    </w:div>
    <w:div w:id="1643121107">
      <w:bodyDiv w:val="1"/>
      <w:marLeft w:val="0"/>
      <w:marRight w:val="0"/>
      <w:marTop w:val="0"/>
      <w:marBottom w:val="0"/>
      <w:divBdr>
        <w:top w:val="none" w:sz="0" w:space="0" w:color="auto"/>
        <w:left w:val="none" w:sz="0" w:space="0" w:color="auto"/>
        <w:bottom w:val="none" w:sz="0" w:space="0" w:color="auto"/>
        <w:right w:val="none" w:sz="0" w:space="0" w:color="auto"/>
      </w:divBdr>
    </w:div>
    <w:div w:id="1689597116">
      <w:bodyDiv w:val="1"/>
      <w:marLeft w:val="0"/>
      <w:marRight w:val="0"/>
      <w:marTop w:val="0"/>
      <w:marBottom w:val="0"/>
      <w:divBdr>
        <w:top w:val="none" w:sz="0" w:space="0" w:color="auto"/>
        <w:left w:val="none" w:sz="0" w:space="0" w:color="auto"/>
        <w:bottom w:val="none" w:sz="0" w:space="0" w:color="auto"/>
        <w:right w:val="none" w:sz="0" w:space="0" w:color="auto"/>
      </w:divBdr>
    </w:div>
    <w:div w:id="1715813210">
      <w:bodyDiv w:val="1"/>
      <w:marLeft w:val="0"/>
      <w:marRight w:val="0"/>
      <w:marTop w:val="0"/>
      <w:marBottom w:val="0"/>
      <w:divBdr>
        <w:top w:val="none" w:sz="0" w:space="0" w:color="auto"/>
        <w:left w:val="none" w:sz="0" w:space="0" w:color="auto"/>
        <w:bottom w:val="none" w:sz="0" w:space="0" w:color="auto"/>
        <w:right w:val="none" w:sz="0" w:space="0" w:color="auto"/>
      </w:divBdr>
    </w:div>
    <w:div w:id="1792163722">
      <w:bodyDiv w:val="1"/>
      <w:marLeft w:val="0"/>
      <w:marRight w:val="0"/>
      <w:marTop w:val="0"/>
      <w:marBottom w:val="0"/>
      <w:divBdr>
        <w:top w:val="none" w:sz="0" w:space="0" w:color="auto"/>
        <w:left w:val="none" w:sz="0" w:space="0" w:color="auto"/>
        <w:bottom w:val="none" w:sz="0" w:space="0" w:color="auto"/>
        <w:right w:val="none" w:sz="0" w:space="0" w:color="auto"/>
      </w:divBdr>
    </w:div>
    <w:div w:id="1804614343">
      <w:bodyDiv w:val="1"/>
      <w:marLeft w:val="0"/>
      <w:marRight w:val="0"/>
      <w:marTop w:val="0"/>
      <w:marBottom w:val="0"/>
      <w:divBdr>
        <w:top w:val="none" w:sz="0" w:space="0" w:color="auto"/>
        <w:left w:val="none" w:sz="0" w:space="0" w:color="auto"/>
        <w:bottom w:val="none" w:sz="0" w:space="0" w:color="auto"/>
        <w:right w:val="none" w:sz="0" w:space="0" w:color="auto"/>
      </w:divBdr>
    </w:div>
    <w:div w:id="1814761323">
      <w:bodyDiv w:val="1"/>
      <w:marLeft w:val="0"/>
      <w:marRight w:val="0"/>
      <w:marTop w:val="0"/>
      <w:marBottom w:val="0"/>
      <w:divBdr>
        <w:top w:val="none" w:sz="0" w:space="0" w:color="auto"/>
        <w:left w:val="none" w:sz="0" w:space="0" w:color="auto"/>
        <w:bottom w:val="none" w:sz="0" w:space="0" w:color="auto"/>
        <w:right w:val="none" w:sz="0" w:space="0" w:color="auto"/>
      </w:divBdr>
    </w:div>
    <w:div w:id="1827938263">
      <w:bodyDiv w:val="1"/>
      <w:marLeft w:val="0"/>
      <w:marRight w:val="0"/>
      <w:marTop w:val="0"/>
      <w:marBottom w:val="0"/>
      <w:divBdr>
        <w:top w:val="none" w:sz="0" w:space="0" w:color="auto"/>
        <w:left w:val="none" w:sz="0" w:space="0" w:color="auto"/>
        <w:bottom w:val="none" w:sz="0" w:space="0" w:color="auto"/>
        <w:right w:val="none" w:sz="0" w:space="0" w:color="auto"/>
      </w:divBdr>
    </w:div>
    <w:div w:id="1879973795">
      <w:bodyDiv w:val="1"/>
      <w:marLeft w:val="0"/>
      <w:marRight w:val="0"/>
      <w:marTop w:val="0"/>
      <w:marBottom w:val="0"/>
      <w:divBdr>
        <w:top w:val="none" w:sz="0" w:space="0" w:color="auto"/>
        <w:left w:val="none" w:sz="0" w:space="0" w:color="auto"/>
        <w:bottom w:val="none" w:sz="0" w:space="0" w:color="auto"/>
        <w:right w:val="none" w:sz="0" w:space="0" w:color="auto"/>
      </w:divBdr>
    </w:div>
    <w:div w:id="1904098233">
      <w:bodyDiv w:val="1"/>
      <w:marLeft w:val="0"/>
      <w:marRight w:val="0"/>
      <w:marTop w:val="0"/>
      <w:marBottom w:val="0"/>
      <w:divBdr>
        <w:top w:val="none" w:sz="0" w:space="0" w:color="auto"/>
        <w:left w:val="none" w:sz="0" w:space="0" w:color="auto"/>
        <w:bottom w:val="none" w:sz="0" w:space="0" w:color="auto"/>
        <w:right w:val="none" w:sz="0" w:space="0" w:color="auto"/>
      </w:divBdr>
      <w:divsChild>
        <w:div w:id="369652213">
          <w:marLeft w:val="533"/>
          <w:marRight w:val="0"/>
          <w:marTop w:val="120"/>
          <w:marBottom w:val="0"/>
          <w:divBdr>
            <w:top w:val="none" w:sz="0" w:space="0" w:color="auto"/>
            <w:left w:val="none" w:sz="0" w:space="0" w:color="auto"/>
            <w:bottom w:val="none" w:sz="0" w:space="0" w:color="auto"/>
            <w:right w:val="none" w:sz="0" w:space="0" w:color="auto"/>
          </w:divBdr>
        </w:div>
      </w:divsChild>
    </w:div>
    <w:div w:id="1908686704">
      <w:bodyDiv w:val="1"/>
      <w:marLeft w:val="0"/>
      <w:marRight w:val="0"/>
      <w:marTop w:val="0"/>
      <w:marBottom w:val="0"/>
      <w:divBdr>
        <w:top w:val="none" w:sz="0" w:space="0" w:color="auto"/>
        <w:left w:val="none" w:sz="0" w:space="0" w:color="auto"/>
        <w:bottom w:val="none" w:sz="0" w:space="0" w:color="auto"/>
        <w:right w:val="none" w:sz="0" w:space="0" w:color="auto"/>
      </w:divBdr>
    </w:div>
    <w:div w:id="1929970459">
      <w:bodyDiv w:val="1"/>
      <w:marLeft w:val="0"/>
      <w:marRight w:val="0"/>
      <w:marTop w:val="0"/>
      <w:marBottom w:val="0"/>
      <w:divBdr>
        <w:top w:val="none" w:sz="0" w:space="0" w:color="auto"/>
        <w:left w:val="none" w:sz="0" w:space="0" w:color="auto"/>
        <w:bottom w:val="none" w:sz="0" w:space="0" w:color="auto"/>
        <w:right w:val="none" w:sz="0" w:space="0" w:color="auto"/>
      </w:divBdr>
    </w:div>
    <w:div w:id="1964118590">
      <w:bodyDiv w:val="1"/>
      <w:marLeft w:val="0"/>
      <w:marRight w:val="0"/>
      <w:marTop w:val="0"/>
      <w:marBottom w:val="0"/>
      <w:divBdr>
        <w:top w:val="none" w:sz="0" w:space="0" w:color="auto"/>
        <w:left w:val="none" w:sz="0" w:space="0" w:color="auto"/>
        <w:bottom w:val="none" w:sz="0" w:space="0" w:color="auto"/>
        <w:right w:val="none" w:sz="0" w:space="0" w:color="auto"/>
      </w:divBdr>
      <w:divsChild>
        <w:div w:id="2129353941">
          <w:marLeft w:val="533"/>
          <w:marRight w:val="0"/>
          <w:marTop w:val="120"/>
          <w:marBottom w:val="0"/>
          <w:divBdr>
            <w:top w:val="none" w:sz="0" w:space="0" w:color="auto"/>
            <w:left w:val="none" w:sz="0" w:space="0" w:color="auto"/>
            <w:bottom w:val="none" w:sz="0" w:space="0" w:color="auto"/>
            <w:right w:val="none" w:sz="0" w:space="0" w:color="auto"/>
          </w:divBdr>
        </w:div>
      </w:divsChild>
    </w:div>
    <w:div w:id="1980376270">
      <w:bodyDiv w:val="1"/>
      <w:marLeft w:val="0"/>
      <w:marRight w:val="0"/>
      <w:marTop w:val="0"/>
      <w:marBottom w:val="0"/>
      <w:divBdr>
        <w:top w:val="none" w:sz="0" w:space="0" w:color="auto"/>
        <w:left w:val="none" w:sz="0" w:space="0" w:color="auto"/>
        <w:bottom w:val="none" w:sz="0" w:space="0" w:color="auto"/>
        <w:right w:val="none" w:sz="0" w:space="0" w:color="auto"/>
      </w:divBdr>
    </w:div>
    <w:div w:id="2011062938">
      <w:bodyDiv w:val="1"/>
      <w:marLeft w:val="0"/>
      <w:marRight w:val="0"/>
      <w:marTop w:val="0"/>
      <w:marBottom w:val="0"/>
      <w:divBdr>
        <w:top w:val="none" w:sz="0" w:space="0" w:color="auto"/>
        <w:left w:val="none" w:sz="0" w:space="0" w:color="auto"/>
        <w:bottom w:val="none" w:sz="0" w:space="0" w:color="auto"/>
        <w:right w:val="none" w:sz="0" w:space="0" w:color="auto"/>
      </w:divBdr>
      <w:divsChild>
        <w:div w:id="750197585">
          <w:marLeft w:val="533"/>
          <w:marRight w:val="0"/>
          <w:marTop w:val="120"/>
          <w:marBottom w:val="0"/>
          <w:divBdr>
            <w:top w:val="none" w:sz="0" w:space="0" w:color="auto"/>
            <w:left w:val="none" w:sz="0" w:space="0" w:color="auto"/>
            <w:bottom w:val="none" w:sz="0" w:space="0" w:color="auto"/>
            <w:right w:val="none" w:sz="0" w:space="0" w:color="auto"/>
          </w:divBdr>
        </w:div>
      </w:divsChild>
    </w:div>
    <w:div w:id="2077632041">
      <w:bodyDiv w:val="1"/>
      <w:marLeft w:val="0"/>
      <w:marRight w:val="0"/>
      <w:marTop w:val="0"/>
      <w:marBottom w:val="0"/>
      <w:divBdr>
        <w:top w:val="none" w:sz="0" w:space="0" w:color="auto"/>
        <w:left w:val="none" w:sz="0" w:space="0" w:color="auto"/>
        <w:bottom w:val="none" w:sz="0" w:space="0" w:color="auto"/>
        <w:right w:val="none" w:sz="0" w:space="0" w:color="auto"/>
      </w:divBdr>
    </w:div>
    <w:div w:id="2077891924">
      <w:bodyDiv w:val="1"/>
      <w:marLeft w:val="0"/>
      <w:marRight w:val="0"/>
      <w:marTop w:val="0"/>
      <w:marBottom w:val="0"/>
      <w:divBdr>
        <w:top w:val="none" w:sz="0" w:space="0" w:color="auto"/>
        <w:left w:val="none" w:sz="0" w:space="0" w:color="auto"/>
        <w:bottom w:val="none" w:sz="0" w:space="0" w:color="auto"/>
        <w:right w:val="none" w:sz="0" w:space="0" w:color="auto"/>
      </w:divBdr>
    </w:div>
    <w:div w:id="2103530604">
      <w:bodyDiv w:val="1"/>
      <w:marLeft w:val="0"/>
      <w:marRight w:val="0"/>
      <w:marTop w:val="0"/>
      <w:marBottom w:val="0"/>
      <w:divBdr>
        <w:top w:val="none" w:sz="0" w:space="0" w:color="auto"/>
        <w:left w:val="none" w:sz="0" w:space="0" w:color="auto"/>
        <w:bottom w:val="none" w:sz="0" w:space="0" w:color="auto"/>
        <w:right w:val="none" w:sz="0" w:space="0" w:color="auto"/>
      </w:divBdr>
      <w:divsChild>
        <w:div w:id="727412153">
          <w:marLeft w:val="533"/>
          <w:marRight w:val="0"/>
          <w:marTop w:val="120"/>
          <w:marBottom w:val="0"/>
          <w:divBdr>
            <w:top w:val="none" w:sz="0" w:space="0" w:color="auto"/>
            <w:left w:val="none" w:sz="0" w:space="0" w:color="auto"/>
            <w:bottom w:val="none" w:sz="0" w:space="0" w:color="auto"/>
            <w:right w:val="none" w:sz="0" w:space="0" w:color="auto"/>
          </w:divBdr>
        </w:div>
      </w:divsChild>
    </w:div>
    <w:div w:id="2109235321">
      <w:bodyDiv w:val="1"/>
      <w:marLeft w:val="0"/>
      <w:marRight w:val="0"/>
      <w:marTop w:val="0"/>
      <w:marBottom w:val="0"/>
      <w:divBdr>
        <w:top w:val="none" w:sz="0" w:space="0" w:color="auto"/>
        <w:left w:val="none" w:sz="0" w:space="0" w:color="auto"/>
        <w:bottom w:val="none" w:sz="0" w:space="0" w:color="auto"/>
        <w:right w:val="none" w:sz="0" w:space="0" w:color="auto"/>
      </w:divBdr>
      <w:divsChild>
        <w:div w:id="330455766">
          <w:marLeft w:val="0"/>
          <w:marRight w:val="0"/>
          <w:marTop w:val="0"/>
          <w:marBottom w:val="0"/>
          <w:divBdr>
            <w:top w:val="none" w:sz="0" w:space="0" w:color="auto"/>
            <w:left w:val="none" w:sz="0" w:space="0" w:color="auto"/>
            <w:bottom w:val="none" w:sz="0" w:space="0" w:color="auto"/>
            <w:right w:val="none" w:sz="0" w:space="0" w:color="auto"/>
          </w:divBdr>
          <w:divsChild>
            <w:div w:id="134801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671348">
      <w:bodyDiv w:val="1"/>
      <w:marLeft w:val="0"/>
      <w:marRight w:val="0"/>
      <w:marTop w:val="0"/>
      <w:marBottom w:val="0"/>
      <w:divBdr>
        <w:top w:val="none" w:sz="0" w:space="0" w:color="auto"/>
        <w:left w:val="none" w:sz="0" w:space="0" w:color="auto"/>
        <w:bottom w:val="none" w:sz="0" w:space="0" w:color="auto"/>
        <w:right w:val="none" w:sz="0" w:space="0" w:color="auto"/>
      </w:divBdr>
    </w:div>
    <w:div w:id="2129398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png"/><Relationship Id="rId18" Type="http://schemas.openxmlformats.org/officeDocument/2006/relationships/chart" Target="charts/chart9.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chart" Target="charts/chart8.xml"/><Relationship Id="rId2" Type="http://schemas.openxmlformats.org/officeDocument/2006/relationships/numbering" Target="numbering.xml"/><Relationship Id="rId16" Type="http://schemas.openxmlformats.org/officeDocument/2006/relationships/chart" Target="charts/chart7.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chart" Target="charts/chart6.xml"/><Relationship Id="rId10" Type="http://schemas.openxmlformats.org/officeDocument/2006/relationships/chart" Target="charts/chart2.xml"/><Relationship Id="rId19"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chart" Target="charts/chart5.xm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charts/_rels/chart1.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oleObject" Target="file:///C:\Users\Tang\Documents\WeChat%20Files\wendyn_wang\FileStorage\File\2020-11\&#21608;&#25253;&#25968;&#25454;&#24211;.xlsx"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oleObject" Target="file:///C:\Users\Tang\Documents\WeChat%20Files\wendyn_wang\FileStorage\File\2020-11\&#21608;&#25253;&#25968;&#25454;&#24211;.xlsx"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3" Type="http://schemas.openxmlformats.org/officeDocument/2006/relationships/chartUserShapes" Target="../drawings/drawing3.xml"/><Relationship Id="rId2" Type="http://schemas.openxmlformats.org/officeDocument/2006/relationships/oleObject" Target="file:///C:\Users\Tang\Documents\WeChat%20Files\wendyn_wang\FileStorage\File\2020-11\&#21608;&#25253;&#25968;&#25454;&#24211;.xlsx" TargetMode="External"/><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3" Type="http://schemas.openxmlformats.org/officeDocument/2006/relationships/chartUserShapes" Target="../drawings/drawing4.xml"/><Relationship Id="rId2" Type="http://schemas.openxmlformats.org/officeDocument/2006/relationships/oleObject" Target="file:///C:\Users\Tang\Documents\WeChat%20Files\wendyn_wang\FileStorage\File\2020-11\&#21608;&#25253;&#25968;&#25454;&#24211;.xlsx" TargetMode="External"/><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3" Type="http://schemas.openxmlformats.org/officeDocument/2006/relationships/chartUserShapes" Target="../drawings/drawing5.xml"/><Relationship Id="rId2" Type="http://schemas.openxmlformats.org/officeDocument/2006/relationships/oleObject" Target="file:///C:\Users\Tang\Documents\WeChat%20Files\wendyn_wang\FileStorage\File\2020-11\&#21608;&#25253;&#25968;&#25454;&#24211;.xlsx" TargetMode="External"/><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3" Type="http://schemas.openxmlformats.org/officeDocument/2006/relationships/chartUserShapes" Target="../drawings/drawing6.xml"/><Relationship Id="rId2" Type="http://schemas.openxmlformats.org/officeDocument/2006/relationships/oleObject" Target="file:///C:\Users\Tang\Documents\WeChat%20Files\wendyn_wang\FileStorage\File\2020-11\&#21608;&#25253;&#25968;&#25454;&#24211;.xlsx" TargetMode="External"/><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oleObject" Target="file:///C:\Users\Tang\Documents\WeChat%20Files\wendyn_wang\FileStorage\File\2020-11\&#21608;&#25253;&#25968;&#25454;&#24211;.xlsx" TargetMode="External"/><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3" Type="http://schemas.openxmlformats.org/officeDocument/2006/relationships/chartUserShapes" Target="../drawings/drawing7.xml"/><Relationship Id="rId2" Type="http://schemas.openxmlformats.org/officeDocument/2006/relationships/oleObject" Target="file:///C:\Users\Tang\Documents\WeChat%20Files\wendyn_wang\FileStorage\File\2020-11\&#21608;&#25253;&#25968;&#25454;&#24211;.xlsx" TargetMode="External"/><Relationship Id="rId1" Type="http://schemas.openxmlformats.org/officeDocument/2006/relationships/themeOverride" Target="../theme/themeOverride8.xml"/></Relationships>
</file>

<file path=word/charts/_rels/chart9.xml.rels><?xml version="1.0" encoding="UTF-8" standalone="yes"?>
<Relationships xmlns="http://schemas.openxmlformats.org/package/2006/relationships"><Relationship Id="rId3" Type="http://schemas.openxmlformats.org/officeDocument/2006/relationships/chartUserShapes" Target="../drawings/drawing8.xml"/><Relationship Id="rId2" Type="http://schemas.openxmlformats.org/officeDocument/2006/relationships/oleObject" Target="file:///C:\Users\Tang\Documents\WeChat%20Files\wendyn_wang\FileStorage\File\2020-11\&#21608;&#25253;&#25968;&#25454;&#24211;.xlsx" TargetMode="External"/><Relationship Id="rId1" Type="http://schemas.openxmlformats.org/officeDocument/2006/relationships/themeOverride" Target="../theme/themeOverride9.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0.15022681766727072"/>
          <c:y val="0.11889850721181015"/>
          <c:w val="0.86467847769028872"/>
          <c:h val="0.78381378257051693"/>
        </c:manualLayout>
      </c:layout>
      <c:barChart>
        <c:barDir val="col"/>
        <c:grouping val="stacked"/>
        <c:varyColors val="0"/>
        <c:ser>
          <c:idx val="0"/>
          <c:order val="0"/>
          <c:tx>
            <c:strRef>
              <c:f>央行!$B$4</c:f>
              <c:strCache>
                <c:ptCount val="1"/>
                <c:pt idx="0">
                  <c:v>货币投放</c:v>
                </c:pt>
              </c:strCache>
            </c:strRef>
          </c:tx>
          <c:spPr>
            <a:solidFill>
              <a:srgbClr val="F8CBAD"/>
            </a:solidFill>
            <a:ln w="22225">
              <a:noFill/>
            </a:ln>
          </c:spPr>
          <c:invertIfNegative val="0"/>
          <c:cat>
            <c:numRef>
              <c:f>央行!$A$5:$A$27</c:f>
              <c:numCache>
                <c:formatCode>yyyy\-mm\-dd;@</c:formatCode>
                <c:ptCount val="23"/>
                <c:pt idx="0">
                  <c:v>43987</c:v>
                </c:pt>
                <c:pt idx="1">
                  <c:v>43994</c:v>
                </c:pt>
                <c:pt idx="2">
                  <c:v>44001</c:v>
                </c:pt>
                <c:pt idx="3">
                  <c:v>44008</c:v>
                </c:pt>
                <c:pt idx="4">
                  <c:v>44015</c:v>
                </c:pt>
                <c:pt idx="5">
                  <c:v>44022</c:v>
                </c:pt>
                <c:pt idx="6">
                  <c:v>44029</c:v>
                </c:pt>
                <c:pt idx="7">
                  <c:v>44036</c:v>
                </c:pt>
                <c:pt idx="8">
                  <c:v>44043</c:v>
                </c:pt>
                <c:pt idx="9">
                  <c:v>44050</c:v>
                </c:pt>
                <c:pt idx="10">
                  <c:v>44057</c:v>
                </c:pt>
                <c:pt idx="11">
                  <c:v>44064</c:v>
                </c:pt>
                <c:pt idx="12">
                  <c:v>44071</c:v>
                </c:pt>
                <c:pt idx="13">
                  <c:v>44078</c:v>
                </c:pt>
                <c:pt idx="14">
                  <c:v>44085</c:v>
                </c:pt>
                <c:pt idx="15">
                  <c:v>44092</c:v>
                </c:pt>
                <c:pt idx="16">
                  <c:v>44099</c:v>
                </c:pt>
                <c:pt idx="17">
                  <c:v>44106</c:v>
                </c:pt>
                <c:pt idx="18">
                  <c:v>44113</c:v>
                </c:pt>
                <c:pt idx="19">
                  <c:v>44120</c:v>
                </c:pt>
                <c:pt idx="20">
                  <c:v>44127</c:v>
                </c:pt>
                <c:pt idx="21">
                  <c:v>44134</c:v>
                </c:pt>
                <c:pt idx="22">
                  <c:v>44141</c:v>
                </c:pt>
              </c:numCache>
            </c:numRef>
          </c:cat>
          <c:val>
            <c:numRef>
              <c:f>央行!$B$5:$B$27</c:f>
              <c:numCache>
                <c:formatCode>###,###,###,###,##0.00</c:formatCode>
                <c:ptCount val="23"/>
                <c:pt idx="0">
                  <c:v>2200</c:v>
                </c:pt>
                <c:pt idx="1">
                  <c:v>4200</c:v>
                </c:pt>
                <c:pt idx="2">
                  <c:v>3000</c:v>
                </c:pt>
                <c:pt idx="3">
                  <c:v>5050</c:v>
                </c:pt>
                <c:pt idx="4">
                  <c:v>1025</c:v>
                </c:pt>
                <c:pt idx="5">
                  <c:v>0</c:v>
                </c:pt>
                <c:pt idx="6">
                  <c:v>3300</c:v>
                </c:pt>
                <c:pt idx="7">
                  <c:v>1650</c:v>
                </c:pt>
                <c:pt idx="8">
                  <c:v>2800</c:v>
                </c:pt>
                <c:pt idx="9">
                  <c:v>100</c:v>
                </c:pt>
                <c:pt idx="10">
                  <c:v>5000</c:v>
                </c:pt>
                <c:pt idx="11">
                  <c:v>6600</c:v>
                </c:pt>
                <c:pt idx="12">
                  <c:v>8150</c:v>
                </c:pt>
                <c:pt idx="13">
                  <c:v>2800</c:v>
                </c:pt>
                <c:pt idx="14">
                  <c:v>6200</c:v>
                </c:pt>
                <c:pt idx="15">
                  <c:v>4800</c:v>
                </c:pt>
                <c:pt idx="16">
                  <c:v>9000</c:v>
                </c:pt>
                <c:pt idx="17">
                  <c:v>2150</c:v>
                </c:pt>
                <c:pt idx="18">
                  <c:v>0</c:v>
                </c:pt>
                <c:pt idx="19">
                  <c:v>1000</c:v>
                </c:pt>
                <c:pt idx="20">
                  <c:v>3200</c:v>
                </c:pt>
                <c:pt idx="21">
                  <c:v>5150</c:v>
                </c:pt>
                <c:pt idx="22">
                  <c:v>3200</c:v>
                </c:pt>
              </c:numCache>
            </c:numRef>
          </c:val>
          <c:extLst xmlns:c16r2="http://schemas.microsoft.com/office/drawing/2015/06/chart">
            <c:ext xmlns:c16="http://schemas.microsoft.com/office/drawing/2014/chart" uri="{C3380CC4-5D6E-409C-BE32-E72D297353CC}">
              <c16:uniqueId val="{00000000-EB57-4469-BDD5-40CE8CE88BD6}"/>
            </c:ext>
          </c:extLst>
        </c:ser>
        <c:ser>
          <c:idx val="2"/>
          <c:order val="1"/>
          <c:tx>
            <c:strRef>
              <c:f>央行!$C$4</c:f>
              <c:strCache>
                <c:ptCount val="1"/>
                <c:pt idx="0">
                  <c:v>货币回笼</c:v>
                </c:pt>
              </c:strCache>
            </c:strRef>
          </c:tx>
          <c:spPr>
            <a:solidFill>
              <a:srgbClr val="E7E6E6">
                <a:lumMod val="90000"/>
              </a:srgbClr>
            </a:solidFill>
            <a:ln w="22225">
              <a:noFill/>
              <a:prstDash val="sysDash"/>
            </a:ln>
          </c:spPr>
          <c:invertIfNegative val="0"/>
          <c:cat>
            <c:numRef>
              <c:f>央行!$A$5:$A$27</c:f>
              <c:numCache>
                <c:formatCode>yyyy\-mm\-dd;@</c:formatCode>
                <c:ptCount val="23"/>
                <c:pt idx="0">
                  <c:v>43987</c:v>
                </c:pt>
                <c:pt idx="1">
                  <c:v>43994</c:v>
                </c:pt>
                <c:pt idx="2">
                  <c:v>44001</c:v>
                </c:pt>
                <c:pt idx="3">
                  <c:v>44008</c:v>
                </c:pt>
                <c:pt idx="4">
                  <c:v>44015</c:v>
                </c:pt>
                <c:pt idx="5">
                  <c:v>44022</c:v>
                </c:pt>
                <c:pt idx="6">
                  <c:v>44029</c:v>
                </c:pt>
                <c:pt idx="7">
                  <c:v>44036</c:v>
                </c:pt>
                <c:pt idx="8">
                  <c:v>44043</c:v>
                </c:pt>
                <c:pt idx="9">
                  <c:v>44050</c:v>
                </c:pt>
                <c:pt idx="10">
                  <c:v>44057</c:v>
                </c:pt>
                <c:pt idx="11">
                  <c:v>44064</c:v>
                </c:pt>
                <c:pt idx="12">
                  <c:v>44071</c:v>
                </c:pt>
                <c:pt idx="13">
                  <c:v>44078</c:v>
                </c:pt>
                <c:pt idx="14">
                  <c:v>44085</c:v>
                </c:pt>
                <c:pt idx="15">
                  <c:v>44092</c:v>
                </c:pt>
                <c:pt idx="16">
                  <c:v>44099</c:v>
                </c:pt>
                <c:pt idx="17">
                  <c:v>44106</c:v>
                </c:pt>
                <c:pt idx="18">
                  <c:v>44113</c:v>
                </c:pt>
                <c:pt idx="19">
                  <c:v>44120</c:v>
                </c:pt>
                <c:pt idx="20">
                  <c:v>44127</c:v>
                </c:pt>
                <c:pt idx="21">
                  <c:v>44134</c:v>
                </c:pt>
                <c:pt idx="22">
                  <c:v>44141</c:v>
                </c:pt>
              </c:numCache>
            </c:numRef>
          </c:cat>
          <c:val>
            <c:numRef>
              <c:f>央行!$C$5:$C$27</c:f>
              <c:numCache>
                <c:formatCode>###,###,###,###,##0.00</c:formatCode>
                <c:ptCount val="23"/>
                <c:pt idx="0">
                  <c:v>-6700</c:v>
                </c:pt>
                <c:pt idx="1">
                  <c:v>-2200</c:v>
                </c:pt>
                <c:pt idx="2">
                  <c:v>-4200</c:v>
                </c:pt>
                <c:pt idx="3">
                  <c:v>-1200</c:v>
                </c:pt>
                <c:pt idx="4">
                  <c:v>-4950</c:v>
                </c:pt>
                <c:pt idx="5">
                  <c:v>-2900</c:v>
                </c:pt>
                <c:pt idx="6">
                  <c:v>0</c:v>
                </c:pt>
                <c:pt idx="7">
                  <c:v>-3300</c:v>
                </c:pt>
                <c:pt idx="8">
                  <c:v>-1650</c:v>
                </c:pt>
                <c:pt idx="9">
                  <c:v>-2800</c:v>
                </c:pt>
                <c:pt idx="10">
                  <c:v>-100</c:v>
                </c:pt>
                <c:pt idx="11">
                  <c:v>-5000</c:v>
                </c:pt>
                <c:pt idx="12">
                  <c:v>-6150</c:v>
                </c:pt>
                <c:pt idx="13">
                  <c:v>-7500</c:v>
                </c:pt>
                <c:pt idx="14">
                  <c:v>-3900</c:v>
                </c:pt>
                <c:pt idx="15">
                  <c:v>-6200</c:v>
                </c:pt>
                <c:pt idx="16">
                  <c:v>-4200</c:v>
                </c:pt>
                <c:pt idx="17">
                  <c:v>-4650</c:v>
                </c:pt>
                <c:pt idx="18">
                  <c:v>-5000</c:v>
                </c:pt>
                <c:pt idx="19">
                  <c:v>-2100</c:v>
                </c:pt>
                <c:pt idx="20">
                  <c:v>-1000</c:v>
                </c:pt>
                <c:pt idx="21">
                  <c:v>-3250</c:v>
                </c:pt>
                <c:pt idx="22">
                  <c:v>-5100</c:v>
                </c:pt>
              </c:numCache>
            </c:numRef>
          </c:val>
          <c:extLst xmlns:c16r2="http://schemas.microsoft.com/office/drawing/2015/06/chart">
            <c:ext xmlns:c16="http://schemas.microsoft.com/office/drawing/2014/chart" uri="{C3380CC4-5D6E-409C-BE32-E72D297353CC}">
              <c16:uniqueId val="{00000001-EB57-4469-BDD5-40CE8CE88BD6}"/>
            </c:ext>
          </c:extLst>
        </c:ser>
        <c:dLbls>
          <c:showLegendKey val="0"/>
          <c:showVal val="0"/>
          <c:showCatName val="0"/>
          <c:showSerName val="0"/>
          <c:showPercent val="0"/>
          <c:showBubbleSize val="0"/>
        </c:dLbls>
        <c:gapWidth val="150"/>
        <c:overlap val="100"/>
        <c:axId val="354536832"/>
        <c:axId val="354539008"/>
      </c:barChart>
      <c:lineChart>
        <c:grouping val="standard"/>
        <c:varyColors val="0"/>
        <c:ser>
          <c:idx val="1"/>
          <c:order val="2"/>
          <c:tx>
            <c:strRef>
              <c:f>央行!$D$4</c:f>
              <c:strCache>
                <c:ptCount val="1"/>
                <c:pt idx="0">
                  <c:v>货币净投放</c:v>
                </c:pt>
              </c:strCache>
            </c:strRef>
          </c:tx>
          <c:spPr>
            <a:ln w="22225">
              <a:solidFill>
                <a:srgbClr val="BF5711"/>
              </a:solidFill>
              <a:prstDash val="sysDash"/>
            </a:ln>
          </c:spPr>
          <c:marker>
            <c:symbol val="diamond"/>
            <c:size val="7"/>
            <c:spPr>
              <a:solidFill>
                <a:sysClr val="window" lastClr="FFFFFF"/>
              </a:solidFill>
              <a:ln w="15875">
                <a:solidFill>
                  <a:srgbClr val="BF5711"/>
                </a:solidFill>
              </a:ln>
            </c:spPr>
          </c:marker>
          <c:cat>
            <c:numRef>
              <c:f>央行!$A$5:$A$27</c:f>
              <c:numCache>
                <c:formatCode>yyyy\-mm\-dd;@</c:formatCode>
                <c:ptCount val="23"/>
                <c:pt idx="0">
                  <c:v>43987</c:v>
                </c:pt>
                <c:pt idx="1">
                  <c:v>43994</c:v>
                </c:pt>
                <c:pt idx="2">
                  <c:v>44001</c:v>
                </c:pt>
                <c:pt idx="3">
                  <c:v>44008</c:v>
                </c:pt>
                <c:pt idx="4">
                  <c:v>44015</c:v>
                </c:pt>
                <c:pt idx="5">
                  <c:v>44022</c:v>
                </c:pt>
                <c:pt idx="6">
                  <c:v>44029</c:v>
                </c:pt>
                <c:pt idx="7">
                  <c:v>44036</c:v>
                </c:pt>
                <c:pt idx="8">
                  <c:v>44043</c:v>
                </c:pt>
                <c:pt idx="9">
                  <c:v>44050</c:v>
                </c:pt>
                <c:pt idx="10">
                  <c:v>44057</c:v>
                </c:pt>
                <c:pt idx="11">
                  <c:v>44064</c:v>
                </c:pt>
                <c:pt idx="12">
                  <c:v>44071</c:v>
                </c:pt>
                <c:pt idx="13">
                  <c:v>44078</c:v>
                </c:pt>
                <c:pt idx="14">
                  <c:v>44085</c:v>
                </c:pt>
                <c:pt idx="15">
                  <c:v>44092</c:v>
                </c:pt>
                <c:pt idx="16">
                  <c:v>44099</c:v>
                </c:pt>
                <c:pt idx="17">
                  <c:v>44106</c:v>
                </c:pt>
                <c:pt idx="18">
                  <c:v>44113</c:v>
                </c:pt>
                <c:pt idx="19">
                  <c:v>44120</c:v>
                </c:pt>
                <c:pt idx="20">
                  <c:v>44127</c:v>
                </c:pt>
                <c:pt idx="21">
                  <c:v>44134</c:v>
                </c:pt>
                <c:pt idx="22">
                  <c:v>44141</c:v>
                </c:pt>
              </c:numCache>
            </c:numRef>
          </c:cat>
          <c:val>
            <c:numRef>
              <c:f>央行!$D$5:$D$27</c:f>
              <c:numCache>
                <c:formatCode>###,###,###,###,##0.00</c:formatCode>
                <c:ptCount val="23"/>
                <c:pt idx="0">
                  <c:v>-4500</c:v>
                </c:pt>
                <c:pt idx="1">
                  <c:v>2000</c:v>
                </c:pt>
                <c:pt idx="2">
                  <c:v>-1200</c:v>
                </c:pt>
                <c:pt idx="3">
                  <c:v>3850</c:v>
                </c:pt>
                <c:pt idx="4">
                  <c:v>-3925</c:v>
                </c:pt>
                <c:pt idx="5">
                  <c:v>-2900</c:v>
                </c:pt>
                <c:pt idx="6">
                  <c:v>3300</c:v>
                </c:pt>
                <c:pt idx="7">
                  <c:v>-1650</c:v>
                </c:pt>
                <c:pt idx="8">
                  <c:v>1150</c:v>
                </c:pt>
                <c:pt idx="9">
                  <c:v>-2700</c:v>
                </c:pt>
                <c:pt idx="10">
                  <c:v>4900</c:v>
                </c:pt>
                <c:pt idx="11">
                  <c:v>1600</c:v>
                </c:pt>
                <c:pt idx="12">
                  <c:v>2000</c:v>
                </c:pt>
                <c:pt idx="13">
                  <c:v>-4700</c:v>
                </c:pt>
                <c:pt idx="14">
                  <c:v>2300</c:v>
                </c:pt>
                <c:pt idx="15">
                  <c:v>-1400</c:v>
                </c:pt>
                <c:pt idx="16">
                  <c:v>4800</c:v>
                </c:pt>
                <c:pt idx="17">
                  <c:v>-2500</c:v>
                </c:pt>
                <c:pt idx="18">
                  <c:v>-5000</c:v>
                </c:pt>
                <c:pt idx="19">
                  <c:v>-1100</c:v>
                </c:pt>
                <c:pt idx="20">
                  <c:v>2200</c:v>
                </c:pt>
                <c:pt idx="21">
                  <c:v>1900</c:v>
                </c:pt>
                <c:pt idx="22">
                  <c:v>-1900</c:v>
                </c:pt>
              </c:numCache>
            </c:numRef>
          </c:val>
          <c:smooth val="0"/>
          <c:extLst xmlns:c16r2="http://schemas.microsoft.com/office/drawing/2015/06/chart">
            <c:ext xmlns:c16="http://schemas.microsoft.com/office/drawing/2014/chart" uri="{C3380CC4-5D6E-409C-BE32-E72D297353CC}">
              <c16:uniqueId val="{00000002-EB57-4469-BDD5-40CE8CE88BD6}"/>
            </c:ext>
          </c:extLst>
        </c:ser>
        <c:dLbls>
          <c:showLegendKey val="0"/>
          <c:showVal val="0"/>
          <c:showCatName val="0"/>
          <c:showSerName val="0"/>
          <c:showPercent val="0"/>
          <c:showBubbleSize val="0"/>
        </c:dLbls>
        <c:marker val="1"/>
        <c:smooth val="0"/>
        <c:axId val="354536832"/>
        <c:axId val="354539008"/>
      </c:lineChart>
      <c:catAx>
        <c:axId val="354536832"/>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54539008"/>
        <c:crosses val="autoZero"/>
        <c:auto val="0"/>
        <c:lblAlgn val="ctr"/>
        <c:lblOffset val="0"/>
        <c:tickMarkSkip val="2"/>
        <c:noMultiLvlLbl val="0"/>
      </c:catAx>
      <c:valAx>
        <c:axId val="354539008"/>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54536832"/>
        <c:crosses val="autoZero"/>
        <c:crossBetween val="between"/>
      </c:valAx>
    </c:plotArea>
    <c:legend>
      <c:legendPos val="r"/>
      <c:layout>
        <c:manualLayout>
          <c:xMode val="edge"/>
          <c:yMode val="edge"/>
          <c:x val="0.15225"/>
          <c:y val="2.3337707786526686E-3"/>
          <c:w val="0.81834886264216977"/>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643285214348206E-2"/>
          <c:y val="0.13459903705925855"/>
          <c:w val="0.88805212197637307"/>
          <c:h val="0.76980132292969228"/>
        </c:manualLayout>
      </c:layout>
      <c:lineChart>
        <c:grouping val="standard"/>
        <c:varyColors val="0"/>
        <c:ser>
          <c:idx val="0"/>
          <c:order val="0"/>
          <c:tx>
            <c:strRef>
              <c:f>资金!$B$2</c:f>
              <c:strCache>
                <c:ptCount val="1"/>
                <c:pt idx="0">
                  <c:v>银行间质押式回购加权利率:1天</c:v>
                </c:pt>
              </c:strCache>
            </c:strRef>
          </c:tx>
          <c:spPr>
            <a:ln w="25400">
              <a:solidFill>
                <a:srgbClr val="ED7D31">
                  <a:lumMod val="75000"/>
                </a:srgbClr>
              </a:solidFill>
            </a:ln>
          </c:spPr>
          <c:marker>
            <c:symbol val="none"/>
          </c:marker>
          <c:cat>
            <c:numRef>
              <c:f>资金!$A$3:$A$61</c:f>
              <c:numCache>
                <c:formatCode>yyyy\-mm\-dd;@</c:formatCode>
                <c:ptCount val="59"/>
                <c:pt idx="0">
                  <c:v>44141</c:v>
                </c:pt>
                <c:pt idx="1">
                  <c:v>44140</c:v>
                </c:pt>
                <c:pt idx="2">
                  <c:v>44139</c:v>
                </c:pt>
                <c:pt idx="3">
                  <c:v>44138</c:v>
                </c:pt>
                <c:pt idx="4">
                  <c:v>44137</c:v>
                </c:pt>
                <c:pt idx="5">
                  <c:v>44134</c:v>
                </c:pt>
                <c:pt idx="6">
                  <c:v>44133</c:v>
                </c:pt>
                <c:pt idx="7">
                  <c:v>44132</c:v>
                </c:pt>
                <c:pt idx="8">
                  <c:v>44131</c:v>
                </c:pt>
                <c:pt idx="9">
                  <c:v>44130</c:v>
                </c:pt>
                <c:pt idx="10">
                  <c:v>44127</c:v>
                </c:pt>
                <c:pt idx="11">
                  <c:v>44126</c:v>
                </c:pt>
                <c:pt idx="12">
                  <c:v>44125</c:v>
                </c:pt>
                <c:pt idx="13">
                  <c:v>44124</c:v>
                </c:pt>
                <c:pt idx="14">
                  <c:v>44123</c:v>
                </c:pt>
                <c:pt idx="15">
                  <c:v>44120</c:v>
                </c:pt>
                <c:pt idx="16">
                  <c:v>44119</c:v>
                </c:pt>
                <c:pt idx="17">
                  <c:v>44118</c:v>
                </c:pt>
                <c:pt idx="18">
                  <c:v>44117</c:v>
                </c:pt>
                <c:pt idx="19">
                  <c:v>44116</c:v>
                </c:pt>
                <c:pt idx="20">
                  <c:v>44114</c:v>
                </c:pt>
                <c:pt idx="21">
                  <c:v>44113</c:v>
                </c:pt>
                <c:pt idx="22">
                  <c:v>44104</c:v>
                </c:pt>
                <c:pt idx="23">
                  <c:v>44103</c:v>
                </c:pt>
                <c:pt idx="24">
                  <c:v>44102</c:v>
                </c:pt>
                <c:pt idx="25">
                  <c:v>44101</c:v>
                </c:pt>
                <c:pt idx="26">
                  <c:v>44099</c:v>
                </c:pt>
                <c:pt idx="27">
                  <c:v>44098</c:v>
                </c:pt>
                <c:pt idx="28">
                  <c:v>44097</c:v>
                </c:pt>
                <c:pt idx="29">
                  <c:v>44096</c:v>
                </c:pt>
                <c:pt idx="30">
                  <c:v>44095</c:v>
                </c:pt>
                <c:pt idx="31">
                  <c:v>44092</c:v>
                </c:pt>
                <c:pt idx="32">
                  <c:v>44091</c:v>
                </c:pt>
                <c:pt idx="33">
                  <c:v>44090</c:v>
                </c:pt>
                <c:pt idx="34">
                  <c:v>44089</c:v>
                </c:pt>
                <c:pt idx="35">
                  <c:v>44088</c:v>
                </c:pt>
                <c:pt idx="36">
                  <c:v>44085</c:v>
                </c:pt>
                <c:pt idx="37">
                  <c:v>44084</c:v>
                </c:pt>
                <c:pt idx="38">
                  <c:v>44083</c:v>
                </c:pt>
                <c:pt idx="39">
                  <c:v>44082</c:v>
                </c:pt>
                <c:pt idx="40">
                  <c:v>44081</c:v>
                </c:pt>
                <c:pt idx="41">
                  <c:v>44078</c:v>
                </c:pt>
                <c:pt idx="42">
                  <c:v>44077</c:v>
                </c:pt>
                <c:pt idx="43">
                  <c:v>44076</c:v>
                </c:pt>
                <c:pt idx="44">
                  <c:v>44075</c:v>
                </c:pt>
                <c:pt idx="45">
                  <c:v>44074</c:v>
                </c:pt>
                <c:pt idx="46">
                  <c:v>44071</c:v>
                </c:pt>
                <c:pt idx="47">
                  <c:v>44070</c:v>
                </c:pt>
                <c:pt idx="48">
                  <c:v>44069</c:v>
                </c:pt>
                <c:pt idx="49">
                  <c:v>44068</c:v>
                </c:pt>
                <c:pt idx="50">
                  <c:v>44067</c:v>
                </c:pt>
                <c:pt idx="51">
                  <c:v>44064</c:v>
                </c:pt>
                <c:pt idx="52">
                  <c:v>44063</c:v>
                </c:pt>
                <c:pt idx="53">
                  <c:v>44062</c:v>
                </c:pt>
                <c:pt idx="54">
                  <c:v>44061</c:v>
                </c:pt>
                <c:pt idx="55">
                  <c:v>44060</c:v>
                </c:pt>
                <c:pt idx="56">
                  <c:v>44057</c:v>
                </c:pt>
                <c:pt idx="57">
                  <c:v>44056</c:v>
                </c:pt>
                <c:pt idx="58">
                  <c:v>44055</c:v>
                </c:pt>
              </c:numCache>
            </c:numRef>
          </c:cat>
          <c:val>
            <c:numRef>
              <c:f>资金!$B$3:$B$61</c:f>
              <c:numCache>
                <c:formatCode>###,###,###,###,##0.0000</c:formatCode>
                <c:ptCount val="59"/>
                <c:pt idx="0">
                  <c:v>1.8764000000000001</c:v>
                </c:pt>
                <c:pt idx="1">
                  <c:v>1.4429000000000001</c:v>
                </c:pt>
                <c:pt idx="2">
                  <c:v>1.4752000000000001</c:v>
                </c:pt>
                <c:pt idx="3">
                  <c:v>1.8856999999999999</c:v>
                </c:pt>
                <c:pt idx="4">
                  <c:v>2.4079999999999999</c:v>
                </c:pt>
                <c:pt idx="5">
                  <c:v>2.9178999999999999</c:v>
                </c:pt>
                <c:pt idx="6">
                  <c:v>2.2277999999999998</c:v>
                </c:pt>
                <c:pt idx="7">
                  <c:v>2.6492</c:v>
                </c:pt>
                <c:pt idx="8">
                  <c:v>2.6776</c:v>
                </c:pt>
                <c:pt idx="9">
                  <c:v>2.3357999999999999</c:v>
                </c:pt>
                <c:pt idx="10">
                  <c:v>2.2181999999999999</c:v>
                </c:pt>
                <c:pt idx="11">
                  <c:v>1.9681</c:v>
                </c:pt>
                <c:pt idx="12">
                  <c:v>2.0144000000000002</c:v>
                </c:pt>
                <c:pt idx="13">
                  <c:v>2.2193000000000001</c:v>
                </c:pt>
                <c:pt idx="14">
                  <c:v>2.2770000000000001</c:v>
                </c:pt>
                <c:pt idx="15">
                  <c:v>2.0550000000000002</c:v>
                </c:pt>
                <c:pt idx="16">
                  <c:v>2.1076000000000001</c:v>
                </c:pt>
                <c:pt idx="17">
                  <c:v>2.04</c:v>
                </c:pt>
                <c:pt idx="18">
                  <c:v>1.7559</c:v>
                </c:pt>
                <c:pt idx="19">
                  <c:v>1.5719000000000001</c:v>
                </c:pt>
                <c:pt idx="20">
                  <c:v>1.5667</c:v>
                </c:pt>
                <c:pt idx="21">
                  <c:v>2.0432999999999999</c:v>
                </c:pt>
                <c:pt idx="22">
                  <c:v>2.5255999999999998</c:v>
                </c:pt>
                <c:pt idx="23">
                  <c:v>1.0124</c:v>
                </c:pt>
                <c:pt idx="24">
                  <c:v>0.68540000000000001</c:v>
                </c:pt>
                <c:pt idx="25">
                  <c:v>0.67789999999999995</c:v>
                </c:pt>
                <c:pt idx="26">
                  <c:v>1.0967</c:v>
                </c:pt>
                <c:pt idx="27">
                  <c:v>1.4666999999999999</c:v>
                </c:pt>
                <c:pt idx="28">
                  <c:v>1.9109</c:v>
                </c:pt>
                <c:pt idx="29">
                  <c:v>2.4359999999999999</c:v>
                </c:pt>
                <c:pt idx="30">
                  <c:v>2.4319999999999999</c:v>
                </c:pt>
                <c:pt idx="31">
                  <c:v>2.2553000000000001</c:v>
                </c:pt>
                <c:pt idx="32">
                  <c:v>1.8871</c:v>
                </c:pt>
                <c:pt idx="33">
                  <c:v>1.4536</c:v>
                </c:pt>
                <c:pt idx="34">
                  <c:v>1.7635000000000001</c:v>
                </c:pt>
                <c:pt idx="35">
                  <c:v>1.6466000000000001</c:v>
                </c:pt>
                <c:pt idx="36">
                  <c:v>1.5072000000000001</c:v>
                </c:pt>
                <c:pt idx="37">
                  <c:v>1.3864000000000001</c:v>
                </c:pt>
                <c:pt idx="38">
                  <c:v>1.6471</c:v>
                </c:pt>
                <c:pt idx="39">
                  <c:v>2.0707</c:v>
                </c:pt>
                <c:pt idx="40">
                  <c:v>2.1291000000000002</c:v>
                </c:pt>
                <c:pt idx="41">
                  <c:v>2.0886</c:v>
                </c:pt>
                <c:pt idx="42">
                  <c:v>1.7948999999999999</c:v>
                </c:pt>
                <c:pt idx="43">
                  <c:v>2.1187</c:v>
                </c:pt>
                <c:pt idx="44">
                  <c:v>2.1785999999999999</c:v>
                </c:pt>
                <c:pt idx="45">
                  <c:v>1.9719</c:v>
                </c:pt>
                <c:pt idx="46">
                  <c:v>1.3997999999999999</c:v>
                </c:pt>
                <c:pt idx="47">
                  <c:v>1.5077</c:v>
                </c:pt>
                <c:pt idx="48">
                  <c:v>1.6649</c:v>
                </c:pt>
                <c:pt idx="49">
                  <c:v>1.9847999999999999</c:v>
                </c:pt>
                <c:pt idx="50">
                  <c:v>2.4039999999999999</c:v>
                </c:pt>
                <c:pt idx="51">
                  <c:v>2.3462000000000001</c:v>
                </c:pt>
                <c:pt idx="52">
                  <c:v>2.2711000000000001</c:v>
                </c:pt>
                <c:pt idx="53">
                  <c:v>2.2111999999999998</c:v>
                </c:pt>
                <c:pt idx="54">
                  <c:v>2.1659000000000002</c:v>
                </c:pt>
                <c:pt idx="55">
                  <c:v>2.1669</c:v>
                </c:pt>
                <c:pt idx="56">
                  <c:v>2.2214999999999998</c:v>
                </c:pt>
                <c:pt idx="57">
                  <c:v>2.2246000000000001</c:v>
                </c:pt>
                <c:pt idx="58">
                  <c:v>2.2063999999999999</c:v>
                </c:pt>
              </c:numCache>
            </c:numRef>
          </c:val>
          <c:smooth val="1"/>
          <c:extLst xmlns:c16r2="http://schemas.microsoft.com/office/drawing/2015/06/chart">
            <c:ext xmlns:c16="http://schemas.microsoft.com/office/drawing/2014/chart" uri="{C3380CC4-5D6E-409C-BE32-E72D297353CC}">
              <c16:uniqueId val="{00000000-FB26-4560-BF82-E44BC96AA276}"/>
            </c:ext>
          </c:extLst>
        </c:ser>
        <c:ser>
          <c:idx val="2"/>
          <c:order val="1"/>
          <c:tx>
            <c:strRef>
              <c:f>资金!$C$2</c:f>
              <c:strCache>
                <c:ptCount val="1"/>
                <c:pt idx="0">
                  <c:v>银行间质押式回购加权利率:7天</c:v>
                </c:pt>
              </c:strCache>
            </c:strRef>
          </c:tx>
          <c:spPr>
            <a:ln w="25400">
              <a:solidFill>
                <a:srgbClr val="ED7D31"/>
              </a:solidFill>
              <a:prstDash val="sysDash"/>
            </a:ln>
          </c:spPr>
          <c:marker>
            <c:symbol val="none"/>
          </c:marker>
          <c:cat>
            <c:numRef>
              <c:f>资金!$A$3:$A$61</c:f>
              <c:numCache>
                <c:formatCode>yyyy\-mm\-dd;@</c:formatCode>
                <c:ptCount val="59"/>
                <c:pt idx="0">
                  <c:v>44141</c:v>
                </c:pt>
                <c:pt idx="1">
                  <c:v>44140</c:v>
                </c:pt>
                <c:pt idx="2">
                  <c:v>44139</c:v>
                </c:pt>
                <c:pt idx="3">
                  <c:v>44138</c:v>
                </c:pt>
                <c:pt idx="4">
                  <c:v>44137</c:v>
                </c:pt>
                <c:pt idx="5">
                  <c:v>44134</c:v>
                </c:pt>
                <c:pt idx="6">
                  <c:v>44133</c:v>
                </c:pt>
                <c:pt idx="7">
                  <c:v>44132</c:v>
                </c:pt>
                <c:pt idx="8">
                  <c:v>44131</c:v>
                </c:pt>
                <c:pt idx="9">
                  <c:v>44130</c:v>
                </c:pt>
                <c:pt idx="10">
                  <c:v>44127</c:v>
                </c:pt>
                <c:pt idx="11">
                  <c:v>44126</c:v>
                </c:pt>
                <c:pt idx="12">
                  <c:v>44125</c:v>
                </c:pt>
                <c:pt idx="13">
                  <c:v>44124</c:v>
                </c:pt>
                <c:pt idx="14">
                  <c:v>44123</c:v>
                </c:pt>
                <c:pt idx="15">
                  <c:v>44120</c:v>
                </c:pt>
                <c:pt idx="16">
                  <c:v>44119</c:v>
                </c:pt>
                <c:pt idx="17">
                  <c:v>44118</c:v>
                </c:pt>
                <c:pt idx="18">
                  <c:v>44117</c:v>
                </c:pt>
                <c:pt idx="19">
                  <c:v>44116</c:v>
                </c:pt>
                <c:pt idx="20">
                  <c:v>44114</c:v>
                </c:pt>
                <c:pt idx="21">
                  <c:v>44113</c:v>
                </c:pt>
                <c:pt idx="22">
                  <c:v>44104</c:v>
                </c:pt>
                <c:pt idx="23">
                  <c:v>44103</c:v>
                </c:pt>
                <c:pt idx="24">
                  <c:v>44102</c:v>
                </c:pt>
                <c:pt idx="25">
                  <c:v>44101</c:v>
                </c:pt>
                <c:pt idx="26">
                  <c:v>44099</c:v>
                </c:pt>
                <c:pt idx="27">
                  <c:v>44098</c:v>
                </c:pt>
                <c:pt idx="28">
                  <c:v>44097</c:v>
                </c:pt>
                <c:pt idx="29">
                  <c:v>44096</c:v>
                </c:pt>
                <c:pt idx="30">
                  <c:v>44095</c:v>
                </c:pt>
                <c:pt idx="31">
                  <c:v>44092</c:v>
                </c:pt>
                <c:pt idx="32">
                  <c:v>44091</c:v>
                </c:pt>
                <c:pt idx="33">
                  <c:v>44090</c:v>
                </c:pt>
                <c:pt idx="34">
                  <c:v>44089</c:v>
                </c:pt>
                <c:pt idx="35">
                  <c:v>44088</c:v>
                </c:pt>
                <c:pt idx="36">
                  <c:v>44085</c:v>
                </c:pt>
                <c:pt idx="37">
                  <c:v>44084</c:v>
                </c:pt>
                <c:pt idx="38">
                  <c:v>44083</c:v>
                </c:pt>
                <c:pt idx="39">
                  <c:v>44082</c:v>
                </c:pt>
                <c:pt idx="40">
                  <c:v>44081</c:v>
                </c:pt>
                <c:pt idx="41">
                  <c:v>44078</c:v>
                </c:pt>
                <c:pt idx="42">
                  <c:v>44077</c:v>
                </c:pt>
                <c:pt idx="43">
                  <c:v>44076</c:v>
                </c:pt>
                <c:pt idx="44">
                  <c:v>44075</c:v>
                </c:pt>
                <c:pt idx="45">
                  <c:v>44074</c:v>
                </c:pt>
                <c:pt idx="46">
                  <c:v>44071</c:v>
                </c:pt>
                <c:pt idx="47">
                  <c:v>44070</c:v>
                </c:pt>
                <c:pt idx="48">
                  <c:v>44069</c:v>
                </c:pt>
                <c:pt idx="49">
                  <c:v>44068</c:v>
                </c:pt>
                <c:pt idx="50">
                  <c:v>44067</c:v>
                </c:pt>
                <c:pt idx="51">
                  <c:v>44064</c:v>
                </c:pt>
                <c:pt idx="52">
                  <c:v>44063</c:v>
                </c:pt>
                <c:pt idx="53">
                  <c:v>44062</c:v>
                </c:pt>
                <c:pt idx="54">
                  <c:v>44061</c:v>
                </c:pt>
                <c:pt idx="55">
                  <c:v>44060</c:v>
                </c:pt>
                <c:pt idx="56">
                  <c:v>44057</c:v>
                </c:pt>
                <c:pt idx="57">
                  <c:v>44056</c:v>
                </c:pt>
                <c:pt idx="58">
                  <c:v>44055</c:v>
                </c:pt>
              </c:numCache>
            </c:numRef>
          </c:cat>
          <c:val>
            <c:numRef>
              <c:f>资金!$C$3:$C$61</c:f>
              <c:numCache>
                <c:formatCode>###,###,###,###,##0.0000</c:formatCode>
                <c:ptCount val="59"/>
                <c:pt idx="0">
                  <c:v>2.4022000000000001</c:v>
                </c:pt>
                <c:pt idx="1">
                  <c:v>2.1776</c:v>
                </c:pt>
                <c:pt idx="2">
                  <c:v>2.2040000000000002</c:v>
                </c:pt>
                <c:pt idx="3">
                  <c:v>2.3984000000000001</c:v>
                </c:pt>
                <c:pt idx="4">
                  <c:v>2.7995999999999999</c:v>
                </c:pt>
                <c:pt idx="5">
                  <c:v>3.3693</c:v>
                </c:pt>
                <c:pt idx="6">
                  <c:v>3.1760000000000002</c:v>
                </c:pt>
                <c:pt idx="7">
                  <c:v>3.2090000000000001</c:v>
                </c:pt>
                <c:pt idx="8">
                  <c:v>3.2181000000000002</c:v>
                </c:pt>
                <c:pt idx="9">
                  <c:v>2.9083999999999999</c:v>
                </c:pt>
                <c:pt idx="10">
                  <c:v>2.3586999999999998</c:v>
                </c:pt>
                <c:pt idx="11">
                  <c:v>2.3241999999999998</c:v>
                </c:pt>
                <c:pt idx="12">
                  <c:v>2.4226999999999999</c:v>
                </c:pt>
                <c:pt idx="13">
                  <c:v>2.5091999999999999</c:v>
                </c:pt>
                <c:pt idx="14">
                  <c:v>2.4037999999999999</c:v>
                </c:pt>
                <c:pt idx="15">
                  <c:v>2.3121</c:v>
                </c:pt>
                <c:pt idx="16">
                  <c:v>2.3601999999999999</c:v>
                </c:pt>
                <c:pt idx="17">
                  <c:v>2.3079000000000001</c:v>
                </c:pt>
                <c:pt idx="18">
                  <c:v>2.2389000000000001</c:v>
                </c:pt>
                <c:pt idx="19">
                  <c:v>2.2442000000000002</c:v>
                </c:pt>
                <c:pt idx="20">
                  <c:v>2.0114999999999998</c:v>
                </c:pt>
                <c:pt idx="21">
                  <c:v>2.2972999999999999</c:v>
                </c:pt>
                <c:pt idx="22">
                  <c:v>2.5514000000000001</c:v>
                </c:pt>
                <c:pt idx="23">
                  <c:v>3.0106999999999999</c:v>
                </c:pt>
                <c:pt idx="24">
                  <c:v>2.7132000000000001</c:v>
                </c:pt>
                <c:pt idx="25">
                  <c:v>1.89</c:v>
                </c:pt>
                <c:pt idx="26">
                  <c:v>1.968</c:v>
                </c:pt>
                <c:pt idx="27">
                  <c:v>2.1869000000000001</c:v>
                </c:pt>
                <c:pt idx="28">
                  <c:v>2.3142</c:v>
                </c:pt>
                <c:pt idx="29">
                  <c:v>2.9742999999999999</c:v>
                </c:pt>
                <c:pt idx="30">
                  <c:v>2.8206000000000002</c:v>
                </c:pt>
                <c:pt idx="31">
                  <c:v>2.6425999999999998</c:v>
                </c:pt>
                <c:pt idx="32">
                  <c:v>2.3935</c:v>
                </c:pt>
                <c:pt idx="33">
                  <c:v>2.2740999999999998</c:v>
                </c:pt>
                <c:pt idx="34">
                  <c:v>2.2704</c:v>
                </c:pt>
                <c:pt idx="35">
                  <c:v>2.2275999999999998</c:v>
                </c:pt>
                <c:pt idx="36">
                  <c:v>2.1873999999999998</c:v>
                </c:pt>
                <c:pt idx="37">
                  <c:v>2.2033</c:v>
                </c:pt>
                <c:pt idx="38">
                  <c:v>2.2875999999999999</c:v>
                </c:pt>
                <c:pt idx="39">
                  <c:v>2.3258999999999999</c:v>
                </c:pt>
                <c:pt idx="40">
                  <c:v>2.3267000000000002</c:v>
                </c:pt>
                <c:pt idx="41">
                  <c:v>2.3408000000000002</c:v>
                </c:pt>
                <c:pt idx="42">
                  <c:v>2.3216000000000001</c:v>
                </c:pt>
                <c:pt idx="43">
                  <c:v>2.3963000000000001</c:v>
                </c:pt>
                <c:pt idx="44">
                  <c:v>2.4113000000000002</c:v>
                </c:pt>
                <c:pt idx="45">
                  <c:v>2.5141</c:v>
                </c:pt>
                <c:pt idx="46">
                  <c:v>2.4836999999999998</c:v>
                </c:pt>
                <c:pt idx="47">
                  <c:v>2.4744999999999999</c:v>
                </c:pt>
                <c:pt idx="48">
                  <c:v>2.4973999999999998</c:v>
                </c:pt>
                <c:pt idx="49">
                  <c:v>2.5918000000000001</c:v>
                </c:pt>
                <c:pt idx="50">
                  <c:v>2.5108000000000001</c:v>
                </c:pt>
                <c:pt idx="51">
                  <c:v>2.5731999999999999</c:v>
                </c:pt>
                <c:pt idx="52">
                  <c:v>2.4491000000000001</c:v>
                </c:pt>
                <c:pt idx="53">
                  <c:v>2.3744999999999998</c:v>
                </c:pt>
                <c:pt idx="54">
                  <c:v>2.3515999999999999</c:v>
                </c:pt>
                <c:pt idx="55">
                  <c:v>2.3788999999999998</c:v>
                </c:pt>
                <c:pt idx="56">
                  <c:v>2.3742999999999999</c:v>
                </c:pt>
                <c:pt idx="57">
                  <c:v>2.3693</c:v>
                </c:pt>
                <c:pt idx="58">
                  <c:v>2.3672</c:v>
                </c:pt>
              </c:numCache>
            </c:numRef>
          </c:val>
          <c:smooth val="1"/>
          <c:extLst xmlns:c16r2="http://schemas.microsoft.com/office/drawing/2015/06/chart">
            <c:ext xmlns:c16="http://schemas.microsoft.com/office/drawing/2014/chart" uri="{C3380CC4-5D6E-409C-BE32-E72D297353CC}">
              <c16:uniqueId val="{00000004-FB26-4560-BF82-E44BC96AA276}"/>
            </c:ext>
          </c:extLst>
        </c:ser>
        <c:dLbls>
          <c:showLegendKey val="0"/>
          <c:showVal val="0"/>
          <c:showCatName val="0"/>
          <c:showSerName val="0"/>
          <c:showPercent val="0"/>
          <c:showBubbleSize val="0"/>
        </c:dLbls>
        <c:marker val="1"/>
        <c:smooth val="0"/>
        <c:axId val="352989952"/>
        <c:axId val="352991488"/>
      </c:lineChart>
      <c:dateAx>
        <c:axId val="352989952"/>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52991488"/>
        <c:crosses val="autoZero"/>
        <c:auto val="0"/>
        <c:lblOffset val="0"/>
        <c:baseTimeUnit val="days"/>
        <c:majorUnit val="14"/>
        <c:majorTimeUnit val="days"/>
        <c:minorUnit val="7"/>
        <c:minorTimeUnit val="days"/>
      </c:dateAx>
      <c:valAx>
        <c:axId val="352991488"/>
        <c:scaling>
          <c:orientation val="minMax"/>
        </c:scaling>
        <c:delete val="0"/>
        <c:axPos val="l"/>
        <c:numFmt formatCode="#,##0.0_);[Red]\(#,##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52989952"/>
        <c:crosses val="autoZero"/>
        <c:crossBetween val="between"/>
      </c:valAx>
    </c:plotArea>
    <c:legend>
      <c:legendPos val="r"/>
      <c:layout>
        <c:manualLayout>
          <c:xMode val="edge"/>
          <c:yMode val="edge"/>
          <c:x val="0.15502777777777776"/>
          <c:y val="2.3337707786526686E-3"/>
          <c:w val="0.690571084864392"/>
          <c:h val="0.12288604549431321"/>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217688580347575"/>
          <c:w val="0.88363429571303587"/>
          <c:h val="0.78450531146624425"/>
        </c:manualLayout>
      </c:layout>
      <c:barChart>
        <c:barDir val="col"/>
        <c:grouping val="clustered"/>
        <c:varyColors val="0"/>
        <c:ser>
          <c:idx val="0"/>
          <c:order val="0"/>
          <c:tx>
            <c:strRef>
              <c:f>国债!$J$3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国债!$K$3:$Q$3</c:f>
              <c:numCache>
                <c:formatCode>0.0_ ;[Red]\-0.0\ </c:formatCode>
                <c:ptCount val="7"/>
                <c:pt idx="0">
                  <c:v>-32.379999999999988</c:v>
                </c:pt>
                <c:pt idx="1">
                  <c:v>-1.0699999999999932</c:v>
                </c:pt>
                <c:pt idx="2">
                  <c:v>5.5899999999999839</c:v>
                </c:pt>
                <c:pt idx="3">
                  <c:v>2.430000000000021</c:v>
                </c:pt>
                <c:pt idx="4">
                  <c:v>5.8600000000000207</c:v>
                </c:pt>
                <c:pt idx="5">
                  <c:v>-0.57000000000000384</c:v>
                </c:pt>
                <c:pt idx="6">
                  <c:v>2.53000000000001</c:v>
                </c:pt>
              </c:numCache>
            </c:numRef>
          </c:val>
          <c:extLst xmlns:c16r2="http://schemas.microsoft.com/office/drawing/2015/06/chart">
            <c:ext xmlns:c16="http://schemas.microsoft.com/office/drawing/2014/chart" uri="{C3380CC4-5D6E-409C-BE32-E72D297353CC}">
              <c16:uniqueId val="{00000000-FB26-4560-BF82-E44BC96AA276}"/>
            </c:ext>
          </c:extLst>
        </c:ser>
        <c:dLbls>
          <c:showLegendKey val="0"/>
          <c:showVal val="0"/>
          <c:showCatName val="0"/>
          <c:showSerName val="0"/>
          <c:showPercent val="0"/>
          <c:showBubbleSize val="0"/>
        </c:dLbls>
        <c:gapWidth val="150"/>
        <c:axId val="353707136"/>
        <c:axId val="353709056"/>
      </c:barChart>
      <c:lineChart>
        <c:grouping val="standard"/>
        <c:varyColors val="0"/>
        <c:ser>
          <c:idx val="2"/>
          <c:order val="1"/>
          <c:tx>
            <c:strRef>
              <c:f>国债!$J$4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B-F10F-4D2D-834C-E6E69D663A7D}"/>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A-F10F-4D2D-834C-E6E69D663A7D}"/>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9-F10F-4D2D-834C-E6E69D663A7D}"/>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8-F10F-4D2D-834C-E6E69D663A7D}"/>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7-F10F-4D2D-834C-E6E69D663A7D}"/>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F10F-4D2D-834C-E6E69D663A7D}"/>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国债!$K$4:$Q$4</c:f>
              <c:numCache>
                <c:formatCode>###,###,###,###,##0.00</c:formatCode>
                <c:ptCount val="7"/>
                <c:pt idx="0">
                  <c:v>1.7563</c:v>
                </c:pt>
                <c:pt idx="1">
                  <c:v>2.6513</c:v>
                </c:pt>
                <c:pt idx="2">
                  <c:v>2.7831999999999999</c:v>
                </c:pt>
                <c:pt idx="3">
                  <c:v>2.9702000000000002</c:v>
                </c:pt>
                <c:pt idx="4">
                  <c:v>3.0341</c:v>
                </c:pt>
                <c:pt idx="5">
                  <c:v>3.2353999999999998</c:v>
                </c:pt>
                <c:pt idx="6">
                  <c:v>3.2063000000000001</c:v>
                </c:pt>
              </c:numCache>
            </c:numRef>
          </c:val>
          <c:smooth val="0"/>
          <c:extLst xmlns:c16r2="http://schemas.microsoft.com/office/drawing/2015/06/chart">
            <c:ext xmlns:c16="http://schemas.microsoft.com/office/drawing/2014/chart" uri="{C3380CC4-5D6E-409C-BE32-E72D297353CC}">
              <c16:uniqueId val="{00000004-FB26-4560-BF82-E44BC96AA276}"/>
            </c:ext>
          </c:extLst>
        </c:ser>
        <c:ser>
          <c:idx val="1"/>
          <c:order val="2"/>
          <c:tx>
            <c:strRef>
              <c:f>国债!$J$5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国债!$K$2:$Q$2</c:f>
              <c:strCache>
                <c:ptCount val="7"/>
                <c:pt idx="0">
                  <c:v>1M</c:v>
                </c:pt>
                <c:pt idx="1">
                  <c:v>3M</c:v>
                </c:pt>
                <c:pt idx="2">
                  <c:v>1Y</c:v>
                </c:pt>
                <c:pt idx="3">
                  <c:v>3Y</c:v>
                </c:pt>
                <c:pt idx="4">
                  <c:v>5Y</c:v>
                </c:pt>
                <c:pt idx="5">
                  <c:v>7Y</c:v>
                </c:pt>
                <c:pt idx="6">
                  <c:v>10Y</c:v>
                </c:pt>
              </c:strCache>
            </c:strRef>
          </c:cat>
          <c:val>
            <c:numRef>
              <c:f>国债!$K$5:$Q$5</c:f>
              <c:numCache>
                <c:formatCode>###,###,###,###,##0.00</c:formatCode>
                <c:ptCount val="7"/>
                <c:pt idx="0">
                  <c:v>2.0800999999999998</c:v>
                </c:pt>
                <c:pt idx="1">
                  <c:v>2.6619999999999999</c:v>
                </c:pt>
                <c:pt idx="2">
                  <c:v>2.7273000000000001</c:v>
                </c:pt>
                <c:pt idx="3">
                  <c:v>2.9459</c:v>
                </c:pt>
                <c:pt idx="4">
                  <c:v>2.9754999999999998</c:v>
                </c:pt>
                <c:pt idx="5">
                  <c:v>3.2410999999999999</c:v>
                </c:pt>
                <c:pt idx="6">
                  <c:v>3.181</c:v>
                </c:pt>
              </c:numCache>
            </c:numRef>
          </c:val>
          <c:smooth val="0"/>
          <c:extLst xmlns:c16r2="http://schemas.microsoft.com/office/drawing/2015/06/chart">
            <c:ext xmlns:c16="http://schemas.microsoft.com/office/drawing/2014/chart" uri="{C3380CC4-5D6E-409C-BE32-E72D297353CC}">
              <c16:uniqueId val="{00000006-6B3B-44ED-B0DA-E22873EBDCAA}"/>
            </c:ext>
          </c:extLst>
        </c:ser>
        <c:dLbls>
          <c:showLegendKey val="0"/>
          <c:showVal val="0"/>
          <c:showCatName val="0"/>
          <c:showSerName val="0"/>
          <c:showPercent val="0"/>
          <c:showBubbleSize val="0"/>
        </c:dLbls>
        <c:marker val="1"/>
        <c:smooth val="0"/>
        <c:axId val="353724672"/>
        <c:axId val="353723136"/>
      </c:lineChart>
      <c:dateAx>
        <c:axId val="353707136"/>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53709056"/>
        <c:crosses val="autoZero"/>
        <c:auto val="0"/>
        <c:lblOffset val="0"/>
        <c:baseTimeUnit val="days"/>
      </c:dateAx>
      <c:valAx>
        <c:axId val="353709056"/>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53707136"/>
        <c:crosses val="autoZero"/>
        <c:crossBetween val="between"/>
      </c:valAx>
      <c:valAx>
        <c:axId val="353723136"/>
        <c:scaling>
          <c:orientation val="minMax"/>
        </c:scaling>
        <c:delete val="0"/>
        <c:axPos val="r"/>
        <c:numFmt formatCode="#,##0.0_);[Red]\(#,##0.0\)" sourceLinked="0"/>
        <c:majorTickMark val="out"/>
        <c:minorTickMark val="none"/>
        <c:tickLblPos val="nextTo"/>
        <c:spPr>
          <a:ln w="3175">
            <a:solidFill>
              <a:sysClr val="windowText" lastClr="000000"/>
            </a:solidFill>
          </a:ln>
        </c:spPr>
        <c:crossAx val="353724672"/>
        <c:crosses val="max"/>
        <c:crossBetween val="between"/>
      </c:valAx>
      <c:dateAx>
        <c:axId val="353724672"/>
        <c:scaling>
          <c:orientation val="minMax"/>
        </c:scaling>
        <c:delete val="1"/>
        <c:axPos val="b"/>
        <c:numFmt formatCode="General" sourceLinked="1"/>
        <c:majorTickMark val="out"/>
        <c:minorTickMark val="none"/>
        <c:tickLblPos val="nextTo"/>
        <c:crossAx val="353723136"/>
        <c:crosses val="autoZero"/>
        <c:auto val="0"/>
        <c:lblOffset val="100"/>
        <c:baseTimeUnit val="years"/>
      </c:dateAx>
    </c:plotArea>
    <c:legend>
      <c:legendPos val="r"/>
      <c:layout>
        <c:manualLayout>
          <c:xMode val="edge"/>
          <c:yMode val="edge"/>
          <c:x val="0.12684250801489111"/>
          <c:y val="2.3336672412989793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0018188600460932"/>
          <c:w val="0.86463429571303585"/>
          <c:h val="0.80674626468606592"/>
        </c:manualLayout>
      </c:layout>
      <c:barChart>
        <c:barDir val="col"/>
        <c:grouping val="clustered"/>
        <c:varyColors val="0"/>
        <c:ser>
          <c:idx val="0"/>
          <c:order val="0"/>
          <c:tx>
            <c:strRef>
              <c:f>国开!$J$3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国开!$K$3:$Q$3</c:f>
              <c:numCache>
                <c:formatCode>0.0_ ;[Red]\-0.0\ </c:formatCode>
                <c:ptCount val="7"/>
                <c:pt idx="0">
                  <c:v>-32.379999999999988</c:v>
                </c:pt>
                <c:pt idx="1">
                  <c:v>-3.4700000000000397</c:v>
                </c:pt>
                <c:pt idx="2">
                  <c:v>-0.91999999999998749</c:v>
                </c:pt>
                <c:pt idx="3">
                  <c:v>-0.43999999999999595</c:v>
                </c:pt>
                <c:pt idx="4">
                  <c:v>-0.99000000000000199</c:v>
                </c:pt>
                <c:pt idx="5">
                  <c:v>-6.4200000000000035</c:v>
                </c:pt>
                <c:pt idx="6">
                  <c:v>1.5199999999999658</c:v>
                </c:pt>
              </c:numCache>
            </c:numRef>
          </c:val>
          <c:extLst xmlns:c16r2="http://schemas.microsoft.com/office/drawing/2015/06/chart">
            <c:ext xmlns:c16="http://schemas.microsoft.com/office/drawing/2014/chart" uri="{C3380CC4-5D6E-409C-BE32-E72D297353CC}">
              <c16:uniqueId val="{00000000-0319-4AA3-8886-0F871A1F4B20}"/>
            </c:ext>
          </c:extLst>
        </c:ser>
        <c:dLbls>
          <c:showLegendKey val="0"/>
          <c:showVal val="0"/>
          <c:showCatName val="0"/>
          <c:showSerName val="0"/>
          <c:showPercent val="0"/>
          <c:showBubbleSize val="0"/>
        </c:dLbls>
        <c:gapWidth val="150"/>
        <c:axId val="354493952"/>
        <c:axId val="354495872"/>
      </c:barChart>
      <c:lineChart>
        <c:grouping val="standard"/>
        <c:varyColors val="0"/>
        <c:ser>
          <c:idx val="2"/>
          <c:order val="1"/>
          <c:tx>
            <c:strRef>
              <c:f>国开!$J$4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0319-4AA3-8886-0F871A1F4B20}"/>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0319-4AA3-8886-0F871A1F4B20}"/>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0319-4AA3-8886-0F871A1F4B20}"/>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0319-4AA3-8886-0F871A1F4B20}"/>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0319-4AA3-8886-0F871A1F4B20}"/>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0319-4AA3-8886-0F871A1F4B20}"/>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国开!$K$4:$Q$4</c:f>
              <c:numCache>
                <c:formatCode>###,###,###,###,##0.00</c:formatCode>
                <c:ptCount val="7"/>
                <c:pt idx="0">
                  <c:v>1.7879</c:v>
                </c:pt>
                <c:pt idx="1">
                  <c:v>2.7033999999999998</c:v>
                </c:pt>
                <c:pt idx="2">
                  <c:v>2.843</c:v>
                </c:pt>
                <c:pt idx="3">
                  <c:v>3.2418</c:v>
                </c:pt>
                <c:pt idx="4">
                  <c:v>3.4217</c:v>
                </c:pt>
                <c:pt idx="5">
                  <c:v>3.5385</c:v>
                </c:pt>
                <c:pt idx="6">
                  <c:v>3.6726999999999999</c:v>
                </c:pt>
              </c:numCache>
            </c:numRef>
          </c:val>
          <c:smooth val="0"/>
          <c:extLst xmlns:c16r2="http://schemas.microsoft.com/office/drawing/2015/06/chart">
            <c:ext xmlns:c16="http://schemas.microsoft.com/office/drawing/2014/chart" uri="{C3380CC4-5D6E-409C-BE32-E72D297353CC}">
              <c16:uniqueId val="{00000007-0319-4AA3-8886-0F871A1F4B20}"/>
            </c:ext>
          </c:extLst>
        </c:ser>
        <c:ser>
          <c:idx val="1"/>
          <c:order val="2"/>
          <c:tx>
            <c:strRef>
              <c:f>国开!$J$5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国开!$K$2:$Q$2</c:f>
              <c:strCache>
                <c:ptCount val="7"/>
                <c:pt idx="0">
                  <c:v>1M</c:v>
                </c:pt>
                <c:pt idx="1">
                  <c:v>3M</c:v>
                </c:pt>
                <c:pt idx="2">
                  <c:v>1Y</c:v>
                </c:pt>
                <c:pt idx="3">
                  <c:v>3Y</c:v>
                </c:pt>
                <c:pt idx="4">
                  <c:v>5Y</c:v>
                </c:pt>
                <c:pt idx="5">
                  <c:v>7Y</c:v>
                </c:pt>
                <c:pt idx="6">
                  <c:v>10Y</c:v>
                </c:pt>
              </c:strCache>
            </c:strRef>
          </c:cat>
          <c:val>
            <c:numRef>
              <c:f>国开!$K$5:$Q$5</c:f>
              <c:numCache>
                <c:formatCode>###,###,###,###,##0.00</c:formatCode>
                <c:ptCount val="7"/>
                <c:pt idx="0">
                  <c:v>2.1116999999999999</c:v>
                </c:pt>
                <c:pt idx="1">
                  <c:v>2.7381000000000002</c:v>
                </c:pt>
                <c:pt idx="2">
                  <c:v>2.8521999999999998</c:v>
                </c:pt>
                <c:pt idx="3">
                  <c:v>3.2462</c:v>
                </c:pt>
                <c:pt idx="4">
                  <c:v>3.4316</c:v>
                </c:pt>
                <c:pt idx="5">
                  <c:v>3.6027</c:v>
                </c:pt>
                <c:pt idx="6">
                  <c:v>3.6575000000000002</c:v>
                </c:pt>
              </c:numCache>
            </c:numRef>
          </c:val>
          <c:smooth val="0"/>
          <c:extLst xmlns:c16r2="http://schemas.microsoft.com/office/drawing/2015/06/chart">
            <c:ext xmlns:c16="http://schemas.microsoft.com/office/drawing/2014/chart" uri="{C3380CC4-5D6E-409C-BE32-E72D297353CC}">
              <c16:uniqueId val="{00000008-0319-4AA3-8886-0F871A1F4B20}"/>
            </c:ext>
          </c:extLst>
        </c:ser>
        <c:dLbls>
          <c:showLegendKey val="0"/>
          <c:showVal val="0"/>
          <c:showCatName val="0"/>
          <c:showSerName val="0"/>
          <c:showPercent val="0"/>
          <c:showBubbleSize val="0"/>
        </c:dLbls>
        <c:marker val="1"/>
        <c:smooth val="0"/>
        <c:axId val="354294400"/>
        <c:axId val="354292864"/>
      </c:lineChart>
      <c:dateAx>
        <c:axId val="354493952"/>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54495872"/>
        <c:crosses val="autoZero"/>
        <c:auto val="0"/>
        <c:lblOffset val="0"/>
        <c:baseTimeUnit val="days"/>
      </c:dateAx>
      <c:valAx>
        <c:axId val="354495872"/>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54493952"/>
        <c:crosses val="autoZero"/>
        <c:crossBetween val="between"/>
      </c:valAx>
      <c:valAx>
        <c:axId val="354292864"/>
        <c:scaling>
          <c:orientation val="minMax"/>
        </c:scaling>
        <c:delete val="0"/>
        <c:axPos val="r"/>
        <c:numFmt formatCode="#,##0.0_);[Red]\(#,##0.0\)" sourceLinked="0"/>
        <c:majorTickMark val="out"/>
        <c:minorTickMark val="none"/>
        <c:tickLblPos val="nextTo"/>
        <c:spPr>
          <a:ln w="3175">
            <a:solidFill>
              <a:sysClr val="windowText" lastClr="000000"/>
            </a:solidFill>
          </a:ln>
        </c:spPr>
        <c:crossAx val="354294400"/>
        <c:crosses val="max"/>
        <c:crossBetween val="between"/>
      </c:valAx>
      <c:dateAx>
        <c:axId val="354294400"/>
        <c:scaling>
          <c:orientation val="minMax"/>
        </c:scaling>
        <c:delete val="1"/>
        <c:axPos val="b"/>
        <c:numFmt formatCode="General" sourceLinked="1"/>
        <c:majorTickMark val="out"/>
        <c:minorTickMark val="none"/>
        <c:tickLblPos val="nextTo"/>
        <c:crossAx val="354292864"/>
        <c:crosses val="autoZero"/>
        <c:auto val="0"/>
        <c:lblOffset val="100"/>
        <c:baseTimeUnit val="years"/>
      </c:dateAx>
    </c:plotArea>
    <c:legend>
      <c:legendPos val="r"/>
      <c:layout>
        <c:manualLayout>
          <c:xMode val="edge"/>
          <c:yMode val="edge"/>
          <c:x val="0.11413053990868674"/>
          <c:y val="9.6784174471764295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0270669291338583"/>
          <c:w val="0.91250459317585297"/>
          <c:h val="0.81409120734908136"/>
        </c:manualLayout>
      </c:layout>
      <c:lineChart>
        <c:grouping val="standard"/>
        <c:varyColors val="0"/>
        <c:ser>
          <c:idx val="0"/>
          <c:order val="0"/>
          <c:tx>
            <c:strRef>
              <c:f>转债!$H$4</c:f>
              <c:strCache>
                <c:ptCount val="1"/>
                <c:pt idx="0">
                  <c:v>中证转债</c:v>
                </c:pt>
              </c:strCache>
            </c:strRef>
          </c:tx>
          <c:spPr>
            <a:ln w="25400">
              <a:solidFill>
                <a:srgbClr val="ED7D31">
                  <a:lumMod val="75000"/>
                </a:srgbClr>
              </a:solidFill>
            </a:ln>
          </c:spPr>
          <c:marker>
            <c:symbol val="none"/>
          </c:marker>
          <c:cat>
            <c:numRef>
              <c:f>转债!$G$5:$G$28</c:f>
              <c:numCache>
                <c:formatCode>yyyy\-mm\-dd</c:formatCode>
                <c:ptCount val="24"/>
                <c:pt idx="0">
                  <c:v>44141</c:v>
                </c:pt>
                <c:pt idx="1">
                  <c:v>44134</c:v>
                </c:pt>
                <c:pt idx="2">
                  <c:v>44127</c:v>
                </c:pt>
                <c:pt idx="3">
                  <c:v>44120</c:v>
                </c:pt>
                <c:pt idx="4">
                  <c:v>44113</c:v>
                </c:pt>
                <c:pt idx="5">
                  <c:v>44104</c:v>
                </c:pt>
                <c:pt idx="6">
                  <c:v>44099</c:v>
                </c:pt>
                <c:pt idx="7">
                  <c:v>44092</c:v>
                </c:pt>
                <c:pt idx="8">
                  <c:v>44085</c:v>
                </c:pt>
                <c:pt idx="9">
                  <c:v>44078</c:v>
                </c:pt>
                <c:pt idx="10">
                  <c:v>44071</c:v>
                </c:pt>
                <c:pt idx="11">
                  <c:v>44064</c:v>
                </c:pt>
                <c:pt idx="12">
                  <c:v>44057</c:v>
                </c:pt>
                <c:pt idx="13">
                  <c:v>44050</c:v>
                </c:pt>
                <c:pt idx="14">
                  <c:v>44043</c:v>
                </c:pt>
                <c:pt idx="15">
                  <c:v>44036</c:v>
                </c:pt>
                <c:pt idx="16">
                  <c:v>44029</c:v>
                </c:pt>
                <c:pt idx="17">
                  <c:v>44022</c:v>
                </c:pt>
                <c:pt idx="18">
                  <c:v>44015</c:v>
                </c:pt>
                <c:pt idx="19">
                  <c:v>44006</c:v>
                </c:pt>
                <c:pt idx="20">
                  <c:v>44001</c:v>
                </c:pt>
                <c:pt idx="21">
                  <c:v>43994</c:v>
                </c:pt>
                <c:pt idx="22">
                  <c:v>43987</c:v>
                </c:pt>
                <c:pt idx="23">
                  <c:v>43980</c:v>
                </c:pt>
              </c:numCache>
            </c:numRef>
          </c:cat>
          <c:val>
            <c:numRef>
              <c:f>转债!$H$5:$H$28</c:f>
              <c:numCache>
                <c:formatCode>General</c:formatCode>
                <c:ptCount val="24"/>
                <c:pt idx="0">
                  <c:v>7.4656934460281876</c:v>
                </c:pt>
                <c:pt idx="1">
                  <c:v>7.0023158642256611</c:v>
                </c:pt>
                <c:pt idx="2">
                  <c:v>7.2974291508751454</c:v>
                </c:pt>
                <c:pt idx="3">
                  <c:v>7.7829767892961366</c:v>
                </c:pt>
                <c:pt idx="4">
                  <c:v>6.0918226418869015</c:v>
                </c:pt>
                <c:pt idx="5">
                  <c:v>5.0627868872596959</c:v>
                </c:pt>
                <c:pt idx="6">
                  <c:v>4.04612307715706</c:v>
                </c:pt>
                <c:pt idx="7">
                  <c:v>6.2817890241255725</c:v>
                </c:pt>
                <c:pt idx="8">
                  <c:v>6.1550570250124004</c:v>
                </c:pt>
                <c:pt idx="9">
                  <c:v>8.9791361633400957</c:v>
                </c:pt>
                <c:pt idx="10">
                  <c:v>8.6957513631074956</c:v>
                </c:pt>
                <c:pt idx="11">
                  <c:v>8.8102869062709708</c:v>
                </c:pt>
                <c:pt idx="12">
                  <c:v>8.6915981335035077</c:v>
                </c:pt>
                <c:pt idx="13">
                  <c:v>9.1514659438097326</c:v>
                </c:pt>
                <c:pt idx="14">
                  <c:v>7.9623553608542341</c:v>
                </c:pt>
                <c:pt idx="15">
                  <c:v>5.562373611666005</c:v>
                </c:pt>
                <c:pt idx="16">
                  <c:v>5.0931756587987431</c:v>
                </c:pt>
                <c:pt idx="17">
                  <c:v>8.887852856339773</c:v>
                </c:pt>
                <c:pt idx="18">
                  <c:v>4.7074517713524333</c:v>
                </c:pt>
                <c:pt idx="19">
                  <c:v>0.42231325529551444</c:v>
                </c:pt>
                <c:pt idx="20">
                  <c:v>0.93982906242888742</c:v>
                </c:pt>
                <c:pt idx="21">
                  <c:v>6.7329116537861999E-2</c:v>
                </c:pt>
                <c:pt idx="22">
                  <c:v>0.41418228466234552</c:v>
                </c:pt>
                <c:pt idx="23">
                  <c:v>0</c:v>
                </c:pt>
              </c:numCache>
            </c:numRef>
          </c:val>
          <c:smooth val="1"/>
          <c:extLst xmlns:c16r2="http://schemas.microsoft.com/office/drawing/2015/06/chart">
            <c:ext xmlns:c16="http://schemas.microsoft.com/office/drawing/2014/chart" uri="{C3380CC4-5D6E-409C-BE32-E72D297353CC}">
              <c16:uniqueId val="{00000000-FB26-4560-BF82-E44BC96AA276}"/>
            </c:ext>
          </c:extLst>
        </c:ser>
        <c:ser>
          <c:idx val="2"/>
          <c:order val="1"/>
          <c:tx>
            <c:strRef>
              <c:f>转债!$I$4</c:f>
              <c:strCache>
                <c:ptCount val="1"/>
                <c:pt idx="0">
                  <c:v>中债总净价</c:v>
                </c:pt>
              </c:strCache>
            </c:strRef>
          </c:tx>
          <c:spPr>
            <a:ln w="25400">
              <a:solidFill>
                <a:srgbClr val="ED7D31"/>
              </a:solidFill>
              <a:prstDash val="sysDash"/>
            </a:ln>
          </c:spPr>
          <c:marker>
            <c:symbol val="none"/>
          </c:marker>
          <c:cat>
            <c:numRef>
              <c:f>转债!$G$5:$G$28</c:f>
              <c:numCache>
                <c:formatCode>yyyy\-mm\-dd</c:formatCode>
                <c:ptCount val="24"/>
                <c:pt idx="0">
                  <c:v>44141</c:v>
                </c:pt>
                <c:pt idx="1">
                  <c:v>44134</c:v>
                </c:pt>
                <c:pt idx="2">
                  <c:v>44127</c:v>
                </c:pt>
                <c:pt idx="3">
                  <c:v>44120</c:v>
                </c:pt>
                <c:pt idx="4">
                  <c:v>44113</c:v>
                </c:pt>
                <c:pt idx="5">
                  <c:v>44104</c:v>
                </c:pt>
                <c:pt idx="6">
                  <c:v>44099</c:v>
                </c:pt>
                <c:pt idx="7">
                  <c:v>44092</c:v>
                </c:pt>
                <c:pt idx="8">
                  <c:v>44085</c:v>
                </c:pt>
                <c:pt idx="9">
                  <c:v>44078</c:v>
                </c:pt>
                <c:pt idx="10">
                  <c:v>44071</c:v>
                </c:pt>
                <c:pt idx="11">
                  <c:v>44064</c:v>
                </c:pt>
                <c:pt idx="12">
                  <c:v>44057</c:v>
                </c:pt>
                <c:pt idx="13">
                  <c:v>44050</c:v>
                </c:pt>
                <c:pt idx="14">
                  <c:v>44043</c:v>
                </c:pt>
                <c:pt idx="15">
                  <c:v>44036</c:v>
                </c:pt>
                <c:pt idx="16">
                  <c:v>44029</c:v>
                </c:pt>
                <c:pt idx="17">
                  <c:v>44022</c:v>
                </c:pt>
                <c:pt idx="18">
                  <c:v>44015</c:v>
                </c:pt>
                <c:pt idx="19">
                  <c:v>44006</c:v>
                </c:pt>
                <c:pt idx="20">
                  <c:v>44001</c:v>
                </c:pt>
                <c:pt idx="21">
                  <c:v>43994</c:v>
                </c:pt>
                <c:pt idx="22">
                  <c:v>43987</c:v>
                </c:pt>
                <c:pt idx="23">
                  <c:v>43980</c:v>
                </c:pt>
              </c:numCache>
            </c:numRef>
          </c:cat>
          <c:val>
            <c:numRef>
              <c:f>转债!$I$5:$I$28</c:f>
              <c:numCache>
                <c:formatCode>General</c:formatCode>
                <c:ptCount val="24"/>
                <c:pt idx="0">
                  <c:v>-3.0981069975199338</c:v>
                </c:pt>
                <c:pt idx="1">
                  <c:v>-3.1188846616138077</c:v>
                </c:pt>
                <c:pt idx="2">
                  <c:v>-3.2246769114623208</c:v>
                </c:pt>
                <c:pt idx="3">
                  <c:v>-3.4645720132314817</c:v>
                </c:pt>
                <c:pt idx="4">
                  <c:v>-3.391229342366231</c:v>
                </c:pt>
                <c:pt idx="5">
                  <c:v>-3.1925584506319438</c:v>
                </c:pt>
                <c:pt idx="6">
                  <c:v>-3.0926435479972314</c:v>
                </c:pt>
                <c:pt idx="7">
                  <c:v>-3.0954580522968067</c:v>
                </c:pt>
                <c:pt idx="8">
                  <c:v>-3.1140006688586741</c:v>
                </c:pt>
                <c:pt idx="9">
                  <c:v>-3.1403245620134634</c:v>
                </c:pt>
                <c:pt idx="10">
                  <c:v>-2.8989394285563019</c:v>
                </c:pt>
                <c:pt idx="11">
                  <c:v>-2.419894240861975</c:v>
                </c:pt>
                <c:pt idx="12">
                  <c:v>-2.1973828421195551</c:v>
                </c:pt>
                <c:pt idx="13">
                  <c:v>-2.4005238289178776</c:v>
                </c:pt>
                <c:pt idx="14">
                  <c:v>-2.1932438652084274</c:v>
                </c:pt>
                <c:pt idx="15">
                  <c:v>-1.6578258119844924</c:v>
                </c:pt>
                <c:pt idx="16">
                  <c:v>-2.2965527289102616</c:v>
                </c:pt>
                <c:pt idx="17">
                  <c:v>-2.5228719864109128</c:v>
                </c:pt>
                <c:pt idx="18">
                  <c:v>-1.303943286082776</c:v>
                </c:pt>
                <c:pt idx="19">
                  <c:v>-1.3444224802736326</c:v>
                </c:pt>
                <c:pt idx="20">
                  <c:v>-1.2868079216706962</c:v>
                </c:pt>
                <c:pt idx="21">
                  <c:v>-0.7722503120788593</c:v>
                </c:pt>
                <c:pt idx="22">
                  <c:v>-1.2345740330522159</c:v>
                </c:pt>
                <c:pt idx="23">
                  <c:v>0</c:v>
                </c:pt>
              </c:numCache>
            </c:numRef>
          </c:val>
          <c:smooth val="1"/>
          <c:extLst xmlns:c16r2="http://schemas.microsoft.com/office/drawing/2015/06/chart">
            <c:ext xmlns:c16="http://schemas.microsoft.com/office/drawing/2014/chart" uri="{C3380CC4-5D6E-409C-BE32-E72D297353CC}">
              <c16:uniqueId val="{00000004-FB26-4560-BF82-E44BC96AA276}"/>
            </c:ext>
          </c:extLst>
        </c:ser>
        <c:ser>
          <c:idx val="1"/>
          <c:order val="2"/>
          <c:tx>
            <c:strRef>
              <c:f>转债!$J$4</c:f>
              <c:strCache>
                <c:ptCount val="1"/>
                <c:pt idx="0">
                  <c:v>沪深300</c:v>
                </c:pt>
              </c:strCache>
            </c:strRef>
          </c:tx>
          <c:spPr>
            <a:ln w="25400">
              <a:solidFill>
                <a:sysClr val="windowText" lastClr="000000">
                  <a:lumMod val="50000"/>
                  <a:lumOff val="50000"/>
                </a:sysClr>
              </a:solidFill>
              <a:prstDash val="sysDash"/>
            </a:ln>
          </c:spPr>
          <c:marker>
            <c:symbol val="none"/>
          </c:marker>
          <c:cat>
            <c:numRef>
              <c:f>转债!$G$5:$G$28</c:f>
              <c:numCache>
                <c:formatCode>yyyy\-mm\-dd</c:formatCode>
                <c:ptCount val="24"/>
                <c:pt idx="0">
                  <c:v>44141</c:v>
                </c:pt>
                <c:pt idx="1">
                  <c:v>44134</c:v>
                </c:pt>
                <c:pt idx="2">
                  <c:v>44127</c:v>
                </c:pt>
                <c:pt idx="3">
                  <c:v>44120</c:v>
                </c:pt>
                <c:pt idx="4">
                  <c:v>44113</c:v>
                </c:pt>
                <c:pt idx="5">
                  <c:v>44104</c:v>
                </c:pt>
                <c:pt idx="6">
                  <c:v>44099</c:v>
                </c:pt>
                <c:pt idx="7">
                  <c:v>44092</c:v>
                </c:pt>
                <c:pt idx="8">
                  <c:v>44085</c:v>
                </c:pt>
                <c:pt idx="9">
                  <c:v>44078</c:v>
                </c:pt>
                <c:pt idx="10">
                  <c:v>44071</c:v>
                </c:pt>
                <c:pt idx="11">
                  <c:v>44064</c:v>
                </c:pt>
                <c:pt idx="12">
                  <c:v>44057</c:v>
                </c:pt>
                <c:pt idx="13">
                  <c:v>44050</c:v>
                </c:pt>
                <c:pt idx="14">
                  <c:v>44043</c:v>
                </c:pt>
                <c:pt idx="15">
                  <c:v>44036</c:v>
                </c:pt>
                <c:pt idx="16">
                  <c:v>44029</c:v>
                </c:pt>
                <c:pt idx="17">
                  <c:v>44022</c:v>
                </c:pt>
                <c:pt idx="18">
                  <c:v>44015</c:v>
                </c:pt>
                <c:pt idx="19">
                  <c:v>44006</c:v>
                </c:pt>
                <c:pt idx="20">
                  <c:v>44001</c:v>
                </c:pt>
                <c:pt idx="21">
                  <c:v>43994</c:v>
                </c:pt>
                <c:pt idx="22">
                  <c:v>43987</c:v>
                </c:pt>
                <c:pt idx="23">
                  <c:v>43980</c:v>
                </c:pt>
              </c:numCache>
            </c:numRef>
          </c:cat>
          <c:val>
            <c:numRef>
              <c:f>转债!$J$5:$J$28</c:f>
              <c:numCache>
                <c:formatCode>General</c:formatCode>
                <c:ptCount val="24"/>
                <c:pt idx="0">
                  <c:v>26.343120982568724</c:v>
                </c:pt>
                <c:pt idx="1">
                  <c:v>21.419850804101713</c:v>
                </c:pt>
                <c:pt idx="2">
                  <c:v>22.018613697481815</c:v>
                </c:pt>
                <c:pt idx="3">
                  <c:v>23.911229702475033</c:v>
                </c:pt>
                <c:pt idx="4">
                  <c:v>21.05283464552268</c:v>
                </c:pt>
                <c:pt idx="5">
                  <c:v>18.628595246079716</c:v>
                </c:pt>
                <c:pt idx="6">
                  <c:v>18.179316845060555</c:v>
                </c:pt>
                <c:pt idx="7">
                  <c:v>22.499619345443801</c:v>
                </c:pt>
                <c:pt idx="8">
                  <c:v>19.660068240604289</c:v>
                </c:pt>
                <c:pt idx="9">
                  <c:v>23.356358451637949</c:v>
                </c:pt>
                <c:pt idx="10">
                  <c:v>25.271169823858308</c:v>
                </c:pt>
                <c:pt idx="11">
                  <c:v>22.027793885487945</c:v>
                </c:pt>
                <c:pt idx="12">
                  <c:v>21.660216571754741</c:v>
                </c:pt>
                <c:pt idx="13">
                  <c:v>21.74548629550501</c:v>
                </c:pt>
                <c:pt idx="14">
                  <c:v>21.412413558832522</c:v>
                </c:pt>
                <c:pt idx="15">
                  <c:v>16.513151511477876</c:v>
                </c:pt>
                <c:pt idx="16">
                  <c:v>17.524526359190197</c:v>
                </c:pt>
                <c:pt idx="17">
                  <c:v>22.914527639761783</c:v>
                </c:pt>
                <c:pt idx="18">
                  <c:v>14.289345354845562</c:v>
                </c:pt>
                <c:pt idx="19">
                  <c:v>7.0329627192306399</c:v>
                </c:pt>
                <c:pt idx="20">
                  <c:v>5.9913346265934031</c:v>
                </c:pt>
                <c:pt idx="21">
                  <c:v>3.5184609184656601</c:v>
                </c:pt>
                <c:pt idx="22">
                  <c:v>3.4710859764172097</c:v>
                </c:pt>
                <c:pt idx="23">
                  <c:v>0</c:v>
                </c:pt>
              </c:numCache>
            </c:numRef>
          </c:val>
          <c:smooth val="1"/>
          <c:extLst xmlns:c16r2="http://schemas.microsoft.com/office/drawing/2015/06/chart">
            <c:ext xmlns:c16="http://schemas.microsoft.com/office/drawing/2014/chart" uri="{C3380CC4-5D6E-409C-BE32-E72D297353CC}">
              <c16:uniqueId val="{00000006-6B3B-44ED-B0DA-E22873EBDCAA}"/>
            </c:ext>
          </c:extLst>
        </c:ser>
        <c:dLbls>
          <c:showLegendKey val="0"/>
          <c:showVal val="0"/>
          <c:showCatName val="0"/>
          <c:showSerName val="0"/>
          <c:showPercent val="0"/>
          <c:showBubbleSize val="0"/>
        </c:dLbls>
        <c:marker val="1"/>
        <c:smooth val="0"/>
        <c:axId val="354443648"/>
        <c:axId val="354445184"/>
      </c:lineChart>
      <c:dateAx>
        <c:axId val="354443648"/>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sz="500"/>
            </a:pPr>
            <a:endParaRPr lang="zh-CN"/>
          </a:p>
        </c:txPr>
        <c:crossAx val="354445184"/>
        <c:crosses val="autoZero"/>
        <c:auto val="0"/>
        <c:lblOffset val="0"/>
        <c:baseTimeUnit val="days"/>
        <c:majorUnit val="14"/>
        <c:majorTimeUnit val="days"/>
      </c:dateAx>
      <c:valAx>
        <c:axId val="354445184"/>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54443648"/>
        <c:crosses val="autoZero"/>
        <c:crossBetween val="between"/>
      </c:valAx>
    </c:plotArea>
    <c:legend>
      <c:legendPos val="r"/>
      <c:layout>
        <c:manualLayout>
          <c:xMode val="edge"/>
          <c:yMode val="edge"/>
          <c:x val="9.9472222222222226E-2"/>
          <c:y val="2.3337707786526686E-3"/>
          <c:w val="0.86834886264216971"/>
          <c:h val="8.1219378827646557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库存!$H$1</c:f>
              <c:strCache>
                <c:ptCount val="1"/>
                <c:pt idx="0">
                  <c:v>2018</c:v>
                </c:pt>
              </c:strCache>
            </c:strRef>
          </c:tx>
          <c:spPr>
            <a:ln w="28575">
              <a:solidFill>
                <a:srgbClr val="E7E6E6">
                  <a:lumMod val="75000"/>
                </a:srgbClr>
              </a:solidFill>
              <a:prstDash val="solid"/>
            </a:ln>
          </c:spPr>
          <c:marker>
            <c:symbol val="none"/>
          </c:marker>
          <c:cat>
            <c:numRef>
              <c:f>库存!$G$2:$G$366</c:f>
              <c:numCache>
                <c:formatCode>m/d/yyyy</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库存!$H$2:$H$366</c:f>
              <c:numCache>
                <c:formatCode>General</c:formatCode>
                <c:ptCount val="365"/>
                <c:pt idx="0">
                  <c:v>#N/A</c:v>
                </c:pt>
                <c:pt idx="1">
                  <c:v>#N/A</c:v>
                </c:pt>
                <c:pt idx="2">
                  <c:v>#N/A</c:v>
                </c:pt>
                <c:pt idx="3">
                  <c:v>#N/A</c:v>
                </c:pt>
                <c:pt idx="4">
                  <c:v>835.09839999999997</c:v>
                </c:pt>
                <c:pt idx="5">
                  <c:v>#N/A</c:v>
                </c:pt>
                <c:pt idx="6">
                  <c:v>#N/A</c:v>
                </c:pt>
                <c:pt idx="7">
                  <c:v>#N/A</c:v>
                </c:pt>
                <c:pt idx="8">
                  <c:v>#N/A</c:v>
                </c:pt>
                <c:pt idx="9">
                  <c:v>#N/A</c:v>
                </c:pt>
                <c:pt idx="10">
                  <c:v>#N/A</c:v>
                </c:pt>
                <c:pt idx="11">
                  <c:v>890.60569999999996</c:v>
                </c:pt>
                <c:pt idx="12">
                  <c:v>#N/A</c:v>
                </c:pt>
                <c:pt idx="13">
                  <c:v>#N/A</c:v>
                </c:pt>
                <c:pt idx="14">
                  <c:v>#N/A</c:v>
                </c:pt>
                <c:pt idx="15">
                  <c:v>#N/A</c:v>
                </c:pt>
                <c:pt idx="16">
                  <c:v>#N/A</c:v>
                </c:pt>
                <c:pt idx="17">
                  <c:v>#N/A</c:v>
                </c:pt>
                <c:pt idx="18">
                  <c:v>932.39099999999996</c:v>
                </c:pt>
                <c:pt idx="19">
                  <c:v>#N/A</c:v>
                </c:pt>
                <c:pt idx="20">
                  <c:v>#N/A</c:v>
                </c:pt>
                <c:pt idx="21">
                  <c:v>#N/A</c:v>
                </c:pt>
                <c:pt idx="22">
                  <c:v>#N/A</c:v>
                </c:pt>
                <c:pt idx="23">
                  <c:v>#N/A</c:v>
                </c:pt>
                <c:pt idx="24">
                  <c:v>#N/A</c:v>
                </c:pt>
                <c:pt idx="25">
                  <c:v>972.77679999999998</c:v>
                </c:pt>
                <c:pt idx="26">
                  <c:v>#N/A</c:v>
                </c:pt>
                <c:pt idx="27">
                  <c:v>#N/A</c:v>
                </c:pt>
                <c:pt idx="28">
                  <c:v>#N/A</c:v>
                </c:pt>
                <c:pt idx="29">
                  <c:v>#N/A</c:v>
                </c:pt>
                <c:pt idx="30">
                  <c:v>#N/A</c:v>
                </c:pt>
                <c:pt idx="31">
                  <c:v>#N/A</c:v>
                </c:pt>
                <c:pt idx="32">
                  <c:v>1075.2798</c:v>
                </c:pt>
                <c:pt idx="33">
                  <c:v>#N/A</c:v>
                </c:pt>
                <c:pt idx="34">
                  <c:v>#N/A</c:v>
                </c:pt>
                <c:pt idx="35">
                  <c:v>#N/A</c:v>
                </c:pt>
                <c:pt idx="36">
                  <c:v>#N/A</c:v>
                </c:pt>
                <c:pt idx="37">
                  <c:v>#N/A</c:v>
                </c:pt>
                <c:pt idx="38">
                  <c:v>#N/A</c:v>
                </c:pt>
                <c:pt idx="39">
                  <c:v>1218.9889000000001</c:v>
                </c:pt>
                <c:pt idx="40">
                  <c:v>#N/A</c:v>
                </c:pt>
                <c:pt idx="41">
                  <c:v>#N/A</c:v>
                </c:pt>
                <c:pt idx="42">
                  <c:v>#N/A</c:v>
                </c:pt>
                <c:pt idx="43">
                  <c:v>#N/A</c:v>
                </c:pt>
                <c:pt idx="44">
                  <c:v>#N/A</c:v>
                </c:pt>
                <c:pt idx="45">
                  <c:v>#N/A</c:v>
                </c:pt>
                <c:pt idx="46">
                  <c:v>#N/A</c:v>
                </c:pt>
                <c:pt idx="47">
                  <c:v>#N/A</c:v>
                </c:pt>
                <c:pt idx="48">
                  <c:v>#N/A</c:v>
                </c:pt>
                <c:pt idx="49">
                  <c:v>#N/A</c:v>
                </c:pt>
                <c:pt idx="50">
                  <c:v>#N/A</c:v>
                </c:pt>
                <c:pt idx="51">
                  <c:v>#N/A</c:v>
                </c:pt>
                <c:pt idx="52">
                  <c:v>#N/A</c:v>
                </c:pt>
                <c:pt idx="53">
                  <c:v>1616.0438999999999</c:v>
                </c:pt>
                <c:pt idx="54">
                  <c:v>#N/A</c:v>
                </c:pt>
                <c:pt idx="55">
                  <c:v>#N/A</c:v>
                </c:pt>
                <c:pt idx="56">
                  <c:v>#N/A</c:v>
                </c:pt>
                <c:pt idx="57">
                  <c:v>#N/A</c:v>
                </c:pt>
                <c:pt idx="58">
                  <c:v>#N/A</c:v>
                </c:pt>
                <c:pt idx="59">
                  <c:v>#N/A</c:v>
                </c:pt>
                <c:pt idx="60">
                  <c:v>1851.7684999999999</c:v>
                </c:pt>
                <c:pt idx="61">
                  <c:v>#N/A</c:v>
                </c:pt>
                <c:pt idx="62">
                  <c:v>#N/A</c:v>
                </c:pt>
                <c:pt idx="63">
                  <c:v>#N/A</c:v>
                </c:pt>
                <c:pt idx="64">
                  <c:v>#N/A</c:v>
                </c:pt>
                <c:pt idx="65">
                  <c:v>#N/A</c:v>
                </c:pt>
                <c:pt idx="66">
                  <c:v>#N/A</c:v>
                </c:pt>
                <c:pt idx="67">
                  <c:v>1965.1591000000001</c:v>
                </c:pt>
                <c:pt idx="68">
                  <c:v>#N/A</c:v>
                </c:pt>
                <c:pt idx="69">
                  <c:v>#N/A</c:v>
                </c:pt>
                <c:pt idx="70">
                  <c:v>#N/A</c:v>
                </c:pt>
                <c:pt idx="71">
                  <c:v>#N/A</c:v>
                </c:pt>
                <c:pt idx="72">
                  <c:v>#N/A</c:v>
                </c:pt>
                <c:pt idx="73">
                  <c:v>#N/A</c:v>
                </c:pt>
                <c:pt idx="74">
                  <c:v>1947.9930999999999</c:v>
                </c:pt>
                <c:pt idx="75">
                  <c:v>#N/A</c:v>
                </c:pt>
                <c:pt idx="76">
                  <c:v>#N/A</c:v>
                </c:pt>
                <c:pt idx="77">
                  <c:v>#N/A</c:v>
                </c:pt>
                <c:pt idx="78">
                  <c:v>#N/A</c:v>
                </c:pt>
                <c:pt idx="79">
                  <c:v>#N/A</c:v>
                </c:pt>
                <c:pt idx="80">
                  <c:v>#N/A</c:v>
                </c:pt>
                <c:pt idx="81">
                  <c:v>1877.1077</c:v>
                </c:pt>
                <c:pt idx="82">
                  <c:v>#N/A</c:v>
                </c:pt>
                <c:pt idx="83">
                  <c:v>#N/A</c:v>
                </c:pt>
                <c:pt idx="84">
                  <c:v>#N/A</c:v>
                </c:pt>
                <c:pt idx="85">
                  <c:v>#N/A</c:v>
                </c:pt>
                <c:pt idx="86">
                  <c:v>#N/A</c:v>
                </c:pt>
                <c:pt idx="87">
                  <c:v>#N/A</c:v>
                </c:pt>
                <c:pt idx="88">
                  <c:v>1797.1663000000001</c:v>
                </c:pt>
                <c:pt idx="89">
                  <c:v>#N/A</c:v>
                </c:pt>
                <c:pt idx="90">
                  <c:v>#N/A</c:v>
                </c:pt>
                <c:pt idx="91">
                  <c:v>#N/A</c:v>
                </c:pt>
                <c:pt idx="92">
                  <c:v>#N/A</c:v>
                </c:pt>
                <c:pt idx="93">
                  <c:v>#N/A</c:v>
                </c:pt>
                <c:pt idx="94">
                  <c:v>1680.1645000000001</c:v>
                </c:pt>
                <c:pt idx="95">
                  <c:v>#N/A</c:v>
                </c:pt>
                <c:pt idx="96">
                  <c:v>#N/A</c:v>
                </c:pt>
                <c:pt idx="97">
                  <c:v>#N/A</c:v>
                </c:pt>
                <c:pt idx="98">
                  <c:v>#N/A</c:v>
                </c:pt>
                <c:pt idx="99">
                  <c:v>#N/A</c:v>
                </c:pt>
                <c:pt idx="100">
                  <c:v>#N/A</c:v>
                </c:pt>
                <c:pt idx="101">
                  <c:v>#N/A</c:v>
                </c:pt>
                <c:pt idx="102">
                  <c:v>1593.9454000000001</c:v>
                </c:pt>
                <c:pt idx="103">
                  <c:v>#N/A</c:v>
                </c:pt>
                <c:pt idx="104">
                  <c:v>#N/A</c:v>
                </c:pt>
                <c:pt idx="105">
                  <c:v>#N/A</c:v>
                </c:pt>
                <c:pt idx="106">
                  <c:v>#N/A</c:v>
                </c:pt>
                <c:pt idx="107">
                  <c:v>#N/A</c:v>
                </c:pt>
                <c:pt idx="108">
                  <c:v>#N/A</c:v>
                </c:pt>
                <c:pt idx="109">
                  <c:v>1500.1545000000001</c:v>
                </c:pt>
                <c:pt idx="110">
                  <c:v>#N/A</c:v>
                </c:pt>
                <c:pt idx="111">
                  <c:v>#N/A</c:v>
                </c:pt>
                <c:pt idx="112">
                  <c:v>#N/A</c:v>
                </c:pt>
                <c:pt idx="113">
                  <c:v>#N/A</c:v>
                </c:pt>
                <c:pt idx="114">
                  <c:v>#N/A</c:v>
                </c:pt>
                <c:pt idx="115">
                  <c:v>#N/A</c:v>
                </c:pt>
                <c:pt idx="116">
                  <c:v>1415.1107</c:v>
                </c:pt>
                <c:pt idx="117">
                  <c:v>#N/A</c:v>
                </c:pt>
                <c:pt idx="118">
                  <c:v>#N/A</c:v>
                </c:pt>
                <c:pt idx="119">
                  <c:v>#N/A</c:v>
                </c:pt>
                <c:pt idx="120">
                  <c:v>#N/A</c:v>
                </c:pt>
                <c:pt idx="121">
                  <c:v>#N/A</c:v>
                </c:pt>
                <c:pt idx="122">
                  <c:v>#N/A</c:v>
                </c:pt>
                <c:pt idx="123">
                  <c:v>1348.7941000000001</c:v>
                </c:pt>
                <c:pt idx="124">
                  <c:v>#N/A</c:v>
                </c:pt>
                <c:pt idx="125">
                  <c:v>#N/A</c:v>
                </c:pt>
                <c:pt idx="126">
                  <c:v>#N/A</c:v>
                </c:pt>
                <c:pt idx="127">
                  <c:v>#N/A</c:v>
                </c:pt>
                <c:pt idx="128">
                  <c:v>#N/A</c:v>
                </c:pt>
                <c:pt idx="129">
                  <c:v>#N/A</c:v>
                </c:pt>
                <c:pt idx="130">
                  <c:v>1270.1989000000001</c:v>
                </c:pt>
                <c:pt idx="131">
                  <c:v>#N/A</c:v>
                </c:pt>
                <c:pt idx="132">
                  <c:v>#N/A</c:v>
                </c:pt>
                <c:pt idx="133">
                  <c:v>#N/A</c:v>
                </c:pt>
                <c:pt idx="134">
                  <c:v>#N/A</c:v>
                </c:pt>
                <c:pt idx="135">
                  <c:v>#N/A</c:v>
                </c:pt>
                <c:pt idx="136">
                  <c:v>#N/A</c:v>
                </c:pt>
                <c:pt idx="137">
                  <c:v>1210.9458999999999</c:v>
                </c:pt>
                <c:pt idx="138">
                  <c:v>#N/A</c:v>
                </c:pt>
                <c:pt idx="139">
                  <c:v>#N/A</c:v>
                </c:pt>
                <c:pt idx="140">
                  <c:v>#N/A</c:v>
                </c:pt>
                <c:pt idx="141">
                  <c:v>#N/A</c:v>
                </c:pt>
                <c:pt idx="142">
                  <c:v>#N/A</c:v>
                </c:pt>
                <c:pt idx="143">
                  <c:v>#N/A</c:v>
                </c:pt>
                <c:pt idx="144">
                  <c:v>1133.2660000000001</c:v>
                </c:pt>
                <c:pt idx="145">
                  <c:v>#N/A</c:v>
                </c:pt>
                <c:pt idx="146">
                  <c:v>#N/A</c:v>
                </c:pt>
                <c:pt idx="147">
                  <c:v>#N/A</c:v>
                </c:pt>
                <c:pt idx="148">
                  <c:v>#N/A</c:v>
                </c:pt>
                <c:pt idx="149">
                  <c:v>#N/A</c:v>
                </c:pt>
                <c:pt idx="150">
                  <c:v>#N/A</c:v>
                </c:pt>
                <c:pt idx="151">
                  <c:v>1075.385</c:v>
                </c:pt>
                <c:pt idx="152">
                  <c:v>#N/A</c:v>
                </c:pt>
                <c:pt idx="153">
                  <c:v>#N/A</c:v>
                </c:pt>
                <c:pt idx="154">
                  <c:v>#N/A</c:v>
                </c:pt>
                <c:pt idx="155">
                  <c:v>#N/A</c:v>
                </c:pt>
                <c:pt idx="156">
                  <c:v>#N/A</c:v>
                </c:pt>
                <c:pt idx="157">
                  <c:v>#N/A</c:v>
                </c:pt>
                <c:pt idx="158">
                  <c:v>1035.886</c:v>
                </c:pt>
                <c:pt idx="159">
                  <c:v>#N/A</c:v>
                </c:pt>
                <c:pt idx="160">
                  <c:v>#N/A</c:v>
                </c:pt>
                <c:pt idx="161">
                  <c:v>#N/A</c:v>
                </c:pt>
                <c:pt idx="162">
                  <c:v>#N/A</c:v>
                </c:pt>
                <c:pt idx="163">
                  <c:v>#N/A</c:v>
                </c:pt>
                <c:pt idx="164">
                  <c:v>#N/A</c:v>
                </c:pt>
                <c:pt idx="165">
                  <c:v>998.59460000000001</c:v>
                </c:pt>
                <c:pt idx="166">
                  <c:v>#N/A</c:v>
                </c:pt>
                <c:pt idx="167">
                  <c:v>#N/A</c:v>
                </c:pt>
                <c:pt idx="168">
                  <c:v>#N/A</c:v>
                </c:pt>
                <c:pt idx="169">
                  <c:v>#N/A</c:v>
                </c:pt>
                <c:pt idx="170">
                  <c:v>#N/A</c:v>
                </c:pt>
                <c:pt idx="171">
                  <c:v>#N/A</c:v>
                </c:pt>
                <c:pt idx="172">
                  <c:v>1009.6992</c:v>
                </c:pt>
                <c:pt idx="173">
                  <c:v>#N/A</c:v>
                </c:pt>
                <c:pt idx="174">
                  <c:v>#N/A</c:v>
                </c:pt>
                <c:pt idx="175">
                  <c:v>#N/A</c:v>
                </c:pt>
                <c:pt idx="176">
                  <c:v>#N/A</c:v>
                </c:pt>
                <c:pt idx="177">
                  <c:v>#N/A</c:v>
                </c:pt>
                <c:pt idx="178">
                  <c:v>#N/A</c:v>
                </c:pt>
                <c:pt idx="179">
                  <c:v>1025.2517</c:v>
                </c:pt>
                <c:pt idx="180">
                  <c:v>#N/A</c:v>
                </c:pt>
                <c:pt idx="181">
                  <c:v>#N/A</c:v>
                </c:pt>
                <c:pt idx="182">
                  <c:v>#N/A</c:v>
                </c:pt>
                <c:pt idx="183">
                  <c:v>#N/A</c:v>
                </c:pt>
                <c:pt idx="184">
                  <c:v>#N/A</c:v>
                </c:pt>
                <c:pt idx="185">
                  <c:v>#N/A</c:v>
                </c:pt>
                <c:pt idx="186">
                  <c:v>1009.8008</c:v>
                </c:pt>
                <c:pt idx="187">
                  <c:v>#N/A</c:v>
                </c:pt>
                <c:pt idx="188">
                  <c:v>#N/A</c:v>
                </c:pt>
                <c:pt idx="189">
                  <c:v>#N/A</c:v>
                </c:pt>
                <c:pt idx="190">
                  <c:v>#N/A</c:v>
                </c:pt>
                <c:pt idx="191">
                  <c:v>#N/A</c:v>
                </c:pt>
                <c:pt idx="192">
                  <c:v>#N/A</c:v>
                </c:pt>
                <c:pt idx="193">
                  <c:v>996.97540000000004</c:v>
                </c:pt>
                <c:pt idx="194">
                  <c:v>#N/A</c:v>
                </c:pt>
                <c:pt idx="195">
                  <c:v>#N/A</c:v>
                </c:pt>
                <c:pt idx="196">
                  <c:v>#N/A</c:v>
                </c:pt>
                <c:pt idx="197">
                  <c:v>#N/A</c:v>
                </c:pt>
                <c:pt idx="198">
                  <c:v>#N/A</c:v>
                </c:pt>
                <c:pt idx="199">
                  <c:v>#N/A</c:v>
                </c:pt>
                <c:pt idx="200">
                  <c:v>999.93079999999998</c:v>
                </c:pt>
                <c:pt idx="201">
                  <c:v>#N/A</c:v>
                </c:pt>
                <c:pt idx="202">
                  <c:v>#N/A</c:v>
                </c:pt>
                <c:pt idx="203">
                  <c:v>#N/A</c:v>
                </c:pt>
                <c:pt idx="204">
                  <c:v>#N/A</c:v>
                </c:pt>
                <c:pt idx="205">
                  <c:v>#N/A</c:v>
                </c:pt>
                <c:pt idx="206">
                  <c:v>#N/A</c:v>
                </c:pt>
                <c:pt idx="207">
                  <c:v>987.18</c:v>
                </c:pt>
                <c:pt idx="208">
                  <c:v>#N/A</c:v>
                </c:pt>
                <c:pt idx="209">
                  <c:v>#N/A</c:v>
                </c:pt>
                <c:pt idx="210">
                  <c:v>#N/A</c:v>
                </c:pt>
                <c:pt idx="211">
                  <c:v>#N/A</c:v>
                </c:pt>
                <c:pt idx="212">
                  <c:v>#N/A</c:v>
                </c:pt>
                <c:pt idx="213">
                  <c:v>#N/A</c:v>
                </c:pt>
                <c:pt idx="214">
                  <c:v>1001.82</c:v>
                </c:pt>
                <c:pt idx="215">
                  <c:v>#N/A</c:v>
                </c:pt>
                <c:pt idx="216">
                  <c:v>#N/A</c:v>
                </c:pt>
                <c:pt idx="217">
                  <c:v>#N/A</c:v>
                </c:pt>
                <c:pt idx="218">
                  <c:v>#N/A</c:v>
                </c:pt>
                <c:pt idx="219">
                  <c:v>#N/A</c:v>
                </c:pt>
                <c:pt idx="220">
                  <c:v>#N/A</c:v>
                </c:pt>
                <c:pt idx="221">
                  <c:v>1001.2</c:v>
                </c:pt>
                <c:pt idx="222">
                  <c:v>#N/A</c:v>
                </c:pt>
                <c:pt idx="223">
                  <c:v>#N/A</c:v>
                </c:pt>
                <c:pt idx="224">
                  <c:v>#N/A</c:v>
                </c:pt>
                <c:pt idx="225">
                  <c:v>#N/A</c:v>
                </c:pt>
                <c:pt idx="226">
                  <c:v>#N/A</c:v>
                </c:pt>
                <c:pt idx="227">
                  <c:v>#N/A</c:v>
                </c:pt>
                <c:pt idx="228">
                  <c:v>1008.52</c:v>
                </c:pt>
                <c:pt idx="229">
                  <c:v>#N/A</c:v>
                </c:pt>
                <c:pt idx="230">
                  <c:v>#N/A</c:v>
                </c:pt>
                <c:pt idx="231">
                  <c:v>#N/A</c:v>
                </c:pt>
                <c:pt idx="232">
                  <c:v>#N/A</c:v>
                </c:pt>
                <c:pt idx="233">
                  <c:v>#N/A</c:v>
                </c:pt>
                <c:pt idx="234">
                  <c:v>#N/A</c:v>
                </c:pt>
                <c:pt idx="235">
                  <c:v>1004.18</c:v>
                </c:pt>
                <c:pt idx="236">
                  <c:v>#N/A</c:v>
                </c:pt>
                <c:pt idx="237">
                  <c:v>#N/A</c:v>
                </c:pt>
                <c:pt idx="238">
                  <c:v>#N/A</c:v>
                </c:pt>
                <c:pt idx="239">
                  <c:v>#N/A</c:v>
                </c:pt>
                <c:pt idx="240">
                  <c:v>#N/A</c:v>
                </c:pt>
                <c:pt idx="241">
                  <c:v>#N/A</c:v>
                </c:pt>
                <c:pt idx="242">
                  <c:v>995.88</c:v>
                </c:pt>
                <c:pt idx="243">
                  <c:v>#N/A</c:v>
                </c:pt>
                <c:pt idx="244">
                  <c:v>#N/A</c:v>
                </c:pt>
                <c:pt idx="245">
                  <c:v>#N/A</c:v>
                </c:pt>
                <c:pt idx="246">
                  <c:v>#N/A</c:v>
                </c:pt>
                <c:pt idx="247">
                  <c:v>#N/A</c:v>
                </c:pt>
                <c:pt idx="248">
                  <c:v>#N/A</c:v>
                </c:pt>
                <c:pt idx="249">
                  <c:v>999.49</c:v>
                </c:pt>
                <c:pt idx="250">
                  <c:v>#N/A</c:v>
                </c:pt>
                <c:pt idx="251">
                  <c:v>#N/A</c:v>
                </c:pt>
                <c:pt idx="252">
                  <c:v>#N/A</c:v>
                </c:pt>
                <c:pt idx="253">
                  <c:v>#N/A</c:v>
                </c:pt>
                <c:pt idx="254">
                  <c:v>#N/A</c:v>
                </c:pt>
                <c:pt idx="255">
                  <c:v>#N/A</c:v>
                </c:pt>
                <c:pt idx="256">
                  <c:v>1001.47</c:v>
                </c:pt>
                <c:pt idx="257">
                  <c:v>#N/A</c:v>
                </c:pt>
                <c:pt idx="258">
                  <c:v>#N/A</c:v>
                </c:pt>
                <c:pt idx="259">
                  <c:v>#N/A</c:v>
                </c:pt>
                <c:pt idx="260">
                  <c:v>#N/A</c:v>
                </c:pt>
                <c:pt idx="261">
                  <c:v>#N/A</c:v>
                </c:pt>
                <c:pt idx="262">
                  <c:v>#N/A</c:v>
                </c:pt>
                <c:pt idx="263">
                  <c:v>984.59</c:v>
                </c:pt>
                <c:pt idx="264">
                  <c:v>#N/A</c:v>
                </c:pt>
                <c:pt idx="265">
                  <c:v>#N/A</c:v>
                </c:pt>
                <c:pt idx="266">
                  <c:v>#N/A</c:v>
                </c:pt>
                <c:pt idx="267">
                  <c:v>#N/A</c:v>
                </c:pt>
                <c:pt idx="268">
                  <c:v>#N/A</c:v>
                </c:pt>
                <c:pt idx="269">
                  <c:v>#N/A</c:v>
                </c:pt>
                <c:pt idx="270">
                  <c:v>1001.28</c:v>
                </c:pt>
                <c:pt idx="271">
                  <c:v>#N/A</c:v>
                </c:pt>
                <c:pt idx="272">
                  <c:v>#N/A</c:v>
                </c:pt>
                <c:pt idx="273">
                  <c:v>#N/A</c:v>
                </c:pt>
                <c:pt idx="274">
                  <c:v>#N/A</c:v>
                </c:pt>
                <c:pt idx="275">
                  <c:v>#N/A</c:v>
                </c:pt>
                <c:pt idx="276">
                  <c:v>#N/A</c:v>
                </c:pt>
                <c:pt idx="277">
                  <c:v>#N/A</c:v>
                </c:pt>
                <c:pt idx="278">
                  <c:v>#N/A</c:v>
                </c:pt>
                <c:pt idx="279">
                  <c:v>#N/A</c:v>
                </c:pt>
                <c:pt idx="280">
                  <c:v>1086.1099999999999</c:v>
                </c:pt>
                <c:pt idx="281">
                  <c:v>#N/A</c:v>
                </c:pt>
                <c:pt idx="282">
                  <c:v>#N/A</c:v>
                </c:pt>
                <c:pt idx="283">
                  <c:v>#N/A</c:v>
                </c:pt>
                <c:pt idx="284">
                  <c:v>1066.73</c:v>
                </c:pt>
                <c:pt idx="285">
                  <c:v>#N/A</c:v>
                </c:pt>
                <c:pt idx="286">
                  <c:v>#N/A</c:v>
                </c:pt>
                <c:pt idx="287">
                  <c:v>#N/A</c:v>
                </c:pt>
                <c:pt idx="288">
                  <c:v>#N/A</c:v>
                </c:pt>
                <c:pt idx="289">
                  <c:v>#N/A</c:v>
                </c:pt>
                <c:pt idx="290">
                  <c:v>#N/A</c:v>
                </c:pt>
                <c:pt idx="291">
                  <c:v>1029.99</c:v>
                </c:pt>
                <c:pt idx="292">
                  <c:v>#N/A</c:v>
                </c:pt>
                <c:pt idx="293">
                  <c:v>#N/A</c:v>
                </c:pt>
                <c:pt idx="294">
                  <c:v>#N/A</c:v>
                </c:pt>
                <c:pt idx="295">
                  <c:v>#N/A</c:v>
                </c:pt>
                <c:pt idx="296">
                  <c:v>#N/A</c:v>
                </c:pt>
                <c:pt idx="297">
                  <c:v>#N/A</c:v>
                </c:pt>
                <c:pt idx="298">
                  <c:v>980.96</c:v>
                </c:pt>
                <c:pt idx="299">
                  <c:v>#N/A</c:v>
                </c:pt>
                <c:pt idx="300">
                  <c:v>#N/A</c:v>
                </c:pt>
                <c:pt idx="301">
                  <c:v>#N/A</c:v>
                </c:pt>
                <c:pt idx="302">
                  <c:v>#N/A</c:v>
                </c:pt>
                <c:pt idx="303">
                  <c:v>#N/A</c:v>
                </c:pt>
                <c:pt idx="304">
                  <c:v>#N/A</c:v>
                </c:pt>
                <c:pt idx="305">
                  <c:v>938.9</c:v>
                </c:pt>
                <c:pt idx="306">
                  <c:v>#N/A</c:v>
                </c:pt>
                <c:pt idx="307">
                  <c:v>#N/A</c:v>
                </c:pt>
                <c:pt idx="308">
                  <c:v>#N/A</c:v>
                </c:pt>
                <c:pt idx="309">
                  <c:v>#N/A</c:v>
                </c:pt>
                <c:pt idx="310">
                  <c:v>#N/A</c:v>
                </c:pt>
                <c:pt idx="311">
                  <c:v>#N/A</c:v>
                </c:pt>
                <c:pt idx="312">
                  <c:v>891.22</c:v>
                </c:pt>
                <c:pt idx="313">
                  <c:v>#N/A</c:v>
                </c:pt>
                <c:pt idx="314">
                  <c:v>#N/A</c:v>
                </c:pt>
                <c:pt idx="315">
                  <c:v>#N/A</c:v>
                </c:pt>
                <c:pt idx="316">
                  <c:v>#N/A</c:v>
                </c:pt>
                <c:pt idx="317">
                  <c:v>#N/A</c:v>
                </c:pt>
                <c:pt idx="318">
                  <c:v>#N/A</c:v>
                </c:pt>
                <c:pt idx="319">
                  <c:v>862.79</c:v>
                </c:pt>
                <c:pt idx="320">
                  <c:v>#N/A</c:v>
                </c:pt>
                <c:pt idx="321">
                  <c:v>#N/A</c:v>
                </c:pt>
                <c:pt idx="322">
                  <c:v>#N/A</c:v>
                </c:pt>
                <c:pt idx="323">
                  <c:v>#N/A</c:v>
                </c:pt>
                <c:pt idx="324">
                  <c:v>#N/A</c:v>
                </c:pt>
                <c:pt idx="325">
                  <c:v>842.36</c:v>
                </c:pt>
                <c:pt idx="326">
                  <c:v>#N/A</c:v>
                </c:pt>
                <c:pt idx="327">
                  <c:v>#N/A</c:v>
                </c:pt>
                <c:pt idx="328">
                  <c:v>#N/A</c:v>
                </c:pt>
                <c:pt idx="329">
                  <c:v>#N/A</c:v>
                </c:pt>
                <c:pt idx="330">
                  <c:v>#N/A</c:v>
                </c:pt>
                <c:pt idx="331">
                  <c:v>#N/A</c:v>
                </c:pt>
                <c:pt idx="332">
                  <c:v>#N/A</c:v>
                </c:pt>
                <c:pt idx="333">
                  <c:v>822.83</c:v>
                </c:pt>
                <c:pt idx="334">
                  <c:v>#N/A</c:v>
                </c:pt>
                <c:pt idx="335">
                  <c:v>#N/A</c:v>
                </c:pt>
                <c:pt idx="336">
                  <c:v>#N/A</c:v>
                </c:pt>
                <c:pt idx="337">
                  <c:v>#N/A</c:v>
                </c:pt>
                <c:pt idx="338">
                  <c:v>#N/A</c:v>
                </c:pt>
                <c:pt idx="339">
                  <c:v>#N/A</c:v>
                </c:pt>
                <c:pt idx="340">
                  <c:v>797.77</c:v>
                </c:pt>
                <c:pt idx="341">
                  <c:v>#N/A</c:v>
                </c:pt>
                <c:pt idx="342">
                  <c:v>#N/A</c:v>
                </c:pt>
                <c:pt idx="343">
                  <c:v>#N/A</c:v>
                </c:pt>
                <c:pt idx="344">
                  <c:v>#N/A</c:v>
                </c:pt>
                <c:pt idx="345">
                  <c:v>#N/A</c:v>
                </c:pt>
                <c:pt idx="346">
                  <c:v>#N/A</c:v>
                </c:pt>
                <c:pt idx="347">
                  <c:v>796.7</c:v>
                </c:pt>
                <c:pt idx="348">
                  <c:v>#N/A</c:v>
                </c:pt>
                <c:pt idx="349">
                  <c:v>#N/A</c:v>
                </c:pt>
                <c:pt idx="350">
                  <c:v>#N/A</c:v>
                </c:pt>
                <c:pt idx="351">
                  <c:v>#N/A</c:v>
                </c:pt>
                <c:pt idx="352">
                  <c:v>#N/A</c:v>
                </c:pt>
                <c:pt idx="353">
                  <c:v>#N/A</c:v>
                </c:pt>
                <c:pt idx="354">
                  <c:v>789.91</c:v>
                </c:pt>
                <c:pt idx="355">
                  <c:v>#N/A</c:v>
                </c:pt>
                <c:pt idx="356">
                  <c:v>#N/A</c:v>
                </c:pt>
                <c:pt idx="357">
                  <c:v>#N/A</c:v>
                </c:pt>
                <c:pt idx="358">
                  <c:v>#N/A</c:v>
                </c:pt>
                <c:pt idx="359">
                  <c:v>#N/A</c:v>
                </c:pt>
                <c:pt idx="360">
                  <c:v>#N/A</c:v>
                </c:pt>
                <c:pt idx="361">
                  <c:v>797.56</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9169-4CCC-85BB-9CAB8BE557E5}"/>
            </c:ext>
          </c:extLst>
        </c:ser>
        <c:ser>
          <c:idx val="2"/>
          <c:order val="1"/>
          <c:tx>
            <c:strRef>
              <c:f>库存!$I$1</c:f>
              <c:strCache>
                <c:ptCount val="1"/>
                <c:pt idx="0">
                  <c:v>2019</c:v>
                </c:pt>
              </c:strCache>
            </c:strRef>
          </c:tx>
          <c:spPr>
            <a:ln w="28575">
              <a:solidFill>
                <a:srgbClr val="F8CBAD"/>
              </a:solidFill>
              <a:prstDash val="solid"/>
            </a:ln>
          </c:spPr>
          <c:marker>
            <c:symbol val="none"/>
          </c:marker>
          <c:cat>
            <c:numRef>
              <c:f>库存!$G$2:$G$366</c:f>
              <c:numCache>
                <c:formatCode>m/d/yyyy</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库存!$I$2:$I$366</c:f>
              <c:numCache>
                <c:formatCode>General</c:formatCode>
                <c:ptCount val="365"/>
                <c:pt idx="0">
                  <c:v>#N/A</c:v>
                </c:pt>
                <c:pt idx="1">
                  <c:v>#N/A</c:v>
                </c:pt>
                <c:pt idx="2">
                  <c:v>#N/A</c:v>
                </c:pt>
                <c:pt idx="3">
                  <c:v>839.2</c:v>
                </c:pt>
                <c:pt idx="4">
                  <c:v>#N/A</c:v>
                </c:pt>
                <c:pt idx="5">
                  <c:v>#N/A</c:v>
                </c:pt>
                <c:pt idx="6">
                  <c:v>#N/A</c:v>
                </c:pt>
                <c:pt idx="7">
                  <c:v>#N/A</c:v>
                </c:pt>
                <c:pt idx="8">
                  <c:v>#N/A</c:v>
                </c:pt>
                <c:pt idx="9">
                  <c:v>#N/A</c:v>
                </c:pt>
                <c:pt idx="10">
                  <c:v>884.63</c:v>
                </c:pt>
                <c:pt idx="11">
                  <c:v>#N/A</c:v>
                </c:pt>
                <c:pt idx="12">
                  <c:v>#N/A</c:v>
                </c:pt>
                <c:pt idx="13">
                  <c:v>#N/A</c:v>
                </c:pt>
                <c:pt idx="14">
                  <c:v>#N/A</c:v>
                </c:pt>
                <c:pt idx="15">
                  <c:v>#N/A</c:v>
                </c:pt>
                <c:pt idx="16">
                  <c:v>#N/A</c:v>
                </c:pt>
                <c:pt idx="17">
                  <c:v>925.35</c:v>
                </c:pt>
                <c:pt idx="18">
                  <c:v>#N/A</c:v>
                </c:pt>
                <c:pt idx="19">
                  <c:v>#N/A</c:v>
                </c:pt>
                <c:pt idx="20">
                  <c:v>#N/A</c:v>
                </c:pt>
                <c:pt idx="21">
                  <c:v>#N/A</c:v>
                </c:pt>
                <c:pt idx="22">
                  <c:v>#N/A</c:v>
                </c:pt>
                <c:pt idx="23">
                  <c:v>#N/A</c:v>
                </c:pt>
                <c:pt idx="24">
                  <c:v>992.71</c:v>
                </c:pt>
                <c:pt idx="25">
                  <c:v>#N/A</c:v>
                </c:pt>
                <c:pt idx="26">
                  <c:v>#N/A</c:v>
                </c:pt>
                <c:pt idx="27">
                  <c:v>#N/A</c:v>
                </c:pt>
                <c:pt idx="28">
                  <c:v>#N/A</c:v>
                </c:pt>
                <c:pt idx="29">
                  <c:v>#N/A</c:v>
                </c:pt>
                <c:pt idx="30">
                  <c:v>#N/A</c:v>
                </c:pt>
                <c:pt idx="31">
                  <c:v>1117.96</c:v>
                </c:pt>
                <c:pt idx="32">
                  <c:v>#N/A</c:v>
                </c:pt>
                <c:pt idx="33">
                  <c:v>#N/A</c:v>
                </c:pt>
                <c:pt idx="34">
                  <c:v>#N/A</c:v>
                </c:pt>
                <c:pt idx="35">
                  <c:v>#N/A</c:v>
                </c:pt>
                <c:pt idx="36">
                  <c:v>#N/A</c:v>
                </c:pt>
                <c:pt idx="37">
                  <c:v>#N/A</c:v>
                </c:pt>
                <c:pt idx="38">
                  <c:v>1458.05</c:v>
                </c:pt>
                <c:pt idx="39">
                  <c:v>#N/A</c:v>
                </c:pt>
                <c:pt idx="40">
                  <c:v>#N/A</c:v>
                </c:pt>
                <c:pt idx="41">
                  <c:v>#N/A</c:v>
                </c:pt>
                <c:pt idx="42">
                  <c:v>#N/A</c:v>
                </c:pt>
                <c:pt idx="43">
                  <c:v>#N/A</c:v>
                </c:pt>
                <c:pt idx="44">
                  <c:v>#N/A</c:v>
                </c:pt>
                <c:pt idx="45">
                  <c:v>1619.91</c:v>
                </c:pt>
                <c:pt idx="46">
                  <c:v>#N/A</c:v>
                </c:pt>
                <c:pt idx="47">
                  <c:v>#N/A</c:v>
                </c:pt>
                <c:pt idx="48">
                  <c:v>#N/A</c:v>
                </c:pt>
                <c:pt idx="49">
                  <c:v>#N/A</c:v>
                </c:pt>
                <c:pt idx="50">
                  <c:v>#N/A</c:v>
                </c:pt>
                <c:pt idx="51">
                  <c:v>#N/A</c:v>
                </c:pt>
                <c:pt idx="52">
                  <c:v>1799.15</c:v>
                </c:pt>
                <c:pt idx="53">
                  <c:v>#N/A</c:v>
                </c:pt>
                <c:pt idx="54">
                  <c:v>#N/A</c:v>
                </c:pt>
                <c:pt idx="55">
                  <c:v>#N/A</c:v>
                </c:pt>
                <c:pt idx="56">
                  <c:v>#N/A</c:v>
                </c:pt>
                <c:pt idx="57">
                  <c:v>#N/A</c:v>
                </c:pt>
                <c:pt idx="58">
                  <c:v>#N/A</c:v>
                </c:pt>
                <c:pt idx="59">
                  <c:v>1868.66</c:v>
                </c:pt>
                <c:pt idx="60">
                  <c:v>#N/A</c:v>
                </c:pt>
                <c:pt idx="61">
                  <c:v>#N/A</c:v>
                </c:pt>
                <c:pt idx="62">
                  <c:v>#N/A</c:v>
                </c:pt>
                <c:pt idx="63">
                  <c:v>#N/A</c:v>
                </c:pt>
                <c:pt idx="64">
                  <c:v>#N/A</c:v>
                </c:pt>
                <c:pt idx="65">
                  <c:v>#N/A</c:v>
                </c:pt>
                <c:pt idx="66">
                  <c:v>1851.82</c:v>
                </c:pt>
                <c:pt idx="67">
                  <c:v>#N/A</c:v>
                </c:pt>
                <c:pt idx="68">
                  <c:v>#N/A</c:v>
                </c:pt>
                <c:pt idx="69">
                  <c:v>#N/A</c:v>
                </c:pt>
                <c:pt idx="70">
                  <c:v>#N/A</c:v>
                </c:pt>
                <c:pt idx="71">
                  <c:v>#N/A</c:v>
                </c:pt>
                <c:pt idx="72">
                  <c:v>#N/A</c:v>
                </c:pt>
                <c:pt idx="73">
                  <c:v>1781.91</c:v>
                </c:pt>
                <c:pt idx="74">
                  <c:v>#N/A</c:v>
                </c:pt>
                <c:pt idx="75">
                  <c:v>#N/A</c:v>
                </c:pt>
                <c:pt idx="76">
                  <c:v>#N/A</c:v>
                </c:pt>
                <c:pt idx="77">
                  <c:v>#N/A</c:v>
                </c:pt>
                <c:pt idx="78">
                  <c:v>#N/A</c:v>
                </c:pt>
                <c:pt idx="79">
                  <c:v>#N/A</c:v>
                </c:pt>
                <c:pt idx="80">
                  <c:v>1681.29</c:v>
                </c:pt>
                <c:pt idx="81">
                  <c:v>#N/A</c:v>
                </c:pt>
                <c:pt idx="82">
                  <c:v>#N/A</c:v>
                </c:pt>
                <c:pt idx="83">
                  <c:v>#N/A</c:v>
                </c:pt>
                <c:pt idx="84">
                  <c:v>#N/A</c:v>
                </c:pt>
                <c:pt idx="85">
                  <c:v>#N/A</c:v>
                </c:pt>
                <c:pt idx="86">
                  <c:v>#N/A</c:v>
                </c:pt>
                <c:pt idx="87">
                  <c:v>1602.53</c:v>
                </c:pt>
                <c:pt idx="88">
                  <c:v>#N/A</c:v>
                </c:pt>
                <c:pt idx="89">
                  <c:v>#N/A</c:v>
                </c:pt>
                <c:pt idx="90">
                  <c:v>#N/A</c:v>
                </c:pt>
                <c:pt idx="91">
                  <c:v>#N/A</c:v>
                </c:pt>
                <c:pt idx="92">
                  <c:v>#N/A</c:v>
                </c:pt>
                <c:pt idx="93">
                  <c:v>#N/A</c:v>
                </c:pt>
                <c:pt idx="94">
                  <c:v>1514.02</c:v>
                </c:pt>
                <c:pt idx="95">
                  <c:v>#N/A</c:v>
                </c:pt>
                <c:pt idx="96">
                  <c:v>#N/A</c:v>
                </c:pt>
                <c:pt idx="97">
                  <c:v>#N/A</c:v>
                </c:pt>
                <c:pt idx="98">
                  <c:v>#N/A</c:v>
                </c:pt>
                <c:pt idx="99">
                  <c:v>#N/A</c:v>
                </c:pt>
                <c:pt idx="100">
                  <c:v>#N/A</c:v>
                </c:pt>
                <c:pt idx="101">
                  <c:v>1426.38</c:v>
                </c:pt>
                <c:pt idx="102">
                  <c:v>#N/A</c:v>
                </c:pt>
                <c:pt idx="103">
                  <c:v>#N/A</c:v>
                </c:pt>
                <c:pt idx="104">
                  <c:v>#N/A</c:v>
                </c:pt>
                <c:pt idx="105">
                  <c:v>#N/A</c:v>
                </c:pt>
                <c:pt idx="106">
                  <c:v>#N/A</c:v>
                </c:pt>
                <c:pt idx="107">
                  <c:v>#N/A</c:v>
                </c:pt>
                <c:pt idx="108">
                  <c:v>1334.84</c:v>
                </c:pt>
                <c:pt idx="109">
                  <c:v>#N/A</c:v>
                </c:pt>
                <c:pt idx="110">
                  <c:v>#N/A</c:v>
                </c:pt>
                <c:pt idx="111">
                  <c:v>#N/A</c:v>
                </c:pt>
                <c:pt idx="112">
                  <c:v>#N/A</c:v>
                </c:pt>
                <c:pt idx="113">
                  <c:v>#N/A</c:v>
                </c:pt>
                <c:pt idx="114">
                  <c:v>#N/A</c:v>
                </c:pt>
                <c:pt idx="115">
                  <c:v>1273.6400000000001</c:v>
                </c:pt>
                <c:pt idx="116">
                  <c:v>#N/A</c:v>
                </c:pt>
                <c:pt idx="117">
                  <c:v>#N/A</c:v>
                </c:pt>
                <c:pt idx="118">
                  <c:v>#N/A</c:v>
                </c:pt>
                <c:pt idx="119">
                  <c:v>#N/A</c:v>
                </c:pt>
                <c:pt idx="120">
                  <c:v>#N/A</c:v>
                </c:pt>
                <c:pt idx="121">
                  <c:v>#N/A</c:v>
                </c:pt>
                <c:pt idx="122">
                  <c:v>1242.76</c:v>
                </c:pt>
                <c:pt idx="123">
                  <c:v>#N/A</c:v>
                </c:pt>
                <c:pt idx="124">
                  <c:v>#N/A</c:v>
                </c:pt>
                <c:pt idx="125">
                  <c:v>#N/A</c:v>
                </c:pt>
                <c:pt idx="126">
                  <c:v>#N/A</c:v>
                </c:pt>
                <c:pt idx="127">
                  <c:v>#N/A</c:v>
                </c:pt>
                <c:pt idx="128">
                  <c:v>#N/A</c:v>
                </c:pt>
                <c:pt idx="129">
                  <c:v>1215.52</c:v>
                </c:pt>
                <c:pt idx="130">
                  <c:v>#N/A</c:v>
                </c:pt>
                <c:pt idx="131">
                  <c:v>#N/A</c:v>
                </c:pt>
                <c:pt idx="132">
                  <c:v>#N/A</c:v>
                </c:pt>
                <c:pt idx="133">
                  <c:v>#N/A</c:v>
                </c:pt>
                <c:pt idx="134">
                  <c:v>#N/A</c:v>
                </c:pt>
                <c:pt idx="135">
                  <c:v>#N/A</c:v>
                </c:pt>
                <c:pt idx="136">
                  <c:v>1164.0899999999999</c:v>
                </c:pt>
                <c:pt idx="137">
                  <c:v>#N/A</c:v>
                </c:pt>
                <c:pt idx="138">
                  <c:v>#N/A</c:v>
                </c:pt>
                <c:pt idx="139">
                  <c:v>#N/A</c:v>
                </c:pt>
                <c:pt idx="140">
                  <c:v>#N/A</c:v>
                </c:pt>
                <c:pt idx="141">
                  <c:v>#N/A</c:v>
                </c:pt>
                <c:pt idx="142">
                  <c:v>#N/A</c:v>
                </c:pt>
                <c:pt idx="143">
                  <c:v>1123.3699999999999</c:v>
                </c:pt>
                <c:pt idx="144">
                  <c:v>#N/A</c:v>
                </c:pt>
                <c:pt idx="145">
                  <c:v>#N/A</c:v>
                </c:pt>
                <c:pt idx="146">
                  <c:v>#N/A</c:v>
                </c:pt>
                <c:pt idx="147">
                  <c:v>#N/A</c:v>
                </c:pt>
                <c:pt idx="148">
                  <c:v>#N/A</c:v>
                </c:pt>
                <c:pt idx="149">
                  <c:v>#N/A</c:v>
                </c:pt>
                <c:pt idx="150">
                  <c:v>1104.6300000000001</c:v>
                </c:pt>
                <c:pt idx="151">
                  <c:v>#N/A</c:v>
                </c:pt>
                <c:pt idx="152">
                  <c:v>#N/A</c:v>
                </c:pt>
                <c:pt idx="153">
                  <c:v>#N/A</c:v>
                </c:pt>
                <c:pt idx="154">
                  <c:v>#N/A</c:v>
                </c:pt>
                <c:pt idx="155">
                  <c:v>#N/A</c:v>
                </c:pt>
                <c:pt idx="156">
                  <c:v>#N/A</c:v>
                </c:pt>
                <c:pt idx="157">
                  <c:v>1091.19</c:v>
                </c:pt>
                <c:pt idx="158">
                  <c:v>#N/A</c:v>
                </c:pt>
                <c:pt idx="159">
                  <c:v>#N/A</c:v>
                </c:pt>
                <c:pt idx="160">
                  <c:v>#N/A</c:v>
                </c:pt>
                <c:pt idx="161">
                  <c:v>#N/A</c:v>
                </c:pt>
                <c:pt idx="162">
                  <c:v>#N/A</c:v>
                </c:pt>
                <c:pt idx="163">
                  <c:v>#N/A</c:v>
                </c:pt>
                <c:pt idx="164">
                  <c:v>1122.04</c:v>
                </c:pt>
                <c:pt idx="165">
                  <c:v>#N/A</c:v>
                </c:pt>
                <c:pt idx="166">
                  <c:v>#N/A</c:v>
                </c:pt>
                <c:pt idx="167">
                  <c:v>#N/A</c:v>
                </c:pt>
                <c:pt idx="168">
                  <c:v>#N/A</c:v>
                </c:pt>
                <c:pt idx="169">
                  <c:v>#N/A</c:v>
                </c:pt>
                <c:pt idx="170">
                  <c:v>#N/A</c:v>
                </c:pt>
                <c:pt idx="171">
                  <c:v>1135.0899999999999</c:v>
                </c:pt>
                <c:pt idx="172">
                  <c:v>#N/A</c:v>
                </c:pt>
                <c:pt idx="173">
                  <c:v>#N/A</c:v>
                </c:pt>
                <c:pt idx="174">
                  <c:v>#N/A</c:v>
                </c:pt>
                <c:pt idx="175">
                  <c:v>#N/A</c:v>
                </c:pt>
                <c:pt idx="176">
                  <c:v>#N/A</c:v>
                </c:pt>
                <c:pt idx="177">
                  <c:v>#N/A</c:v>
                </c:pt>
                <c:pt idx="178">
                  <c:v>1146.04</c:v>
                </c:pt>
                <c:pt idx="179">
                  <c:v>#N/A</c:v>
                </c:pt>
                <c:pt idx="180">
                  <c:v>#N/A</c:v>
                </c:pt>
                <c:pt idx="181">
                  <c:v>#N/A</c:v>
                </c:pt>
                <c:pt idx="182">
                  <c:v>#N/A</c:v>
                </c:pt>
                <c:pt idx="183">
                  <c:v>#N/A</c:v>
                </c:pt>
                <c:pt idx="184">
                  <c:v>#N/A</c:v>
                </c:pt>
                <c:pt idx="185">
                  <c:v>1163.48</c:v>
                </c:pt>
                <c:pt idx="186">
                  <c:v>#N/A</c:v>
                </c:pt>
                <c:pt idx="187">
                  <c:v>#N/A</c:v>
                </c:pt>
                <c:pt idx="188">
                  <c:v>#N/A</c:v>
                </c:pt>
                <c:pt idx="189">
                  <c:v>#N/A</c:v>
                </c:pt>
                <c:pt idx="190">
                  <c:v>#N/A</c:v>
                </c:pt>
                <c:pt idx="191">
                  <c:v>#N/A</c:v>
                </c:pt>
                <c:pt idx="192">
                  <c:v>1183.68</c:v>
                </c:pt>
                <c:pt idx="193">
                  <c:v>#N/A</c:v>
                </c:pt>
                <c:pt idx="194">
                  <c:v>#N/A</c:v>
                </c:pt>
                <c:pt idx="195">
                  <c:v>#N/A</c:v>
                </c:pt>
                <c:pt idx="196">
                  <c:v>#N/A</c:v>
                </c:pt>
                <c:pt idx="197">
                  <c:v>#N/A</c:v>
                </c:pt>
                <c:pt idx="198">
                  <c:v>#N/A</c:v>
                </c:pt>
                <c:pt idx="199">
                  <c:v>1215.78</c:v>
                </c:pt>
                <c:pt idx="200">
                  <c:v>#N/A</c:v>
                </c:pt>
                <c:pt idx="201">
                  <c:v>#N/A</c:v>
                </c:pt>
                <c:pt idx="202">
                  <c:v>#N/A</c:v>
                </c:pt>
                <c:pt idx="203">
                  <c:v>#N/A</c:v>
                </c:pt>
                <c:pt idx="204">
                  <c:v>#N/A</c:v>
                </c:pt>
                <c:pt idx="205">
                  <c:v>#N/A</c:v>
                </c:pt>
                <c:pt idx="206">
                  <c:v>1254.53</c:v>
                </c:pt>
                <c:pt idx="207">
                  <c:v>#N/A</c:v>
                </c:pt>
                <c:pt idx="208">
                  <c:v>#N/A</c:v>
                </c:pt>
                <c:pt idx="209">
                  <c:v>#N/A</c:v>
                </c:pt>
                <c:pt idx="210">
                  <c:v>#N/A</c:v>
                </c:pt>
                <c:pt idx="211">
                  <c:v>#N/A</c:v>
                </c:pt>
                <c:pt idx="212">
                  <c:v>#N/A</c:v>
                </c:pt>
                <c:pt idx="213">
                  <c:v>1284.53</c:v>
                </c:pt>
                <c:pt idx="214">
                  <c:v>#N/A</c:v>
                </c:pt>
                <c:pt idx="215">
                  <c:v>#N/A</c:v>
                </c:pt>
                <c:pt idx="216">
                  <c:v>#N/A</c:v>
                </c:pt>
                <c:pt idx="217">
                  <c:v>#N/A</c:v>
                </c:pt>
                <c:pt idx="218">
                  <c:v>#N/A</c:v>
                </c:pt>
                <c:pt idx="219">
                  <c:v>#N/A</c:v>
                </c:pt>
                <c:pt idx="220">
                  <c:v>1299.98</c:v>
                </c:pt>
                <c:pt idx="221">
                  <c:v>#N/A</c:v>
                </c:pt>
                <c:pt idx="222">
                  <c:v>#N/A</c:v>
                </c:pt>
                <c:pt idx="223">
                  <c:v>#N/A</c:v>
                </c:pt>
                <c:pt idx="224">
                  <c:v>#N/A</c:v>
                </c:pt>
                <c:pt idx="225">
                  <c:v>#N/A</c:v>
                </c:pt>
                <c:pt idx="226">
                  <c:v>#N/A</c:v>
                </c:pt>
                <c:pt idx="227">
                  <c:v>1288.44</c:v>
                </c:pt>
                <c:pt idx="228">
                  <c:v>#N/A</c:v>
                </c:pt>
                <c:pt idx="229">
                  <c:v>#N/A</c:v>
                </c:pt>
                <c:pt idx="230">
                  <c:v>#N/A</c:v>
                </c:pt>
                <c:pt idx="231">
                  <c:v>#N/A</c:v>
                </c:pt>
                <c:pt idx="232">
                  <c:v>#N/A</c:v>
                </c:pt>
                <c:pt idx="233">
                  <c:v>#N/A</c:v>
                </c:pt>
                <c:pt idx="234">
                  <c:v>1277.81</c:v>
                </c:pt>
                <c:pt idx="235">
                  <c:v>#N/A</c:v>
                </c:pt>
                <c:pt idx="236">
                  <c:v>#N/A</c:v>
                </c:pt>
                <c:pt idx="237">
                  <c:v>#N/A</c:v>
                </c:pt>
                <c:pt idx="238">
                  <c:v>#N/A</c:v>
                </c:pt>
                <c:pt idx="239">
                  <c:v>#N/A</c:v>
                </c:pt>
                <c:pt idx="240">
                  <c:v>#N/A</c:v>
                </c:pt>
                <c:pt idx="241">
                  <c:v>1248.1300000000001</c:v>
                </c:pt>
                <c:pt idx="242">
                  <c:v>#N/A</c:v>
                </c:pt>
                <c:pt idx="243">
                  <c:v>#N/A</c:v>
                </c:pt>
                <c:pt idx="244">
                  <c:v>#N/A</c:v>
                </c:pt>
                <c:pt idx="245">
                  <c:v>#N/A</c:v>
                </c:pt>
                <c:pt idx="246">
                  <c:v>#N/A</c:v>
                </c:pt>
                <c:pt idx="247">
                  <c:v>#N/A</c:v>
                </c:pt>
                <c:pt idx="248">
                  <c:v>1214.21</c:v>
                </c:pt>
                <c:pt idx="249">
                  <c:v>#N/A</c:v>
                </c:pt>
                <c:pt idx="250">
                  <c:v>#N/A</c:v>
                </c:pt>
                <c:pt idx="251">
                  <c:v>#N/A</c:v>
                </c:pt>
                <c:pt idx="252">
                  <c:v>#N/A</c:v>
                </c:pt>
                <c:pt idx="253">
                  <c:v>#N/A</c:v>
                </c:pt>
                <c:pt idx="254">
                  <c:v>#N/A</c:v>
                </c:pt>
                <c:pt idx="255">
                  <c:v>1161.48</c:v>
                </c:pt>
                <c:pt idx="256">
                  <c:v>#N/A</c:v>
                </c:pt>
                <c:pt idx="257">
                  <c:v>#N/A</c:v>
                </c:pt>
                <c:pt idx="258">
                  <c:v>#N/A</c:v>
                </c:pt>
                <c:pt idx="259">
                  <c:v>#N/A</c:v>
                </c:pt>
                <c:pt idx="260">
                  <c:v>#N/A</c:v>
                </c:pt>
                <c:pt idx="261">
                  <c:v>#N/A</c:v>
                </c:pt>
                <c:pt idx="262">
                  <c:v>1142.67</c:v>
                </c:pt>
                <c:pt idx="263">
                  <c:v>#N/A</c:v>
                </c:pt>
                <c:pt idx="264">
                  <c:v>#N/A</c:v>
                </c:pt>
                <c:pt idx="265">
                  <c:v>#N/A</c:v>
                </c:pt>
                <c:pt idx="266">
                  <c:v>#N/A</c:v>
                </c:pt>
                <c:pt idx="267">
                  <c:v>#N/A</c:v>
                </c:pt>
                <c:pt idx="268">
                  <c:v>#N/A</c:v>
                </c:pt>
                <c:pt idx="269">
                  <c:v>1083.17</c:v>
                </c:pt>
                <c:pt idx="270">
                  <c:v>#N/A</c:v>
                </c:pt>
                <c:pt idx="271">
                  <c:v>#N/A</c:v>
                </c:pt>
                <c:pt idx="272">
                  <c:v>#N/A</c:v>
                </c:pt>
                <c:pt idx="273">
                  <c:v>#N/A</c:v>
                </c:pt>
                <c:pt idx="274">
                  <c:v>#N/A</c:v>
                </c:pt>
                <c:pt idx="275">
                  <c:v>#N/A</c:v>
                </c:pt>
                <c:pt idx="276">
                  <c:v>1142.6300000000001</c:v>
                </c:pt>
                <c:pt idx="277">
                  <c:v>#N/A</c:v>
                </c:pt>
                <c:pt idx="278">
                  <c:v>#N/A</c:v>
                </c:pt>
                <c:pt idx="279">
                  <c:v>#N/A</c:v>
                </c:pt>
                <c:pt idx="280">
                  <c:v>#N/A</c:v>
                </c:pt>
                <c:pt idx="281">
                  <c:v>#N/A</c:v>
                </c:pt>
                <c:pt idx="282">
                  <c:v>#N/A</c:v>
                </c:pt>
                <c:pt idx="283">
                  <c:v>1125.8900000000001</c:v>
                </c:pt>
                <c:pt idx="284">
                  <c:v>#N/A</c:v>
                </c:pt>
                <c:pt idx="285">
                  <c:v>#N/A</c:v>
                </c:pt>
                <c:pt idx="286">
                  <c:v>#N/A</c:v>
                </c:pt>
                <c:pt idx="287">
                  <c:v>#N/A</c:v>
                </c:pt>
                <c:pt idx="288">
                  <c:v>#N/A</c:v>
                </c:pt>
                <c:pt idx="289">
                  <c:v>#N/A</c:v>
                </c:pt>
                <c:pt idx="290">
                  <c:v>1046.56</c:v>
                </c:pt>
                <c:pt idx="291">
                  <c:v>#N/A</c:v>
                </c:pt>
                <c:pt idx="292">
                  <c:v>#N/A</c:v>
                </c:pt>
                <c:pt idx="293">
                  <c:v>#N/A</c:v>
                </c:pt>
                <c:pt idx="294">
                  <c:v>#N/A</c:v>
                </c:pt>
                <c:pt idx="295">
                  <c:v>#N/A</c:v>
                </c:pt>
                <c:pt idx="296">
                  <c:v>#N/A</c:v>
                </c:pt>
                <c:pt idx="297">
                  <c:v>986.63</c:v>
                </c:pt>
                <c:pt idx="298">
                  <c:v>#N/A</c:v>
                </c:pt>
                <c:pt idx="299">
                  <c:v>#N/A</c:v>
                </c:pt>
                <c:pt idx="300">
                  <c:v>#N/A</c:v>
                </c:pt>
                <c:pt idx="301">
                  <c:v>#N/A</c:v>
                </c:pt>
                <c:pt idx="302">
                  <c:v>#N/A</c:v>
                </c:pt>
                <c:pt idx="303">
                  <c:v>#N/A</c:v>
                </c:pt>
                <c:pt idx="304">
                  <c:v>938.47</c:v>
                </c:pt>
                <c:pt idx="305">
                  <c:v>#N/A</c:v>
                </c:pt>
                <c:pt idx="306">
                  <c:v>#N/A</c:v>
                </c:pt>
                <c:pt idx="307">
                  <c:v>#N/A</c:v>
                </c:pt>
                <c:pt idx="308">
                  <c:v>#N/A</c:v>
                </c:pt>
                <c:pt idx="309">
                  <c:v>#N/A</c:v>
                </c:pt>
                <c:pt idx="310">
                  <c:v>#N/A</c:v>
                </c:pt>
                <c:pt idx="311">
                  <c:v>887.3</c:v>
                </c:pt>
                <c:pt idx="312">
                  <c:v>#N/A</c:v>
                </c:pt>
                <c:pt idx="313">
                  <c:v>#N/A</c:v>
                </c:pt>
                <c:pt idx="314">
                  <c:v>#N/A</c:v>
                </c:pt>
                <c:pt idx="315">
                  <c:v>#N/A</c:v>
                </c:pt>
                <c:pt idx="316">
                  <c:v>#N/A</c:v>
                </c:pt>
                <c:pt idx="317">
                  <c:v>#N/A</c:v>
                </c:pt>
                <c:pt idx="318">
                  <c:v>833.81</c:v>
                </c:pt>
                <c:pt idx="319">
                  <c:v>#N/A</c:v>
                </c:pt>
                <c:pt idx="320">
                  <c:v>#N/A</c:v>
                </c:pt>
                <c:pt idx="321">
                  <c:v>#N/A</c:v>
                </c:pt>
                <c:pt idx="322">
                  <c:v>#N/A</c:v>
                </c:pt>
                <c:pt idx="323">
                  <c:v>#N/A</c:v>
                </c:pt>
                <c:pt idx="324">
                  <c:v>#N/A</c:v>
                </c:pt>
                <c:pt idx="325">
                  <c:v>780.49</c:v>
                </c:pt>
                <c:pt idx="326">
                  <c:v>#N/A</c:v>
                </c:pt>
                <c:pt idx="327">
                  <c:v>#N/A</c:v>
                </c:pt>
                <c:pt idx="328">
                  <c:v>#N/A</c:v>
                </c:pt>
                <c:pt idx="329">
                  <c:v>#N/A</c:v>
                </c:pt>
                <c:pt idx="330">
                  <c:v>#N/A</c:v>
                </c:pt>
                <c:pt idx="331">
                  <c:v>#N/A</c:v>
                </c:pt>
                <c:pt idx="332">
                  <c:v>757.68</c:v>
                </c:pt>
                <c:pt idx="333">
                  <c:v>#N/A</c:v>
                </c:pt>
                <c:pt idx="334">
                  <c:v>#N/A</c:v>
                </c:pt>
                <c:pt idx="335">
                  <c:v>#N/A</c:v>
                </c:pt>
                <c:pt idx="336">
                  <c:v>#N/A</c:v>
                </c:pt>
                <c:pt idx="337">
                  <c:v>#N/A</c:v>
                </c:pt>
                <c:pt idx="338">
                  <c:v>#N/A</c:v>
                </c:pt>
                <c:pt idx="339">
                  <c:v>756.05</c:v>
                </c:pt>
                <c:pt idx="340">
                  <c:v>#N/A</c:v>
                </c:pt>
                <c:pt idx="341">
                  <c:v>#N/A</c:v>
                </c:pt>
                <c:pt idx="342">
                  <c:v>#N/A</c:v>
                </c:pt>
                <c:pt idx="343">
                  <c:v>#N/A</c:v>
                </c:pt>
                <c:pt idx="344">
                  <c:v>#N/A</c:v>
                </c:pt>
                <c:pt idx="345">
                  <c:v>#N/A</c:v>
                </c:pt>
                <c:pt idx="346">
                  <c:v>743.54</c:v>
                </c:pt>
                <c:pt idx="347">
                  <c:v>#N/A</c:v>
                </c:pt>
                <c:pt idx="348">
                  <c:v>#N/A</c:v>
                </c:pt>
                <c:pt idx="349">
                  <c:v>#N/A</c:v>
                </c:pt>
                <c:pt idx="350">
                  <c:v>#N/A</c:v>
                </c:pt>
                <c:pt idx="351">
                  <c:v>#N/A</c:v>
                </c:pt>
                <c:pt idx="352">
                  <c:v>#N/A</c:v>
                </c:pt>
                <c:pt idx="353">
                  <c:v>748.81</c:v>
                </c:pt>
                <c:pt idx="354">
                  <c:v>#N/A</c:v>
                </c:pt>
                <c:pt idx="355">
                  <c:v>#N/A</c:v>
                </c:pt>
                <c:pt idx="356">
                  <c:v>#N/A</c:v>
                </c:pt>
                <c:pt idx="357">
                  <c:v>#N/A</c:v>
                </c:pt>
                <c:pt idx="358">
                  <c:v>#N/A</c:v>
                </c:pt>
                <c:pt idx="359">
                  <c:v>#N/A</c:v>
                </c:pt>
                <c:pt idx="360">
                  <c:v>772.26</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9169-4CCC-85BB-9CAB8BE557E5}"/>
            </c:ext>
          </c:extLst>
        </c:ser>
        <c:ser>
          <c:idx val="1"/>
          <c:order val="2"/>
          <c:tx>
            <c:strRef>
              <c:f>库存!$J$1</c:f>
              <c:strCache>
                <c:ptCount val="1"/>
                <c:pt idx="0">
                  <c:v>2020</c:v>
                </c:pt>
              </c:strCache>
            </c:strRef>
          </c:tx>
          <c:spPr>
            <a:ln w="28575">
              <a:solidFill>
                <a:srgbClr val="BF5711"/>
              </a:solidFill>
              <a:prstDash val="solid"/>
            </a:ln>
          </c:spPr>
          <c:marker>
            <c:symbol val="none"/>
          </c:marker>
          <c:cat>
            <c:numRef>
              <c:f>库存!$G$2:$G$366</c:f>
              <c:numCache>
                <c:formatCode>m/d/yyyy</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库存!$J$2:$J$366</c:f>
              <c:numCache>
                <c:formatCode>General</c:formatCode>
                <c:ptCount val="365"/>
                <c:pt idx="0">
                  <c:v>#N/A</c:v>
                </c:pt>
                <c:pt idx="1">
                  <c:v>#N/A</c:v>
                </c:pt>
                <c:pt idx="2">
                  <c:v>826.25</c:v>
                </c:pt>
                <c:pt idx="3">
                  <c:v>#N/A</c:v>
                </c:pt>
                <c:pt idx="4">
                  <c:v>#N/A</c:v>
                </c:pt>
                <c:pt idx="5">
                  <c:v>#N/A</c:v>
                </c:pt>
                <c:pt idx="6">
                  <c:v>#N/A</c:v>
                </c:pt>
                <c:pt idx="7">
                  <c:v>#N/A</c:v>
                </c:pt>
                <c:pt idx="8">
                  <c:v>#N/A</c:v>
                </c:pt>
                <c:pt idx="9">
                  <c:v>903.67</c:v>
                </c:pt>
                <c:pt idx="10">
                  <c:v>#N/A</c:v>
                </c:pt>
                <c:pt idx="11">
                  <c:v>#N/A</c:v>
                </c:pt>
                <c:pt idx="12">
                  <c:v>#N/A</c:v>
                </c:pt>
                <c:pt idx="13">
                  <c:v>#N/A</c:v>
                </c:pt>
                <c:pt idx="14">
                  <c:v>#N/A</c:v>
                </c:pt>
                <c:pt idx="15">
                  <c:v>#N/A</c:v>
                </c:pt>
                <c:pt idx="16">
                  <c:v>1024.3800000000001</c:v>
                </c:pt>
                <c:pt idx="17">
                  <c:v>#N/A</c:v>
                </c:pt>
                <c:pt idx="18">
                  <c:v>#N/A</c:v>
                </c:pt>
                <c:pt idx="19">
                  <c:v>#N/A</c:v>
                </c:pt>
                <c:pt idx="20">
                  <c:v>#N/A</c:v>
                </c:pt>
                <c:pt idx="21">
                  <c:v>#N/A</c:v>
                </c:pt>
                <c:pt idx="22">
                  <c:v>#N/A</c:v>
                </c:pt>
                <c:pt idx="23">
                  <c:v>1184.82</c:v>
                </c:pt>
                <c:pt idx="24">
                  <c:v>#N/A</c:v>
                </c:pt>
                <c:pt idx="25">
                  <c:v>#N/A</c:v>
                </c:pt>
                <c:pt idx="26">
                  <c:v>#N/A</c:v>
                </c:pt>
                <c:pt idx="27">
                  <c:v>#N/A</c:v>
                </c:pt>
                <c:pt idx="28">
                  <c:v>#N/A</c:v>
                </c:pt>
                <c:pt idx="29">
                  <c:v>#N/A</c:v>
                </c:pt>
                <c:pt idx="30">
                  <c:v>1504.49</c:v>
                </c:pt>
                <c:pt idx="31">
                  <c:v>#N/A</c:v>
                </c:pt>
                <c:pt idx="32">
                  <c:v>#N/A</c:v>
                </c:pt>
                <c:pt idx="33">
                  <c:v>#N/A</c:v>
                </c:pt>
                <c:pt idx="34">
                  <c:v>#N/A</c:v>
                </c:pt>
                <c:pt idx="35">
                  <c:v>#N/A</c:v>
                </c:pt>
                <c:pt idx="36">
                  <c:v>#N/A</c:v>
                </c:pt>
                <c:pt idx="37">
                  <c:v>1634.4</c:v>
                </c:pt>
                <c:pt idx="38">
                  <c:v>#N/A</c:v>
                </c:pt>
                <c:pt idx="39">
                  <c:v>#N/A</c:v>
                </c:pt>
                <c:pt idx="40">
                  <c:v>#N/A</c:v>
                </c:pt>
                <c:pt idx="41">
                  <c:v>#N/A</c:v>
                </c:pt>
                <c:pt idx="42">
                  <c:v>#N/A</c:v>
                </c:pt>
                <c:pt idx="43">
                  <c:v>#N/A</c:v>
                </c:pt>
                <c:pt idx="44">
                  <c:v>1893.68</c:v>
                </c:pt>
                <c:pt idx="45">
                  <c:v>#N/A</c:v>
                </c:pt>
                <c:pt idx="46">
                  <c:v>#N/A</c:v>
                </c:pt>
                <c:pt idx="47">
                  <c:v>#N/A</c:v>
                </c:pt>
                <c:pt idx="48">
                  <c:v>#N/A</c:v>
                </c:pt>
                <c:pt idx="49">
                  <c:v>#N/A</c:v>
                </c:pt>
                <c:pt idx="50">
                  <c:v>#N/A</c:v>
                </c:pt>
                <c:pt idx="51">
                  <c:v>2145.41</c:v>
                </c:pt>
                <c:pt idx="52">
                  <c:v>#N/A</c:v>
                </c:pt>
                <c:pt idx="53">
                  <c:v>#N/A</c:v>
                </c:pt>
                <c:pt idx="54">
                  <c:v>#N/A</c:v>
                </c:pt>
                <c:pt idx="55">
                  <c:v>#N/A</c:v>
                </c:pt>
                <c:pt idx="56">
                  <c:v>#N/A</c:v>
                </c:pt>
                <c:pt idx="57">
                  <c:v>#N/A</c:v>
                </c:pt>
                <c:pt idx="58">
                  <c:v>2375.88</c:v>
                </c:pt>
                <c:pt idx="59">
                  <c:v>#N/A</c:v>
                </c:pt>
                <c:pt idx="60">
                  <c:v>#N/A</c:v>
                </c:pt>
                <c:pt idx="61">
                  <c:v>#N/A</c:v>
                </c:pt>
                <c:pt idx="62">
                  <c:v>#N/A</c:v>
                </c:pt>
                <c:pt idx="63">
                  <c:v>#N/A</c:v>
                </c:pt>
                <c:pt idx="64">
                  <c:v>#N/A</c:v>
                </c:pt>
                <c:pt idx="65">
                  <c:v>2529.56</c:v>
                </c:pt>
                <c:pt idx="66">
                  <c:v>#N/A</c:v>
                </c:pt>
                <c:pt idx="67">
                  <c:v>#N/A</c:v>
                </c:pt>
                <c:pt idx="68">
                  <c:v>#N/A</c:v>
                </c:pt>
                <c:pt idx="69">
                  <c:v>#N/A</c:v>
                </c:pt>
                <c:pt idx="70">
                  <c:v>#N/A</c:v>
                </c:pt>
                <c:pt idx="71">
                  <c:v>#N/A</c:v>
                </c:pt>
                <c:pt idx="72">
                  <c:v>2600.52</c:v>
                </c:pt>
                <c:pt idx="73">
                  <c:v>#N/A</c:v>
                </c:pt>
                <c:pt idx="74">
                  <c:v>#N/A</c:v>
                </c:pt>
                <c:pt idx="75">
                  <c:v>#N/A</c:v>
                </c:pt>
                <c:pt idx="76">
                  <c:v>#N/A</c:v>
                </c:pt>
                <c:pt idx="77">
                  <c:v>#N/A</c:v>
                </c:pt>
                <c:pt idx="78">
                  <c:v>#N/A</c:v>
                </c:pt>
                <c:pt idx="79">
                  <c:v>2537.65</c:v>
                </c:pt>
                <c:pt idx="80">
                  <c:v>#N/A</c:v>
                </c:pt>
                <c:pt idx="81">
                  <c:v>#N/A</c:v>
                </c:pt>
                <c:pt idx="82">
                  <c:v>#N/A</c:v>
                </c:pt>
                <c:pt idx="83">
                  <c:v>#N/A</c:v>
                </c:pt>
                <c:pt idx="84">
                  <c:v>#N/A</c:v>
                </c:pt>
                <c:pt idx="85">
                  <c:v>#N/A</c:v>
                </c:pt>
                <c:pt idx="86">
                  <c:v>2430.63</c:v>
                </c:pt>
                <c:pt idx="87">
                  <c:v>#N/A</c:v>
                </c:pt>
                <c:pt idx="88">
                  <c:v>#N/A</c:v>
                </c:pt>
                <c:pt idx="89">
                  <c:v>#N/A</c:v>
                </c:pt>
                <c:pt idx="90">
                  <c:v>#N/A</c:v>
                </c:pt>
                <c:pt idx="91">
                  <c:v>#N/A</c:v>
                </c:pt>
                <c:pt idx="92">
                  <c:v>#N/A</c:v>
                </c:pt>
                <c:pt idx="93">
                  <c:v>2347.5700000000002</c:v>
                </c:pt>
                <c:pt idx="94">
                  <c:v>#N/A</c:v>
                </c:pt>
                <c:pt idx="95">
                  <c:v>#N/A</c:v>
                </c:pt>
                <c:pt idx="96">
                  <c:v>#N/A</c:v>
                </c:pt>
                <c:pt idx="97">
                  <c:v>#N/A</c:v>
                </c:pt>
                <c:pt idx="98">
                  <c:v>#N/A</c:v>
                </c:pt>
                <c:pt idx="99">
                  <c:v>#N/A</c:v>
                </c:pt>
                <c:pt idx="100">
                  <c:v>2241.2600000000002</c:v>
                </c:pt>
                <c:pt idx="101">
                  <c:v>#N/A</c:v>
                </c:pt>
                <c:pt idx="102">
                  <c:v>#N/A</c:v>
                </c:pt>
                <c:pt idx="103">
                  <c:v>#N/A</c:v>
                </c:pt>
                <c:pt idx="104">
                  <c:v>#N/A</c:v>
                </c:pt>
                <c:pt idx="105">
                  <c:v>#N/A</c:v>
                </c:pt>
                <c:pt idx="106">
                  <c:v>#N/A</c:v>
                </c:pt>
                <c:pt idx="107">
                  <c:v>2127.75</c:v>
                </c:pt>
                <c:pt idx="108">
                  <c:v>#N/A</c:v>
                </c:pt>
                <c:pt idx="109">
                  <c:v>#N/A</c:v>
                </c:pt>
                <c:pt idx="110">
                  <c:v>#N/A</c:v>
                </c:pt>
                <c:pt idx="111">
                  <c:v>#N/A</c:v>
                </c:pt>
                <c:pt idx="112">
                  <c:v>#N/A</c:v>
                </c:pt>
                <c:pt idx="113">
                  <c:v>#N/A</c:v>
                </c:pt>
                <c:pt idx="114">
                  <c:v>2013.22</c:v>
                </c:pt>
                <c:pt idx="115">
                  <c:v>#N/A</c:v>
                </c:pt>
                <c:pt idx="116">
                  <c:v>#N/A</c:v>
                </c:pt>
                <c:pt idx="117">
                  <c:v>#N/A</c:v>
                </c:pt>
                <c:pt idx="118">
                  <c:v>#N/A</c:v>
                </c:pt>
                <c:pt idx="119">
                  <c:v>#N/A</c:v>
                </c:pt>
                <c:pt idx="120">
                  <c:v>#N/A</c:v>
                </c:pt>
                <c:pt idx="121">
                  <c:v>1876.34</c:v>
                </c:pt>
                <c:pt idx="122">
                  <c:v>#N/A</c:v>
                </c:pt>
                <c:pt idx="123">
                  <c:v>#N/A</c:v>
                </c:pt>
                <c:pt idx="124">
                  <c:v>#N/A</c:v>
                </c:pt>
                <c:pt idx="125">
                  <c:v>#N/A</c:v>
                </c:pt>
                <c:pt idx="126">
                  <c:v>#N/A</c:v>
                </c:pt>
                <c:pt idx="127">
                  <c:v>#N/A</c:v>
                </c:pt>
                <c:pt idx="128">
                  <c:v>1810.51</c:v>
                </c:pt>
                <c:pt idx="129">
                  <c:v>#N/A</c:v>
                </c:pt>
                <c:pt idx="130">
                  <c:v>#N/A</c:v>
                </c:pt>
                <c:pt idx="131">
                  <c:v>#N/A</c:v>
                </c:pt>
                <c:pt idx="132">
                  <c:v>#N/A</c:v>
                </c:pt>
                <c:pt idx="133">
                  <c:v>#N/A</c:v>
                </c:pt>
                <c:pt idx="134">
                  <c:v>#N/A</c:v>
                </c:pt>
                <c:pt idx="135">
                  <c:v>1710.44</c:v>
                </c:pt>
                <c:pt idx="136">
                  <c:v>#N/A</c:v>
                </c:pt>
                <c:pt idx="137">
                  <c:v>#N/A</c:v>
                </c:pt>
                <c:pt idx="138">
                  <c:v>#N/A</c:v>
                </c:pt>
                <c:pt idx="139">
                  <c:v>#N/A</c:v>
                </c:pt>
                <c:pt idx="140">
                  <c:v>#N/A</c:v>
                </c:pt>
                <c:pt idx="141">
                  <c:v>#N/A</c:v>
                </c:pt>
                <c:pt idx="142">
                  <c:v>1608.84</c:v>
                </c:pt>
                <c:pt idx="143">
                  <c:v>#N/A</c:v>
                </c:pt>
                <c:pt idx="144">
                  <c:v>#N/A</c:v>
                </c:pt>
                <c:pt idx="145">
                  <c:v>#N/A</c:v>
                </c:pt>
                <c:pt idx="146">
                  <c:v>#N/A</c:v>
                </c:pt>
                <c:pt idx="147">
                  <c:v>#N/A</c:v>
                </c:pt>
                <c:pt idx="148">
                  <c:v>#N/A</c:v>
                </c:pt>
                <c:pt idx="149">
                  <c:v>1549.23</c:v>
                </c:pt>
                <c:pt idx="150">
                  <c:v>#N/A</c:v>
                </c:pt>
                <c:pt idx="151">
                  <c:v>#N/A</c:v>
                </c:pt>
                <c:pt idx="152">
                  <c:v>#N/A</c:v>
                </c:pt>
                <c:pt idx="153">
                  <c:v>#N/A</c:v>
                </c:pt>
                <c:pt idx="154">
                  <c:v>#N/A</c:v>
                </c:pt>
                <c:pt idx="155">
                  <c:v>#N/A</c:v>
                </c:pt>
                <c:pt idx="156">
                  <c:v>1488.27</c:v>
                </c:pt>
                <c:pt idx="157">
                  <c:v>#N/A</c:v>
                </c:pt>
                <c:pt idx="158">
                  <c:v>#N/A</c:v>
                </c:pt>
                <c:pt idx="159">
                  <c:v>#N/A</c:v>
                </c:pt>
                <c:pt idx="160">
                  <c:v>#N/A</c:v>
                </c:pt>
                <c:pt idx="161">
                  <c:v>#N/A</c:v>
                </c:pt>
                <c:pt idx="162">
                  <c:v>#N/A</c:v>
                </c:pt>
                <c:pt idx="163">
                  <c:v>1449.52</c:v>
                </c:pt>
                <c:pt idx="164">
                  <c:v>#N/A</c:v>
                </c:pt>
                <c:pt idx="165">
                  <c:v>#N/A</c:v>
                </c:pt>
                <c:pt idx="166">
                  <c:v>#N/A</c:v>
                </c:pt>
                <c:pt idx="167">
                  <c:v>#N/A</c:v>
                </c:pt>
                <c:pt idx="168">
                  <c:v>#N/A</c:v>
                </c:pt>
                <c:pt idx="169">
                  <c:v>#N/A</c:v>
                </c:pt>
                <c:pt idx="170">
                  <c:v>1423.43</c:v>
                </c:pt>
                <c:pt idx="171">
                  <c:v>#N/A</c:v>
                </c:pt>
                <c:pt idx="172">
                  <c:v>#N/A</c:v>
                </c:pt>
                <c:pt idx="173">
                  <c:v>#N/A</c:v>
                </c:pt>
                <c:pt idx="174">
                  <c:v>#N/A</c:v>
                </c:pt>
                <c:pt idx="175">
                  <c:v>#N/A</c:v>
                </c:pt>
                <c:pt idx="176">
                  <c:v>#N/A</c:v>
                </c:pt>
                <c:pt idx="177">
                  <c:v>1432.71</c:v>
                </c:pt>
                <c:pt idx="178">
                  <c:v>#N/A</c:v>
                </c:pt>
                <c:pt idx="179">
                  <c:v>#N/A</c:v>
                </c:pt>
                <c:pt idx="180">
                  <c:v>#N/A</c:v>
                </c:pt>
                <c:pt idx="181">
                  <c:v>#N/A</c:v>
                </c:pt>
                <c:pt idx="182">
                  <c:v>#N/A</c:v>
                </c:pt>
                <c:pt idx="183">
                  <c:v>#N/A</c:v>
                </c:pt>
                <c:pt idx="184">
                  <c:v>1477.38</c:v>
                </c:pt>
                <c:pt idx="185">
                  <c:v>#N/A</c:v>
                </c:pt>
                <c:pt idx="186">
                  <c:v>#N/A</c:v>
                </c:pt>
                <c:pt idx="187">
                  <c:v>#N/A</c:v>
                </c:pt>
                <c:pt idx="188">
                  <c:v>#N/A</c:v>
                </c:pt>
                <c:pt idx="189">
                  <c:v>#N/A</c:v>
                </c:pt>
                <c:pt idx="190">
                  <c:v>#N/A</c:v>
                </c:pt>
                <c:pt idx="191">
                  <c:v>1505.75</c:v>
                </c:pt>
                <c:pt idx="192">
                  <c:v>#N/A</c:v>
                </c:pt>
                <c:pt idx="193">
                  <c:v>#N/A</c:v>
                </c:pt>
                <c:pt idx="194">
                  <c:v>#N/A</c:v>
                </c:pt>
                <c:pt idx="195">
                  <c:v>#N/A</c:v>
                </c:pt>
                <c:pt idx="196">
                  <c:v>#N/A</c:v>
                </c:pt>
                <c:pt idx="197">
                  <c:v>#N/A</c:v>
                </c:pt>
                <c:pt idx="198">
                  <c:v>1535.68</c:v>
                </c:pt>
                <c:pt idx="199">
                  <c:v>#N/A</c:v>
                </c:pt>
                <c:pt idx="200">
                  <c:v>#N/A</c:v>
                </c:pt>
                <c:pt idx="201">
                  <c:v>#N/A</c:v>
                </c:pt>
                <c:pt idx="202">
                  <c:v>#N/A</c:v>
                </c:pt>
                <c:pt idx="203">
                  <c:v>#N/A</c:v>
                </c:pt>
                <c:pt idx="204">
                  <c:v>#N/A</c:v>
                </c:pt>
                <c:pt idx="205">
                  <c:v>1548.97</c:v>
                </c:pt>
                <c:pt idx="206">
                  <c:v>#N/A</c:v>
                </c:pt>
                <c:pt idx="207">
                  <c:v>#N/A</c:v>
                </c:pt>
                <c:pt idx="208">
                  <c:v>#N/A</c:v>
                </c:pt>
                <c:pt idx="209">
                  <c:v>#N/A</c:v>
                </c:pt>
                <c:pt idx="210">
                  <c:v>#N/A</c:v>
                </c:pt>
                <c:pt idx="211">
                  <c:v>#N/A</c:v>
                </c:pt>
                <c:pt idx="212">
                  <c:v>1562.48</c:v>
                </c:pt>
                <c:pt idx="213">
                  <c:v>#N/A</c:v>
                </c:pt>
                <c:pt idx="214">
                  <c:v>#N/A</c:v>
                </c:pt>
                <c:pt idx="215">
                  <c:v>#N/A</c:v>
                </c:pt>
                <c:pt idx="216">
                  <c:v>#N/A</c:v>
                </c:pt>
                <c:pt idx="217">
                  <c:v>#N/A</c:v>
                </c:pt>
                <c:pt idx="218">
                  <c:v>#N/A</c:v>
                </c:pt>
                <c:pt idx="219">
                  <c:v>1560.25</c:v>
                </c:pt>
                <c:pt idx="220">
                  <c:v>#N/A</c:v>
                </c:pt>
                <c:pt idx="221">
                  <c:v>#N/A</c:v>
                </c:pt>
                <c:pt idx="222">
                  <c:v>#N/A</c:v>
                </c:pt>
                <c:pt idx="223">
                  <c:v>#N/A</c:v>
                </c:pt>
                <c:pt idx="224">
                  <c:v>#N/A</c:v>
                </c:pt>
                <c:pt idx="225">
                  <c:v>#N/A</c:v>
                </c:pt>
                <c:pt idx="226">
                  <c:v>1541.62</c:v>
                </c:pt>
                <c:pt idx="227">
                  <c:v>#N/A</c:v>
                </c:pt>
                <c:pt idx="228">
                  <c:v>#N/A</c:v>
                </c:pt>
                <c:pt idx="229">
                  <c:v>#N/A</c:v>
                </c:pt>
                <c:pt idx="230">
                  <c:v>#N/A</c:v>
                </c:pt>
                <c:pt idx="231">
                  <c:v>#N/A</c:v>
                </c:pt>
                <c:pt idx="232">
                  <c:v>#N/A</c:v>
                </c:pt>
                <c:pt idx="233">
                  <c:v>1540.18</c:v>
                </c:pt>
                <c:pt idx="234">
                  <c:v>#N/A</c:v>
                </c:pt>
                <c:pt idx="235">
                  <c:v>#N/A</c:v>
                </c:pt>
                <c:pt idx="236">
                  <c:v>#N/A</c:v>
                </c:pt>
                <c:pt idx="237">
                  <c:v>#N/A</c:v>
                </c:pt>
                <c:pt idx="238">
                  <c:v>#N/A</c:v>
                </c:pt>
                <c:pt idx="239">
                  <c:v>#N/A</c:v>
                </c:pt>
                <c:pt idx="240">
                  <c:v>1549.58</c:v>
                </c:pt>
                <c:pt idx="241">
                  <c:v>#N/A</c:v>
                </c:pt>
                <c:pt idx="242">
                  <c:v>#N/A</c:v>
                </c:pt>
                <c:pt idx="243">
                  <c:v>#N/A</c:v>
                </c:pt>
                <c:pt idx="244">
                  <c:v>#N/A</c:v>
                </c:pt>
                <c:pt idx="245">
                  <c:v>#N/A</c:v>
                </c:pt>
                <c:pt idx="246">
                  <c:v>#N/A</c:v>
                </c:pt>
                <c:pt idx="247">
                  <c:v>1570.51</c:v>
                </c:pt>
                <c:pt idx="248">
                  <c:v>#N/A</c:v>
                </c:pt>
                <c:pt idx="249">
                  <c:v>#N/A</c:v>
                </c:pt>
                <c:pt idx="250">
                  <c:v>#N/A</c:v>
                </c:pt>
                <c:pt idx="251">
                  <c:v>#N/A</c:v>
                </c:pt>
                <c:pt idx="252">
                  <c:v>#N/A</c:v>
                </c:pt>
                <c:pt idx="253">
                  <c:v>#N/A</c:v>
                </c:pt>
                <c:pt idx="254">
                  <c:v>1575.1</c:v>
                </c:pt>
                <c:pt idx="255">
                  <c:v>#N/A</c:v>
                </c:pt>
                <c:pt idx="256">
                  <c:v>#N/A</c:v>
                </c:pt>
                <c:pt idx="257">
                  <c:v>#N/A</c:v>
                </c:pt>
                <c:pt idx="258">
                  <c:v>#N/A</c:v>
                </c:pt>
                <c:pt idx="259">
                  <c:v>#N/A</c:v>
                </c:pt>
                <c:pt idx="260">
                  <c:v>#N/A</c:v>
                </c:pt>
                <c:pt idx="261">
                  <c:v>1567.59</c:v>
                </c:pt>
                <c:pt idx="262">
                  <c:v>#N/A</c:v>
                </c:pt>
                <c:pt idx="263">
                  <c:v>#N/A</c:v>
                </c:pt>
                <c:pt idx="264">
                  <c:v>#N/A</c:v>
                </c:pt>
                <c:pt idx="265">
                  <c:v>#N/A</c:v>
                </c:pt>
                <c:pt idx="266">
                  <c:v>#N/A</c:v>
                </c:pt>
                <c:pt idx="267">
                  <c:v>#N/A</c:v>
                </c:pt>
                <c:pt idx="268">
                  <c:v>1548.65</c:v>
                </c:pt>
                <c:pt idx="269">
                  <c:v>#N/A</c:v>
                </c:pt>
                <c:pt idx="270">
                  <c:v>#N/A</c:v>
                </c:pt>
                <c:pt idx="271">
                  <c:v>#N/A</c:v>
                </c:pt>
                <c:pt idx="272">
                  <c:v>#N/A</c:v>
                </c:pt>
                <c:pt idx="273">
                  <c:v>#N/A</c:v>
                </c:pt>
                <c:pt idx="274">
                  <c:v>#N/A</c:v>
                </c:pt>
                <c:pt idx="275">
                  <c:v>1465.23</c:v>
                </c:pt>
                <c:pt idx="276">
                  <c:v>#N/A</c:v>
                </c:pt>
                <c:pt idx="277">
                  <c:v>#N/A</c:v>
                </c:pt>
                <c:pt idx="278">
                  <c:v>#N/A</c:v>
                </c:pt>
                <c:pt idx="279">
                  <c:v>#N/A</c:v>
                </c:pt>
                <c:pt idx="280">
                  <c:v>#N/A</c:v>
                </c:pt>
                <c:pt idx="281">
                  <c:v>#N/A</c:v>
                </c:pt>
                <c:pt idx="282">
                  <c:v>1550.95</c:v>
                </c:pt>
                <c:pt idx="283">
                  <c:v>#N/A</c:v>
                </c:pt>
                <c:pt idx="284">
                  <c:v>#N/A</c:v>
                </c:pt>
                <c:pt idx="285">
                  <c:v>#N/A</c:v>
                </c:pt>
                <c:pt idx="286">
                  <c:v>#N/A</c:v>
                </c:pt>
                <c:pt idx="287">
                  <c:v>#N/A</c:v>
                </c:pt>
                <c:pt idx="288">
                  <c:v>#N/A</c:v>
                </c:pt>
                <c:pt idx="289">
                  <c:v>1467.28</c:v>
                </c:pt>
                <c:pt idx="290">
                  <c:v>#N/A</c:v>
                </c:pt>
                <c:pt idx="291">
                  <c:v>#N/A</c:v>
                </c:pt>
                <c:pt idx="292">
                  <c:v>#N/A</c:v>
                </c:pt>
                <c:pt idx="293">
                  <c:v>#N/A</c:v>
                </c:pt>
                <c:pt idx="294">
                  <c:v>#N/A</c:v>
                </c:pt>
                <c:pt idx="295">
                  <c:v>#N/A</c:v>
                </c:pt>
                <c:pt idx="296">
                  <c:v>1394.31</c:v>
                </c:pt>
                <c:pt idx="297">
                  <c:v>#N/A</c:v>
                </c:pt>
                <c:pt idx="298">
                  <c:v>#N/A</c:v>
                </c:pt>
                <c:pt idx="299">
                  <c:v>#N/A</c:v>
                </c:pt>
                <c:pt idx="300">
                  <c:v>#N/A</c:v>
                </c:pt>
                <c:pt idx="301">
                  <c:v>#N/A</c:v>
                </c:pt>
                <c:pt idx="302">
                  <c:v>#N/A</c:v>
                </c:pt>
                <c:pt idx="303">
                  <c:v>1310.49</c:v>
                </c:pt>
                <c:pt idx="304">
                  <c:v>#N/A</c:v>
                </c:pt>
                <c:pt idx="305">
                  <c:v>#N/A</c:v>
                </c:pt>
                <c:pt idx="306">
                  <c:v>#N/A</c:v>
                </c:pt>
                <c:pt idx="307">
                  <c:v>#N/A</c:v>
                </c:pt>
                <c:pt idx="308">
                  <c:v>#N/A</c:v>
                </c:pt>
                <c:pt idx="309">
                  <c:v>#N/A</c:v>
                </c:pt>
                <c:pt idx="310">
                  <c:v>1231.3699999999999</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9169-4CCC-85BB-9CAB8BE557E5}"/>
            </c:ext>
          </c:extLst>
        </c:ser>
        <c:dLbls>
          <c:showLegendKey val="0"/>
          <c:showVal val="0"/>
          <c:showCatName val="0"/>
          <c:showSerName val="0"/>
          <c:showPercent val="0"/>
          <c:showBubbleSize val="0"/>
        </c:dLbls>
        <c:marker val="1"/>
        <c:smooth val="0"/>
        <c:axId val="354482432"/>
        <c:axId val="366944256"/>
      </c:lineChart>
      <c:dateAx>
        <c:axId val="354482432"/>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66944256"/>
        <c:crosses val="autoZero"/>
        <c:auto val="0"/>
        <c:lblOffset val="0"/>
        <c:baseTimeUnit val="days"/>
        <c:majorUnit val="1"/>
        <c:majorTimeUnit val="months"/>
      </c:dateAx>
      <c:valAx>
        <c:axId val="366944256"/>
        <c:scaling>
          <c:orientation val="minMax"/>
          <c:min val="50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54482432"/>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水泥!$H$1</c:f>
              <c:strCache>
                <c:ptCount val="1"/>
                <c:pt idx="0">
                  <c:v>2018</c:v>
                </c:pt>
              </c:strCache>
            </c:strRef>
          </c:tx>
          <c:spPr>
            <a:ln w="28575">
              <a:solidFill>
                <a:srgbClr val="E7E6E6">
                  <a:lumMod val="75000"/>
                </a:srgbClr>
              </a:solidFill>
              <a:prstDash val="solid"/>
            </a:ln>
          </c:spPr>
          <c:marker>
            <c:symbol val="none"/>
          </c:marker>
          <c:cat>
            <c:numRef>
              <c:f>水泥!$G$2:$G$366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水泥!$H$2:$H$366</c:f>
              <c:numCache>
                <c:formatCode>General</c:formatCode>
                <c:ptCount val="365"/>
                <c:pt idx="0">
                  <c:v>#N/A</c:v>
                </c:pt>
                <c:pt idx="1">
                  <c:v>150.18</c:v>
                </c:pt>
                <c:pt idx="2">
                  <c:v>150.68</c:v>
                </c:pt>
                <c:pt idx="3">
                  <c:v>150.66999999999999</c:v>
                </c:pt>
                <c:pt idx="4">
                  <c:v>150.76</c:v>
                </c:pt>
                <c:pt idx="5">
                  <c:v>#N/A</c:v>
                </c:pt>
                <c:pt idx="6">
                  <c:v>#N/A</c:v>
                </c:pt>
                <c:pt idx="7">
                  <c:v>150.9</c:v>
                </c:pt>
                <c:pt idx="8">
                  <c:v>150.83000000000001</c:v>
                </c:pt>
                <c:pt idx="9">
                  <c:v>150.83000000000001</c:v>
                </c:pt>
                <c:pt idx="10">
                  <c:v>150.72999999999999</c:v>
                </c:pt>
                <c:pt idx="11">
                  <c:v>148.5</c:v>
                </c:pt>
                <c:pt idx="12">
                  <c:v>#N/A</c:v>
                </c:pt>
                <c:pt idx="13">
                  <c:v>#N/A</c:v>
                </c:pt>
                <c:pt idx="14">
                  <c:v>147.31</c:v>
                </c:pt>
                <c:pt idx="15">
                  <c:v>145.79</c:v>
                </c:pt>
                <c:pt idx="16">
                  <c:v>145.1</c:v>
                </c:pt>
                <c:pt idx="17">
                  <c:v>144.66</c:v>
                </c:pt>
                <c:pt idx="18">
                  <c:v>144.57</c:v>
                </c:pt>
                <c:pt idx="19">
                  <c:v>#N/A</c:v>
                </c:pt>
                <c:pt idx="20">
                  <c:v>#N/A</c:v>
                </c:pt>
                <c:pt idx="21">
                  <c:v>143.91</c:v>
                </c:pt>
                <c:pt idx="22">
                  <c:v>142.71</c:v>
                </c:pt>
                <c:pt idx="23">
                  <c:v>142.54</c:v>
                </c:pt>
                <c:pt idx="24">
                  <c:v>141.97</c:v>
                </c:pt>
                <c:pt idx="25">
                  <c:v>141.56</c:v>
                </c:pt>
                <c:pt idx="26">
                  <c:v>#N/A</c:v>
                </c:pt>
                <c:pt idx="27">
                  <c:v>#N/A</c:v>
                </c:pt>
                <c:pt idx="28">
                  <c:v>141.44999999999999</c:v>
                </c:pt>
                <c:pt idx="29">
                  <c:v>141.30000000000001</c:v>
                </c:pt>
                <c:pt idx="30">
                  <c:v>141.28</c:v>
                </c:pt>
                <c:pt idx="31">
                  <c:v>141.22999999999999</c:v>
                </c:pt>
                <c:pt idx="32">
                  <c:v>140.58000000000001</c:v>
                </c:pt>
                <c:pt idx="33">
                  <c:v>#N/A</c:v>
                </c:pt>
                <c:pt idx="34">
                  <c:v>#N/A</c:v>
                </c:pt>
                <c:pt idx="35">
                  <c:v>138.84</c:v>
                </c:pt>
                <c:pt idx="36">
                  <c:v>138.85</c:v>
                </c:pt>
                <c:pt idx="37">
                  <c:v>138.52000000000001</c:v>
                </c:pt>
                <c:pt idx="38">
                  <c:v>137.16</c:v>
                </c:pt>
                <c:pt idx="39">
                  <c:v>137.11000000000001</c:v>
                </c:pt>
                <c:pt idx="40">
                  <c:v>#N/A</c:v>
                </c:pt>
                <c:pt idx="41">
                  <c:v>#N/A</c:v>
                </c:pt>
                <c:pt idx="42">
                  <c:v>136.53</c:v>
                </c:pt>
                <c:pt idx="43">
                  <c:v>#N/A</c:v>
                </c:pt>
                <c:pt idx="44">
                  <c:v>#N/A</c:v>
                </c:pt>
                <c:pt idx="45">
                  <c:v>#N/A</c:v>
                </c:pt>
                <c:pt idx="46">
                  <c:v>#N/A</c:v>
                </c:pt>
                <c:pt idx="47">
                  <c:v>#N/A</c:v>
                </c:pt>
                <c:pt idx="48">
                  <c:v>#N/A</c:v>
                </c:pt>
                <c:pt idx="49">
                  <c:v>#N/A</c:v>
                </c:pt>
                <c:pt idx="50">
                  <c:v>#N/A</c:v>
                </c:pt>
                <c:pt idx="51">
                  <c:v>#N/A</c:v>
                </c:pt>
                <c:pt idx="52">
                  <c:v>#N/A</c:v>
                </c:pt>
                <c:pt idx="53">
                  <c:v>136.44</c:v>
                </c:pt>
                <c:pt idx="54">
                  <c:v>#N/A</c:v>
                </c:pt>
                <c:pt idx="55">
                  <c:v>#N/A</c:v>
                </c:pt>
                <c:pt idx="56">
                  <c:v>136.19</c:v>
                </c:pt>
                <c:pt idx="57">
                  <c:v>135.83000000000001</c:v>
                </c:pt>
                <c:pt idx="58">
                  <c:v>134.84</c:v>
                </c:pt>
                <c:pt idx="59">
                  <c:v>134.28</c:v>
                </c:pt>
                <c:pt idx="60">
                  <c:v>134.16999999999999</c:v>
                </c:pt>
                <c:pt idx="61">
                  <c:v>#N/A</c:v>
                </c:pt>
                <c:pt idx="62">
                  <c:v>#N/A</c:v>
                </c:pt>
                <c:pt idx="63">
                  <c:v>133.91999999999999</c:v>
                </c:pt>
                <c:pt idx="64">
                  <c:v>133.34</c:v>
                </c:pt>
                <c:pt idx="65">
                  <c:v>133.08000000000001</c:v>
                </c:pt>
                <c:pt idx="66">
                  <c:v>132.44999999999999</c:v>
                </c:pt>
                <c:pt idx="67">
                  <c:v>132.5</c:v>
                </c:pt>
                <c:pt idx="68">
                  <c:v>#N/A</c:v>
                </c:pt>
                <c:pt idx="69">
                  <c:v>#N/A</c:v>
                </c:pt>
                <c:pt idx="70">
                  <c:v>132.57</c:v>
                </c:pt>
                <c:pt idx="71">
                  <c:v>132.66</c:v>
                </c:pt>
                <c:pt idx="72">
                  <c:v>132.36000000000001</c:v>
                </c:pt>
                <c:pt idx="73">
                  <c:v>132.44999999999999</c:v>
                </c:pt>
                <c:pt idx="74">
                  <c:v>132.30000000000001</c:v>
                </c:pt>
                <c:pt idx="75">
                  <c:v>#N/A</c:v>
                </c:pt>
                <c:pt idx="76">
                  <c:v>#N/A</c:v>
                </c:pt>
                <c:pt idx="77">
                  <c:v>131.63</c:v>
                </c:pt>
                <c:pt idx="78">
                  <c:v>131.26</c:v>
                </c:pt>
                <c:pt idx="79">
                  <c:v>131.24</c:v>
                </c:pt>
                <c:pt idx="80">
                  <c:v>131.19999999999999</c:v>
                </c:pt>
                <c:pt idx="81">
                  <c:v>131.24</c:v>
                </c:pt>
                <c:pt idx="82">
                  <c:v>#N/A</c:v>
                </c:pt>
                <c:pt idx="83">
                  <c:v>#N/A</c:v>
                </c:pt>
                <c:pt idx="84">
                  <c:v>131.59</c:v>
                </c:pt>
                <c:pt idx="85">
                  <c:v>131.59</c:v>
                </c:pt>
                <c:pt idx="86">
                  <c:v>131.59</c:v>
                </c:pt>
                <c:pt idx="87">
                  <c:v>131.78</c:v>
                </c:pt>
                <c:pt idx="88">
                  <c:v>132.03</c:v>
                </c:pt>
                <c:pt idx="89">
                  <c:v>#N/A</c:v>
                </c:pt>
                <c:pt idx="90">
                  <c:v>#N/A</c:v>
                </c:pt>
                <c:pt idx="91">
                  <c:v>133.16</c:v>
                </c:pt>
                <c:pt idx="92">
                  <c:v>133.41</c:v>
                </c:pt>
                <c:pt idx="93">
                  <c:v>133.84</c:v>
                </c:pt>
                <c:pt idx="94">
                  <c:v>#N/A</c:v>
                </c:pt>
                <c:pt idx="95">
                  <c:v>#N/A</c:v>
                </c:pt>
                <c:pt idx="96">
                  <c:v>#N/A</c:v>
                </c:pt>
                <c:pt idx="97">
                  <c:v>#N/A</c:v>
                </c:pt>
                <c:pt idx="98">
                  <c:v>134.12</c:v>
                </c:pt>
                <c:pt idx="99">
                  <c:v>134.05000000000001</c:v>
                </c:pt>
                <c:pt idx="100">
                  <c:v>134.52000000000001</c:v>
                </c:pt>
                <c:pt idx="101">
                  <c:v>134.55000000000001</c:v>
                </c:pt>
                <c:pt idx="102">
                  <c:v>135.08000000000001</c:v>
                </c:pt>
                <c:pt idx="103">
                  <c:v>#N/A</c:v>
                </c:pt>
                <c:pt idx="104">
                  <c:v>#N/A</c:v>
                </c:pt>
                <c:pt idx="105">
                  <c:v>135.91</c:v>
                </c:pt>
                <c:pt idx="106">
                  <c:v>136.09</c:v>
                </c:pt>
                <c:pt idx="107">
                  <c:v>136.29</c:v>
                </c:pt>
                <c:pt idx="108">
                  <c:v>136.88</c:v>
                </c:pt>
                <c:pt idx="109">
                  <c:v>137.5</c:v>
                </c:pt>
                <c:pt idx="110">
                  <c:v>#N/A</c:v>
                </c:pt>
                <c:pt idx="111">
                  <c:v>#N/A</c:v>
                </c:pt>
                <c:pt idx="112">
                  <c:v>138.1</c:v>
                </c:pt>
                <c:pt idx="113">
                  <c:v>138.43</c:v>
                </c:pt>
                <c:pt idx="114">
                  <c:v>138.52000000000001</c:v>
                </c:pt>
                <c:pt idx="115">
                  <c:v>139.25</c:v>
                </c:pt>
                <c:pt idx="116">
                  <c:v>137.24</c:v>
                </c:pt>
                <c:pt idx="117">
                  <c:v>#N/A</c:v>
                </c:pt>
                <c:pt idx="118">
                  <c:v>#N/A</c:v>
                </c:pt>
                <c:pt idx="119">
                  <c:v>#N/A</c:v>
                </c:pt>
                <c:pt idx="120">
                  <c:v>#N/A</c:v>
                </c:pt>
                <c:pt idx="121">
                  <c:v>139.96</c:v>
                </c:pt>
                <c:pt idx="122">
                  <c:v>140.47999999999999</c:v>
                </c:pt>
                <c:pt idx="123">
                  <c:v>141.27000000000001</c:v>
                </c:pt>
                <c:pt idx="124">
                  <c:v>#N/A</c:v>
                </c:pt>
                <c:pt idx="125">
                  <c:v>#N/A</c:v>
                </c:pt>
                <c:pt idx="126">
                  <c:v>141.84</c:v>
                </c:pt>
                <c:pt idx="127">
                  <c:v>142.32</c:v>
                </c:pt>
                <c:pt idx="128">
                  <c:v>142.13</c:v>
                </c:pt>
                <c:pt idx="129">
                  <c:v>142.15</c:v>
                </c:pt>
                <c:pt idx="130">
                  <c:v>142.36000000000001</c:v>
                </c:pt>
                <c:pt idx="131">
                  <c:v>#N/A</c:v>
                </c:pt>
                <c:pt idx="132">
                  <c:v>#N/A</c:v>
                </c:pt>
                <c:pt idx="133">
                  <c:v>142.19999999999999</c:v>
                </c:pt>
                <c:pt idx="134">
                  <c:v>142.15</c:v>
                </c:pt>
                <c:pt idx="135">
                  <c:v>142.18</c:v>
                </c:pt>
                <c:pt idx="136">
                  <c:v>142.54</c:v>
                </c:pt>
                <c:pt idx="137">
                  <c:v>142.61000000000001</c:v>
                </c:pt>
                <c:pt idx="138">
                  <c:v>#N/A</c:v>
                </c:pt>
                <c:pt idx="139">
                  <c:v>#N/A</c:v>
                </c:pt>
                <c:pt idx="140">
                  <c:v>142.62</c:v>
                </c:pt>
                <c:pt idx="141">
                  <c:v>142.78</c:v>
                </c:pt>
                <c:pt idx="142">
                  <c:v>142.99</c:v>
                </c:pt>
                <c:pt idx="143">
                  <c:v>143.08000000000001</c:v>
                </c:pt>
                <c:pt idx="144">
                  <c:v>143.19</c:v>
                </c:pt>
                <c:pt idx="145">
                  <c:v>#N/A</c:v>
                </c:pt>
                <c:pt idx="146">
                  <c:v>#N/A</c:v>
                </c:pt>
                <c:pt idx="147">
                  <c:v>143.18</c:v>
                </c:pt>
                <c:pt idx="148">
                  <c:v>143.16999999999999</c:v>
                </c:pt>
                <c:pt idx="149">
                  <c:v>143.21</c:v>
                </c:pt>
                <c:pt idx="150">
                  <c:v>143.22</c:v>
                </c:pt>
                <c:pt idx="151">
                  <c:v>143.34</c:v>
                </c:pt>
                <c:pt idx="152">
                  <c:v>#N/A</c:v>
                </c:pt>
                <c:pt idx="153">
                  <c:v>#N/A</c:v>
                </c:pt>
                <c:pt idx="154">
                  <c:v>143.27000000000001</c:v>
                </c:pt>
                <c:pt idx="155">
                  <c:v>142.72</c:v>
                </c:pt>
                <c:pt idx="156">
                  <c:v>142.71</c:v>
                </c:pt>
                <c:pt idx="157">
                  <c:v>142.63999999999999</c:v>
                </c:pt>
                <c:pt idx="158">
                  <c:v>142.66999999999999</c:v>
                </c:pt>
                <c:pt idx="159">
                  <c:v>#N/A</c:v>
                </c:pt>
                <c:pt idx="160">
                  <c:v>#N/A</c:v>
                </c:pt>
                <c:pt idx="161">
                  <c:v>142.63</c:v>
                </c:pt>
                <c:pt idx="162">
                  <c:v>142.65</c:v>
                </c:pt>
                <c:pt idx="163">
                  <c:v>142.66999999999999</c:v>
                </c:pt>
                <c:pt idx="164">
                  <c:v>142.69</c:v>
                </c:pt>
                <c:pt idx="165">
                  <c:v>142.68</c:v>
                </c:pt>
                <c:pt idx="166">
                  <c:v>#N/A</c:v>
                </c:pt>
                <c:pt idx="167">
                  <c:v>#N/A</c:v>
                </c:pt>
                <c:pt idx="168">
                  <c:v>#N/A</c:v>
                </c:pt>
                <c:pt idx="169">
                  <c:v>142.52000000000001</c:v>
                </c:pt>
                <c:pt idx="170">
                  <c:v>142.53</c:v>
                </c:pt>
                <c:pt idx="171">
                  <c:v>142.51</c:v>
                </c:pt>
                <c:pt idx="172">
                  <c:v>142.56</c:v>
                </c:pt>
                <c:pt idx="173">
                  <c:v>#N/A</c:v>
                </c:pt>
                <c:pt idx="174">
                  <c:v>#N/A</c:v>
                </c:pt>
                <c:pt idx="175">
                  <c:v>142.57</c:v>
                </c:pt>
                <c:pt idx="176">
                  <c:v>142.53</c:v>
                </c:pt>
                <c:pt idx="177">
                  <c:v>142.46</c:v>
                </c:pt>
                <c:pt idx="178">
                  <c:v>141.96</c:v>
                </c:pt>
                <c:pt idx="179">
                  <c:v>141.97999999999999</c:v>
                </c:pt>
                <c:pt idx="180">
                  <c:v>#N/A</c:v>
                </c:pt>
                <c:pt idx="181">
                  <c:v>#N/A</c:v>
                </c:pt>
                <c:pt idx="182">
                  <c:v>141.72999999999999</c:v>
                </c:pt>
                <c:pt idx="183">
                  <c:v>141.63</c:v>
                </c:pt>
                <c:pt idx="184">
                  <c:v>141.44</c:v>
                </c:pt>
                <c:pt idx="185">
                  <c:v>141.30000000000001</c:v>
                </c:pt>
                <c:pt idx="186">
                  <c:v>140.9</c:v>
                </c:pt>
                <c:pt idx="187">
                  <c:v>#N/A</c:v>
                </c:pt>
                <c:pt idx="188">
                  <c:v>#N/A</c:v>
                </c:pt>
                <c:pt idx="189">
                  <c:v>140.93</c:v>
                </c:pt>
                <c:pt idx="190">
                  <c:v>140.68</c:v>
                </c:pt>
                <c:pt idx="191">
                  <c:v>140.46</c:v>
                </c:pt>
                <c:pt idx="192">
                  <c:v>140.38</c:v>
                </c:pt>
                <c:pt idx="193">
                  <c:v>140.28</c:v>
                </c:pt>
                <c:pt idx="194">
                  <c:v>#N/A</c:v>
                </c:pt>
                <c:pt idx="195">
                  <c:v>#N/A</c:v>
                </c:pt>
                <c:pt idx="196">
                  <c:v>140.13999999999999</c:v>
                </c:pt>
                <c:pt idx="197">
                  <c:v>139.96</c:v>
                </c:pt>
                <c:pt idx="198">
                  <c:v>139.72999999999999</c:v>
                </c:pt>
                <c:pt idx="199">
                  <c:v>139.77000000000001</c:v>
                </c:pt>
                <c:pt idx="200">
                  <c:v>139.63999999999999</c:v>
                </c:pt>
                <c:pt idx="201">
                  <c:v>#N/A</c:v>
                </c:pt>
                <c:pt idx="202">
                  <c:v>#N/A</c:v>
                </c:pt>
                <c:pt idx="203">
                  <c:v>139.79</c:v>
                </c:pt>
                <c:pt idx="204">
                  <c:v>139.82</c:v>
                </c:pt>
                <c:pt idx="205">
                  <c:v>139.80000000000001</c:v>
                </c:pt>
                <c:pt idx="206">
                  <c:v>139.71</c:v>
                </c:pt>
                <c:pt idx="207">
                  <c:v>139.69</c:v>
                </c:pt>
                <c:pt idx="208">
                  <c:v>#N/A</c:v>
                </c:pt>
                <c:pt idx="209">
                  <c:v>#N/A</c:v>
                </c:pt>
                <c:pt idx="210">
                  <c:v>139.69</c:v>
                </c:pt>
                <c:pt idx="211">
                  <c:v>139.58000000000001</c:v>
                </c:pt>
                <c:pt idx="212">
                  <c:v>139.38</c:v>
                </c:pt>
                <c:pt idx="213">
                  <c:v>139.35</c:v>
                </c:pt>
                <c:pt idx="214">
                  <c:v>138.99</c:v>
                </c:pt>
                <c:pt idx="215">
                  <c:v>#N/A</c:v>
                </c:pt>
                <c:pt idx="216">
                  <c:v>#N/A</c:v>
                </c:pt>
                <c:pt idx="217">
                  <c:v>138.99</c:v>
                </c:pt>
                <c:pt idx="218">
                  <c:v>138.91</c:v>
                </c:pt>
                <c:pt idx="219">
                  <c:v>138.97</c:v>
                </c:pt>
                <c:pt idx="220">
                  <c:v>139.01</c:v>
                </c:pt>
                <c:pt idx="221">
                  <c:v>139.01</c:v>
                </c:pt>
                <c:pt idx="222">
                  <c:v>#N/A</c:v>
                </c:pt>
                <c:pt idx="223">
                  <c:v>#N/A</c:v>
                </c:pt>
                <c:pt idx="224">
                  <c:v>138.99</c:v>
                </c:pt>
                <c:pt idx="225">
                  <c:v>138.97999999999999</c:v>
                </c:pt>
                <c:pt idx="226">
                  <c:v>139.32</c:v>
                </c:pt>
                <c:pt idx="227">
                  <c:v>139.31</c:v>
                </c:pt>
                <c:pt idx="228">
                  <c:v>139.36000000000001</c:v>
                </c:pt>
                <c:pt idx="229">
                  <c:v>#N/A</c:v>
                </c:pt>
                <c:pt idx="230">
                  <c:v>#N/A</c:v>
                </c:pt>
                <c:pt idx="231">
                  <c:v>139.27000000000001</c:v>
                </c:pt>
                <c:pt idx="232">
                  <c:v>139.31</c:v>
                </c:pt>
                <c:pt idx="233">
                  <c:v>139.44</c:v>
                </c:pt>
                <c:pt idx="234">
                  <c:v>139.28</c:v>
                </c:pt>
                <c:pt idx="235">
                  <c:v>139.26</c:v>
                </c:pt>
                <c:pt idx="236">
                  <c:v>#N/A</c:v>
                </c:pt>
                <c:pt idx="237">
                  <c:v>#N/A</c:v>
                </c:pt>
                <c:pt idx="238">
                  <c:v>139.91999999999999</c:v>
                </c:pt>
                <c:pt idx="239">
                  <c:v>139.97</c:v>
                </c:pt>
                <c:pt idx="240">
                  <c:v>139.96</c:v>
                </c:pt>
                <c:pt idx="241">
                  <c:v>140.16999999999999</c:v>
                </c:pt>
                <c:pt idx="242">
                  <c:v>139.99</c:v>
                </c:pt>
                <c:pt idx="243">
                  <c:v>#N/A</c:v>
                </c:pt>
                <c:pt idx="244">
                  <c:v>#N/A</c:v>
                </c:pt>
                <c:pt idx="245">
                  <c:v>141.19999999999999</c:v>
                </c:pt>
                <c:pt idx="246">
                  <c:v>141.44</c:v>
                </c:pt>
                <c:pt idx="247">
                  <c:v>142.13</c:v>
                </c:pt>
                <c:pt idx="248">
                  <c:v>142.22</c:v>
                </c:pt>
                <c:pt idx="249">
                  <c:v>142.36000000000001</c:v>
                </c:pt>
                <c:pt idx="250">
                  <c:v>#N/A</c:v>
                </c:pt>
                <c:pt idx="251">
                  <c:v>#N/A</c:v>
                </c:pt>
                <c:pt idx="252">
                  <c:v>142.38999999999999</c:v>
                </c:pt>
                <c:pt idx="253">
                  <c:v>142.43</c:v>
                </c:pt>
                <c:pt idx="254">
                  <c:v>142.4</c:v>
                </c:pt>
                <c:pt idx="255">
                  <c:v>142.57</c:v>
                </c:pt>
                <c:pt idx="256">
                  <c:v>142.72999999999999</c:v>
                </c:pt>
                <c:pt idx="257">
                  <c:v>#N/A</c:v>
                </c:pt>
                <c:pt idx="258">
                  <c:v>#N/A</c:v>
                </c:pt>
                <c:pt idx="259">
                  <c:v>142.88</c:v>
                </c:pt>
                <c:pt idx="260">
                  <c:v>143.31</c:v>
                </c:pt>
                <c:pt idx="261">
                  <c:v>143.24</c:v>
                </c:pt>
                <c:pt idx="262">
                  <c:v>143.22999999999999</c:v>
                </c:pt>
                <c:pt idx="263">
                  <c:v>143.38999999999999</c:v>
                </c:pt>
                <c:pt idx="264">
                  <c:v>#N/A</c:v>
                </c:pt>
                <c:pt idx="265">
                  <c:v>#N/A</c:v>
                </c:pt>
                <c:pt idx="266">
                  <c:v>#N/A</c:v>
                </c:pt>
                <c:pt idx="267">
                  <c:v>143.56</c:v>
                </c:pt>
                <c:pt idx="268">
                  <c:v>143.49</c:v>
                </c:pt>
                <c:pt idx="269">
                  <c:v>143.72999999999999</c:v>
                </c:pt>
                <c:pt idx="270">
                  <c:v>143.75</c:v>
                </c:pt>
                <c:pt idx="271">
                  <c:v>#N/A</c:v>
                </c:pt>
                <c:pt idx="272">
                  <c:v>#N/A</c:v>
                </c:pt>
                <c:pt idx="273">
                  <c:v>#N/A</c:v>
                </c:pt>
                <c:pt idx="274">
                  <c:v>#N/A</c:v>
                </c:pt>
                <c:pt idx="275">
                  <c:v>#N/A</c:v>
                </c:pt>
                <c:pt idx="276">
                  <c:v>#N/A</c:v>
                </c:pt>
                <c:pt idx="277">
                  <c:v>#N/A</c:v>
                </c:pt>
                <c:pt idx="278">
                  <c:v>#N/A</c:v>
                </c:pt>
                <c:pt idx="279">
                  <c:v>#N/A</c:v>
                </c:pt>
                <c:pt idx="280">
                  <c:v>144.69</c:v>
                </c:pt>
                <c:pt idx="281">
                  <c:v>144.93</c:v>
                </c:pt>
                <c:pt idx="282">
                  <c:v>145.12</c:v>
                </c:pt>
                <c:pt idx="283">
                  <c:v>145.13999999999999</c:v>
                </c:pt>
                <c:pt idx="284">
                  <c:v>144.88</c:v>
                </c:pt>
                <c:pt idx="285">
                  <c:v>#N/A</c:v>
                </c:pt>
                <c:pt idx="286">
                  <c:v>#N/A</c:v>
                </c:pt>
                <c:pt idx="287">
                  <c:v>145.71</c:v>
                </c:pt>
                <c:pt idx="288">
                  <c:v>145.86000000000001</c:v>
                </c:pt>
                <c:pt idx="289">
                  <c:v>145.99</c:v>
                </c:pt>
                <c:pt idx="290">
                  <c:v>146.4</c:v>
                </c:pt>
                <c:pt idx="291">
                  <c:v>146.49</c:v>
                </c:pt>
                <c:pt idx="292">
                  <c:v>#N/A</c:v>
                </c:pt>
                <c:pt idx="293">
                  <c:v>#N/A</c:v>
                </c:pt>
                <c:pt idx="294">
                  <c:v>147.97</c:v>
                </c:pt>
                <c:pt idx="295">
                  <c:v>148.21</c:v>
                </c:pt>
                <c:pt idx="296">
                  <c:v>148.31</c:v>
                </c:pt>
                <c:pt idx="297">
                  <c:v>148.82</c:v>
                </c:pt>
                <c:pt idx="298">
                  <c:v>148.83000000000001</c:v>
                </c:pt>
                <c:pt idx="299">
                  <c:v>#N/A</c:v>
                </c:pt>
                <c:pt idx="300">
                  <c:v>#N/A</c:v>
                </c:pt>
                <c:pt idx="301">
                  <c:v>149.24</c:v>
                </c:pt>
                <c:pt idx="302">
                  <c:v>149.29</c:v>
                </c:pt>
                <c:pt idx="303">
                  <c:v>149.47999999999999</c:v>
                </c:pt>
                <c:pt idx="304">
                  <c:v>151.63</c:v>
                </c:pt>
                <c:pt idx="305">
                  <c:v>155.09</c:v>
                </c:pt>
                <c:pt idx="306">
                  <c:v>#N/A</c:v>
                </c:pt>
                <c:pt idx="307">
                  <c:v>#N/A</c:v>
                </c:pt>
                <c:pt idx="308">
                  <c:v>155.74</c:v>
                </c:pt>
                <c:pt idx="309">
                  <c:v>155.82</c:v>
                </c:pt>
                <c:pt idx="310">
                  <c:v>156.05000000000001</c:v>
                </c:pt>
                <c:pt idx="311">
                  <c:v>156.25</c:v>
                </c:pt>
                <c:pt idx="312">
                  <c:v>156.79</c:v>
                </c:pt>
                <c:pt idx="313">
                  <c:v>#N/A</c:v>
                </c:pt>
                <c:pt idx="314">
                  <c:v>#N/A</c:v>
                </c:pt>
                <c:pt idx="315">
                  <c:v>157.08000000000001</c:v>
                </c:pt>
                <c:pt idx="316">
                  <c:v>157.19999999999999</c:v>
                </c:pt>
                <c:pt idx="317">
                  <c:v>157.22</c:v>
                </c:pt>
                <c:pt idx="318">
                  <c:v>158.04</c:v>
                </c:pt>
                <c:pt idx="319">
                  <c:v>158.47</c:v>
                </c:pt>
                <c:pt idx="320">
                  <c:v>#N/A</c:v>
                </c:pt>
                <c:pt idx="321">
                  <c:v>#N/A</c:v>
                </c:pt>
                <c:pt idx="322">
                  <c:v>159.16999999999999</c:v>
                </c:pt>
                <c:pt idx="323">
                  <c:v>159.59</c:v>
                </c:pt>
                <c:pt idx="324">
                  <c:v>160.61000000000001</c:v>
                </c:pt>
                <c:pt idx="325">
                  <c:v>160.84</c:v>
                </c:pt>
                <c:pt idx="326">
                  <c:v>160.84</c:v>
                </c:pt>
                <c:pt idx="327">
                  <c:v>#N/A</c:v>
                </c:pt>
                <c:pt idx="328">
                  <c:v>#N/A</c:v>
                </c:pt>
                <c:pt idx="329">
                  <c:v>161.01</c:v>
                </c:pt>
                <c:pt idx="330">
                  <c:v>161.01</c:v>
                </c:pt>
                <c:pt idx="331">
                  <c:v>161.25</c:v>
                </c:pt>
                <c:pt idx="332">
                  <c:v>161.35</c:v>
                </c:pt>
                <c:pt idx="333">
                  <c:v>161.37</c:v>
                </c:pt>
                <c:pt idx="334">
                  <c:v>#N/A</c:v>
                </c:pt>
                <c:pt idx="335">
                  <c:v>#N/A</c:v>
                </c:pt>
                <c:pt idx="336">
                  <c:v>161.68</c:v>
                </c:pt>
                <c:pt idx="337">
                  <c:v>162</c:v>
                </c:pt>
                <c:pt idx="338">
                  <c:v>162.09</c:v>
                </c:pt>
                <c:pt idx="339">
                  <c:v>162.41</c:v>
                </c:pt>
                <c:pt idx="340">
                  <c:v>162.44</c:v>
                </c:pt>
                <c:pt idx="341">
                  <c:v>#N/A</c:v>
                </c:pt>
                <c:pt idx="342">
                  <c:v>#N/A</c:v>
                </c:pt>
                <c:pt idx="343">
                  <c:v>162.51</c:v>
                </c:pt>
                <c:pt idx="344">
                  <c:v>162.51</c:v>
                </c:pt>
                <c:pt idx="345">
                  <c:v>161.9</c:v>
                </c:pt>
                <c:pt idx="346">
                  <c:v>161.9</c:v>
                </c:pt>
                <c:pt idx="347">
                  <c:v>161.88999999999999</c:v>
                </c:pt>
                <c:pt idx="348">
                  <c:v>#N/A</c:v>
                </c:pt>
                <c:pt idx="349">
                  <c:v>#N/A</c:v>
                </c:pt>
                <c:pt idx="350">
                  <c:v>162.35</c:v>
                </c:pt>
                <c:pt idx="351">
                  <c:v>162.36000000000001</c:v>
                </c:pt>
                <c:pt idx="352">
                  <c:v>162.31</c:v>
                </c:pt>
                <c:pt idx="353">
                  <c:v>162.32</c:v>
                </c:pt>
                <c:pt idx="354">
                  <c:v>162.30000000000001</c:v>
                </c:pt>
                <c:pt idx="355">
                  <c:v>#N/A</c:v>
                </c:pt>
                <c:pt idx="356">
                  <c:v>#N/A</c:v>
                </c:pt>
                <c:pt idx="357">
                  <c:v>162.34</c:v>
                </c:pt>
                <c:pt idx="358">
                  <c:v>162.30000000000001</c:v>
                </c:pt>
                <c:pt idx="359">
                  <c:v>162.32</c:v>
                </c:pt>
                <c:pt idx="360">
                  <c:v>162.33000000000001</c:v>
                </c:pt>
                <c:pt idx="361">
                  <c:v>162.27000000000001</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DE56-486F-81AB-A95D34284161}"/>
            </c:ext>
          </c:extLst>
        </c:ser>
        <c:ser>
          <c:idx val="2"/>
          <c:order val="1"/>
          <c:tx>
            <c:strRef>
              <c:f>水泥!$I$1</c:f>
              <c:strCache>
                <c:ptCount val="1"/>
                <c:pt idx="0">
                  <c:v>2019</c:v>
                </c:pt>
              </c:strCache>
            </c:strRef>
          </c:tx>
          <c:spPr>
            <a:ln w="28575">
              <a:solidFill>
                <a:srgbClr val="F8CBAD"/>
              </a:solidFill>
              <a:prstDash val="solid"/>
            </a:ln>
          </c:spPr>
          <c:marker>
            <c:symbol val="none"/>
          </c:marker>
          <c:cat>
            <c:numRef>
              <c:f>水泥!$G$2:$G$366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水泥!$I$2:$I$366</c:f>
              <c:numCache>
                <c:formatCode>General</c:formatCode>
                <c:ptCount val="365"/>
                <c:pt idx="0">
                  <c:v>#N/A</c:v>
                </c:pt>
                <c:pt idx="1">
                  <c:v>161.68</c:v>
                </c:pt>
                <c:pt idx="2">
                  <c:v>161.56</c:v>
                </c:pt>
                <c:pt idx="3">
                  <c:v>161.36000000000001</c:v>
                </c:pt>
                <c:pt idx="4">
                  <c:v>#N/A</c:v>
                </c:pt>
                <c:pt idx="5">
                  <c:v>#N/A</c:v>
                </c:pt>
                <c:pt idx="6">
                  <c:v>156.93</c:v>
                </c:pt>
                <c:pt idx="7">
                  <c:v>155.94999999999999</c:v>
                </c:pt>
                <c:pt idx="8">
                  <c:v>155.59</c:v>
                </c:pt>
                <c:pt idx="9">
                  <c:v>155.55000000000001</c:v>
                </c:pt>
                <c:pt idx="10">
                  <c:v>155.54</c:v>
                </c:pt>
                <c:pt idx="11">
                  <c:v>#N/A</c:v>
                </c:pt>
                <c:pt idx="12">
                  <c:v>#N/A</c:v>
                </c:pt>
                <c:pt idx="13">
                  <c:v>155.22999999999999</c:v>
                </c:pt>
                <c:pt idx="14">
                  <c:v>155.13999999999999</c:v>
                </c:pt>
                <c:pt idx="15">
                  <c:v>154.21</c:v>
                </c:pt>
                <c:pt idx="16">
                  <c:v>153.81</c:v>
                </c:pt>
                <c:pt idx="17">
                  <c:v>153.62</c:v>
                </c:pt>
                <c:pt idx="18">
                  <c:v>#N/A</c:v>
                </c:pt>
                <c:pt idx="19">
                  <c:v>#N/A</c:v>
                </c:pt>
                <c:pt idx="20">
                  <c:v>153.5</c:v>
                </c:pt>
                <c:pt idx="21">
                  <c:v>153.5</c:v>
                </c:pt>
                <c:pt idx="22">
                  <c:v>153.34</c:v>
                </c:pt>
                <c:pt idx="23">
                  <c:v>153.30000000000001</c:v>
                </c:pt>
                <c:pt idx="24">
                  <c:v>153.29</c:v>
                </c:pt>
                <c:pt idx="25">
                  <c:v>#N/A</c:v>
                </c:pt>
                <c:pt idx="26">
                  <c:v>#N/A</c:v>
                </c:pt>
                <c:pt idx="27">
                  <c:v>153.26</c:v>
                </c:pt>
                <c:pt idx="28">
                  <c:v>152.41</c:v>
                </c:pt>
                <c:pt idx="29">
                  <c:v>152.38999999999999</c:v>
                </c:pt>
                <c:pt idx="30">
                  <c:v>152.38999999999999</c:v>
                </c:pt>
                <c:pt idx="31">
                  <c:v>151.9</c:v>
                </c:pt>
                <c:pt idx="32">
                  <c:v>#N/A</c:v>
                </c:pt>
                <c:pt idx="33">
                  <c:v>#N/A</c:v>
                </c:pt>
                <c:pt idx="34">
                  <c:v>#N/A</c:v>
                </c:pt>
                <c:pt idx="35">
                  <c:v>#N/A</c:v>
                </c:pt>
                <c:pt idx="36">
                  <c:v>#N/A</c:v>
                </c:pt>
                <c:pt idx="37">
                  <c:v>#N/A</c:v>
                </c:pt>
                <c:pt idx="38">
                  <c:v>#N/A</c:v>
                </c:pt>
                <c:pt idx="39">
                  <c:v>#N/A</c:v>
                </c:pt>
                <c:pt idx="40">
                  <c:v>#N/A</c:v>
                </c:pt>
                <c:pt idx="41">
                  <c:v>#N/A</c:v>
                </c:pt>
                <c:pt idx="42">
                  <c:v>151.87</c:v>
                </c:pt>
                <c:pt idx="43">
                  <c:v>151.84</c:v>
                </c:pt>
                <c:pt idx="44">
                  <c:v>151.84</c:v>
                </c:pt>
                <c:pt idx="45">
                  <c:v>151.84</c:v>
                </c:pt>
                <c:pt idx="46">
                  <c:v>#N/A</c:v>
                </c:pt>
                <c:pt idx="47">
                  <c:v>#N/A</c:v>
                </c:pt>
                <c:pt idx="48">
                  <c:v>151.84</c:v>
                </c:pt>
                <c:pt idx="49">
                  <c:v>150.71</c:v>
                </c:pt>
                <c:pt idx="50">
                  <c:v>149.51</c:v>
                </c:pt>
                <c:pt idx="51">
                  <c:v>149.37</c:v>
                </c:pt>
                <c:pt idx="52">
                  <c:v>148.58000000000001</c:v>
                </c:pt>
                <c:pt idx="53">
                  <c:v>#N/A</c:v>
                </c:pt>
                <c:pt idx="54">
                  <c:v>#N/A</c:v>
                </c:pt>
                <c:pt idx="55">
                  <c:v>148.32</c:v>
                </c:pt>
                <c:pt idx="56">
                  <c:v>147.97</c:v>
                </c:pt>
                <c:pt idx="57">
                  <c:v>147.58000000000001</c:v>
                </c:pt>
                <c:pt idx="58">
                  <c:v>147.47999999999999</c:v>
                </c:pt>
                <c:pt idx="59">
                  <c:v>147.27000000000001</c:v>
                </c:pt>
                <c:pt idx="60">
                  <c:v>#N/A</c:v>
                </c:pt>
                <c:pt idx="61">
                  <c:v>#N/A</c:v>
                </c:pt>
                <c:pt idx="62">
                  <c:v>147.03</c:v>
                </c:pt>
                <c:pt idx="63">
                  <c:v>146.94</c:v>
                </c:pt>
                <c:pt idx="64">
                  <c:v>146.94</c:v>
                </c:pt>
                <c:pt idx="65">
                  <c:v>146.59</c:v>
                </c:pt>
                <c:pt idx="66">
                  <c:v>146.37</c:v>
                </c:pt>
                <c:pt idx="67">
                  <c:v>#N/A</c:v>
                </c:pt>
                <c:pt idx="68">
                  <c:v>#N/A</c:v>
                </c:pt>
                <c:pt idx="69">
                  <c:v>146.31</c:v>
                </c:pt>
                <c:pt idx="70">
                  <c:v>146.02000000000001</c:v>
                </c:pt>
                <c:pt idx="71">
                  <c:v>145.69999999999999</c:v>
                </c:pt>
                <c:pt idx="72">
                  <c:v>145.4</c:v>
                </c:pt>
                <c:pt idx="73">
                  <c:v>145.09</c:v>
                </c:pt>
                <c:pt idx="74">
                  <c:v>#N/A</c:v>
                </c:pt>
                <c:pt idx="75">
                  <c:v>#N/A</c:v>
                </c:pt>
                <c:pt idx="76">
                  <c:v>145.1</c:v>
                </c:pt>
                <c:pt idx="77">
                  <c:v>145.02000000000001</c:v>
                </c:pt>
                <c:pt idx="78">
                  <c:v>144.99</c:v>
                </c:pt>
                <c:pt idx="79">
                  <c:v>145.01</c:v>
                </c:pt>
                <c:pt idx="80">
                  <c:v>145.22</c:v>
                </c:pt>
                <c:pt idx="81">
                  <c:v>#N/A</c:v>
                </c:pt>
                <c:pt idx="82">
                  <c:v>#N/A</c:v>
                </c:pt>
                <c:pt idx="83">
                  <c:v>145.44999999999999</c:v>
                </c:pt>
                <c:pt idx="84">
                  <c:v>145.47999999999999</c:v>
                </c:pt>
                <c:pt idx="85">
                  <c:v>146.15</c:v>
                </c:pt>
                <c:pt idx="86">
                  <c:v>146.59</c:v>
                </c:pt>
                <c:pt idx="87">
                  <c:v>146.71</c:v>
                </c:pt>
                <c:pt idx="88">
                  <c:v>#N/A</c:v>
                </c:pt>
                <c:pt idx="89">
                  <c:v>#N/A</c:v>
                </c:pt>
                <c:pt idx="90">
                  <c:v>147.31</c:v>
                </c:pt>
                <c:pt idx="91">
                  <c:v>147.4</c:v>
                </c:pt>
                <c:pt idx="92">
                  <c:v>147.35</c:v>
                </c:pt>
                <c:pt idx="93">
                  <c:v>147.62</c:v>
                </c:pt>
                <c:pt idx="94">
                  <c:v>#N/A</c:v>
                </c:pt>
                <c:pt idx="95">
                  <c:v>#N/A</c:v>
                </c:pt>
                <c:pt idx="96">
                  <c:v>#N/A</c:v>
                </c:pt>
                <c:pt idx="97">
                  <c:v>148.69999999999999</c:v>
                </c:pt>
                <c:pt idx="98">
                  <c:v>148.72</c:v>
                </c:pt>
                <c:pt idx="99">
                  <c:v>148.91999999999999</c:v>
                </c:pt>
                <c:pt idx="100">
                  <c:v>148.91999999999999</c:v>
                </c:pt>
                <c:pt idx="101">
                  <c:v>149.02000000000001</c:v>
                </c:pt>
                <c:pt idx="102">
                  <c:v>#N/A</c:v>
                </c:pt>
                <c:pt idx="103">
                  <c:v>#N/A</c:v>
                </c:pt>
                <c:pt idx="104">
                  <c:v>149.29</c:v>
                </c:pt>
                <c:pt idx="105">
                  <c:v>149.32</c:v>
                </c:pt>
                <c:pt idx="106">
                  <c:v>149.29</c:v>
                </c:pt>
                <c:pt idx="107">
                  <c:v>149.26</c:v>
                </c:pt>
                <c:pt idx="108">
                  <c:v>149.30000000000001</c:v>
                </c:pt>
                <c:pt idx="109">
                  <c:v>#N/A</c:v>
                </c:pt>
                <c:pt idx="110">
                  <c:v>#N/A</c:v>
                </c:pt>
                <c:pt idx="111">
                  <c:v>149.59</c:v>
                </c:pt>
                <c:pt idx="112">
                  <c:v>149.65</c:v>
                </c:pt>
                <c:pt idx="113">
                  <c:v>149.58000000000001</c:v>
                </c:pt>
                <c:pt idx="114">
                  <c:v>149.57</c:v>
                </c:pt>
                <c:pt idx="115">
                  <c:v>149.57</c:v>
                </c:pt>
                <c:pt idx="116">
                  <c:v>#N/A</c:v>
                </c:pt>
                <c:pt idx="117">
                  <c:v>#N/A</c:v>
                </c:pt>
                <c:pt idx="118">
                  <c:v>149.66999999999999</c:v>
                </c:pt>
                <c:pt idx="119">
                  <c:v>149.66999999999999</c:v>
                </c:pt>
                <c:pt idx="120">
                  <c:v>#N/A</c:v>
                </c:pt>
                <c:pt idx="121">
                  <c:v>#N/A</c:v>
                </c:pt>
                <c:pt idx="122">
                  <c:v>#N/A</c:v>
                </c:pt>
                <c:pt idx="123">
                  <c:v>#N/A</c:v>
                </c:pt>
                <c:pt idx="124">
                  <c:v>#N/A</c:v>
                </c:pt>
                <c:pt idx="125">
                  <c:v>149.93</c:v>
                </c:pt>
                <c:pt idx="126">
                  <c:v>149.97</c:v>
                </c:pt>
                <c:pt idx="127">
                  <c:v>149.97999999999999</c:v>
                </c:pt>
                <c:pt idx="128">
                  <c:v>150.03</c:v>
                </c:pt>
                <c:pt idx="129">
                  <c:v>149.96</c:v>
                </c:pt>
                <c:pt idx="130">
                  <c:v>#N/A</c:v>
                </c:pt>
                <c:pt idx="131">
                  <c:v>#N/A</c:v>
                </c:pt>
                <c:pt idx="132">
                  <c:v>149.97</c:v>
                </c:pt>
                <c:pt idx="133">
                  <c:v>150.22999999999999</c:v>
                </c:pt>
                <c:pt idx="134">
                  <c:v>150.37</c:v>
                </c:pt>
                <c:pt idx="135">
                  <c:v>150.38999999999999</c:v>
                </c:pt>
                <c:pt idx="136">
                  <c:v>150.37</c:v>
                </c:pt>
                <c:pt idx="137">
                  <c:v>#N/A</c:v>
                </c:pt>
                <c:pt idx="138">
                  <c:v>#N/A</c:v>
                </c:pt>
                <c:pt idx="139">
                  <c:v>150.37</c:v>
                </c:pt>
                <c:pt idx="140">
                  <c:v>150.37</c:v>
                </c:pt>
                <c:pt idx="141">
                  <c:v>150.36000000000001</c:v>
                </c:pt>
                <c:pt idx="142">
                  <c:v>150.41</c:v>
                </c:pt>
                <c:pt idx="143">
                  <c:v>150.38</c:v>
                </c:pt>
                <c:pt idx="144">
                  <c:v>#N/A</c:v>
                </c:pt>
                <c:pt idx="145">
                  <c:v>#N/A</c:v>
                </c:pt>
                <c:pt idx="146">
                  <c:v>150.44</c:v>
                </c:pt>
                <c:pt idx="147">
                  <c:v>150.44</c:v>
                </c:pt>
                <c:pt idx="148">
                  <c:v>150.34</c:v>
                </c:pt>
                <c:pt idx="149">
                  <c:v>150.34</c:v>
                </c:pt>
                <c:pt idx="150">
                  <c:v>150.36000000000001</c:v>
                </c:pt>
                <c:pt idx="151">
                  <c:v>#N/A</c:v>
                </c:pt>
                <c:pt idx="152">
                  <c:v>#N/A</c:v>
                </c:pt>
                <c:pt idx="153">
                  <c:v>150.37</c:v>
                </c:pt>
                <c:pt idx="154">
                  <c:v>150.36000000000001</c:v>
                </c:pt>
                <c:pt idx="155">
                  <c:v>150.35</c:v>
                </c:pt>
                <c:pt idx="156">
                  <c:v>150.21</c:v>
                </c:pt>
                <c:pt idx="157">
                  <c:v>#N/A</c:v>
                </c:pt>
                <c:pt idx="158">
                  <c:v>#N/A</c:v>
                </c:pt>
                <c:pt idx="159">
                  <c:v>#N/A</c:v>
                </c:pt>
                <c:pt idx="160">
                  <c:v>149.63</c:v>
                </c:pt>
                <c:pt idx="161">
                  <c:v>149.34</c:v>
                </c:pt>
                <c:pt idx="162">
                  <c:v>149.13</c:v>
                </c:pt>
                <c:pt idx="163">
                  <c:v>148.61000000000001</c:v>
                </c:pt>
                <c:pt idx="164">
                  <c:v>148.54</c:v>
                </c:pt>
                <c:pt idx="165">
                  <c:v>#N/A</c:v>
                </c:pt>
                <c:pt idx="166">
                  <c:v>#N/A</c:v>
                </c:pt>
                <c:pt idx="167">
                  <c:v>148.65</c:v>
                </c:pt>
                <c:pt idx="168">
                  <c:v>148.63999999999999</c:v>
                </c:pt>
                <c:pt idx="169">
                  <c:v>148.62</c:v>
                </c:pt>
                <c:pt idx="170">
                  <c:v>148.13</c:v>
                </c:pt>
                <c:pt idx="171">
                  <c:v>148.03</c:v>
                </c:pt>
                <c:pt idx="172">
                  <c:v>#N/A</c:v>
                </c:pt>
                <c:pt idx="173">
                  <c:v>#N/A</c:v>
                </c:pt>
                <c:pt idx="174">
                  <c:v>147.75</c:v>
                </c:pt>
                <c:pt idx="175">
                  <c:v>147.44999999999999</c:v>
                </c:pt>
                <c:pt idx="176">
                  <c:v>147.46</c:v>
                </c:pt>
                <c:pt idx="177">
                  <c:v>147.33000000000001</c:v>
                </c:pt>
                <c:pt idx="178">
                  <c:v>146.99</c:v>
                </c:pt>
                <c:pt idx="179">
                  <c:v>#N/A</c:v>
                </c:pt>
                <c:pt idx="180">
                  <c:v>#N/A</c:v>
                </c:pt>
                <c:pt idx="181">
                  <c:v>146.87</c:v>
                </c:pt>
                <c:pt idx="182">
                  <c:v>146.84</c:v>
                </c:pt>
                <c:pt idx="183">
                  <c:v>146.80000000000001</c:v>
                </c:pt>
                <c:pt idx="184">
                  <c:v>146.87</c:v>
                </c:pt>
                <c:pt idx="185">
                  <c:v>146.86000000000001</c:v>
                </c:pt>
                <c:pt idx="186">
                  <c:v>#N/A</c:v>
                </c:pt>
                <c:pt idx="187">
                  <c:v>#N/A</c:v>
                </c:pt>
                <c:pt idx="188">
                  <c:v>146.69999999999999</c:v>
                </c:pt>
                <c:pt idx="189">
                  <c:v>146.38999999999999</c:v>
                </c:pt>
                <c:pt idx="190">
                  <c:v>146.35</c:v>
                </c:pt>
                <c:pt idx="191">
                  <c:v>146.1</c:v>
                </c:pt>
                <c:pt idx="192">
                  <c:v>145.56</c:v>
                </c:pt>
                <c:pt idx="193">
                  <c:v>#N/A</c:v>
                </c:pt>
                <c:pt idx="194">
                  <c:v>#N/A</c:v>
                </c:pt>
                <c:pt idx="195">
                  <c:v>145.41999999999999</c:v>
                </c:pt>
                <c:pt idx="196">
                  <c:v>145.28</c:v>
                </c:pt>
                <c:pt idx="197">
                  <c:v>145.15</c:v>
                </c:pt>
                <c:pt idx="198">
                  <c:v>145.13999999999999</c:v>
                </c:pt>
                <c:pt idx="199">
                  <c:v>144.76</c:v>
                </c:pt>
                <c:pt idx="200">
                  <c:v>#N/A</c:v>
                </c:pt>
                <c:pt idx="201">
                  <c:v>#N/A</c:v>
                </c:pt>
                <c:pt idx="202">
                  <c:v>144.69</c:v>
                </c:pt>
                <c:pt idx="203">
                  <c:v>144.55000000000001</c:v>
                </c:pt>
                <c:pt idx="204">
                  <c:v>144.58000000000001</c:v>
                </c:pt>
                <c:pt idx="205">
                  <c:v>144.51</c:v>
                </c:pt>
                <c:pt idx="206">
                  <c:v>144.37</c:v>
                </c:pt>
                <c:pt idx="207">
                  <c:v>#N/A</c:v>
                </c:pt>
                <c:pt idx="208">
                  <c:v>#N/A</c:v>
                </c:pt>
                <c:pt idx="209">
                  <c:v>144.46</c:v>
                </c:pt>
                <c:pt idx="210">
                  <c:v>144.41</c:v>
                </c:pt>
                <c:pt idx="211">
                  <c:v>144.25</c:v>
                </c:pt>
                <c:pt idx="212">
                  <c:v>144.25</c:v>
                </c:pt>
                <c:pt idx="213">
                  <c:v>144.22999999999999</c:v>
                </c:pt>
                <c:pt idx="214">
                  <c:v>#N/A</c:v>
                </c:pt>
                <c:pt idx="215">
                  <c:v>#N/A</c:v>
                </c:pt>
                <c:pt idx="216">
                  <c:v>144.1</c:v>
                </c:pt>
                <c:pt idx="217">
                  <c:v>144.1</c:v>
                </c:pt>
                <c:pt idx="218">
                  <c:v>143.91999999999999</c:v>
                </c:pt>
                <c:pt idx="219">
                  <c:v>143.96</c:v>
                </c:pt>
                <c:pt idx="220">
                  <c:v>143.91</c:v>
                </c:pt>
                <c:pt idx="221">
                  <c:v>#N/A</c:v>
                </c:pt>
                <c:pt idx="222">
                  <c:v>#N/A</c:v>
                </c:pt>
                <c:pt idx="223">
                  <c:v>143.86000000000001</c:v>
                </c:pt>
                <c:pt idx="224">
                  <c:v>143.81</c:v>
                </c:pt>
                <c:pt idx="225">
                  <c:v>143.72999999999999</c:v>
                </c:pt>
                <c:pt idx="226">
                  <c:v>143.71</c:v>
                </c:pt>
                <c:pt idx="227">
                  <c:v>143.65</c:v>
                </c:pt>
                <c:pt idx="228">
                  <c:v>#N/A</c:v>
                </c:pt>
                <c:pt idx="229">
                  <c:v>#N/A</c:v>
                </c:pt>
                <c:pt idx="230">
                  <c:v>143.81</c:v>
                </c:pt>
                <c:pt idx="231">
                  <c:v>143.88999999999999</c:v>
                </c:pt>
                <c:pt idx="232">
                  <c:v>144.06</c:v>
                </c:pt>
                <c:pt idx="233">
                  <c:v>144.04</c:v>
                </c:pt>
                <c:pt idx="234">
                  <c:v>144.07</c:v>
                </c:pt>
                <c:pt idx="235">
                  <c:v>#N/A</c:v>
                </c:pt>
                <c:pt idx="236">
                  <c:v>#N/A</c:v>
                </c:pt>
                <c:pt idx="237">
                  <c:v>144.6</c:v>
                </c:pt>
                <c:pt idx="238">
                  <c:v>144.97</c:v>
                </c:pt>
                <c:pt idx="239">
                  <c:v>145.01</c:v>
                </c:pt>
                <c:pt idx="240">
                  <c:v>145.4</c:v>
                </c:pt>
                <c:pt idx="241">
                  <c:v>145.63999999999999</c:v>
                </c:pt>
                <c:pt idx="242">
                  <c:v>#N/A</c:v>
                </c:pt>
                <c:pt idx="243">
                  <c:v>#N/A</c:v>
                </c:pt>
                <c:pt idx="244">
                  <c:v>146.08000000000001</c:v>
                </c:pt>
                <c:pt idx="245">
                  <c:v>146.16999999999999</c:v>
                </c:pt>
                <c:pt idx="246">
                  <c:v>146.16999999999999</c:v>
                </c:pt>
                <c:pt idx="247">
                  <c:v>146.07</c:v>
                </c:pt>
                <c:pt idx="248">
                  <c:v>146.19</c:v>
                </c:pt>
                <c:pt idx="249">
                  <c:v>#N/A</c:v>
                </c:pt>
                <c:pt idx="250">
                  <c:v>#N/A</c:v>
                </c:pt>
                <c:pt idx="251">
                  <c:v>146.57</c:v>
                </c:pt>
                <c:pt idx="252">
                  <c:v>146.62</c:v>
                </c:pt>
                <c:pt idx="253">
                  <c:v>146.71</c:v>
                </c:pt>
                <c:pt idx="254">
                  <c:v>146.65</c:v>
                </c:pt>
                <c:pt idx="255">
                  <c:v>#N/A</c:v>
                </c:pt>
                <c:pt idx="256">
                  <c:v>#N/A</c:v>
                </c:pt>
                <c:pt idx="257">
                  <c:v>#N/A</c:v>
                </c:pt>
                <c:pt idx="258">
                  <c:v>147</c:v>
                </c:pt>
                <c:pt idx="259">
                  <c:v>147.12</c:v>
                </c:pt>
                <c:pt idx="260">
                  <c:v>147.63999999999999</c:v>
                </c:pt>
                <c:pt idx="261">
                  <c:v>147.69</c:v>
                </c:pt>
                <c:pt idx="262">
                  <c:v>148.62</c:v>
                </c:pt>
                <c:pt idx="263">
                  <c:v>#N/A</c:v>
                </c:pt>
                <c:pt idx="264">
                  <c:v>#N/A</c:v>
                </c:pt>
                <c:pt idx="265">
                  <c:v>149.29</c:v>
                </c:pt>
                <c:pt idx="266">
                  <c:v>149.30000000000001</c:v>
                </c:pt>
                <c:pt idx="267">
                  <c:v>149.6</c:v>
                </c:pt>
                <c:pt idx="268">
                  <c:v>149.58000000000001</c:v>
                </c:pt>
                <c:pt idx="269">
                  <c:v>149.91</c:v>
                </c:pt>
                <c:pt idx="270">
                  <c:v>#N/A</c:v>
                </c:pt>
                <c:pt idx="271">
                  <c:v>#N/A</c:v>
                </c:pt>
                <c:pt idx="272">
                  <c:v>150.08000000000001</c:v>
                </c:pt>
                <c:pt idx="273">
                  <c:v>#N/A</c:v>
                </c:pt>
                <c:pt idx="274">
                  <c:v>#N/A</c:v>
                </c:pt>
                <c:pt idx="275">
                  <c:v>#N/A</c:v>
                </c:pt>
                <c:pt idx="276">
                  <c:v>#N/A</c:v>
                </c:pt>
                <c:pt idx="277">
                  <c:v>#N/A</c:v>
                </c:pt>
                <c:pt idx="278">
                  <c:v>#N/A</c:v>
                </c:pt>
                <c:pt idx="279">
                  <c:v>#N/A</c:v>
                </c:pt>
                <c:pt idx="280">
                  <c:v>150.53</c:v>
                </c:pt>
                <c:pt idx="281">
                  <c:v>150.69999999999999</c:v>
                </c:pt>
                <c:pt idx="282">
                  <c:v>150.74</c:v>
                </c:pt>
                <c:pt idx="283">
                  <c:v>151.22999999999999</c:v>
                </c:pt>
                <c:pt idx="284">
                  <c:v>#N/A</c:v>
                </c:pt>
                <c:pt idx="285">
                  <c:v>#N/A</c:v>
                </c:pt>
                <c:pt idx="286">
                  <c:v>151.13</c:v>
                </c:pt>
                <c:pt idx="287">
                  <c:v>151.13999999999999</c:v>
                </c:pt>
                <c:pt idx="288">
                  <c:v>151.47</c:v>
                </c:pt>
                <c:pt idx="289">
                  <c:v>151.56</c:v>
                </c:pt>
                <c:pt idx="290">
                  <c:v>151.44</c:v>
                </c:pt>
                <c:pt idx="291">
                  <c:v>#N/A</c:v>
                </c:pt>
                <c:pt idx="292">
                  <c:v>#N/A</c:v>
                </c:pt>
                <c:pt idx="293">
                  <c:v>151.46</c:v>
                </c:pt>
                <c:pt idx="294">
                  <c:v>151.71</c:v>
                </c:pt>
                <c:pt idx="295">
                  <c:v>151.9</c:v>
                </c:pt>
                <c:pt idx="296">
                  <c:v>151.91999999999999</c:v>
                </c:pt>
                <c:pt idx="297">
                  <c:v>151.97999999999999</c:v>
                </c:pt>
                <c:pt idx="298">
                  <c:v>#N/A</c:v>
                </c:pt>
                <c:pt idx="299">
                  <c:v>#N/A</c:v>
                </c:pt>
                <c:pt idx="300">
                  <c:v>152.04</c:v>
                </c:pt>
                <c:pt idx="301">
                  <c:v>152.79</c:v>
                </c:pt>
                <c:pt idx="302">
                  <c:v>152.84</c:v>
                </c:pt>
                <c:pt idx="303">
                  <c:v>153.01</c:v>
                </c:pt>
                <c:pt idx="304">
                  <c:v>153.46</c:v>
                </c:pt>
                <c:pt idx="305">
                  <c:v>#N/A</c:v>
                </c:pt>
                <c:pt idx="306">
                  <c:v>#N/A</c:v>
                </c:pt>
                <c:pt idx="307">
                  <c:v>153.97</c:v>
                </c:pt>
                <c:pt idx="308">
                  <c:v>154.38</c:v>
                </c:pt>
                <c:pt idx="309">
                  <c:v>154.71</c:v>
                </c:pt>
                <c:pt idx="310">
                  <c:v>155.13</c:v>
                </c:pt>
                <c:pt idx="311">
                  <c:v>155.78</c:v>
                </c:pt>
                <c:pt idx="312">
                  <c:v>#N/A</c:v>
                </c:pt>
                <c:pt idx="313">
                  <c:v>#N/A</c:v>
                </c:pt>
                <c:pt idx="314">
                  <c:v>156.93</c:v>
                </c:pt>
                <c:pt idx="315">
                  <c:v>157.09</c:v>
                </c:pt>
                <c:pt idx="316">
                  <c:v>157.61000000000001</c:v>
                </c:pt>
                <c:pt idx="317">
                  <c:v>158.09</c:v>
                </c:pt>
                <c:pt idx="318">
                  <c:v>159.01</c:v>
                </c:pt>
                <c:pt idx="319">
                  <c:v>#N/A</c:v>
                </c:pt>
                <c:pt idx="320">
                  <c:v>#N/A</c:v>
                </c:pt>
                <c:pt idx="321">
                  <c:v>160.22</c:v>
                </c:pt>
                <c:pt idx="322">
                  <c:v>161</c:v>
                </c:pt>
                <c:pt idx="323">
                  <c:v>161.77000000000001</c:v>
                </c:pt>
                <c:pt idx="324">
                  <c:v>162.05000000000001</c:v>
                </c:pt>
                <c:pt idx="325">
                  <c:v>162.41</c:v>
                </c:pt>
                <c:pt idx="326">
                  <c:v>#N/A</c:v>
                </c:pt>
                <c:pt idx="327">
                  <c:v>#N/A</c:v>
                </c:pt>
                <c:pt idx="328">
                  <c:v>163.15</c:v>
                </c:pt>
                <c:pt idx="329">
                  <c:v>163.21</c:v>
                </c:pt>
                <c:pt idx="330">
                  <c:v>163.89</c:v>
                </c:pt>
                <c:pt idx="331">
                  <c:v>163.9</c:v>
                </c:pt>
                <c:pt idx="332">
                  <c:v>163.91</c:v>
                </c:pt>
                <c:pt idx="333">
                  <c:v>#N/A</c:v>
                </c:pt>
                <c:pt idx="334">
                  <c:v>#N/A</c:v>
                </c:pt>
                <c:pt idx="335">
                  <c:v>164.82</c:v>
                </c:pt>
                <c:pt idx="336">
                  <c:v>164.94</c:v>
                </c:pt>
                <c:pt idx="337">
                  <c:v>165.11</c:v>
                </c:pt>
                <c:pt idx="338">
                  <c:v>165.55</c:v>
                </c:pt>
                <c:pt idx="339">
                  <c:v>165.67</c:v>
                </c:pt>
                <c:pt idx="340">
                  <c:v>#N/A</c:v>
                </c:pt>
                <c:pt idx="341">
                  <c:v>#N/A</c:v>
                </c:pt>
                <c:pt idx="342">
                  <c:v>165.76</c:v>
                </c:pt>
                <c:pt idx="343">
                  <c:v>165.73</c:v>
                </c:pt>
                <c:pt idx="344">
                  <c:v>165.81</c:v>
                </c:pt>
                <c:pt idx="345">
                  <c:v>166.13</c:v>
                </c:pt>
                <c:pt idx="346">
                  <c:v>166.06</c:v>
                </c:pt>
                <c:pt idx="347">
                  <c:v>#N/A</c:v>
                </c:pt>
                <c:pt idx="348">
                  <c:v>#N/A</c:v>
                </c:pt>
                <c:pt idx="349">
                  <c:v>166.26</c:v>
                </c:pt>
                <c:pt idx="350">
                  <c:v>166.33</c:v>
                </c:pt>
                <c:pt idx="351">
                  <c:v>166.28</c:v>
                </c:pt>
                <c:pt idx="352">
                  <c:v>166.43</c:v>
                </c:pt>
                <c:pt idx="353">
                  <c:v>166.46</c:v>
                </c:pt>
                <c:pt idx="354">
                  <c:v>#N/A</c:v>
                </c:pt>
                <c:pt idx="355">
                  <c:v>#N/A</c:v>
                </c:pt>
                <c:pt idx="356">
                  <c:v>166.45</c:v>
                </c:pt>
                <c:pt idx="357">
                  <c:v>166.44</c:v>
                </c:pt>
                <c:pt idx="358">
                  <c:v>166.39</c:v>
                </c:pt>
                <c:pt idx="359">
                  <c:v>166.4</c:v>
                </c:pt>
                <c:pt idx="360">
                  <c:v>166.44</c:v>
                </c:pt>
                <c:pt idx="361">
                  <c:v>#N/A</c:v>
                </c:pt>
                <c:pt idx="362">
                  <c:v>#N/A</c:v>
                </c:pt>
                <c:pt idx="363">
                  <c:v>166.44</c:v>
                </c:pt>
                <c:pt idx="364">
                  <c:v>166.44</c:v>
                </c:pt>
              </c:numCache>
            </c:numRef>
          </c:val>
          <c:smooth val="1"/>
          <c:extLst xmlns:c16r2="http://schemas.microsoft.com/office/drawing/2015/06/chart">
            <c:ext xmlns:c16="http://schemas.microsoft.com/office/drawing/2014/chart" uri="{C3380CC4-5D6E-409C-BE32-E72D297353CC}">
              <c16:uniqueId val="{00000001-DE56-486F-81AB-A95D34284161}"/>
            </c:ext>
          </c:extLst>
        </c:ser>
        <c:ser>
          <c:idx val="1"/>
          <c:order val="2"/>
          <c:tx>
            <c:strRef>
              <c:f>水泥!$J$1</c:f>
              <c:strCache>
                <c:ptCount val="1"/>
                <c:pt idx="0">
                  <c:v>2020</c:v>
                </c:pt>
              </c:strCache>
            </c:strRef>
          </c:tx>
          <c:spPr>
            <a:ln w="28575">
              <a:solidFill>
                <a:srgbClr val="BF5711"/>
              </a:solidFill>
              <a:prstDash val="solid"/>
            </a:ln>
          </c:spPr>
          <c:marker>
            <c:symbol val="none"/>
          </c:marker>
          <c:cat>
            <c:numRef>
              <c:f>水泥!$G$2:$G$366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水泥!$J$2:$J$366</c:f>
              <c:numCache>
                <c:formatCode>General</c:formatCode>
                <c:ptCount val="365"/>
                <c:pt idx="0">
                  <c:v>#N/A</c:v>
                </c:pt>
                <c:pt idx="1">
                  <c:v>166.36</c:v>
                </c:pt>
                <c:pt idx="2">
                  <c:v>165.91</c:v>
                </c:pt>
                <c:pt idx="3">
                  <c:v>#N/A</c:v>
                </c:pt>
                <c:pt idx="4">
                  <c:v>#N/A</c:v>
                </c:pt>
                <c:pt idx="5">
                  <c:v>165.96</c:v>
                </c:pt>
                <c:pt idx="6">
                  <c:v>165.81</c:v>
                </c:pt>
                <c:pt idx="7">
                  <c:v>165.67</c:v>
                </c:pt>
                <c:pt idx="8">
                  <c:v>165.57</c:v>
                </c:pt>
                <c:pt idx="9">
                  <c:v>165.36</c:v>
                </c:pt>
                <c:pt idx="10">
                  <c:v>#N/A</c:v>
                </c:pt>
                <c:pt idx="11">
                  <c:v>#N/A</c:v>
                </c:pt>
                <c:pt idx="12">
                  <c:v>164.76</c:v>
                </c:pt>
                <c:pt idx="13">
                  <c:v>164.3</c:v>
                </c:pt>
                <c:pt idx="14">
                  <c:v>164.19</c:v>
                </c:pt>
                <c:pt idx="15">
                  <c:v>164.06</c:v>
                </c:pt>
                <c:pt idx="16">
                  <c:v>164.05</c:v>
                </c:pt>
                <c:pt idx="17">
                  <c:v>#N/A</c:v>
                </c:pt>
                <c:pt idx="18">
                  <c:v>#N/A</c:v>
                </c:pt>
                <c:pt idx="19">
                  <c:v>162.75</c:v>
                </c:pt>
                <c:pt idx="20">
                  <c:v>162.72</c:v>
                </c:pt>
                <c:pt idx="21">
                  <c:v>#N/A</c:v>
                </c:pt>
                <c:pt idx="22">
                  <c:v>#N/A</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162.31</c:v>
                </c:pt>
                <c:pt idx="37">
                  <c:v>162.31</c:v>
                </c:pt>
                <c:pt idx="38">
                  <c:v>#N/A</c:v>
                </c:pt>
                <c:pt idx="39">
                  <c:v>#N/A</c:v>
                </c:pt>
                <c:pt idx="40">
                  <c:v>162.26</c:v>
                </c:pt>
                <c:pt idx="41">
                  <c:v>161.97999999999999</c:v>
                </c:pt>
                <c:pt idx="42">
                  <c:v>161.51</c:v>
                </c:pt>
                <c:pt idx="43">
                  <c:v>161.51</c:v>
                </c:pt>
                <c:pt idx="44">
                  <c:v>161.53</c:v>
                </c:pt>
                <c:pt idx="45">
                  <c:v>#N/A</c:v>
                </c:pt>
                <c:pt idx="46">
                  <c:v>#N/A</c:v>
                </c:pt>
                <c:pt idx="47">
                  <c:v>160.22</c:v>
                </c:pt>
                <c:pt idx="48">
                  <c:v>159.81</c:v>
                </c:pt>
                <c:pt idx="49">
                  <c:v>159.71</c:v>
                </c:pt>
                <c:pt idx="50">
                  <c:v>159.71</c:v>
                </c:pt>
                <c:pt idx="51">
                  <c:v>159.69999999999999</c:v>
                </c:pt>
                <c:pt idx="52">
                  <c:v>#N/A</c:v>
                </c:pt>
                <c:pt idx="53">
                  <c:v>#N/A</c:v>
                </c:pt>
                <c:pt idx="54">
                  <c:v>158.32</c:v>
                </c:pt>
                <c:pt idx="55">
                  <c:v>158.21</c:v>
                </c:pt>
                <c:pt idx="56">
                  <c:v>157.66</c:v>
                </c:pt>
                <c:pt idx="57">
                  <c:v>157.53</c:v>
                </c:pt>
                <c:pt idx="58">
                  <c:v>157.43</c:v>
                </c:pt>
                <c:pt idx="59">
                  <c:v>#N/A</c:v>
                </c:pt>
                <c:pt idx="60">
                  <c:v>#N/A</c:v>
                </c:pt>
                <c:pt idx="61">
                  <c:v>156.99</c:v>
                </c:pt>
                <c:pt idx="62">
                  <c:v>156.97</c:v>
                </c:pt>
                <c:pt idx="63">
                  <c:v>156.76</c:v>
                </c:pt>
                <c:pt idx="64">
                  <c:v>156.5</c:v>
                </c:pt>
                <c:pt idx="65">
                  <c:v>156.09</c:v>
                </c:pt>
                <c:pt idx="66">
                  <c:v>#N/A</c:v>
                </c:pt>
                <c:pt idx="67">
                  <c:v>#N/A</c:v>
                </c:pt>
                <c:pt idx="68">
                  <c:v>154.65</c:v>
                </c:pt>
                <c:pt idx="69">
                  <c:v>153.88</c:v>
                </c:pt>
                <c:pt idx="70">
                  <c:v>153.74</c:v>
                </c:pt>
                <c:pt idx="71">
                  <c:v>153.47</c:v>
                </c:pt>
                <c:pt idx="72">
                  <c:v>153.19999999999999</c:v>
                </c:pt>
                <c:pt idx="73">
                  <c:v>#N/A</c:v>
                </c:pt>
                <c:pt idx="74">
                  <c:v>#N/A</c:v>
                </c:pt>
                <c:pt idx="75">
                  <c:v>151.91</c:v>
                </c:pt>
                <c:pt idx="76">
                  <c:v>151.27000000000001</c:v>
                </c:pt>
                <c:pt idx="77">
                  <c:v>151.12</c:v>
                </c:pt>
                <c:pt idx="78">
                  <c:v>150.96</c:v>
                </c:pt>
                <c:pt idx="79">
                  <c:v>150.11000000000001</c:v>
                </c:pt>
                <c:pt idx="80">
                  <c:v>#N/A</c:v>
                </c:pt>
                <c:pt idx="81">
                  <c:v>#N/A</c:v>
                </c:pt>
                <c:pt idx="82">
                  <c:v>149.63</c:v>
                </c:pt>
                <c:pt idx="83">
                  <c:v>149.30000000000001</c:v>
                </c:pt>
                <c:pt idx="84">
                  <c:v>149.02000000000001</c:v>
                </c:pt>
                <c:pt idx="85">
                  <c:v>148.88</c:v>
                </c:pt>
                <c:pt idx="86">
                  <c:v>148.61000000000001</c:v>
                </c:pt>
                <c:pt idx="87">
                  <c:v>#N/A</c:v>
                </c:pt>
                <c:pt idx="88">
                  <c:v>#N/A</c:v>
                </c:pt>
                <c:pt idx="89">
                  <c:v>148.66</c:v>
                </c:pt>
                <c:pt idx="90">
                  <c:v>148.51</c:v>
                </c:pt>
                <c:pt idx="91">
                  <c:v>148.32</c:v>
                </c:pt>
                <c:pt idx="92">
                  <c:v>148.19</c:v>
                </c:pt>
                <c:pt idx="93">
                  <c:v>147.4</c:v>
                </c:pt>
                <c:pt idx="94">
                  <c:v>#N/A</c:v>
                </c:pt>
                <c:pt idx="95">
                  <c:v>#N/A</c:v>
                </c:pt>
                <c:pt idx="96">
                  <c:v>#N/A</c:v>
                </c:pt>
                <c:pt idx="97">
                  <c:v>147.13999999999999</c:v>
                </c:pt>
                <c:pt idx="98">
                  <c:v>146.97999999999999</c:v>
                </c:pt>
                <c:pt idx="99">
                  <c:v>146.84</c:v>
                </c:pt>
                <c:pt idx="100">
                  <c:v>146.43</c:v>
                </c:pt>
                <c:pt idx="101">
                  <c:v>#N/A</c:v>
                </c:pt>
                <c:pt idx="102">
                  <c:v>#N/A</c:v>
                </c:pt>
                <c:pt idx="103">
                  <c:v>146.24</c:v>
                </c:pt>
                <c:pt idx="104">
                  <c:v>146.19999999999999</c:v>
                </c:pt>
                <c:pt idx="105">
                  <c:v>146.19</c:v>
                </c:pt>
                <c:pt idx="106">
                  <c:v>146.24</c:v>
                </c:pt>
                <c:pt idx="107">
                  <c:v>146.08000000000001</c:v>
                </c:pt>
                <c:pt idx="108">
                  <c:v>#N/A</c:v>
                </c:pt>
                <c:pt idx="109">
                  <c:v>#N/A</c:v>
                </c:pt>
                <c:pt idx="110">
                  <c:v>146.08000000000001</c:v>
                </c:pt>
                <c:pt idx="111">
                  <c:v>146.03</c:v>
                </c:pt>
                <c:pt idx="112">
                  <c:v>145.78</c:v>
                </c:pt>
                <c:pt idx="113">
                  <c:v>145.94</c:v>
                </c:pt>
                <c:pt idx="114">
                  <c:v>145.91</c:v>
                </c:pt>
                <c:pt idx="115">
                  <c:v>#N/A</c:v>
                </c:pt>
                <c:pt idx="116">
                  <c:v>#N/A</c:v>
                </c:pt>
                <c:pt idx="117">
                  <c:v>146.43</c:v>
                </c:pt>
                <c:pt idx="118">
                  <c:v>146.46</c:v>
                </c:pt>
                <c:pt idx="119">
                  <c:v>146.41999999999999</c:v>
                </c:pt>
                <c:pt idx="120">
                  <c:v>146.31</c:v>
                </c:pt>
                <c:pt idx="121">
                  <c:v>#N/A</c:v>
                </c:pt>
                <c:pt idx="122">
                  <c:v>#N/A</c:v>
                </c:pt>
                <c:pt idx="123">
                  <c:v>#N/A</c:v>
                </c:pt>
                <c:pt idx="124">
                  <c:v>#N/A</c:v>
                </c:pt>
                <c:pt idx="125">
                  <c:v>#N/A</c:v>
                </c:pt>
                <c:pt idx="126">
                  <c:v>146.62</c:v>
                </c:pt>
                <c:pt idx="127">
                  <c:v>146.66</c:v>
                </c:pt>
                <c:pt idx="128">
                  <c:v>146.74</c:v>
                </c:pt>
                <c:pt idx="129">
                  <c:v>#N/A</c:v>
                </c:pt>
                <c:pt idx="130">
                  <c:v>#N/A</c:v>
                </c:pt>
                <c:pt idx="131">
                  <c:v>147.51</c:v>
                </c:pt>
                <c:pt idx="132">
                  <c:v>147.59</c:v>
                </c:pt>
                <c:pt idx="133">
                  <c:v>147.51</c:v>
                </c:pt>
                <c:pt idx="134">
                  <c:v>147.58000000000001</c:v>
                </c:pt>
                <c:pt idx="135">
                  <c:v>147.56</c:v>
                </c:pt>
                <c:pt idx="136">
                  <c:v>#N/A</c:v>
                </c:pt>
                <c:pt idx="137">
                  <c:v>#N/A</c:v>
                </c:pt>
                <c:pt idx="138">
                  <c:v>147.97999999999999</c:v>
                </c:pt>
                <c:pt idx="139">
                  <c:v>147.97999999999999</c:v>
                </c:pt>
                <c:pt idx="140">
                  <c:v>147.97999999999999</c:v>
                </c:pt>
                <c:pt idx="141">
                  <c:v>147.93</c:v>
                </c:pt>
                <c:pt idx="142">
                  <c:v>148.37</c:v>
                </c:pt>
                <c:pt idx="143">
                  <c:v>#N/A</c:v>
                </c:pt>
                <c:pt idx="144">
                  <c:v>#N/A</c:v>
                </c:pt>
                <c:pt idx="145">
                  <c:v>148.52000000000001</c:v>
                </c:pt>
                <c:pt idx="146">
                  <c:v>148.59</c:v>
                </c:pt>
                <c:pt idx="147">
                  <c:v>148.72999999999999</c:v>
                </c:pt>
                <c:pt idx="148">
                  <c:v>148.72999999999999</c:v>
                </c:pt>
                <c:pt idx="149">
                  <c:v>148.63999999999999</c:v>
                </c:pt>
                <c:pt idx="150">
                  <c:v>#N/A</c:v>
                </c:pt>
                <c:pt idx="151">
                  <c:v>#N/A</c:v>
                </c:pt>
                <c:pt idx="152">
                  <c:v>148.5</c:v>
                </c:pt>
                <c:pt idx="153">
                  <c:v>148.43</c:v>
                </c:pt>
                <c:pt idx="154">
                  <c:v>148.12</c:v>
                </c:pt>
                <c:pt idx="155">
                  <c:v>148.07</c:v>
                </c:pt>
                <c:pt idx="156">
                  <c:v>148.02000000000001</c:v>
                </c:pt>
                <c:pt idx="157">
                  <c:v>#N/A</c:v>
                </c:pt>
                <c:pt idx="158">
                  <c:v>#N/A</c:v>
                </c:pt>
                <c:pt idx="159">
                  <c:v>147.88</c:v>
                </c:pt>
                <c:pt idx="160">
                  <c:v>147.85</c:v>
                </c:pt>
                <c:pt idx="161">
                  <c:v>147.68</c:v>
                </c:pt>
                <c:pt idx="162">
                  <c:v>146.65</c:v>
                </c:pt>
                <c:pt idx="163">
                  <c:v>145.38999999999999</c:v>
                </c:pt>
                <c:pt idx="164">
                  <c:v>#N/A</c:v>
                </c:pt>
                <c:pt idx="165">
                  <c:v>#N/A</c:v>
                </c:pt>
                <c:pt idx="166">
                  <c:v>145.38999999999999</c:v>
                </c:pt>
                <c:pt idx="167">
                  <c:v>145.37</c:v>
                </c:pt>
                <c:pt idx="168">
                  <c:v>145.35</c:v>
                </c:pt>
                <c:pt idx="169">
                  <c:v>145.41999999999999</c:v>
                </c:pt>
                <c:pt idx="170">
                  <c:v>145.32</c:v>
                </c:pt>
                <c:pt idx="171">
                  <c:v>#N/A</c:v>
                </c:pt>
                <c:pt idx="172">
                  <c:v>#N/A</c:v>
                </c:pt>
                <c:pt idx="173">
                  <c:v>144.08000000000001</c:v>
                </c:pt>
                <c:pt idx="174">
                  <c:v>143.6</c:v>
                </c:pt>
                <c:pt idx="175">
                  <c:v>143.05000000000001</c:v>
                </c:pt>
                <c:pt idx="176">
                  <c:v>#N/A</c:v>
                </c:pt>
                <c:pt idx="177">
                  <c:v>#N/A</c:v>
                </c:pt>
                <c:pt idx="178">
                  <c:v>#N/A</c:v>
                </c:pt>
                <c:pt idx="179">
                  <c:v>#N/A</c:v>
                </c:pt>
                <c:pt idx="180">
                  <c:v>141.94999999999999</c:v>
                </c:pt>
                <c:pt idx="181">
                  <c:v>141.75</c:v>
                </c:pt>
                <c:pt idx="182">
                  <c:v>140.97</c:v>
                </c:pt>
                <c:pt idx="183">
                  <c:v>140.71</c:v>
                </c:pt>
                <c:pt idx="184">
                  <c:v>139.80000000000001</c:v>
                </c:pt>
                <c:pt idx="185">
                  <c:v>#N/A</c:v>
                </c:pt>
                <c:pt idx="186">
                  <c:v>#N/A</c:v>
                </c:pt>
                <c:pt idx="187">
                  <c:v>139.30000000000001</c:v>
                </c:pt>
                <c:pt idx="188">
                  <c:v>139.27000000000001</c:v>
                </c:pt>
                <c:pt idx="189">
                  <c:v>138.56</c:v>
                </c:pt>
                <c:pt idx="190">
                  <c:v>138.13</c:v>
                </c:pt>
                <c:pt idx="191">
                  <c:v>137.97999999999999</c:v>
                </c:pt>
                <c:pt idx="192">
                  <c:v>#N/A</c:v>
                </c:pt>
                <c:pt idx="193">
                  <c:v>#N/A</c:v>
                </c:pt>
                <c:pt idx="194">
                  <c:v>137.77000000000001</c:v>
                </c:pt>
                <c:pt idx="195">
                  <c:v>137.58000000000001</c:v>
                </c:pt>
                <c:pt idx="196">
                  <c:v>137.51</c:v>
                </c:pt>
                <c:pt idx="197">
                  <c:v>137.21</c:v>
                </c:pt>
                <c:pt idx="198">
                  <c:v>137.22</c:v>
                </c:pt>
                <c:pt idx="199">
                  <c:v>#N/A</c:v>
                </c:pt>
                <c:pt idx="200">
                  <c:v>#N/A</c:v>
                </c:pt>
                <c:pt idx="201">
                  <c:v>137.04</c:v>
                </c:pt>
                <c:pt idx="202">
                  <c:v>136.91999999999999</c:v>
                </c:pt>
                <c:pt idx="203">
                  <c:v>136.88999999999999</c:v>
                </c:pt>
                <c:pt idx="204">
                  <c:v>136.31</c:v>
                </c:pt>
                <c:pt idx="205">
                  <c:v>136.22</c:v>
                </c:pt>
                <c:pt idx="206">
                  <c:v>#N/A</c:v>
                </c:pt>
                <c:pt idx="207">
                  <c:v>#N/A</c:v>
                </c:pt>
                <c:pt idx="208">
                  <c:v>136.37</c:v>
                </c:pt>
                <c:pt idx="209">
                  <c:v>136.22999999999999</c:v>
                </c:pt>
                <c:pt idx="210">
                  <c:v>136.22999999999999</c:v>
                </c:pt>
                <c:pt idx="211">
                  <c:v>135.96</c:v>
                </c:pt>
                <c:pt idx="212">
                  <c:v>135.94999999999999</c:v>
                </c:pt>
                <c:pt idx="213">
                  <c:v>#N/A</c:v>
                </c:pt>
                <c:pt idx="214">
                  <c:v>#N/A</c:v>
                </c:pt>
                <c:pt idx="215">
                  <c:v>136</c:v>
                </c:pt>
                <c:pt idx="216">
                  <c:v>136.77000000000001</c:v>
                </c:pt>
                <c:pt idx="217">
                  <c:v>137.44999999999999</c:v>
                </c:pt>
                <c:pt idx="218">
                  <c:v>137.86000000000001</c:v>
                </c:pt>
                <c:pt idx="219">
                  <c:v>138.07</c:v>
                </c:pt>
                <c:pt idx="220">
                  <c:v>#N/A</c:v>
                </c:pt>
                <c:pt idx="221">
                  <c:v>#N/A</c:v>
                </c:pt>
                <c:pt idx="222">
                  <c:v>138.15</c:v>
                </c:pt>
                <c:pt idx="223">
                  <c:v>137.94</c:v>
                </c:pt>
                <c:pt idx="224">
                  <c:v>137.9</c:v>
                </c:pt>
                <c:pt idx="225">
                  <c:v>137.94</c:v>
                </c:pt>
                <c:pt idx="226">
                  <c:v>137.75</c:v>
                </c:pt>
                <c:pt idx="227">
                  <c:v>#N/A</c:v>
                </c:pt>
                <c:pt idx="228">
                  <c:v>#N/A</c:v>
                </c:pt>
                <c:pt idx="229">
                  <c:v>137.65</c:v>
                </c:pt>
                <c:pt idx="230">
                  <c:v>138.16</c:v>
                </c:pt>
                <c:pt idx="231">
                  <c:v>138.26</c:v>
                </c:pt>
                <c:pt idx="232">
                  <c:v>138.74</c:v>
                </c:pt>
                <c:pt idx="233">
                  <c:v>138.51</c:v>
                </c:pt>
                <c:pt idx="234">
                  <c:v>#N/A</c:v>
                </c:pt>
                <c:pt idx="235">
                  <c:v>#N/A</c:v>
                </c:pt>
                <c:pt idx="236">
                  <c:v>139.32</c:v>
                </c:pt>
                <c:pt idx="237">
                  <c:v>139.58000000000001</c:v>
                </c:pt>
                <c:pt idx="238">
                  <c:v>139.66</c:v>
                </c:pt>
                <c:pt idx="239">
                  <c:v>140.33000000000001</c:v>
                </c:pt>
                <c:pt idx="240">
                  <c:v>140.6</c:v>
                </c:pt>
                <c:pt idx="241">
                  <c:v>#N/A</c:v>
                </c:pt>
                <c:pt idx="242">
                  <c:v>#N/A</c:v>
                </c:pt>
                <c:pt idx="243">
                  <c:v>140.56</c:v>
                </c:pt>
                <c:pt idx="244">
                  <c:v>140.6</c:v>
                </c:pt>
                <c:pt idx="245">
                  <c:v>140.58000000000001</c:v>
                </c:pt>
                <c:pt idx="246">
                  <c:v>140.99</c:v>
                </c:pt>
                <c:pt idx="247">
                  <c:v>141.08000000000001</c:v>
                </c:pt>
                <c:pt idx="248">
                  <c:v>#N/A</c:v>
                </c:pt>
                <c:pt idx="249">
                  <c:v>#N/A</c:v>
                </c:pt>
                <c:pt idx="250">
                  <c:v>141.36000000000001</c:v>
                </c:pt>
                <c:pt idx="251">
                  <c:v>141.36000000000001</c:v>
                </c:pt>
                <c:pt idx="252">
                  <c:v>141.54</c:v>
                </c:pt>
                <c:pt idx="253">
                  <c:v>142.05000000000001</c:v>
                </c:pt>
                <c:pt idx="254">
                  <c:v>142.6</c:v>
                </c:pt>
                <c:pt idx="255">
                  <c:v>#N/A</c:v>
                </c:pt>
                <c:pt idx="256">
                  <c:v>#N/A</c:v>
                </c:pt>
                <c:pt idx="257">
                  <c:v>143.03</c:v>
                </c:pt>
                <c:pt idx="258">
                  <c:v>142.56</c:v>
                </c:pt>
                <c:pt idx="259">
                  <c:v>144.1</c:v>
                </c:pt>
                <c:pt idx="260">
                  <c:v>144.5</c:v>
                </c:pt>
                <c:pt idx="261">
                  <c:v>144.5</c:v>
                </c:pt>
                <c:pt idx="262">
                  <c:v>#N/A</c:v>
                </c:pt>
                <c:pt idx="263">
                  <c:v>#N/A</c:v>
                </c:pt>
                <c:pt idx="264">
                  <c:v>144.74</c:v>
                </c:pt>
                <c:pt idx="265">
                  <c:v>144.58000000000001</c:v>
                </c:pt>
                <c:pt idx="266">
                  <c:v>144.57</c:v>
                </c:pt>
                <c:pt idx="267">
                  <c:v>144.54</c:v>
                </c:pt>
                <c:pt idx="268">
                  <c:v>145.77000000000001</c:v>
                </c:pt>
                <c:pt idx="269">
                  <c:v>#N/A</c:v>
                </c:pt>
                <c:pt idx="270">
                  <c:v>#N/A</c:v>
                </c:pt>
                <c:pt idx="271">
                  <c:v>146.36000000000001</c:v>
                </c:pt>
                <c:pt idx="272">
                  <c:v>146.33000000000001</c:v>
                </c:pt>
                <c:pt idx="273">
                  <c:v>146.33000000000001</c:v>
                </c:pt>
                <c:pt idx="274">
                  <c:v>#N/A</c:v>
                </c:pt>
                <c:pt idx="275">
                  <c:v>#N/A</c:v>
                </c:pt>
                <c:pt idx="276">
                  <c:v>#N/A</c:v>
                </c:pt>
                <c:pt idx="277">
                  <c:v>#N/A</c:v>
                </c:pt>
                <c:pt idx="278">
                  <c:v>#N/A</c:v>
                </c:pt>
                <c:pt idx="279">
                  <c:v>#N/A</c:v>
                </c:pt>
                <c:pt idx="280">
                  <c:v>#N/A</c:v>
                </c:pt>
                <c:pt idx="281">
                  <c:v>#N/A</c:v>
                </c:pt>
                <c:pt idx="282">
                  <c:v>146.38</c:v>
                </c:pt>
                <c:pt idx="283">
                  <c:v>#N/A</c:v>
                </c:pt>
                <c:pt idx="284">
                  <c:v>#N/A</c:v>
                </c:pt>
                <c:pt idx="285">
                  <c:v>147.03</c:v>
                </c:pt>
                <c:pt idx="286">
                  <c:v>147.41</c:v>
                </c:pt>
                <c:pt idx="287">
                  <c:v>147.85</c:v>
                </c:pt>
                <c:pt idx="288">
                  <c:v>148.77000000000001</c:v>
                </c:pt>
                <c:pt idx="289">
                  <c:v>149.19</c:v>
                </c:pt>
                <c:pt idx="290">
                  <c:v>#N/A</c:v>
                </c:pt>
                <c:pt idx="291">
                  <c:v>#N/A</c:v>
                </c:pt>
                <c:pt idx="292">
                  <c:v>150.55000000000001</c:v>
                </c:pt>
                <c:pt idx="293">
                  <c:v>150.56</c:v>
                </c:pt>
                <c:pt idx="294">
                  <c:v>150.51</c:v>
                </c:pt>
                <c:pt idx="295">
                  <c:v>150.4</c:v>
                </c:pt>
                <c:pt idx="296">
                  <c:v>150.41</c:v>
                </c:pt>
                <c:pt idx="297">
                  <c:v>#N/A</c:v>
                </c:pt>
                <c:pt idx="298">
                  <c:v>#N/A</c:v>
                </c:pt>
                <c:pt idx="299">
                  <c:v>150.63999999999999</c:v>
                </c:pt>
                <c:pt idx="300">
                  <c:v>150.51</c:v>
                </c:pt>
                <c:pt idx="301">
                  <c:v>150.52000000000001</c:v>
                </c:pt>
                <c:pt idx="302">
                  <c:v>150.71</c:v>
                </c:pt>
                <c:pt idx="303">
                  <c:v>150.88</c:v>
                </c:pt>
                <c:pt idx="304">
                  <c:v>#N/A</c:v>
                </c:pt>
                <c:pt idx="305">
                  <c:v>#N/A</c:v>
                </c:pt>
                <c:pt idx="306">
                  <c:v>151.57</c:v>
                </c:pt>
                <c:pt idx="307">
                  <c:v>151.69</c:v>
                </c:pt>
                <c:pt idx="308">
                  <c:v>151.85</c:v>
                </c:pt>
                <c:pt idx="309">
                  <c:v>151.9</c:v>
                </c:pt>
                <c:pt idx="310">
                  <c:v>152.11000000000001</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DE56-486F-81AB-A95D34284161}"/>
            </c:ext>
          </c:extLst>
        </c:ser>
        <c:dLbls>
          <c:showLegendKey val="0"/>
          <c:showVal val="0"/>
          <c:showCatName val="0"/>
          <c:showSerName val="0"/>
          <c:showPercent val="0"/>
          <c:showBubbleSize val="0"/>
        </c:dLbls>
        <c:marker val="1"/>
        <c:smooth val="0"/>
        <c:axId val="366967424"/>
        <c:axId val="366985600"/>
      </c:lineChart>
      <c:dateAx>
        <c:axId val="366967424"/>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66985600"/>
        <c:crosses val="autoZero"/>
        <c:auto val="0"/>
        <c:lblOffset val="0"/>
        <c:baseTimeUnit val="days"/>
        <c:majorUnit val="1"/>
        <c:majorTimeUnit val="months"/>
      </c:dateAx>
      <c:valAx>
        <c:axId val="366985600"/>
        <c:scaling>
          <c:orientation val="minMax"/>
          <c:max val="170"/>
          <c:min val="9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66967424"/>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汽车!$H$1</c:f>
              <c:strCache>
                <c:ptCount val="1"/>
                <c:pt idx="0">
                  <c:v>2018</c:v>
                </c:pt>
              </c:strCache>
            </c:strRef>
          </c:tx>
          <c:spPr>
            <a:ln w="28575">
              <a:solidFill>
                <a:srgbClr val="E7E6E6">
                  <a:lumMod val="75000"/>
                </a:srgbClr>
              </a:solidFill>
              <a:prstDash val="solid"/>
            </a:ln>
          </c:spPr>
          <c:marker>
            <c:symbol val="none"/>
          </c:marker>
          <c:cat>
            <c:numRef>
              <c:f>汽车!$G$2:$G$366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汽车!$H$2:$H$366</c:f>
              <c:numCache>
                <c:formatCode>General</c:formatCode>
                <c:ptCount val="365"/>
                <c:pt idx="0">
                  <c:v>#N/A</c:v>
                </c:pt>
                <c:pt idx="1">
                  <c:v>#N/A</c:v>
                </c:pt>
                <c:pt idx="2">
                  <c:v>#N/A</c:v>
                </c:pt>
                <c:pt idx="3">
                  <c:v>#N/A</c:v>
                </c:pt>
                <c:pt idx="4">
                  <c:v>61184</c:v>
                </c:pt>
                <c:pt idx="5">
                  <c:v>#N/A</c:v>
                </c:pt>
                <c:pt idx="6">
                  <c:v>#N/A</c:v>
                </c:pt>
                <c:pt idx="7">
                  <c:v>#N/A</c:v>
                </c:pt>
                <c:pt idx="8">
                  <c:v>#N/A</c:v>
                </c:pt>
                <c:pt idx="9">
                  <c:v>#N/A</c:v>
                </c:pt>
                <c:pt idx="10">
                  <c:v>#N/A</c:v>
                </c:pt>
                <c:pt idx="11">
                  <c:v>53125</c:v>
                </c:pt>
                <c:pt idx="12">
                  <c:v>#N/A</c:v>
                </c:pt>
                <c:pt idx="13">
                  <c:v>#N/A</c:v>
                </c:pt>
                <c:pt idx="14">
                  <c:v>#N/A</c:v>
                </c:pt>
                <c:pt idx="15">
                  <c:v>#N/A</c:v>
                </c:pt>
                <c:pt idx="16">
                  <c:v>#N/A</c:v>
                </c:pt>
                <c:pt idx="17">
                  <c:v>#N/A</c:v>
                </c:pt>
                <c:pt idx="18">
                  <c:v>63607</c:v>
                </c:pt>
                <c:pt idx="19">
                  <c:v>#N/A</c:v>
                </c:pt>
                <c:pt idx="20">
                  <c:v>#N/A</c:v>
                </c:pt>
                <c:pt idx="21">
                  <c:v>#N/A</c:v>
                </c:pt>
                <c:pt idx="22">
                  <c:v>#N/A</c:v>
                </c:pt>
                <c:pt idx="23">
                  <c:v>#N/A</c:v>
                </c:pt>
                <c:pt idx="24">
                  <c:v>#N/A</c:v>
                </c:pt>
                <c:pt idx="25">
                  <c:v>68747</c:v>
                </c:pt>
                <c:pt idx="26">
                  <c:v>#N/A</c:v>
                </c:pt>
                <c:pt idx="27">
                  <c:v>#N/A</c:v>
                </c:pt>
                <c:pt idx="28">
                  <c:v>#N/A</c:v>
                </c:pt>
                <c:pt idx="29">
                  <c:v>#N/A</c:v>
                </c:pt>
                <c:pt idx="30">
                  <c:v>81487</c:v>
                </c:pt>
                <c:pt idx="31">
                  <c:v>#N/A</c:v>
                </c:pt>
                <c:pt idx="32">
                  <c:v>#N/A</c:v>
                </c:pt>
                <c:pt idx="33">
                  <c:v>#N/A</c:v>
                </c:pt>
                <c:pt idx="34">
                  <c:v>#N/A</c:v>
                </c:pt>
                <c:pt idx="35">
                  <c:v>#N/A</c:v>
                </c:pt>
                <c:pt idx="36">
                  <c:v>#N/A</c:v>
                </c:pt>
                <c:pt idx="37">
                  <c:v>#N/A</c:v>
                </c:pt>
                <c:pt idx="38">
                  <c:v>#N/A</c:v>
                </c:pt>
                <c:pt idx="39">
                  <c:v>63040</c:v>
                </c:pt>
                <c:pt idx="40">
                  <c:v>#N/A</c:v>
                </c:pt>
                <c:pt idx="41">
                  <c:v>#N/A</c:v>
                </c:pt>
                <c:pt idx="42">
                  <c:v>#N/A</c:v>
                </c:pt>
                <c:pt idx="43">
                  <c:v>#N/A</c:v>
                </c:pt>
                <c:pt idx="44">
                  <c:v>#N/A</c:v>
                </c:pt>
                <c:pt idx="45">
                  <c:v>#N/A</c:v>
                </c:pt>
                <c:pt idx="46">
                  <c:v>#N/A</c:v>
                </c:pt>
                <c:pt idx="47">
                  <c:v>#N/A</c:v>
                </c:pt>
                <c:pt idx="48">
                  <c:v>#N/A</c:v>
                </c:pt>
                <c:pt idx="49">
                  <c:v>#N/A</c:v>
                </c:pt>
                <c:pt idx="50">
                  <c:v>#N/A</c:v>
                </c:pt>
                <c:pt idx="51">
                  <c:v>19124</c:v>
                </c:pt>
                <c:pt idx="52">
                  <c:v>#N/A</c:v>
                </c:pt>
                <c:pt idx="53">
                  <c:v>#N/A</c:v>
                </c:pt>
                <c:pt idx="54">
                  <c:v>#N/A</c:v>
                </c:pt>
                <c:pt idx="55">
                  <c:v>#N/A</c:v>
                </c:pt>
                <c:pt idx="56">
                  <c:v>#N/A</c:v>
                </c:pt>
                <c:pt idx="57">
                  <c:v>#N/A</c:v>
                </c:pt>
                <c:pt idx="58">
                  <c:v>57264</c:v>
                </c:pt>
                <c:pt idx="59">
                  <c:v>#N/A</c:v>
                </c:pt>
                <c:pt idx="60">
                  <c:v>#N/A</c:v>
                </c:pt>
                <c:pt idx="61">
                  <c:v>#N/A</c:v>
                </c:pt>
                <c:pt idx="62">
                  <c:v>#N/A</c:v>
                </c:pt>
                <c:pt idx="63">
                  <c:v>#N/A</c:v>
                </c:pt>
                <c:pt idx="64">
                  <c:v>#N/A</c:v>
                </c:pt>
                <c:pt idx="65">
                  <c:v>#N/A</c:v>
                </c:pt>
                <c:pt idx="66">
                  <c:v>#N/A</c:v>
                </c:pt>
                <c:pt idx="67">
                  <c:v>46258</c:v>
                </c:pt>
                <c:pt idx="68">
                  <c:v>#N/A</c:v>
                </c:pt>
                <c:pt idx="69">
                  <c:v>#N/A</c:v>
                </c:pt>
                <c:pt idx="70">
                  <c:v>#N/A</c:v>
                </c:pt>
                <c:pt idx="71">
                  <c:v>#N/A</c:v>
                </c:pt>
                <c:pt idx="72">
                  <c:v>#N/A</c:v>
                </c:pt>
                <c:pt idx="73">
                  <c:v>#N/A</c:v>
                </c:pt>
                <c:pt idx="74">
                  <c:v>47366</c:v>
                </c:pt>
                <c:pt idx="75">
                  <c:v>#N/A</c:v>
                </c:pt>
                <c:pt idx="76">
                  <c:v>#N/A</c:v>
                </c:pt>
                <c:pt idx="77">
                  <c:v>#N/A</c:v>
                </c:pt>
                <c:pt idx="78">
                  <c:v>#N/A</c:v>
                </c:pt>
                <c:pt idx="79">
                  <c:v>#N/A</c:v>
                </c:pt>
                <c:pt idx="80">
                  <c:v>#N/A</c:v>
                </c:pt>
                <c:pt idx="81">
                  <c:v>55058</c:v>
                </c:pt>
                <c:pt idx="82">
                  <c:v>#N/A</c:v>
                </c:pt>
                <c:pt idx="83">
                  <c:v>#N/A</c:v>
                </c:pt>
                <c:pt idx="84">
                  <c:v>#N/A</c:v>
                </c:pt>
                <c:pt idx="85">
                  <c:v>#N/A</c:v>
                </c:pt>
                <c:pt idx="86">
                  <c:v>#N/A</c:v>
                </c:pt>
                <c:pt idx="87">
                  <c:v>#N/A</c:v>
                </c:pt>
                <c:pt idx="88">
                  <c:v>#N/A</c:v>
                </c:pt>
                <c:pt idx="89">
                  <c:v>76948</c:v>
                </c:pt>
                <c:pt idx="90">
                  <c:v>#N/A</c:v>
                </c:pt>
                <c:pt idx="91">
                  <c:v>#N/A</c:v>
                </c:pt>
                <c:pt idx="92">
                  <c:v>#N/A</c:v>
                </c:pt>
                <c:pt idx="93">
                  <c:v>#N/A</c:v>
                </c:pt>
                <c:pt idx="94">
                  <c:v>#N/A</c:v>
                </c:pt>
                <c:pt idx="95">
                  <c:v>#N/A</c:v>
                </c:pt>
                <c:pt idx="96">
                  <c:v>32561</c:v>
                </c:pt>
                <c:pt idx="97">
                  <c:v>#N/A</c:v>
                </c:pt>
                <c:pt idx="98">
                  <c:v>#N/A</c:v>
                </c:pt>
                <c:pt idx="99">
                  <c:v>#N/A</c:v>
                </c:pt>
                <c:pt idx="100">
                  <c:v>#N/A</c:v>
                </c:pt>
                <c:pt idx="101">
                  <c:v>#N/A</c:v>
                </c:pt>
                <c:pt idx="102">
                  <c:v>52258</c:v>
                </c:pt>
                <c:pt idx="103">
                  <c:v>#N/A</c:v>
                </c:pt>
                <c:pt idx="104">
                  <c:v>#N/A</c:v>
                </c:pt>
                <c:pt idx="105">
                  <c:v>#N/A</c:v>
                </c:pt>
                <c:pt idx="106">
                  <c:v>#N/A</c:v>
                </c:pt>
                <c:pt idx="107">
                  <c:v>#N/A</c:v>
                </c:pt>
                <c:pt idx="108">
                  <c:v>#N/A</c:v>
                </c:pt>
                <c:pt idx="109">
                  <c:v>50693</c:v>
                </c:pt>
                <c:pt idx="110">
                  <c:v>#N/A</c:v>
                </c:pt>
                <c:pt idx="111">
                  <c:v>#N/A</c:v>
                </c:pt>
                <c:pt idx="112">
                  <c:v>#N/A</c:v>
                </c:pt>
                <c:pt idx="113">
                  <c:v>#N/A</c:v>
                </c:pt>
                <c:pt idx="114">
                  <c:v>#N/A</c:v>
                </c:pt>
                <c:pt idx="115">
                  <c:v>#N/A</c:v>
                </c:pt>
                <c:pt idx="116">
                  <c:v>#N/A</c:v>
                </c:pt>
                <c:pt idx="117">
                  <c:v>#N/A</c:v>
                </c:pt>
                <c:pt idx="118">
                  <c:v>#N/A</c:v>
                </c:pt>
                <c:pt idx="119">
                  <c:v>72551</c:v>
                </c:pt>
                <c:pt idx="120">
                  <c:v>#N/A</c:v>
                </c:pt>
                <c:pt idx="121">
                  <c:v>#N/A</c:v>
                </c:pt>
                <c:pt idx="122">
                  <c:v>#N/A</c:v>
                </c:pt>
                <c:pt idx="123">
                  <c:v>19595</c:v>
                </c:pt>
                <c:pt idx="124">
                  <c:v>#N/A</c:v>
                </c:pt>
                <c:pt idx="125">
                  <c:v>#N/A</c:v>
                </c:pt>
                <c:pt idx="126">
                  <c:v>#N/A</c:v>
                </c:pt>
                <c:pt idx="127">
                  <c:v>#N/A</c:v>
                </c:pt>
                <c:pt idx="128">
                  <c:v>#N/A</c:v>
                </c:pt>
                <c:pt idx="129">
                  <c:v>#N/A</c:v>
                </c:pt>
                <c:pt idx="130">
                  <c:v>58653</c:v>
                </c:pt>
                <c:pt idx="131">
                  <c:v>#N/A</c:v>
                </c:pt>
                <c:pt idx="132">
                  <c:v>#N/A</c:v>
                </c:pt>
                <c:pt idx="133">
                  <c:v>#N/A</c:v>
                </c:pt>
                <c:pt idx="134">
                  <c:v>#N/A</c:v>
                </c:pt>
                <c:pt idx="135">
                  <c:v>#N/A</c:v>
                </c:pt>
                <c:pt idx="136">
                  <c:v>#N/A</c:v>
                </c:pt>
                <c:pt idx="137">
                  <c:v>#N/A</c:v>
                </c:pt>
                <c:pt idx="138">
                  <c:v>44316</c:v>
                </c:pt>
                <c:pt idx="139">
                  <c:v>#N/A</c:v>
                </c:pt>
                <c:pt idx="140">
                  <c:v>#N/A</c:v>
                </c:pt>
                <c:pt idx="141">
                  <c:v>#N/A</c:v>
                </c:pt>
                <c:pt idx="142">
                  <c:v>#N/A</c:v>
                </c:pt>
                <c:pt idx="143">
                  <c:v>#N/A</c:v>
                </c:pt>
                <c:pt idx="144">
                  <c:v>48974</c:v>
                </c:pt>
                <c:pt idx="145">
                  <c:v>#N/A</c:v>
                </c:pt>
                <c:pt idx="146">
                  <c:v>#N/A</c:v>
                </c:pt>
                <c:pt idx="147">
                  <c:v>#N/A</c:v>
                </c:pt>
                <c:pt idx="148">
                  <c:v>#N/A</c:v>
                </c:pt>
                <c:pt idx="149">
                  <c:v>#N/A</c:v>
                </c:pt>
                <c:pt idx="150">
                  <c:v>65351</c:v>
                </c:pt>
                <c:pt idx="151">
                  <c:v>#N/A</c:v>
                </c:pt>
                <c:pt idx="152">
                  <c:v>#N/A</c:v>
                </c:pt>
                <c:pt idx="153">
                  <c:v>#N/A</c:v>
                </c:pt>
                <c:pt idx="154">
                  <c:v>#N/A</c:v>
                </c:pt>
                <c:pt idx="155">
                  <c:v>#N/A</c:v>
                </c:pt>
                <c:pt idx="156">
                  <c:v>#N/A</c:v>
                </c:pt>
                <c:pt idx="157">
                  <c:v>#N/A</c:v>
                </c:pt>
                <c:pt idx="158">
                  <c:v>32199</c:v>
                </c:pt>
                <c:pt idx="159">
                  <c:v>#N/A</c:v>
                </c:pt>
                <c:pt idx="160">
                  <c:v>#N/A</c:v>
                </c:pt>
                <c:pt idx="161">
                  <c:v>#N/A</c:v>
                </c:pt>
                <c:pt idx="162">
                  <c:v>#N/A</c:v>
                </c:pt>
                <c:pt idx="163">
                  <c:v>#N/A</c:v>
                </c:pt>
                <c:pt idx="164">
                  <c:v>#N/A</c:v>
                </c:pt>
                <c:pt idx="165">
                  <c:v>39585</c:v>
                </c:pt>
                <c:pt idx="166">
                  <c:v>#N/A</c:v>
                </c:pt>
                <c:pt idx="167">
                  <c:v>#N/A</c:v>
                </c:pt>
                <c:pt idx="168">
                  <c:v>#N/A</c:v>
                </c:pt>
                <c:pt idx="169">
                  <c:v>#N/A</c:v>
                </c:pt>
                <c:pt idx="170">
                  <c:v>#N/A</c:v>
                </c:pt>
                <c:pt idx="171">
                  <c:v>#N/A</c:v>
                </c:pt>
                <c:pt idx="172">
                  <c:v>45275</c:v>
                </c:pt>
                <c:pt idx="173">
                  <c:v>#N/A</c:v>
                </c:pt>
                <c:pt idx="174">
                  <c:v>#N/A</c:v>
                </c:pt>
                <c:pt idx="175">
                  <c:v>#N/A</c:v>
                </c:pt>
                <c:pt idx="176">
                  <c:v>#N/A</c:v>
                </c:pt>
                <c:pt idx="177">
                  <c:v>#N/A</c:v>
                </c:pt>
                <c:pt idx="178">
                  <c:v>#N/A</c:v>
                </c:pt>
                <c:pt idx="179">
                  <c:v>#N/A</c:v>
                </c:pt>
                <c:pt idx="180">
                  <c:v>84628</c:v>
                </c:pt>
                <c:pt idx="181">
                  <c:v>#N/A</c:v>
                </c:pt>
                <c:pt idx="182">
                  <c:v>#N/A</c:v>
                </c:pt>
                <c:pt idx="183">
                  <c:v>#N/A</c:v>
                </c:pt>
                <c:pt idx="184">
                  <c:v>#N/A</c:v>
                </c:pt>
                <c:pt idx="185">
                  <c:v>#N/A</c:v>
                </c:pt>
                <c:pt idx="186">
                  <c:v>29874</c:v>
                </c:pt>
                <c:pt idx="187">
                  <c:v>#N/A</c:v>
                </c:pt>
                <c:pt idx="188">
                  <c:v>#N/A</c:v>
                </c:pt>
                <c:pt idx="189">
                  <c:v>#N/A</c:v>
                </c:pt>
                <c:pt idx="190">
                  <c:v>#N/A</c:v>
                </c:pt>
                <c:pt idx="191">
                  <c:v>#N/A</c:v>
                </c:pt>
                <c:pt idx="192">
                  <c:v>#N/A</c:v>
                </c:pt>
                <c:pt idx="193">
                  <c:v>36585</c:v>
                </c:pt>
                <c:pt idx="194">
                  <c:v>#N/A</c:v>
                </c:pt>
                <c:pt idx="195">
                  <c:v>#N/A</c:v>
                </c:pt>
                <c:pt idx="196">
                  <c:v>#N/A</c:v>
                </c:pt>
                <c:pt idx="197">
                  <c:v>#N/A</c:v>
                </c:pt>
                <c:pt idx="198">
                  <c:v>#N/A</c:v>
                </c:pt>
                <c:pt idx="199">
                  <c:v>#N/A</c:v>
                </c:pt>
                <c:pt idx="200">
                  <c:v>43091</c:v>
                </c:pt>
                <c:pt idx="201">
                  <c:v>#N/A</c:v>
                </c:pt>
                <c:pt idx="202">
                  <c:v>#N/A</c:v>
                </c:pt>
                <c:pt idx="203">
                  <c:v>#N/A</c:v>
                </c:pt>
                <c:pt idx="204">
                  <c:v>#N/A</c:v>
                </c:pt>
                <c:pt idx="205">
                  <c:v>#N/A</c:v>
                </c:pt>
                <c:pt idx="206">
                  <c:v>#N/A</c:v>
                </c:pt>
                <c:pt idx="207">
                  <c:v>#N/A</c:v>
                </c:pt>
                <c:pt idx="208">
                  <c:v>#N/A</c:v>
                </c:pt>
                <c:pt idx="209">
                  <c:v>#N/A</c:v>
                </c:pt>
                <c:pt idx="210">
                  <c:v>#N/A</c:v>
                </c:pt>
                <c:pt idx="211">
                  <c:v>62390</c:v>
                </c:pt>
                <c:pt idx="212">
                  <c:v>#N/A</c:v>
                </c:pt>
                <c:pt idx="213">
                  <c:v>#N/A</c:v>
                </c:pt>
                <c:pt idx="214">
                  <c:v>43487</c:v>
                </c:pt>
                <c:pt idx="215">
                  <c:v>#N/A</c:v>
                </c:pt>
                <c:pt idx="216">
                  <c:v>#N/A</c:v>
                </c:pt>
                <c:pt idx="217">
                  <c:v>#N/A</c:v>
                </c:pt>
                <c:pt idx="218">
                  <c:v>#N/A</c:v>
                </c:pt>
                <c:pt idx="219">
                  <c:v>#N/A</c:v>
                </c:pt>
                <c:pt idx="220">
                  <c:v>#N/A</c:v>
                </c:pt>
                <c:pt idx="221">
                  <c:v>37423</c:v>
                </c:pt>
                <c:pt idx="222">
                  <c:v>#N/A</c:v>
                </c:pt>
                <c:pt idx="223">
                  <c:v>#N/A</c:v>
                </c:pt>
                <c:pt idx="224">
                  <c:v>#N/A</c:v>
                </c:pt>
                <c:pt idx="225">
                  <c:v>#N/A</c:v>
                </c:pt>
                <c:pt idx="226">
                  <c:v>#N/A</c:v>
                </c:pt>
                <c:pt idx="227">
                  <c:v>#N/A</c:v>
                </c:pt>
                <c:pt idx="228">
                  <c:v>42225</c:v>
                </c:pt>
                <c:pt idx="229">
                  <c:v>#N/A</c:v>
                </c:pt>
                <c:pt idx="230">
                  <c:v>#N/A</c:v>
                </c:pt>
                <c:pt idx="231">
                  <c:v>#N/A</c:v>
                </c:pt>
                <c:pt idx="232">
                  <c:v>#N/A</c:v>
                </c:pt>
                <c:pt idx="233">
                  <c:v>#N/A</c:v>
                </c:pt>
                <c:pt idx="234">
                  <c:v>#N/A</c:v>
                </c:pt>
                <c:pt idx="235">
                  <c:v>49833</c:v>
                </c:pt>
                <c:pt idx="236">
                  <c:v>#N/A</c:v>
                </c:pt>
                <c:pt idx="237">
                  <c:v>#N/A</c:v>
                </c:pt>
                <c:pt idx="238">
                  <c:v>#N/A</c:v>
                </c:pt>
                <c:pt idx="239">
                  <c:v>#N/A</c:v>
                </c:pt>
                <c:pt idx="240">
                  <c:v>#N/A</c:v>
                </c:pt>
                <c:pt idx="241">
                  <c:v>#N/A</c:v>
                </c:pt>
                <c:pt idx="242">
                  <c:v>79637</c:v>
                </c:pt>
                <c:pt idx="243">
                  <c:v>#N/A</c:v>
                </c:pt>
                <c:pt idx="244">
                  <c:v>#N/A</c:v>
                </c:pt>
                <c:pt idx="245">
                  <c:v>#N/A</c:v>
                </c:pt>
                <c:pt idx="246">
                  <c:v>#N/A</c:v>
                </c:pt>
                <c:pt idx="247">
                  <c:v>#N/A</c:v>
                </c:pt>
                <c:pt idx="248">
                  <c:v>#N/A</c:v>
                </c:pt>
                <c:pt idx="249">
                  <c:v>37161</c:v>
                </c:pt>
                <c:pt idx="250">
                  <c:v>#N/A</c:v>
                </c:pt>
                <c:pt idx="251">
                  <c:v>#N/A</c:v>
                </c:pt>
                <c:pt idx="252">
                  <c:v>#N/A</c:v>
                </c:pt>
                <c:pt idx="253">
                  <c:v>#N/A</c:v>
                </c:pt>
                <c:pt idx="254">
                  <c:v>#N/A</c:v>
                </c:pt>
                <c:pt idx="255">
                  <c:v>#N/A</c:v>
                </c:pt>
                <c:pt idx="256">
                  <c:v>44011</c:v>
                </c:pt>
                <c:pt idx="257">
                  <c:v>#N/A</c:v>
                </c:pt>
                <c:pt idx="258">
                  <c:v>#N/A</c:v>
                </c:pt>
                <c:pt idx="259">
                  <c:v>#N/A</c:v>
                </c:pt>
                <c:pt idx="260">
                  <c:v>#N/A</c:v>
                </c:pt>
                <c:pt idx="261">
                  <c:v>#N/A</c:v>
                </c:pt>
                <c:pt idx="262">
                  <c:v>#N/A</c:v>
                </c:pt>
                <c:pt idx="263">
                  <c:v>51410</c:v>
                </c:pt>
                <c:pt idx="264">
                  <c:v>#N/A</c:v>
                </c:pt>
                <c:pt idx="265">
                  <c:v>#N/A</c:v>
                </c:pt>
                <c:pt idx="266">
                  <c:v>#N/A</c:v>
                </c:pt>
                <c:pt idx="267">
                  <c:v>#N/A</c:v>
                </c:pt>
                <c:pt idx="268">
                  <c:v>#N/A</c:v>
                </c:pt>
                <c:pt idx="269">
                  <c:v>#N/A</c:v>
                </c:pt>
                <c:pt idx="270">
                  <c:v>#N/A</c:v>
                </c:pt>
                <c:pt idx="271">
                  <c:v>#N/A</c:v>
                </c:pt>
                <c:pt idx="272">
                  <c:v>78482</c:v>
                </c:pt>
                <c:pt idx="273">
                  <c:v>#N/A</c:v>
                </c:pt>
                <c:pt idx="274">
                  <c:v>#N/A</c:v>
                </c:pt>
                <c:pt idx="275">
                  <c:v>#N/A</c:v>
                </c:pt>
                <c:pt idx="276">
                  <c:v>#N/A</c:v>
                </c:pt>
                <c:pt idx="277">
                  <c:v>#N/A</c:v>
                </c:pt>
                <c:pt idx="278">
                  <c:v>#N/A</c:v>
                </c:pt>
                <c:pt idx="279">
                  <c:v>15507</c:v>
                </c:pt>
                <c:pt idx="280">
                  <c:v>#N/A</c:v>
                </c:pt>
                <c:pt idx="281">
                  <c:v>#N/A</c:v>
                </c:pt>
                <c:pt idx="282">
                  <c:v>#N/A</c:v>
                </c:pt>
                <c:pt idx="283">
                  <c:v>#N/A</c:v>
                </c:pt>
                <c:pt idx="284">
                  <c:v>63411</c:v>
                </c:pt>
                <c:pt idx="285">
                  <c:v>#N/A</c:v>
                </c:pt>
                <c:pt idx="286">
                  <c:v>#N/A</c:v>
                </c:pt>
                <c:pt idx="287">
                  <c:v>#N/A</c:v>
                </c:pt>
                <c:pt idx="288">
                  <c:v>#N/A</c:v>
                </c:pt>
                <c:pt idx="289">
                  <c:v>#N/A</c:v>
                </c:pt>
                <c:pt idx="290">
                  <c:v>#N/A</c:v>
                </c:pt>
                <c:pt idx="291">
                  <c:v>53163</c:v>
                </c:pt>
                <c:pt idx="292">
                  <c:v>#N/A</c:v>
                </c:pt>
                <c:pt idx="293">
                  <c:v>#N/A</c:v>
                </c:pt>
                <c:pt idx="294">
                  <c:v>#N/A</c:v>
                </c:pt>
                <c:pt idx="295">
                  <c:v>#N/A</c:v>
                </c:pt>
                <c:pt idx="296">
                  <c:v>#N/A</c:v>
                </c:pt>
                <c:pt idx="297">
                  <c:v>#N/A</c:v>
                </c:pt>
                <c:pt idx="298">
                  <c:v>56559</c:v>
                </c:pt>
                <c:pt idx="299">
                  <c:v>#N/A</c:v>
                </c:pt>
                <c:pt idx="300">
                  <c:v>#N/A</c:v>
                </c:pt>
                <c:pt idx="301">
                  <c:v>#N/A</c:v>
                </c:pt>
                <c:pt idx="302">
                  <c:v>#N/A</c:v>
                </c:pt>
                <c:pt idx="303">
                  <c:v>100670</c:v>
                </c:pt>
                <c:pt idx="304">
                  <c:v>#N/A</c:v>
                </c:pt>
                <c:pt idx="305">
                  <c:v>#N/A</c:v>
                </c:pt>
                <c:pt idx="306">
                  <c:v>#N/A</c:v>
                </c:pt>
                <c:pt idx="307">
                  <c:v>#N/A</c:v>
                </c:pt>
                <c:pt idx="308">
                  <c:v>#N/A</c:v>
                </c:pt>
                <c:pt idx="309">
                  <c:v>#N/A</c:v>
                </c:pt>
                <c:pt idx="310">
                  <c:v>#N/A</c:v>
                </c:pt>
                <c:pt idx="311">
                  <c:v>#N/A</c:v>
                </c:pt>
                <c:pt idx="312">
                  <c:v>34952</c:v>
                </c:pt>
                <c:pt idx="313">
                  <c:v>#N/A</c:v>
                </c:pt>
                <c:pt idx="314">
                  <c:v>#N/A</c:v>
                </c:pt>
                <c:pt idx="315">
                  <c:v>#N/A</c:v>
                </c:pt>
                <c:pt idx="316">
                  <c:v>#N/A</c:v>
                </c:pt>
                <c:pt idx="317">
                  <c:v>#N/A</c:v>
                </c:pt>
                <c:pt idx="318">
                  <c:v>#N/A</c:v>
                </c:pt>
                <c:pt idx="319">
                  <c:v>51657</c:v>
                </c:pt>
                <c:pt idx="320">
                  <c:v>#N/A</c:v>
                </c:pt>
                <c:pt idx="321">
                  <c:v>#N/A</c:v>
                </c:pt>
                <c:pt idx="322">
                  <c:v>#N/A</c:v>
                </c:pt>
                <c:pt idx="323">
                  <c:v>#N/A</c:v>
                </c:pt>
                <c:pt idx="324">
                  <c:v>#N/A</c:v>
                </c:pt>
                <c:pt idx="325">
                  <c:v>#N/A</c:v>
                </c:pt>
                <c:pt idx="326">
                  <c:v>53671</c:v>
                </c:pt>
                <c:pt idx="327">
                  <c:v>#N/A</c:v>
                </c:pt>
                <c:pt idx="328">
                  <c:v>#N/A</c:v>
                </c:pt>
                <c:pt idx="329">
                  <c:v>#N/A</c:v>
                </c:pt>
                <c:pt idx="330">
                  <c:v>#N/A</c:v>
                </c:pt>
                <c:pt idx="331">
                  <c:v>#N/A</c:v>
                </c:pt>
                <c:pt idx="332">
                  <c:v>#N/A</c:v>
                </c:pt>
                <c:pt idx="333">
                  <c:v>105140</c:v>
                </c:pt>
                <c:pt idx="334">
                  <c:v>#N/A</c:v>
                </c:pt>
                <c:pt idx="335">
                  <c:v>#N/A</c:v>
                </c:pt>
                <c:pt idx="336">
                  <c:v>#N/A</c:v>
                </c:pt>
                <c:pt idx="337">
                  <c:v>#N/A</c:v>
                </c:pt>
                <c:pt idx="338">
                  <c:v>#N/A</c:v>
                </c:pt>
                <c:pt idx="339">
                  <c:v>#N/A</c:v>
                </c:pt>
                <c:pt idx="340">
                  <c:v>35173</c:v>
                </c:pt>
                <c:pt idx="341">
                  <c:v>#N/A</c:v>
                </c:pt>
                <c:pt idx="342">
                  <c:v>#N/A</c:v>
                </c:pt>
                <c:pt idx="343">
                  <c:v>#N/A</c:v>
                </c:pt>
                <c:pt idx="344">
                  <c:v>#N/A</c:v>
                </c:pt>
                <c:pt idx="345">
                  <c:v>#N/A</c:v>
                </c:pt>
                <c:pt idx="346">
                  <c:v>#N/A</c:v>
                </c:pt>
                <c:pt idx="347">
                  <c:v>52152</c:v>
                </c:pt>
                <c:pt idx="348">
                  <c:v>#N/A</c:v>
                </c:pt>
                <c:pt idx="349">
                  <c:v>#N/A</c:v>
                </c:pt>
                <c:pt idx="350">
                  <c:v>#N/A</c:v>
                </c:pt>
                <c:pt idx="351">
                  <c:v>#N/A</c:v>
                </c:pt>
                <c:pt idx="352">
                  <c:v>#N/A</c:v>
                </c:pt>
                <c:pt idx="353">
                  <c:v>#N/A</c:v>
                </c:pt>
                <c:pt idx="354">
                  <c:v>55623</c:v>
                </c:pt>
                <c:pt idx="355">
                  <c:v>#N/A</c:v>
                </c:pt>
                <c:pt idx="356">
                  <c:v>#N/A</c:v>
                </c:pt>
                <c:pt idx="357">
                  <c:v>#N/A</c:v>
                </c:pt>
                <c:pt idx="358">
                  <c:v>#N/A</c:v>
                </c:pt>
                <c:pt idx="359">
                  <c:v>#N/A</c:v>
                </c:pt>
                <c:pt idx="360">
                  <c:v>#N/A</c:v>
                </c:pt>
                <c:pt idx="361">
                  <c:v>#N/A</c:v>
                </c:pt>
                <c:pt idx="362">
                  <c:v>#N/A</c:v>
                </c:pt>
                <c:pt idx="363">
                  <c:v>#N/A</c:v>
                </c:pt>
                <c:pt idx="364">
                  <c:v>102639</c:v>
                </c:pt>
              </c:numCache>
            </c:numRef>
          </c:val>
          <c:smooth val="1"/>
          <c:extLst xmlns:c16r2="http://schemas.microsoft.com/office/drawing/2015/06/chart">
            <c:ext xmlns:c16="http://schemas.microsoft.com/office/drawing/2014/chart" uri="{C3380CC4-5D6E-409C-BE32-E72D297353CC}">
              <c16:uniqueId val="{00000000-07A7-4508-A136-01696327674B}"/>
            </c:ext>
          </c:extLst>
        </c:ser>
        <c:ser>
          <c:idx val="2"/>
          <c:order val="1"/>
          <c:tx>
            <c:strRef>
              <c:f>汽车!$I$1</c:f>
              <c:strCache>
                <c:ptCount val="1"/>
                <c:pt idx="0">
                  <c:v>2019</c:v>
                </c:pt>
              </c:strCache>
            </c:strRef>
          </c:tx>
          <c:spPr>
            <a:ln w="28575">
              <a:solidFill>
                <a:srgbClr val="F8CBAD"/>
              </a:solidFill>
              <a:prstDash val="solid"/>
            </a:ln>
          </c:spPr>
          <c:marker>
            <c:symbol val="none"/>
          </c:marker>
          <c:cat>
            <c:numRef>
              <c:f>汽车!$G$2:$G$366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汽车!$I$2:$I$366</c:f>
              <c:numCache>
                <c:formatCode>General</c:formatCode>
                <c:ptCount val="365"/>
                <c:pt idx="0">
                  <c:v>#N/A</c:v>
                </c:pt>
                <c:pt idx="1">
                  <c:v>#N/A</c:v>
                </c:pt>
                <c:pt idx="2">
                  <c:v>#N/A</c:v>
                </c:pt>
                <c:pt idx="3">
                  <c:v>50810</c:v>
                </c:pt>
                <c:pt idx="4">
                  <c:v>#N/A</c:v>
                </c:pt>
                <c:pt idx="5">
                  <c:v>#N/A</c:v>
                </c:pt>
                <c:pt idx="6">
                  <c:v>#N/A</c:v>
                </c:pt>
                <c:pt idx="7">
                  <c:v>#N/A</c:v>
                </c:pt>
                <c:pt idx="8">
                  <c:v>#N/A</c:v>
                </c:pt>
                <c:pt idx="9">
                  <c:v>#N/A</c:v>
                </c:pt>
                <c:pt idx="10">
                  <c:v>55961</c:v>
                </c:pt>
                <c:pt idx="11">
                  <c:v>#N/A</c:v>
                </c:pt>
                <c:pt idx="12">
                  <c:v>#N/A</c:v>
                </c:pt>
                <c:pt idx="13">
                  <c:v>#N/A</c:v>
                </c:pt>
                <c:pt idx="14">
                  <c:v>#N/A</c:v>
                </c:pt>
                <c:pt idx="15">
                  <c:v>#N/A</c:v>
                </c:pt>
                <c:pt idx="16">
                  <c:v>#N/A</c:v>
                </c:pt>
                <c:pt idx="17">
                  <c:v>64639</c:v>
                </c:pt>
                <c:pt idx="18">
                  <c:v>#N/A</c:v>
                </c:pt>
                <c:pt idx="19">
                  <c:v>#N/A</c:v>
                </c:pt>
                <c:pt idx="20">
                  <c:v>#N/A</c:v>
                </c:pt>
                <c:pt idx="21">
                  <c:v>#N/A</c:v>
                </c:pt>
                <c:pt idx="22">
                  <c:v>#N/A</c:v>
                </c:pt>
                <c:pt idx="23">
                  <c:v>#N/A</c:v>
                </c:pt>
                <c:pt idx="24">
                  <c:v>67532</c:v>
                </c:pt>
                <c:pt idx="25">
                  <c:v>#N/A</c:v>
                </c:pt>
                <c:pt idx="26">
                  <c:v>#N/A</c:v>
                </c:pt>
                <c:pt idx="27">
                  <c:v>#N/A</c:v>
                </c:pt>
                <c:pt idx="28">
                  <c:v>#N/A</c:v>
                </c:pt>
                <c:pt idx="29">
                  <c:v>#N/A</c:v>
                </c:pt>
                <c:pt idx="30">
                  <c:v>74453</c:v>
                </c:pt>
                <c:pt idx="31">
                  <c:v>#N/A</c:v>
                </c:pt>
                <c:pt idx="32">
                  <c:v>#N/A</c:v>
                </c:pt>
                <c:pt idx="33">
                  <c:v>#N/A</c:v>
                </c:pt>
                <c:pt idx="34">
                  <c:v>#N/A</c:v>
                </c:pt>
                <c:pt idx="35">
                  <c:v>#N/A</c:v>
                </c:pt>
                <c:pt idx="36">
                  <c:v>#N/A</c:v>
                </c:pt>
                <c:pt idx="37">
                  <c:v>#N/A</c:v>
                </c:pt>
                <c:pt idx="38">
                  <c:v>#N/A</c:v>
                </c:pt>
                <c:pt idx="39">
                  <c:v>#N/A</c:v>
                </c:pt>
                <c:pt idx="40">
                  <c:v>10203</c:v>
                </c:pt>
                <c:pt idx="41">
                  <c:v>#N/A</c:v>
                </c:pt>
                <c:pt idx="42">
                  <c:v>#N/A</c:v>
                </c:pt>
                <c:pt idx="43">
                  <c:v>#N/A</c:v>
                </c:pt>
                <c:pt idx="44">
                  <c:v>#N/A</c:v>
                </c:pt>
                <c:pt idx="45">
                  <c:v>49795</c:v>
                </c:pt>
                <c:pt idx="46">
                  <c:v>#N/A</c:v>
                </c:pt>
                <c:pt idx="47">
                  <c:v>#N/A</c:v>
                </c:pt>
                <c:pt idx="48">
                  <c:v>#N/A</c:v>
                </c:pt>
                <c:pt idx="49">
                  <c:v>#N/A</c:v>
                </c:pt>
                <c:pt idx="50">
                  <c:v>#N/A</c:v>
                </c:pt>
                <c:pt idx="51">
                  <c:v>#N/A</c:v>
                </c:pt>
                <c:pt idx="52">
                  <c:v>39926</c:v>
                </c:pt>
                <c:pt idx="53">
                  <c:v>#N/A</c:v>
                </c:pt>
                <c:pt idx="54">
                  <c:v>#N/A</c:v>
                </c:pt>
                <c:pt idx="55">
                  <c:v>#N/A</c:v>
                </c:pt>
                <c:pt idx="56">
                  <c:v>#N/A</c:v>
                </c:pt>
                <c:pt idx="57">
                  <c:v>#N/A</c:v>
                </c:pt>
                <c:pt idx="58">
                  <c:v>73331</c:v>
                </c:pt>
                <c:pt idx="59">
                  <c:v>#N/A</c:v>
                </c:pt>
                <c:pt idx="60">
                  <c:v>#N/A</c:v>
                </c:pt>
                <c:pt idx="61">
                  <c:v>#N/A</c:v>
                </c:pt>
                <c:pt idx="62">
                  <c:v>#N/A</c:v>
                </c:pt>
                <c:pt idx="63">
                  <c:v>#N/A</c:v>
                </c:pt>
                <c:pt idx="64">
                  <c:v>#N/A</c:v>
                </c:pt>
                <c:pt idx="65">
                  <c:v>#N/A</c:v>
                </c:pt>
                <c:pt idx="66">
                  <c:v>34244</c:v>
                </c:pt>
                <c:pt idx="67">
                  <c:v>#N/A</c:v>
                </c:pt>
                <c:pt idx="68">
                  <c:v>#N/A</c:v>
                </c:pt>
                <c:pt idx="69">
                  <c:v>#N/A</c:v>
                </c:pt>
                <c:pt idx="70">
                  <c:v>#N/A</c:v>
                </c:pt>
                <c:pt idx="71">
                  <c:v>#N/A</c:v>
                </c:pt>
                <c:pt idx="72">
                  <c:v>#N/A</c:v>
                </c:pt>
                <c:pt idx="73">
                  <c:v>40029</c:v>
                </c:pt>
                <c:pt idx="74">
                  <c:v>#N/A</c:v>
                </c:pt>
                <c:pt idx="75">
                  <c:v>#N/A</c:v>
                </c:pt>
                <c:pt idx="76">
                  <c:v>#N/A</c:v>
                </c:pt>
                <c:pt idx="77">
                  <c:v>#N/A</c:v>
                </c:pt>
                <c:pt idx="78">
                  <c:v>#N/A</c:v>
                </c:pt>
                <c:pt idx="79">
                  <c:v>#N/A</c:v>
                </c:pt>
                <c:pt idx="80">
                  <c:v>44666</c:v>
                </c:pt>
                <c:pt idx="81">
                  <c:v>#N/A</c:v>
                </c:pt>
                <c:pt idx="82">
                  <c:v>#N/A</c:v>
                </c:pt>
                <c:pt idx="83">
                  <c:v>#N/A</c:v>
                </c:pt>
                <c:pt idx="84">
                  <c:v>#N/A</c:v>
                </c:pt>
                <c:pt idx="85">
                  <c:v>#N/A</c:v>
                </c:pt>
                <c:pt idx="86">
                  <c:v>#N/A</c:v>
                </c:pt>
                <c:pt idx="87">
                  <c:v>#N/A</c:v>
                </c:pt>
                <c:pt idx="88">
                  <c:v>#N/A</c:v>
                </c:pt>
                <c:pt idx="89">
                  <c:v>75110</c:v>
                </c:pt>
                <c:pt idx="90">
                  <c:v>#N/A</c:v>
                </c:pt>
                <c:pt idx="91">
                  <c:v>#N/A</c:v>
                </c:pt>
                <c:pt idx="92">
                  <c:v>#N/A</c:v>
                </c:pt>
                <c:pt idx="93">
                  <c:v>35321</c:v>
                </c:pt>
                <c:pt idx="94">
                  <c:v>#N/A</c:v>
                </c:pt>
                <c:pt idx="95">
                  <c:v>#N/A</c:v>
                </c:pt>
                <c:pt idx="96">
                  <c:v>#N/A</c:v>
                </c:pt>
                <c:pt idx="97">
                  <c:v>#N/A</c:v>
                </c:pt>
                <c:pt idx="98">
                  <c:v>#N/A</c:v>
                </c:pt>
                <c:pt idx="99">
                  <c:v>#N/A</c:v>
                </c:pt>
                <c:pt idx="100">
                  <c:v>#N/A</c:v>
                </c:pt>
                <c:pt idx="101">
                  <c:v>29333</c:v>
                </c:pt>
                <c:pt idx="102">
                  <c:v>#N/A</c:v>
                </c:pt>
                <c:pt idx="103">
                  <c:v>#N/A</c:v>
                </c:pt>
                <c:pt idx="104">
                  <c:v>#N/A</c:v>
                </c:pt>
                <c:pt idx="105">
                  <c:v>#N/A</c:v>
                </c:pt>
                <c:pt idx="106">
                  <c:v>#N/A</c:v>
                </c:pt>
                <c:pt idx="107">
                  <c:v>#N/A</c:v>
                </c:pt>
                <c:pt idx="108">
                  <c:v>37244</c:v>
                </c:pt>
                <c:pt idx="109">
                  <c:v>#N/A</c:v>
                </c:pt>
                <c:pt idx="110">
                  <c:v>#N/A</c:v>
                </c:pt>
                <c:pt idx="111">
                  <c:v>#N/A</c:v>
                </c:pt>
                <c:pt idx="112">
                  <c:v>#N/A</c:v>
                </c:pt>
                <c:pt idx="113">
                  <c:v>#N/A</c:v>
                </c:pt>
                <c:pt idx="114">
                  <c:v>#N/A</c:v>
                </c:pt>
                <c:pt idx="115">
                  <c:v>46993</c:v>
                </c:pt>
                <c:pt idx="116">
                  <c:v>#N/A</c:v>
                </c:pt>
                <c:pt idx="117">
                  <c:v>#N/A</c:v>
                </c:pt>
                <c:pt idx="118">
                  <c:v>#N/A</c:v>
                </c:pt>
                <c:pt idx="119">
                  <c:v>90658</c:v>
                </c:pt>
                <c:pt idx="120">
                  <c:v>#N/A</c:v>
                </c:pt>
                <c:pt idx="121">
                  <c:v>#N/A</c:v>
                </c:pt>
                <c:pt idx="122">
                  <c:v>#N/A</c:v>
                </c:pt>
                <c:pt idx="123">
                  <c:v>#N/A</c:v>
                </c:pt>
                <c:pt idx="124">
                  <c:v>#N/A</c:v>
                </c:pt>
                <c:pt idx="125">
                  <c:v>#N/A</c:v>
                </c:pt>
                <c:pt idx="126">
                  <c:v>#N/A</c:v>
                </c:pt>
                <c:pt idx="127">
                  <c:v>#N/A</c:v>
                </c:pt>
                <c:pt idx="128">
                  <c:v>#N/A</c:v>
                </c:pt>
                <c:pt idx="129">
                  <c:v>33517</c:v>
                </c:pt>
                <c:pt idx="130">
                  <c:v>#N/A</c:v>
                </c:pt>
                <c:pt idx="131">
                  <c:v>#N/A</c:v>
                </c:pt>
                <c:pt idx="132">
                  <c:v>#N/A</c:v>
                </c:pt>
                <c:pt idx="133">
                  <c:v>#N/A</c:v>
                </c:pt>
                <c:pt idx="134">
                  <c:v>#N/A</c:v>
                </c:pt>
                <c:pt idx="135">
                  <c:v>#N/A</c:v>
                </c:pt>
                <c:pt idx="136">
                  <c:v>39648</c:v>
                </c:pt>
                <c:pt idx="137">
                  <c:v>#N/A</c:v>
                </c:pt>
                <c:pt idx="138">
                  <c:v>#N/A</c:v>
                </c:pt>
                <c:pt idx="139">
                  <c:v>#N/A</c:v>
                </c:pt>
                <c:pt idx="140">
                  <c:v>#N/A</c:v>
                </c:pt>
                <c:pt idx="141">
                  <c:v>#N/A</c:v>
                </c:pt>
                <c:pt idx="142">
                  <c:v>#N/A</c:v>
                </c:pt>
                <c:pt idx="143">
                  <c:v>44146</c:v>
                </c:pt>
                <c:pt idx="144">
                  <c:v>#N/A</c:v>
                </c:pt>
                <c:pt idx="145">
                  <c:v>#N/A</c:v>
                </c:pt>
                <c:pt idx="146">
                  <c:v>#N/A</c:v>
                </c:pt>
                <c:pt idx="147">
                  <c:v>#N/A</c:v>
                </c:pt>
                <c:pt idx="148">
                  <c:v>#N/A</c:v>
                </c:pt>
                <c:pt idx="149">
                  <c:v>#N/A</c:v>
                </c:pt>
                <c:pt idx="150">
                  <c:v>77129</c:v>
                </c:pt>
                <c:pt idx="151">
                  <c:v>#N/A</c:v>
                </c:pt>
                <c:pt idx="152">
                  <c:v>#N/A</c:v>
                </c:pt>
                <c:pt idx="153">
                  <c:v>#N/A</c:v>
                </c:pt>
                <c:pt idx="154">
                  <c:v>#N/A</c:v>
                </c:pt>
                <c:pt idx="155">
                  <c:v>#N/A</c:v>
                </c:pt>
                <c:pt idx="156">
                  <c:v>#N/A</c:v>
                </c:pt>
                <c:pt idx="157">
                  <c:v>#N/A</c:v>
                </c:pt>
                <c:pt idx="158">
                  <c:v>#N/A</c:v>
                </c:pt>
                <c:pt idx="159">
                  <c:v>25074</c:v>
                </c:pt>
                <c:pt idx="160">
                  <c:v>#N/A</c:v>
                </c:pt>
                <c:pt idx="161">
                  <c:v>#N/A</c:v>
                </c:pt>
                <c:pt idx="162">
                  <c:v>#N/A</c:v>
                </c:pt>
                <c:pt idx="163">
                  <c:v>#N/A</c:v>
                </c:pt>
                <c:pt idx="164">
                  <c:v>#N/A</c:v>
                </c:pt>
                <c:pt idx="165">
                  <c:v>#N/A</c:v>
                </c:pt>
                <c:pt idx="166">
                  <c:v>50594</c:v>
                </c:pt>
                <c:pt idx="167">
                  <c:v>#N/A</c:v>
                </c:pt>
                <c:pt idx="168">
                  <c:v>#N/A</c:v>
                </c:pt>
                <c:pt idx="169">
                  <c:v>#N/A</c:v>
                </c:pt>
                <c:pt idx="170">
                  <c:v>#N/A</c:v>
                </c:pt>
                <c:pt idx="171">
                  <c:v>#N/A</c:v>
                </c:pt>
                <c:pt idx="172">
                  <c:v>#N/A</c:v>
                </c:pt>
                <c:pt idx="173">
                  <c:v>55208</c:v>
                </c:pt>
                <c:pt idx="174">
                  <c:v>#N/A</c:v>
                </c:pt>
                <c:pt idx="175">
                  <c:v>#N/A</c:v>
                </c:pt>
                <c:pt idx="176">
                  <c:v>#N/A</c:v>
                </c:pt>
                <c:pt idx="177">
                  <c:v>#N/A</c:v>
                </c:pt>
                <c:pt idx="178">
                  <c:v>#N/A</c:v>
                </c:pt>
                <c:pt idx="179">
                  <c:v>#N/A</c:v>
                </c:pt>
                <c:pt idx="180">
                  <c:v>90831</c:v>
                </c:pt>
                <c:pt idx="181">
                  <c:v>#N/A</c:v>
                </c:pt>
                <c:pt idx="182">
                  <c:v>#N/A</c:v>
                </c:pt>
                <c:pt idx="183">
                  <c:v>#N/A</c:v>
                </c:pt>
                <c:pt idx="184">
                  <c:v>#N/A</c:v>
                </c:pt>
                <c:pt idx="185">
                  <c:v>#N/A</c:v>
                </c:pt>
                <c:pt idx="186">
                  <c:v>#N/A</c:v>
                </c:pt>
                <c:pt idx="187">
                  <c:v>28784</c:v>
                </c:pt>
                <c:pt idx="188">
                  <c:v>#N/A</c:v>
                </c:pt>
                <c:pt idx="189">
                  <c:v>#N/A</c:v>
                </c:pt>
                <c:pt idx="190">
                  <c:v>#N/A</c:v>
                </c:pt>
                <c:pt idx="191">
                  <c:v>#N/A</c:v>
                </c:pt>
                <c:pt idx="192">
                  <c:v>#N/A</c:v>
                </c:pt>
                <c:pt idx="193">
                  <c:v>#N/A</c:v>
                </c:pt>
                <c:pt idx="194">
                  <c:v>34839</c:v>
                </c:pt>
                <c:pt idx="195">
                  <c:v>#N/A</c:v>
                </c:pt>
                <c:pt idx="196">
                  <c:v>#N/A</c:v>
                </c:pt>
                <c:pt idx="197">
                  <c:v>#N/A</c:v>
                </c:pt>
                <c:pt idx="198">
                  <c:v>#N/A</c:v>
                </c:pt>
                <c:pt idx="199">
                  <c:v>#N/A</c:v>
                </c:pt>
                <c:pt idx="200">
                  <c:v>#N/A</c:v>
                </c:pt>
                <c:pt idx="201">
                  <c:v>36186</c:v>
                </c:pt>
                <c:pt idx="202">
                  <c:v>#N/A</c:v>
                </c:pt>
                <c:pt idx="203">
                  <c:v>#N/A</c:v>
                </c:pt>
                <c:pt idx="204">
                  <c:v>#N/A</c:v>
                </c:pt>
                <c:pt idx="205">
                  <c:v>#N/A</c:v>
                </c:pt>
                <c:pt idx="206">
                  <c:v>#N/A</c:v>
                </c:pt>
                <c:pt idx="207">
                  <c:v>#N/A</c:v>
                </c:pt>
                <c:pt idx="208">
                  <c:v>41998</c:v>
                </c:pt>
                <c:pt idx="209">
                  <c:v>#N/A</c:v>
                </c:pt>
                <c:pt idx="210">
                  <c:v>#N/A</c:v>
                </c:pt>
                <c:pt idx="211">
                  <c:v>119666</c:v>
                </c:pt>
                <c:pt idx="212">
                  <c:v>#N/A</c:v>
                </c:pt>
                <c:pt idx="213">
                  <c:v>#N/A</c:v>
                </c:pt>
                <c:pt idx="214">
                  <c:v>#N/A</c:v>
                </c:pt>
                <c:pt idx="215">
                  <c:v>#N/A</c:v>
                </c:pt>
                <c:pt idx="216">
                  <c:v>#N/A</c:v>
                </c:pt>
                <c:pt idx="217">
                  <c:v>#N/A</c:v>
                </c:pt>
                <c:pt idx="218">
                  <c:v>#N/A</c:v>
                </c:pt>
                <c:pt idx="219">
                  <c:v>#N/A</c:v>
                </c:pt>
                <c:pt idx="220">
                  <c:v>#N/A</c:v>
                </c:pt>
                <c:pt idx="221">
                  <c:v>#N/A</c:v>
                </c:pt>
                <c:pt idx="222">
                  <c:v>27235</c:v>
                </c:pt>
                <c:pt idx="223">
                  <c:v>#N/A</c:v>
                </c:pt>
                <c:pt idx="224">
                  <c:v>#N/A</c:v>
                </c:pt>
                <c:pt idx="225">
                  <c:v>#N/A</c:v>
                </c:pt>
                <c:pt idx="226">
                  <c:v>#N/A</c:v>
                </c:pt>
                <c:pt idx="227">
                  <c:v>#N/A</c:v>
                </c:pt>
                <c:pt idx="228">
                  <c:v>#N/A</c:v>
                </c:pt>
                <c:pt idx="229">
                  <c:v>38112</c:v>
                </c:pt>
                <c:pt idx="230">
                  <c:v>#N/A</c:v>
                </c:pt>
                <c:pt idx="231">
                  <c:v>#N/A</c:v>
                </c:pt>
                <c:pt idx="232">
                  <c:v>#N/A</c:v>
                </c:pt>
                <c:pt idx="233">
                  <c:v>#N/A</c:v>
                </c:pt>
                <c:pt idx="234">
                  <c:v>#N/A</c:v>
                </c:pt>
                <c:pt idx="235">
                  <c:v>#N/A</c:v>
                </c:pt>
                <c:pt idx="236">
                  <c:v>44365</c:v>
                </c:pt>
                <c:pt idx="237">
                  <c:v>#N/A</c:v>
                </c:pt>
                <c:pt idx="238">
                  <c:v>#N/A</c:v>
                </c:pt>
                <c:pt idx="239">
                  <c:v>#N/A</c:v>
                </c:pt>
                <c:pt idx="240">
                  <c:v>#N/A</c:v>
                </c:pt>
                <c:pt idx="241">
                  <c:v>#N/A</c:v>
                </c:pt>
                <c:pt idx="242">
                  <c:v>100391</c:v>
                </c:pt>
                <c:pt idx="243">
                  <c:v>#N/A</c:v>
                </c:pt>
                <c:pt idx="244">
                  <c:v>#N/A</c:v>
                </c:pt>
                <c:pt idx="245">
                  <c:v>#N/A</c:v>
                </c:pt>
                <c:pt idx="246">
                  <c:v>#N/A</c:v>
                </c:pt>
                <c:pt idx="247">
                  <c:v>#N/A</c:v>
                </c:pt>
                <c:pt idx="248">
                  <c:v>#N/A</c:v>
                </c:pt>
                <c:pt idx="249">
                  <c:v>#N/A</c:v>
                </c:pt>
                <c:pt idx="250">
                  <c:v>30169</c:v>
                </c:pt>
                <c:pt idx="251">
                  <c:v>#N/A</c:v>
                </c:pt>
                <c:pt idx="252">
                  <c:v>#N/A</c:v>
                </c:pt>
                <c:pt idx="253">
                  <c:v>#N/A</c:v>
                </c:pt>
                <c:pt idx="254">
                  <c:v>#N/A</c:v>
                </c:pt>
                <c:pt idx="255">
                  <c:v>#N/A</c:v>
                </c:pt>
                <c:pt idx="256">
                  <c:v>#N/A</c:v>
                </c:pt>
                <c:pt idx="257">
                  <c:v>39980</c:v>
                </c:pt>
                <c:pt idx="258">
                  <c:v>#N/A</c:v>
                </c:pt>
                <c:pt idx="259">
                  <c:v>#N/A</c:v>
                </c:pt>
                <c:pt idx="260">
                  <c:v>#N/A</c:v>
                </c:pt>
                <c:pt idx="261">
                  <c:v>#N/A</c:v>
                </c:pt>
                <c:pt idx="262">
                  <c:v>#N/A</c:v>
                </c:pt>
                <c:pt idx="263">
                  <c:v>#N/A</c:v>
                </c:pt>
                <c:pt idx="264">
                  <c:v>45458</c:v>
                </c:pt>
                <c:pt idx="265">
                  <c:v>#N/A</c:v>
                </c:pt>
                <c:pt idx="266">
                  <c:v>#N/A</c:v>
                </c:pt>
                <c:pt idx="267">
                  <c:v>#N/A</c:v>
                </c:pt>
                <c:pt idx="268">
                  <c:v>#N/A</c:v>
                </c:pt>
                <c:pt idx="269">
                  <c:v>#N/A</c:v>
                </c:pt>
                <c:pt idx="270">
                  <c:v>#N/A</c:v>
                </c:pt>
                <c:pt idx="271">
                  <c:v>#N/A</c:v>
                </c:pt>
                <c:pt idx="272">
                  <c:v>94281</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32113</c:v>
                </c:pt>
                <c:pt idx="286">
                  <c:v>#N/A</c:v>
                </c:pt>
                <c:pt idx="287">
                  <c:v>#N/A</c:v>
                </c:pt>
                <c:pt idx="288">
                  <c:v>#N/A</c:v>
                </c:pt>
                <c:pt idx="289">
                  <c:v>#N/A</c:v>
                </c:pt>
                <c:pt idx="290">
                  <c:v>#N/A</c:v>
                </c:pt>
                <c:pt idx="291">
                  <c:v>#N/A</c:v>
                </c:pt>
                <c:pt idx="292">
                  <c:v>47673</c:v>
                </c:pt>
                <c:pt idx="293">
                  <c:v>#N/A</c:v>
                </c:pt>
                <c:pt idx="294">
                  <c:v>#N/A</c:v>
                </c:pt>
                <c:pt idx="295">
                  <c:v>#N/A</c:v>
                </c:pt>
                <c:pt idx="296">
                  <c:v>#N/A</c:v>
                </c:pt>
                <c:pt idx="297">
                  <c:v>#N/A</c:v>
                </c:pt>
                <c:pt idx="298">
                  <c:v>#N/A</c:v>
                </c:pt>
                <c:pt idx="299">
                  <c:v>51357</c:v>
                </c:pt>
                <c:pt idx="300">
                  <c:v>#N/A</c:v>
                </c:pt>
                <c:pt idx="301">
                  <c:v>#N/A</c:v>
                </c:pt>
                <c:pt idx="302">
                  <c:v>#N/A</c:v>
                </c:pt>
                <c:pt idx="303">
                  <c:v>136475</c:v>
                </c:pt>
                <c:pt idx="304">
                  <c:v>#N/A</c:v>
                </c:pt>
                <c:pt idx="305">
                  <c:v>#N/A</c:v>
                </c:pt>
                <c:pt idx="306">
                  <c:v>#N/A</c:v>
                </c:pt>
                <c:pt idx="307">
                  <c:v>#N/A</c:v>
                </c:pt>
                <c:pt idx="308">
                  <c:v>#N/A</c:v>
                </c:pt>
                <c:pt idx="309">
                  <c:v>#N/A</c:v>
                </c:pt>
                <c:pt idx="310">
                  <c:v>#N/A</c:v>
                </c:pt>
                <c:pt idx="311">
                  <c:v>#N/A</c:v>
                </c:pt>
                <c:pt idx="312">
                  <c:v>#N/A</c:v>
                </c:pt>
                <c:pt idx="313">
                  <c:v>21695</c:v>
                </c:pt>
                <c:pt idx="314">
                  <c:v>#N/A</c:v>
                </c:pt>
                <c:pt idx="315">
                  <c:v>#N/A</c:v>
                </c:pt>
                <c:pt idx="316">
                  <c:v>#N/A</c:v>
                </c:pt>
                <c:pt idx="317">
                  <c:v>#N/A</c:v>
                </c:pt>
                <c:pt idx="318">
                  <c:v>#N/A</c:v>
                </c:pt>
                <c:pt idx="319">
                  <c:v>#N/A</c:v>
                </c:pt>
                <c:pt idx="320">
                  <c:v>48783</c:v>
                </c:pt>
                <c:pt idx="321">
                  <c:v>#N/A</c:v>
                </c:pt>
                <c:pt idx="322">
                  <c:v>#N/A</c:v>
                </c:pt>
                <c:pt idx="323">
                  <c:v>#N/A</c:v>
                </c:pt>
                <c:pt idx="324">
                  <c:v>#N/A</c:v>
                </c:pt>
                <c:pt idx="325">
                  <c:v>#N/A</c:v>
                </c:pt>
                <c:pt idx="326">
                  <c:v>#N/A</c:v>
                </c:pt>
                <c:pt idx="327">
                  <c:v>49058</c:v>
                </c:pt>
                <c:pt idx="328">
                  <c:v>#N/A</c:v>
                </c:pt>
                <c:pt idx="329">
                  <c:v>#N/A</c:v>
                </c:pt>
                <c:pt idx="330">
                  <c:v>#N/A</c:v>
                </c:pt>
                <c:pt idx="331">
                  <c:v>#N/A</c:v>
                </c:pt>
                <c:pt idx="332">
                  <c:v>#N/A</c:v>
                </c:pt>
                <c:pt idx="333">
                  <c:v>125539</c:v>
                </c:pt>
                <c:pt idx="334">
                  <c:v>#N/A</c:v>
                </c:pt>
                <c:pt idx="335">
                  <c:v>#N/A</c:v>
                </c:pt>
                <c:pt idx="336">
                  <c:v>#N/A</c:v>
                </c:pt>
                <c:pt idx="337">
                  <c:v>#N/A</c:v>
                </c:pt>
                <c:pt idx="338">
                  <c:v>#N/A</c:v>
                </c:pt>
                <c:pt idx="339">
                  <c:v>#N/A</c:v>
                </c:pt>
                <c:pt idx="340">
                  <c:v>#N/A</c:v>
                </c:pt>
                <c:pt idx="341">
                  <c:v>30200</c:v>
                </c:pt>
                <c:pt idx="342">
                  <c:v>#N/A</c:v>
                </c:pt>
                <c:pt idx="343">
                  <c:v>#N/A</c:v>
                </c:pt>
                <c:pt idx="344">
                  <c:v>#N/A</c:v>
                </c:pt>
                <c:pt idx="345">
                  <c:v>#N/A</c:v>
                </c:pt>
                <c:pt idx="346">
                  <c:v>#N/A</c:v>
                </c:pt>
                <c:pt idx="347">
                  <c:v>#N/A</c:v>
                </c:pt>
                <c:pt idx="348">
                  <c:v>49484</c:v>
                </c:pt>
                <c:pt idx="349">
                  <c:v>#N/A</c:v>
                </c:pt>
                <c:pt idx="350">
                  <c:v>#N/A</c:v>
                </c:pt>
                <c:pt idx="351">
                  <c:v>#N/A</c:v>
                </c:pt>
                <c:pt idx="352">
                  <c:v>#N/A</c:v>
                </c:pt>
                <c:pt idx="353">
                  <c:v>#N/A</c:v>
                </c:pt>
                <c:pt idx="354">
                  <c:v>#N/A</c:v>
                </c:pt>
                <c:pt idx="355">
                  <c:v>55974</c:v>
                </c:pt>
                <c:pt idx="356">
                  <c:v>#N/A</c:v>
                </c:pt>
                <c:pt idx="357">
                  <c:v>#N/A</c:v>
                </c:pt>
                <c:pt idx="358">
                  <c:v>#N/A</c:v>
                </c:pt>
                <c:pt idx="359">
                  <c:v>#N/A</c:v>
                </c:pt>
                <c:pt idx="360">
                  <c:v>#N/A</c:v>
                </c:pt>
                <c:pt idx="361">
                  <c:v>#N/A</c:v>
                </c:pt>
                <c:pt idx="362">
                  <c:v>#N/A</c:v>
                </c:pt>
                <c:pt idx="363">
                  <c:v>#N/A</c:v>
                </c:pt>
                <c:pt idx="364">
                  <c:v>111421</c:v>
                </c:pt>
              </c:numCache>
            </c:numRef>
          </c:val>
          <c:smooth val="1"/>
          <c:extLst xmlns:c16r2="http://schemas.microsoft.com/office/drawing/2015/06/chart">
            <c:ext xmlns:c16="http://schemas.microsoft.com/office/drawing/2014/chart" uri="{C3380CC4-5D6E-409C-BE32-E72D297353CC}">
              <c16:uniqueId val="{00000001-07A7-4508-A136-01696327674B}"/>
            </c:ext>
          </c:extLst>
        </c:ser>
        <c:ser>
          <c:idx val="1"/>
          <c:order val="2"/>
          <c:tx>
            <c:strRef>
              <c:f>汽车!$J$1</c:f>
              <c:strCache>
                <c:ptCount val="1"/>
                <c:pt idx="0">
                  <c:v>2020</c:v>
                </c:pt>
              </c:strCache>
            </c:strRef>
          </c:tx>
          <c:spPr>
            <a:ln w="28575">
              <a:solidFill>
                <a:srgbClr val="BF5711"/>
              </a:solidFill>
              <a:prstDash val="solid"/>
            </a:ln>
          </c:spPr>
          <c:marker>
            <c:symbol val="none"/>
          </c:marker>
          <c:cat>
            <c:numRef>
              <c:f>汽车!$G$2:$G$366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汽车!$J$2:$J$366</c:f>
              <c:numCache>
                <c:formatCode>General</c:formatCode>
                <c:ptCount val="365"/>
                <c:pt idx="0">
                  <c:v>#N/A</c:v>
                </c:pt>
                <c:pt idx="1">
                  <c:v>#N/A</c:v>
                </c:pt>
                <c:pt idx="2">
                  <c:v>#N/A</c:v>
                </c:pt>
                <c:pt idx="3">
                  <c:v>#N/A</c:v>
                </c:pt>
                <c:pt idx="4">
                  <c:v>#N/A</c:v>
                </c:pt>
                <c:pt idx="5">
                  <c:v>#N/A</c:v>
                </c:pt>
                <c:pt idx="6">
                  <c:v>#N/A</c:v>
                </c:pt>
                <c:pt idx="7">
                  <c:v>#N/A</c:v>
                </c:pt>
                <c:pt idx="8">
                  <c:v>#N/A</c:v>
                </c:pt>
                <c:pt idx="9">
                  <c:v>#N/A</c:v>
                </c:pt>
                <c:pt idx="10">
                  <c:v>#N/A</c:v>
                </c:pt>
                <c:pt idx="11">
                  <c:v>49227</c:v>
                </c:pt>
                <c:pt idx="12">
                  <c:v>#N/A</c:v>
                </c:pt>
                <c:pt idx="13">
                  <c:v>#N/A</c:v>
                </c:pt>
                <c:pt idx="14">
                  <c:v>#N/A</c:v>
                </c:pt>
                <c:pt idx="15">
                  <c:v>#N/A</c:v>
                </c:pt>
                <c:pt idx="16">
                  <c:v>#N/A</c:v>
                </c:pt>
                <c:pt idx="17">
                  <c:v>86372</c:v>
                </c:pt>
                <c:pt idx="18">
                  <c:v>#N/A</c:v>
                </c:pt>
                <c:pt idx="19">
                  <c:v>#N/A</c:v>
                </c:pt>
                <c:pt idx="20">
                  <c:v>#N/A</c:v>
                </c:pt>
                <c:pt idx="21">
                  <c:v>#N/A</c:v>
                </c:pt>
                <c:pt idx="22">
                  <c:v>#N/A</c:v>
                </c:pt>
                <c:pt idx="23">
                  <c:v>#N/A</c:v>
                </c:pt>
                <c:pt idx="24">
                  <c:v>#N/A</c:v>
                </c:pt>
                <c:pt idx="25">
                  <c:v>#N/A</c:v>
                </c:pt>
                <c:pt idx="26">
                  <c:v>#N/A</c:v>
                </c:pt>
                <c:pt idx="27">
                  <c:v>#N/A</c:v>
                </c:pt>
                <c:pt idx="28">
                  <c:v>#N/A</c:v>
                </c:pt>
                <c:pt idx="29">
                  <c:v>#N/A</c:v>
                </c:pt>
                <c:pt idx="30">
                  <c:v>38611</c:v>
                </c:pt>
                <c:pt idx="31">
                  <c:v>#N/A</c:v>
                </c:pt>
                <c:pt idx="32">
                  <c:v>#N/A</c:v>
                </c:pt>
                <c:pt idx="33">
                  <c:v>#N/A</c:v>
                </c:pt>
                <c:pt idx="34">
                  <c:v>#N/A</c:v>
                </c:pt>
                <c:pt idx="35">
                  <c:v>#N/A</c:v>
                </c:pt>
                <c:pt idx="36">
                  <c:v>#N/A</c:v>
                </c:pt>
                <c:pt idx="37">
                  <c:v>#N/A</c:v>
                </c:pt>
                <c:pt idx="38">
                  <c:v>#N/A</c:v>
                </c:pt>
                <c:pt idx="39">
                  <c:v>811</c:v>
                </c:pt>
                <c:pt idx="40">
                  <c:v>#N/A</c:v>
                </c:pt>
                <c:pt idx="41">
                  <c:v>#N/A</c:v>
                </c:pt>
                <c:pt idx="42">
                  <c:v>#N/A</c:v>
                </c:pt>
                <c:pt idx="43">
                  <c:v>#N/A</c:v>
                </c:pt>
                <c:pt idx="44">
                  <c:v>#N/A</c:v>
                </c:pt>
                <c:pt idx="45">
                  <c:v>#N/A</c:v>
                </c:pt>
                <c:pt idx="46">
                  <c:v>4098</c:v>
                </c:pt>
                <c:pt idx="47">
                  <c:v>#N/A</c:v>
                </c:pt>
                <c:pt idx="48">
                  <c:v>#N/A</c:v>
                </c:pt>
                <c:pt idx="49">
                  <c:v>#N/A</c:v>
                </c:pt>
                <c:pt idx="50">
                  <c:v>#N/A</c:v>
                </c:pt>
                <c:pt idx="51">
                  <c:v>#N/A</c:v>
                </c:pt>
                <c:pt idx="52">
                  <c:v>#N/A</c:v>
                </c:pt>
                <c:pt idx="53">
                  <c:v>5411</c:v>
                </c:pt>
                <c:pt idx="54">
                  <c:v>#N/A</c:v>
                </c:pt>
                <c:pt idx="55">
                  <c:v>#N/A</c:v>
                </c:pt>
                <c:pt idx="56">
                  <c:v>#N/A</c:v>
                </c:pt>
                <c:pt idx="57">
                  <c:v>#N/A</c:v>
                </c:pt>
                <c:pt idx="58">
                  <c:v>#N/A</c:v>
                </c:pt>
                <c:pt idx="59">
                  <c:v>16500</c:v>
                </c:pt>
                <c:pt idx="60">
                  <c:v>#N/A</c:v>
                </c:pt>
                <c:pt idx="61">
                  <c:v>#N/A</c:v>
                </c:pt>
                <c:pt idx="62">
                  <c:v>#N/A</c:v>
                </c:pt>
                <c:pt idx="63">
                  <c:v>#N/A</c:v>
                </c:pt>
                <c:pt idx="64">
                  <c:v>#N/A</c:v>
                </c:pt>
                <c:pt idx="65">
                  <c:v>#N/A</c:v>
                </c:pt>
                <c:pt idx="66">
                  <c:v>#N/A</c:v>
                </c:pt>
                <c:pt idx="67">
                  <c:v>16325</c:v>
                </c:pt>
                <c:pt idx="68">
                  <c:v>#N/A</c:v>
                </c:pt>
                <c:pt idx="69">
                  <c:v>#N/A</c:v>
                </c:pt>
                <c:pt idx="70">
                  <c:v>#N/A</c:v>
                </c:pt>
                <c:pt idx="71">
                  <c:v>#N/A</c:v>
                </c:pt>
                <c:pt idx="72">
                  <c:v>#N/A</c:v>
                </c:pt>
                <c:pt idx="73">
                  <c:v>#N/A</c:v>
                </c:pt>
                <c:pt idx="74">
                  <c:v>21696</c:v>
                </c:pt>
                <c:pt idx="75">
                  <c:v>#N/A</c:v>
                </c:pt>
                <c:pt idx="76">
                  <c:v>#N/A</c:v>
                </c:pt>
                <c:pt idx="77">
                  <c:v>#N/A</c:v>
                </c:pt>
                <c:pt idx="78">
                  <c:v>#N/A</c:v>
                </c:pt>
                <c:pt idx="79">
                  <c:v>#N/A</c:v>
                </c:pt>
                <c:pt idx="80">
                  <c:v>#N/A</c:v>
                </c:pt>
                <c:pt idx="81">
                  <c:v>25842</c:v>
                </c:pt>
                <c:pt idx="82">
                  <c:v>#N/A</c:v>
                </c:pt>
                <c:pt idx="83">
                  <c:v>#N/A</c:v>
                </c:pt>
                <c:pt idx="84">
                  <c:v>#N/A</c:v>
                </c:pt>
                <c:pt idx="85">
                  <c:v>#N/A</c:v>
                </c:pt>
                <c:pt idx="86">
                  <c:v>#N/A</c:v>
                </c:pt>
                <c:pt idx="87">
                  <c:v>#N/A</c:v>
                </c:pt>
                <c:pt idx="88">
                  <c:v>#N/A</c:v>
                </c:pt>
                <c:pt idx="89">
                  <c:v>#N/A</c:v>
                </c:pt>
                <c:pt idx="90">
                  <c:v>53897</c:v>
                </c:pt>
                <c:pt idx="91">
                  <c:v>#N/A</c:v>
                </c:pt>
                <c:pt idx="92">
                  <c:v>#N/A</c:v>
                </c:pt>
                <c:pt idx="93">
                  <c:v>#N/A</c:v>
                </c:pt>
                <c:pt idx="94">
                  <c:v>#N/A</c:v>
                </c:pt>
                <c:pt idx="95">
                  <c:v>#N/A</c:v>
                </c:pt>
                <c:pt idx="96">
                  <c:v>21976</c:v>
                </c:pt>
                <c:pt idx="97">
                  <c:v>#N/A</c:v>
                </c:pt>
                <c:pt idx="98">
                  <c:v>#N/A</c:v>
                </c:pt>
                <c:pt idx="99">
                  <c:v>#N/A</c:v>
                </c:pt>
                <c:pt idx="100">
                  <c:v>#N/A</c:v>
                </c:pt>
                <c:pt idx="101">
                  <c:v>#N/A</c:v>
                </c:pt>
                <c:pt idx="102">
                  <c:v>33438</c:v>
                </c:pt>
                <c:pt idx="103">
                  <c:v>#N/A</c:v>
                </c:pt>
                <c:pt idx="104">
                  <c:v>#N/A</c:v>
                </c:pt>
                <c:pt idx="105">
                  <c:v>#N/A</c:v>
                </c:pt>
                <c:pt idx="106">
                  <c:v>#N/A</c:v>
                </c:pt>
                <c:pt idx="107">
                  <c:v>#N/A</c:v>
                </c:pt>
                <c:pt idx="108">
                  <c:v>#N/A</c:v>
                </c:pt>
                <c:pt idx="109">
                  <c:v>36964</c:v>
                </c:pt>
                <c:pt idx="110">
                  <c:v>#N/A</c:v>
                </c:pt>
                <c:pt idx="111">
                  <c:v>#N/A</c:v>
                </c:pt>
                <c:pt idx="112">
                  <c:v>#N/A</c:v>
                </c:pt>
                <c:pt idx="113">
                  <c:v>#N/A</c:v>
                </c:pt>
                <c:pt idx="114">
                  <c:v>#N/A</c:v>
                </c:pt>
                <c:pt idx="115">
                  <c:v>48794</c:v>
                </c:pt>
                <c:pt idx="116">
                  <c:v>#N/A</c:v>
                </c:pt>
                <c:pt idx="117">
                  <c:v>#N/A</c:v>
                </c:pt>
                <c:pt idx="118">
                  <c:v>#N/A</c:v>
                </c:pt>
                <c:pt idx="119">
                  <c:v>#N/A</c:v>
                </c:pt>
                <c:pt idx="120">
                  <c:v>#N/A</c:v>
                </c:pt>
                <c:pt idx="121">
                  <c:v>#N/A</c:v>
                </c:pt>
                <c:pt idx="122">
                  <c:v>#N/A</c:v>
                </c:pt>
                <c:pt idx="123">
                  <c:v>#N/A</c:v>
                </c:pt>
                <c:pt idx="124">
                  <c:v>#N/A</c:v>
                </c:pt>
                <c:pt idx="125">
                  <c:v>#N/A</c:v>
                </c:pt>
                <c:pt idx="126">
                  <c:v>#N/A</c:v>
                </c:pt>
                <c:pt idx="127">
                  <c:v>#N/A</c:v>
                </c:pt>
                <c:pt idx="128">
                  <c:v>#N/A</c:v>
                </c:pt>
                <c:pt idx="129">
                  <c:v>#N/A</c:v>
                </c:pt>
                <c:pt idx="130">
                  <c:v>32006</c:v>
                </c:pt>
                <c:pt idx="131">
                  <c:v>#N/A</c:v>
                </c:pt>
                <c:pt idx="132">
                  <c:v>#N/A</c:v>
                </c:pt>
                <c:pt idx="133">
                  <c:v>#N/A</c:v>
                </c:pt>
                <c:pt idx="134">
                  <c:v>#N/A</c:v>
                </c:pt>
                <c:pt idx="135">
                  <c:v>#N/A</c:v>
                </c:pt>
                <c:pt idx="136">
                  <c:v>#N/A</c:v>
                </c:pt>
                <c:pt idx="137">
                  <c:v>39118</c:v>
                </c:pt>
                <c:pt idx="138">
                  <c:v>#N/A</c:v>
                </c:pt>
                <c:pt idx="139">
                  <c:v>#N/A</c:v>
                </c:pt>
                <c:pt idx="140">
                  <c:v>#N/A</c:v>
                </c:pt>
                <c:pt idx="141">
                  <c:v>#N/A</c:v>
                </c:pt>
                <c:pt idx="142">
                  <c:v>#N/A</c:v>
                </c:pt>
                <c:pt idx="143">
                  <c:v>#N/A</c:v>
                </c:pt>
                <c:pt idx="144">
                  <c:v>41267</c:v>
                </c:pt>
                <c:pt idx="145">
                  <c:v>#N/A</c:v>
                </c:pt>
                <c:pt idx="146">
                  <c:v>#N/A</c:v>
                </c:pt>
                <c:pt idx="147">
                  <c:v>#N/A</c:v>
                </c:pt>
                <c:pt idx="148">
                  <c:v>#N/A</c:v>
                </c:pt>
                <c:pt idx="149">
                  <c:v>#N/A</c:v>
                </c:pt>
                <c:pt idx="150">
                  <c:v>#N/A</c:v>
                </c:pt>
                <c:pt idx="151">
                  <c:v>100140</c:v>
                </c:pt>
                <c:pt idx="152">
                  <c:v>#N/A</c:v>
                </c:pt>
                <c:pt idx="153">
                  <c:v>#N/A</c:v>
                </c:pt>
                <c:pt idx="154">
                  <c:v>#N/A</c:v>
                </c:pt>
                <c:pt idx="155">
                  <c:v>#N/A</c:v>
                </c:pt>
                <c:pt idx="156">
                  <c:v>#N/A</c:v>
                </c:pt>
                <c:pt idx="157">
                  <c:v>#N/A</c:v>
                </c:pt>
                <c:pt idx="158">
                  <c:v>25725</c:v>
                </c:pt>
                <c:pt idx="159">
                  <c:v>#N/A</c:v>
                </c:pt>
                <c:pt idx="160">
                  <c:v>#N/A</c:v>
                </c:pt>
                <c:pt idx="161">
                  <c:v>#N/A</c:v>
                </c:pt>
                <c:pt idx="162">
                  <c:v>#N/A</c:v>
                </c:pt>
                <c:pt idx="163">
                  <c:v>#N/A</c:v>
                </c:pt>
                <c:pt idx="164">
                  <c:v>#N/A</c:v>
                </c:pt>
                <c:pt idx="165">
                  <c:v>36600</c:v>
                </c:pt>
                <c:pt idx="166">
                  <c:v>#N/A</c:v>
                </c:pt>
                <c:pt idx="167">
                  <c:v>#N/A</c:v>
                </c:pt>
                <c:pt idx="168">
                  <c:v>#N/A</c:v>
                </c:pt>
                <c:pt idx="169">
                  <c:v>#N/A</c:v>
                </c:pt>
                <c:pt idx="170">
                  <c:v>#N/A</c:v>
                </c:pt>
                <c:pt idx="171">
                  <c:v>#N/A</c:v>
                </c:pt>
                <c:pt idx="172">
                  <c:v>43899</c:v>
                </c:pt>
                <c:pt idx="173">
                  <c:v>#N/A</c:v>
                </c:pt>
                <c:pt idx="174">
                  <c:v>#N/A</c:v>
                </c:pt>
                <c:pt idx="175">
                  <c:v>#N/A</c:v>
                </c:pt>
                <c:pt idx="176">
                  <c:v>#N/A</c:v>
                </c:pt>
                <c:pt idx="177">
                  <c:v>#N/A</c:v>
                </c:pt>
                <c:pt idx="178">
                  <c:v>51627</c:v>
                </c:pt>
                <c:pt idx="179">
                  <c:v>#N/A</c:v>
                </c:pt>
                <c:pt idx="180">
                  <c:v>#N/A</c:v>
                </c:pt>
                <c:pt idx="181">
                  <c:v>152553</c:v>
                </c:pt>
                <c:pt idx="182">
                  <c:v>#N/A</c:v>
                </c:pt>
                <c:pt idx="183">
                  <c:v>#N/A</c:v>
                </c:pt>
                <c:pt idx="184">
                  <c:v>#N/A</c:v>
                </c:pt>
                <c:pt idx="185">
                  <c:v>#N/A</c:v>
                </c:pt>
                <c:pt idx="186">
                  <c:v>24884</c:v>
                </c:pt>
                <c:pt idx="187">
                  <c:v>#N/A</c:v>
                </c:pt>
                <c:pt idx="188">
                  <c:v>#N/A</c:v>
                </c:pt>
                <c:pt idx="189">
                  <c:v>#N/A</c:v>
                </c:pt>
                <c:pt idx="190">
                  <c:v>#N/A</c:v>
                </c:pt>
                <c:pt idx="191">
                  <c:v>#N/A</c:v>
                </c:pt>
                <c:pt idx="192">
                  <c:v>#N/A</c:v>
                </c:pt>
                <c:pt idx="193">
                  <c:v>31347</c:v>
                </c:pt>
                <c:pt idx="194">
                  <c:v>#N/A</c:v>
                </c:pt>
                <c:pt idx="195">
                  <c:v>#N/A</c:v>
                </c:pt>
                <c:pt idx="196">
                  <c:v>#N/A</c:v>
                </c:pt>
                <c:pt idx="197">
                  <c:v>#N/A</c:v>
                </c:pt>
                <c:pt idx="198">
                  <c:v>#N/A</c:v>
                </c:pt>
                <c:pt idx="199">
                  <c:v>#N/A</c:v>
                </c:pt>
                <c:pt idx="200">
                  <c:v>38390</c:v>
                </c:pt>
                <c:pt idx="201">
                  <c:v>#N/A</c:v>
                </c:pt>
                <c:pt idx="202">
                  <c:v>#N/A</c:v>
                </c:pt>
                <c:pt idx="203">
                  <c:v>#N/A</c:v>
                </c:pt>
                <c:pt idx="204">
                  <c:v>#N/A</c:v>
                </c:pt>
                <c:pt idx="205">
                  <c:v>#N/A</c:v>
                </c:pt>
                <c:pt idx="206">
                  <c:v>#N/A</c:v>
                </c:pt>
                <c:pt idx="207">
                  <c:v>48486</c:v>
                </c:pt>
                <c:pt idx="208">
                  <c:v>#N/A</c:v>
                </c:pt>
                <c:pt idx="209">
                  <c:v>#N/A</c:v>
                </c:pt>
                <c:pt idx="210">
                  <c:v>#N/A</c:v>
                </c:pt>
                <c:pt idx="211">
                  <c:v>#N/A</c:v>
                </c:pt>
                <c:pt idx="212">
                  <c:v>94598</c:v>
                </c:pt>
                <c:pt idx="213">
                  <c:v>#N/A</c:v>
                </c:pt>
                <c:pt idx="214">
                  <c:v>#N/A</c:v>
                </c:pt>
                <c:pt idx="215">
                  <c:v>#N/A</c:v>
                </c:pt>
                <c:pt idx="216">
                  <c:v>#N/A</c:v>
                </c:pt>
                <c:pt idx="217">
                  <c:v>#N/A</c:v>
                </c:pt>
                <c:pt idx="218">
                  <c:v>#N/A</c:v>
                </c:pt>
                <c:pt idx="219">
                  <c:v>#N/A</c:v>
                </c:pt>
                <c:pt idx="220">
                  <c:v>#N/A</c:v>
                </c:pt>
                <c:pt idx="221">
                  <c:v>29815</c:v>
                </c:pt>
                <c:pt idx="222">
                  <c:v>#N/A</c:v>
                </c:pt>
                <c:pt idx="223">
                  <c:v>#N/A</c:v>
                </c:pt>
                <c:pt idx="224">
                  <c:v>#N/A</c:v>
                </c:pt>
                <c:pt idx="225">
                  <c:v>#N/A</c:v>
                </c:pt>
                <c:pt idx="226">
                  <c:v>#N/A</c:v>
                </c:pt>
                <c:pt idx="227">
                  <c:v>#N/A</c:v>
                </c:pt>
                <c:pt idx="228">
                  <c:v>39095</c:v>
                </c:pt>
                <c:pt idx="229">
                  <c:v>#N/A</c:v>
                </c:pt>
                <c:pt idx="230">
                  <c:v>#N/A</c:v>
                </c:pt>
                <c:pt idx="231">
                  <c:v>#N/A</c:v>
                </c:pt>
                <c:pt idx="232">
                  <c:v>#N/A</c:v>
                </c:pt>
                <c:pt idx="233">
                  <c:v>#N/A</c:v>
                </c:pt>
                <c:pt idx="234">
                  <c:v>#N/A</c:v>
                </c:pt>
                <c:pt idx="235">
                  <c:v>44849</c:v>
                </c:pt>
                <c:pt idx="236">
                  <c:v>#N/A</c:v>
                </c:pt>
                <c:pt idx="237">
                  <c:v>#N/A</c:v>
                </c:pt>
                <c:pt idx="238">
                  <c:v>#N/A</c:v>
                </c:pt>
                <c:pt idx="239">
                  <c:v>#N/A</c:v>
                </c:pt>
                <c:pt idx="240">
                  <c:v>#N/A</c:v>
                </c:pt>
                <c:pt idx="241">
                  <c:v>#N/A</c:v>
                </c:pt>
                <c:pt idx="242">
                  <c:v>#N/A</c:v>
                </c:pt>
                <c:pt idx="243">
                  <c:v>88529</c:v>
                </c:pt>
                <c:pt idx="244">
                  <c:v>#N/A</c:v>
                </c:pt>
                <c:pt idx="245">
                  <c:v>#N/A</c:v>
                </c:pt>
                <c:pt idx="246">
                  <c:v>#N/A</c:v>
                </c:pt>
                <c:pt idx="247">
                  <c:v>#N/A</c:v>
                </c:pt>
                <c:pt idx="248">
                  <c:v>#N/A</c:v>
                </c:pt>
                <c:pt idx="249">
                  <c:v>30333</c:v>
                </c:pt>
                <c:pt idx="250">
                  <c:v>#N/A</c:v>
                </c:pt>
                <c:pt idx="251">
                  <c:v>#N/A</c:v>
                </c:pt>
                <c:pt idx="252">
                  <c:v>#N/A</c:v>
                </c:pt>
                <c:pt idx="253">
                  <c:v>#N/A</c:v>
                </c:pt>
                <c:pt idx="254">
                  <c:v>#N/A</c:v>
                </c:pt>
                <c:pt idx="255">
                  <c:v>#N/A</c:v>
                </c:pt>
                <c:pt idx="256">
                  <c:v>42500</c:v>
                </c:pt>
                <c:pt idx="257">
                  <c:v>#N/A</c:v>
                </c:pt>
                <c:pt idx="258">
                  <c:v>#N/A</c:v>
                </c:pt>
                <c:pt idx="259">
                  <c:v>#N/A</c:v>
                </c:pt>
                <c:pt idx="260">
                  <c:v>#N/A</c:v>
                </c:pt>
                <c:pt idx="261">
                  <c:v>#N/A</c:v>
                </c:pt>
                <c:pt idx="262">
                  <c:v>#N/A</c:v>
                </c:pt>
                <c:pt idx="263">
                  <c:v>46582</c:v>
                </c:pt>
                <c:pt idx="264">
                  <c:v>#N/A</c:v>
                </c:pt>
                <c:pt idx="265">
                  <c:v>#N/A</c:v>
                </c:pt>
                <c:pt idx="266">
                  <c:v>#N/A</c:v>
                </c:pt>
                <c:pt idx="267">
                  <c:v>#N/A</c:v>
                </c:pt>
                <c:pt idx="268">
                  <c:v>#N/A</c:v>
                </c:pt>
                <c:pt idx="269">
                  <c:v>66694</c:v>
                </c:pt>
                <c:pt idx="270">
                  <c:v>#N/A</c:v>
                </c:pt>
                <c:pt idx="271">
                  <c:v>#N/A</c:v>
                </c:pt>
                <c:pt idx="272">
                  <c:v>#N/A</c:v>
                </c:pt>
                <c:pt idx="273">
                  <c:v>136287</c:v>
                </c:pt>
                <c:pt idx="274">
                  <c:v>#N/A</c:v>
                </c:pt>
                <c:pt idx="275">
                  <c:v>#N/A</c:v>
                </c:pt>
                <c:pt idx="276">
                  <c:v>#N/A</c:v>
                </c:pt>
                <c:pt idx="277">
                  <c:v>#N/A</c:v>
                </c:pt>
                <c:pt idx="278">
                  <c:v>#N/A</c:v>
                </c:pt>
                <c:pt idx="279">
                  <c:v>#N/A</c:v>
                </c:pt>
                <c:pt idx="280">
                  <c:v>#N/A</c:v>
                </c:pt>
                <c:pt idx="281">
                  <c:v>24760</c:v>
                </c:pt>
                <c:pt idx="282">
                  <c:v>#N/A</c:v>
                </c:pt>
                <c:pt idx="283">
                  <c:v>#N/A</c:v>
                </c:pt>
                <c:pt idx="284">
                  <c:v>63535</c:v>
                </c:pt>
                <c:pt idx="285">
                  <c:v>#N/A</c:v>
                </c:pt>
                <c:pt idx="286">
                  <c:v>#N/A</c:v>
                </c:pt>
                <c:pt idx="287">
                  <c:v>#N/A</c:v>
                </c:pt>
                <c:pt idx="288">
                  <c:v>#N/A</c:v>
                </c:pt>
                <c:pt idx="289">
                  <c:v>#N/A</c:v>
                </c:pt>
                <c:pt idx="290">
                  <c:v>#N/A</c:v>
                </c:pt>
                <c:pt idx="291">
                  <c:v>53138</c:v>
                </c:pt>
                <c:pt idx="292">
                  <c:v>#N/A</c:v>
                </c:pt>
                <c:pt idx="293">
                  <c:v>#N/A</c:v>
                </c:pt>
                <c:pt idx="294">
                  <c:v>#N/A</c:v>
                </c:pt>
                <c:pt idx="295">
                  <c:v>#N/A</c:v>
                </c:pt>
                <c:pt idx="296">
                  <c:v>#N/A</c:v>
                </c:pt>
                <c:pt idx="297">
                  <c:v>#N/A</c:v>
                </c:pt>
                <c:pt idx="298">
                  <c:v>53412</c:v>
                </c:pt>
                <c:pt idx="299">
                  <c:v>#N/A</c:v>
                </c:pt>
                <c:pt idx="300">
                  <c:v>#N/A</c:v>
                </c:pt>
                <c:pt idx="301">
                  <c:v>#N/A</c:v>
                </c:pt>
                <c:pt idx="302">
                  <c:v>#N/A</c:v>
                </c:pt>
                <c:pt idx="303">
                  <c:v>#N/A</c:v>
                </c:pt>
                <c:pt idx="304">
                  <c:v>106828</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07A7-4508-A136-01696327674B}"/>
            </c:ext>
          </c:extLst>
        </c:ser>
        <c:dLbls>
          <c:showLegendKey val="0"/>
          <c:showVal val="0"/>
          <c:showCatName val="0"/>
          <c:showSerName val="0"/>
          <c:showPercent val="0"/>
          <c:showBubbleSize val="0"/>
        </c:dLbls>
        <c:marker val="1"/>
        <c:smooth val="0"/>
        <c:axId val="367499904"/>
        <c:axId val="367501696"/>
      </c:lineChart>
      <c:dateAx>
        <c:axId val="367499904"/>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67501696"/>
        <c:crosses val="autoZero"/>
        <c:auto val="0"/>
        <c:lblOffset val="0"/>
        <c:baseTimeUnit val="days"/>
        <c:majorUnit val="1"/>
        <c:majorTimeUnit val="months"/>
      </c:dateAx>
      <c:valAx>
        <c:axId val="367501696"/>
        <c:scaling>
          <c:orientation val="minMax"/>
          <c:min val="3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67499904"/>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猪价!$I$1</c:f>
              <c:strCache>
                <c:ptCount val="1"/>
                <c:pt idx="0">
                  <c:v>2019</c:v>
                </c:pt>
              </c:strCache>
            </c:strRef>
          </c:tx>
          <c:spPr>
            <a:ln w="28575">
              <a:solidFill>
                <a:srgbClr val="F8CBAD"/>
              </a:solidFill>
              <a:prstDash val="solid"/>
            </a:ln>
          </c:spPr>
          <c:marker>
            <c:symbol val="none"/>
          </c:marker>
          <c:cat>
            <c:numRef>
              <c:f>猪价!$G$2:$G$366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猪价!$I$2:$I$366</c:f>
              <c:numCache>
                <c:formatCode>General</c:formatCode>
                <c:ptCount val="365"/>
                <c:pt idx="0">
                  <c:v>#N/A</c:v>
                </c:pt>
                <c:pt idx="1">
                  <c:v>#N/A</c:v>
                </c:pt>
                <c:pt idx="2">
                  <c:v>#N/A</c:v>
                </c:pt>
                <c:pt idx="3">
                  <c:v>#N/A</c:v>
                </c:pt>
                <c:pt idx="4">
                  <c:v>19.260000000000002</c:v>
                </c:pt>
                <c:pt idx="5">
                  <c:v>#N/A</c:v>
                </c:pt>
                <c:pt idx="6">
                  <c:v>#N/A</c:v>
                </c:pt>
                <c:pt idx="7">
                  <c:v>#N/A</c:v>
                </c:pt>
                <c:pt idx="8">
                  <c:v>#N/A</c:v>
                </c:pt>
                <c:pt idx="9">
                  <c:v>#N/A</c:v>
                </c:pt>
                <c:pt idx="10">
                  <c:v>#N/A</c:v>
                </c:pt>
                <c:pt idx="11">
                  <c:v>19.13</c:v>
                </c:pt>
                <c:pt idx="12">
                  <c:v>#N/A</c:v>
                </c:pt>
                <c:pt idx="13">
                  <c:v>#N/A</c:v>
                </c:pt>
                <c:pt idx="14">
                  <c:v>#N/A</c:v>
                </c:pt>
                <c:pt idx="15">
                  <c:v>#N/A</c:v>
                </c:pt>
                <c:pt idx="16">
                  <c:v>#N/A</c:v>
                </c:pt>
                <c:pt idx="17">
                  <c:v>#N/A</c:v>
                </c:pt>
                <c:pt idx="18">
                  <c:v>19.13</c:v>
                </c:pt>
                <c:pt idx="19">
                  <c:v>#N/A</c:v>
                </c:pt>
                <c:pt idx="20">
                  <c:v>#N/A</c:v>
                </c:pt>
                <c:pt idx="21">
                  <c:v>#N/A</c:v>
                </c:pt>
                <c:pt idx="22">
                  <c:v>#N/A</c:v>
                </c:pt>
                <c:pt idx="23">
                  <c:v>#N/A</c:v>
                </c:pt>
                <c:pt idx="24">
                  <c:v>#N/A</c:v>
                </c:pt>
                <c:pt idx="25">
                  <c:v>19.12</c:v>
                </c:pt>
                <c:pt idx="26">
                  <c:v>#N/A</c:v>
                </c:pt>
                <c:pt idx="27">
                  <c:v>#N/A</c:v>
                </c:pt>
                <c:pt idx="28">
                  <c:v>#N/A</c:v>
                </c:pt>
                <c:pt idx="29">
                  <c:v>#N/A</c:v>
                </c:pt>
                <c:pt idx="30">
                  <c:v>#N/A</c:v>
                </c:pt>
                <c:pt idx="31">
                  <c:v>#N/A</c:v>
                </c:pt>
                <c:pt idx="32">
                  <c:v>18.2</c:v>
                </c:pt>
                <c:pt idx="33">
                  <c:v>#N/A</c:v>
                </c:pt>
                <c:pt idx="34">
                  <c:v>#N/A</c:v>
                </c:pt>
                <c:pt idx="35">
                  <c:v>#N/A</c:v>
                </c:pt>
                <c:pt idx="36">
                  <c:v>#N/A</c:v>
                </c:pt>
                <c:pt idx="37">
                  <c:v>#N/A</c:v>
                </c:pt>
                <c:pt idx="38">
                  <c:v>#N/A</c:v>
                </c:pt>
                <c:pt idx="39">
                  <c:v>18.73</c:v>
                </c:pt>
                <c:pt idx="40">
                  <c:v>#N/A</c:v>
                </c:pt>
                <c:pt idx="41">
                  <c:v>#N/A</c:v>
                </c:pt>
                <c:pt idx="42">
                  <c:v>#N/A</c:v>
                </c:pt>
                <c:pt idx="43">
                  <c:v>#N/A</c:v>
                </c:pt>
                <c:pt idx="44">
                  <c:v>#N/A</c:v>
                </c:pt>
                <c:pt idx="45">
                  <c:v>#N/A</c:v>
                </c:pt>
                <c:pt idx="46">
                  <c:v>18.52</c:v>
                </c:pt>
                <c:pt idx="47">
                  <c:v>#N/A</c:v>
                </c:pt>
                <c:pt idx="48">
                  <c:v>#N/A</c:v>
                </c:pt>
                <c:pt idx="49">
                  <c:v>#N/A</c:v>
                </c:pt>
                <c:pt idx="50">
                  <c:v>#N/A</c:v>
                </c:pt>
                <c:pt idx="51">
                  <c:v>#N/A</c:v>
                </c:pt>
                <c:pt idx="52">
                  <c:v>#N/A</c:v>
                </c:pt>
                <c:pt idx="53">
                  <c:v>18.260000000000002</c:v>
                </c:pt>
                <c:pt idx="54">
                  <c:v>#N/A</c:v>
                </c:pt>
                <c:pt idx="55">
                  <c:v>#N/A</c:v>
                </c:pt>
                <c:pt idx="56">
                  <c:v>#N/A</c:v>
                </c:pt>
                <c:pt idx="57">
                  <c:v>#N/A</c:v>
                </c:pt>
                <c:pt idx="58">
                  <c:v>#N/A</c:v>
                </c:pt>
                <c:pt idx="59">
                  <c:v>#N/A</c:v>
                </c:pt>
                <c:pt idx="60">
                  <c:v>18.2</c:v>
                </c:pt>
                <c:pt idx="61">
                  <c:v>#N/A</c:v>
                </c:pt>
                <c:pt idx="62">
                  <c:v>#N/A</c:v>
                </c:pt>
                <c:pt idx="63">
                  <c:v>#N/A</c:v>
                </c:pt>
                <c:pt idx="64">
                  <c:v>#N/A</c:v>
                </c:pt>
                <c:pt idx="65">
                  <c:v>#N/A</c:v>
                </c:pt>
                <c:pt idx="66">
                  <c:v>#N/A</c:v>
                </c:pt>
                <c:pt idx="67">
                  <c:v>18.02</c:v>
                </c:pt>
                <c:pt idx="68">
                  <c:v>#N/A</c:v>
                </c:pt>
                <c:pt idx="69">
                  <c:v>#N/A</c:v>
                </c:pt>
                <c:pt idx="70">
                  <c:v>#N/A</c:v>
                </c:pt>
                <c:pt idx="71">
                  <c:v>#N/A</c:v>
                </c:pt>
                <c:pt idx="72">
                  <c:v>#N/A</c:v>
                </c:pt>
                <c:pt idx="73">
                  <c:v>#N/A</c:v>
                </c:pt>
                <c:pt idx="74">
                  <c:v>19.77</c:v>
                </c:pt>
                <c:pt idx="75">
                  <c:v>#N/A</c:v>
                </c:pt>
                <c:pt idx="76">
                  <c:v>#N/A</c:v>
                </c:pt>
                <c:pt idx="77">
                  <c:v>#N/A</c:v>
                </c:pt>
                <c:pt idx="78">
                  <c:v>#N/A</c:v>
                </c:pt>
                <c:pt idx="79">
                  <c:v>#N/A</c:v>
                </c:pt>
                <c:pt idx="80">
                  <c:v>#N/A</c:v>
                </c:pt>
                <c:pt idx="81">
                  <c:v>20.43</c:v>
                </c:pt>
                <c:pt idx="82">
                  <c:v>#N/A</c:v>
                </c:pt>
                <c:pt idx="83">
                  <c:v>#N/A</c:v>
                </c:pt>
                <c:pt idx="84">
                  <c:v>#N/A</c:v>
                </c:pt>
                <c:pt idx="85">
                  <c:v>#N/A</c:v>
                </c:pt>
                <c:pt idx="86">
                  <c:v>#N/A</c:v>
                </c:pt>
                <c:pt idx="87">
                  <c:v>#N/A</c:v>
                </c:pt>
                <c:pt idx="88">
                  <c:v>20.25</c:v>
                </c:pt>
                <c:pt idx="89">
                  <c:v>#N/A</c:v>
                </c:pt>
                <c:pt idx="90">
                  <c:v>#N/A</c:v>
                </c:pt>
                <c:pt idx="91">
                  <c:v>#N/A</c:v>
                </c:pt>
                <c:pt idx="92">
                  <c:v>#N/A</c:v>
                </c:pt>
                <c:pt idx="93">
                  <c:v>#N/A</c:v>
                </c:pt>
                <c:pt idx="94">
                  <c:v>#N/A</c:v>
                </c:pt>
                <c:pt idx="95">
                  <c:v>20.39</c:v>
                </c:pt>
                <c:pt idx="96">
                  <c:v>#N/A</c:v>
                </c:pt>
                <c:pt idx="97">
                  <c:v>#N/A</c:v>
                </c:pt>
                <c:pt idx="98">
                  <c:v>#N/A</c:v>
                </c:pt>
                <c:pt idx="99">
                  <c:v>#N/A</c:v>
                </c:pt>
                <c:pt idx="100">
                  <c:v>#N/A</c:v>
                </c:pt>
                <c:pt idx="101">
                  <c:v>#N/A</c:v>
                </c:pt>
                <c:pt idx="102">
                  <c:v>20.21</c:v>
                </c:pt>
                <c:pt idx="103">
                  <c:v>#N/A</c:v>
                </c:pt>
                <c:pt idx="104">
                  <c:v>#N/A</c:v>
                </c:pt>
                <c:pt idx="105">
                  <c:v>#N/A</c:v>
                </c:pt>
                <c:pt idx="106">
                  <c:v>#N/A</c:v>
                </c:pt>
                <c:pt idx="107">
                  <c:v>#N/A</c:v>
                </c:pt>
                <c:pt idx="108">
                  <c:v>#N/A</c:v>
                </c:pt>
                <c:pt idx="109">
                  <c:v>20.12</c:v>
                </c:pt>
                <c:pt idx="110">
                  <c:v>#N/A</c:v>
                </c:pt>
                <c:pt idx="111">
                  <c:v>#N/A</c:v>
                </c:pt>
                <c:pt idx="112">
                  <c:v>#N/A</c:v>
                </c:pt>
                <c:pt idx="113">
                  <c:v>#N/A</c:v>
                </c:pt>
                <c:pt idx="114">
                  <c:v>#N/A</c:v>
                </c:pt>
                <c:pt idx="115">
                  <c:v>#N/A</c:v>
                </c:pt>
                <c:pt idx="116">
                  <c:v>20.399999999999999</c:v>
                </c:pt>
                <c:pt idx="117">
                  <c:v>#N/A</c:v>
                </c:pt>
                <c:pt idx="118">
                  <c:v>#N/A</c:v>
                </c:pt>
                <c:pt idx="119">
                  <c:v>#N/A</c:v>
                </c:pt>
                <c:pt idx="120">
                  <c:v>#N/A</c:v>
                </c:pt>
                <c:pt idx="121">
                  <c:v>#N/A</c:v>
                </c:pt>
                <c:pt idx="122">
                  <c:v>#N/A</c:v>
                </c:pt>
                <c:pt idx="123">
                  <c:v>20.5</c:v>
                </c:pt>
                <c:pt idx="124">
                  <c:v>#N/A</c:v>
                </c:pt>
                <c:pt idx="125">
                  <c:v>#N/A</c:v>
                </c:pt>
                <c:pt idx="126">
                  <c:v>#N/A</c:v>
                </c:pt>
                <c:pt idx="127">
                  <c:v>#N/A</c:v>
                </c:pt>
                <c:pt idx="128">
                  <c:v>#N/A</c:v>
                </c:pt>
                <c:pt idx="129">
                  <c:v>#N/A</c:v>
                </c:pt>
                <c:pt idx="130">
                  <c:v>20.59</c:v>
                </c:pt>
                <c:pt idx="131">
                  <c:v>#N/A</c:v>
                </c:pt>
                <c:pt idx="132">
                  <c:v>#N/A</c:v>
                </c:pt>
                <c:pt idx="133">
                  <c:v>#N/A</c:v>
                </c:pt>
                <c:pt idx="134">
                  <c:v>#N/A</c:v>
                </c:pt>
                <c:pt idx="135">
                  <c:v>#N/A</c:v>
                </c:pt>
                <c:pt idx="136">
                  <c:v>#N/A</c:v>
                </c:pt>
                <c:pt idx="137">
                  <c:v>20.75</c:v>
                </c:pt>
                <c:pt idx="138">
                  <c:v>#N/A</c:v>
                </c:pt>
                <c:pt idx="139">
                  <c:v>#N/A</c:v>
                </c:pt>
                <c:pt idx="140">
                  <c:v>#N/A</c:v>
                </c:pt>
                <c:pt idx="141">
                  <c:v>#N/A</c:v>
                </c:pt>
                <c:pt idx="142">
                  <c:v>#N/A</c:v>
                </c:pt>
                <c:pt idx="143">
                  <c:v>#N/A</c:v>
                </c:pt>
                <c:pt idx="144">
                  <c:v>20.65</c:v>
                </c:pt>
                <c:pt idx="145">
                  <c:v>#N/A</c:v>
                </c:pt>
                <c:pt idx="146">
                  <c:v>#N/A</c:v>
                </c:pt>
                <c:pt idx="147">
                  <c:v>#N/A</c:v>
                </c:pt>
                <c:pt idx="148">
                  <c:v>#N/A</c:v>
                </c:pt>
                <c:pt idx="149">
                  <c:v>#N/A</c:v>
                </c:pt>
                <c:pt idx="150">
                  <c:v>#N/A</c:v>
                </c:pt>
                <c:pt idx="151">
                  <c:v>20.45</c:v>
                </c:pt>
                <c:pt idx="152">
                  <c:v>#N/A</c:v>
                </c:pt>
                <c:pt idx="153">
                  <c:v>#N/A</c:v>
                </c:pt>
                <c:pt idx="154">
                  <c:v>#N/A</c:v>
                </c:pt>
                <c:pt idx="155">
                  <c:v>#N/A</c:v>
                </c:pt>
                <c:pt idx="156">
                  <c:v>#N/A</c:v>
                </c:pt>
                <c:pt idx="157">
                  <c:v>#N/A</c:v>
                </c:pt>
                <c:pt idx="158">
                  <c:v>21.02</c:v>
                </c:pt>
                <c:pt idx="159">
                  <c:v>#N/A</c:v>
                </c:pt>
                <c:pt idx="160">
                  <c:v>#N/A</c:v>
                </c:pt>
                <c:pt idx="161">
                  <c:v>#N/A</c:v>
                </c:pt>
                <c:pt idx="162">
                  <c:v>#N/A</c:v>
                </c:pt>
                <c:pt idx="163">
                  <c:v>#N/A</c:v>
                </c:pt>
                <c:pt idx="164">
                  <c:v>#N/A</c:v>
                </c:pt>
                <c:pt idx="165">
                  <c:v>21.06</c:v>
                </c:pt>
                <c:pt idx="166">
                  <c:v>#N/A</c:v>
                </c:pt>
                <c:pt idx="167">
                  <c:v>#N/A</c:v>
                </c:pt>
                <c:pt idx="168">
                  <c:v>#N/A</c:v>
                </c:pt>
                <c:pt idx="169">
                  <c:v>#N/A</c:v>
                </c:pt>
                <c:pt idx="170">
                  <c:v>#N/A</c:v>
                </c:pt>
                <c:pt idx="171">
                  <c:v>#N/A</c:v>
                </c:pt>
                <c:pt idx="172">
                  <c:v>21.92</c:v>
                </c:pt>
                <c:pt idx="173">
                  <c:v>#N/A</c:v>
                </c:pt>
                <c:pt idx="174">
                  <c:v>#N/A</c:v>
                </c:pt>
                <c:pt idx="175">
                  <c:v>#N/A</c:v>
                </c:pt>
                <c:pt idx="176">
                  <c:v>#N/A</c:v>
                </c:pt>
                <c:pt idx="177">
                  <c:v>#N/A</c:v>
                </c:pt>
                <c:pt idx="178">
                  <c:v>#N/A</c:v>
                </c:pt>
                <c:pt idx="179">
                  <c:v>22.93</c:v>
                </c:pt>
                <c:pt idx="180">
                  <c:v>#N/A</c:v>
                </c:pt>
                <c:pt idx="181">
                  <c:v>#N/A</c:v>
                </c:pt>
                <c:pt idx="182">
                  <c:v>#N/A</c:v>
                </c:pt>
                <c:pt idx="183">
                  <c:v>#N/A</c:v>
                </c:pt>
                <c:pt idx="184">
                  <c:v>#N/A</c:v>
                </c:pt>
                <c:pt idx="185">
                  <c:v>#N/A</c:v>
                </c:pt>
                <c:pt idx="186">
                  <c:v>23.05</c:v>
                </c:pt>
                <c:pt idx="187">
                  <c:v>#N/A</c:v>
                </c:pt>
                <c:pt idx="188">
                  <c:v>#N/A</c:v>
                </c:pt>
                <c:pt idx="189">
                  <c:v>#N/A</c:v>
                </c:pt>
                <c:pt idx="190">
                  <c:v>#N/A</c:v>
                </c:pt>
                <c:pt idx="191">
                  <c:v>#N/A</c:v>
                </c:pt>
                <c:pt idx="192">
                  <c:v>#N/A</c:v>
                </c:pt>
                <c:pt idx="193">
                  <c:v>23.27</c:v>
                </c:pt>
                <c:pt idx="194">
                  <c:v>#N/A</c:v>
                </c:pt>
                <c:pt idx="195">
                  <c:v>#N/A</c:v>
                </c:pt>
                <c:pt idx="196">
                  <c:v>#N/A</c:v>
                </c:pt>
                <c:pt idx="197">
                  <c:v>#N/A</c:v>
                </c:pt>
                <c:pt idx="198">
                  <c:v>#N/A</c:v>
                </c:pt>
                <c:pt idx="199">
                  <c:v>#N/A</c:v>
                </c:pt>
                <c:pt idx="200">
                  <c:v>23.89</c:v>
                </c:pt>
                <c:pt idx="201">
                  <c:v>#N/A</c:v>
                </c:pt>
                <c:pt idx="202">
                  <c:v>#N/A</c:v>
                </c:pt>
                <c:pt idx="203">
                  <c:v>#N/A</c:v>
                </c:pt>
                <c:pt idx="204">
                  <c:v>#N/A</c:v>
                </c:pt>
                <c:pt idx="205">
                  <c:v>#N/A</c:v>
                </c:pt>
                <c:pt idx="206">
                  <c:v>#N/A</c:v>
                </c:pt>
                <c:pt idx="207">
                  <c:v>24.05</c:v>
                </c:pt>
                <c:pt idx="208">
                  <c:v>#N/A</c:v>
                </c:pt>
                <c:pt idx="209">
                  <c:v>#N/A</c:v>
                </c:pt>
                <c:pt idx="210">
                  <c:v>#N/A</c:v>
                </c:pt>
                <c:pt idx="211">
                  <c:v>#N/A</c:v>
                </c:pt>
                <c:pt idx="212">
                  <c:v>#N/A</c:v>
                </c:pt>
                <c:pt idx="213">
                  <c:v>#N/A</c:v>
                </c:pt>
                <c:pt idx="214">
                  <c:v>24.48</c:v>
                </c:pt>
                <c:pt idx="215">
                  <c:v>#N/A</c:v>
                </c:pt>
                <c:pt idx="216">
                  <c:v>#N/A</c:v>
                </c:pt>
                <c:pt idx="217">
                  <c:v>#N/A</c:v>
                </c:pt>
                <c:pt idx="218">
                  <c:v>#N/A</c:v>
                </c:pt>
                <c:pt idx="219">
                  <c:v>#N/A</c:v>
                </c:pt>
                <c:pt idx="220">
                  <c:v>#N/A</c:v>
                </c:pt>
                <c:pt idx="221">
                  <c:v>25.78</c:v>
                </c:pt>
                <c:pt idx="222">
                  <c:v>#N/A</c:v>
                </c:pt>
                <c:pt idx="223">
                  <c:v>#N/A</c:v>
                </c:pt>
                <c:pt idx="224">
                  <c:v>#N/A</c:v>
                </c:pt>
                <c:pt idx="225">
                  <c:v>#N/A</c:v>
                </c:pt>
                <c:pt idx="226">
                  <c:v>#N/A</c:v>
                </c:pt>
                <c:pt idx="227">
                  <c:v>#N/A</c:v>
                </c:pt>
                <c:pt idx="228">
                  <c:v>28.27</c:v>
                </c:pt>
                <c:pt idx="229">
                  <c:v>#N/A</c:v>
                </c:pt>
                <c:pt idx="230">
                  <c:v>#N/A</c:v>
                </c:pt>
                <c:pt idx="231">
                  <c:v>#N/A</c:v>
                </c:pt>
                <c:pt idx="232">
                  <c:v>#N/A</c:v>
                </c:pt>
                <c:pt idx="233">
                  <c:v>#N/A</c:v>
                </c:pt>
                <c:pt idx="234">
                  <c:v>#N/A</c:v>
                </c:pt>
                <c:pt idx="235">
                  <c:v>31.09</c:v>
                </c:pt>
                <c:pt idx="236">
                  <c:v>#N/A</c:v>
                </c:pt>
                <c:pt idx="237">
                  <c:v>#N/A</c:v>
                </c:pt>
                <c:pt idx="238">
                  <c:v>#N/A</c:v>
                </c:pt>
                <c:pt idx="239">
                  <c:v>#N/A</c:v>
                </c:pt>
                <c:pt idx="240">
                  <c:v>#N/A</c:v>
                </c:pt>
                <c:pt idx="241">
                  <c:v>#N/A</c:v>
                </c:pt>
                <c:pt idx="242">
                  <c:v>33.619999999999997</c:v>
                </c:pt>
                <c:pt idx="243">
                  <c:v>#N/A</c:v>
                </c:pt>
                <c:pt idx="244">
                  <c:v>#N/A</c:v>
                </c:pt>
                <c:pt idx="245">
                  <c:v>#N/A</c:v>
                </c:pt>
                <c:pt idx="246">
                  <c:v>#N/A</c:v>
                </c:pt>
                <c:pt idx="247">
                  <c:v>#N/A</c:v>
                </c:pt>
                <c:pt idx="248">
                  <c:v>#N/A</c:v>
                </c:pt>
                <c:pt idx="249">
                  <c:v>35.119999999999997</c:v>
                </c:pt>
                <c:pt idx="250">
                  <c:v>#N/A</c:v>
                </c:pt>
                <c:pt idx="251">
                  <c:v>#N/A</c:v>
                </c:pt>
                <c:pt idx="252">
                  <c:v>#N/A</c:v>
                </c:pt>
                <c:pt idx="253">
                  <c:v>#N/A</c:v>
                </c:pt>
                <c:pt idx="254">
                  <c:v>#N/A</c:v>
                </c:pt>
                <c:pt idx="255">
                  <c:v>#N/A</c:v>
                </c:pt>
                <c:pt idx="256">
                  <c:v>35.72</c:v>
                </c:pt>
                <c:pt idx="257">
                  <c:v>#N/A</c:v>
                </c:pt>
                <c:pt idx="258">
                  <c:v>#N/A</c:v>
                </c:pt>
                <c:pt idx="259">
                  <c:v>#N/A</c:v>
                </c:pt>
                <c:pt idx="260">
                  <c:v>#N/A</c:v>
                </c:pt>
                <c:pt idx="261">
                  <c:v>#N/A</c:v>
                </c:pt>
                <c:pt idx="262">
                  <c:v>#N/A</c:v>
                </c:pt>
                <c:pt idx="263">
                  <c:v>36.14</c:v>
                </c:pt>
                <c:pt idx="264">
                  <c:v>#N/A</c:v>
                </c:pt>
                <c:pt idx="265">
                  <c:v>#N/A</c:v>
                </c:pt>
                <c:pt idx="266">
                  <c:v>#N/A</c:v>
                </c:pt>
                <c:pt idx="267">
                  <c:v>#N/A</c:v>
                </c:pt>
                <c:pt idx="268">
                  <c:v>#N/A</c:v>
                </c:pt>
                <c:pt idx="269">
                  <c:v>#N/A</c:v>
                </c:pt>
                <c:pt idx="270">
                  <c:v>36.340000000000003</c:v>
                </c:pt>
                <c:pt idx="271">
                  <c:v>#N/A</c:v>
                </c:pt>
                <c:pt idx="272">
                  <c:v>#N/A</c:v>
                </c:pt>
                <c:pt idx="273">
                  <c:v>#N/A</c:v>
                </c:pt>
                <c:pt idx="274">
                  <c:v>#N/A</c:v>
                </c:pt>
                <c:pt idx="275">
                  <c:v>#N/A</c:v>
                </c:pt>
                <c:pt idx="276">
                  <c:v>#N/A</c:v>
                </c:pt>
                <c:pt idx="277">
                  <c:v>36.79</c:v>
                </c:pt>
                <c:pt idx="278">
                  <c:v>#N/A</c:v>
                </c:pt>
                <c:pt idx="279">
                  <c:v>#N/A</c:v>
                </c:pt>
                <c:pt idx="280">
                  <c:v>#N/A</c:v>
                </c:pt>
                <c:pt idx="281">
                  <c:v>#N/A</c:v>
                </c:pt>
                <c:pt idx="282">
                  <c:v>#N/A</c:v>
                </c:pt>
                <c:pt idx="283">
                  <c:v>#N/A</c:v>
                </c:pt>
                <c:pt idx="284">
                  <c:v>42.29</c:v>
                </c:pt>
                <c:pt idx="285">
                  <c:v>#N/A</c:v>
                </c:pt>
                <c:pt idx="286">
                  <c:v>#N/A</c:v>
                </c:pt>
                <c:pt idx="287">
                  <c:v>#N/A</c:v>
                </c:pt>
                <c:pt idx="288">
                  <c:v>#N/A</c:v>
                </c:pt>
                <c:pt idx="289">
                  <c:v>#N/A</c:v>
                </c:pt>
                <c:pt idx="290">
                  <c:v>#N/A</c:v>
                </c:pt>
                <c:pt idx="291">
                  <c:v>45.57</c:v>
                </c:pt>
                <c:pt idx="292">
                  <c:v>#N/A</c:v>
                </c:pt>
                <c:pt idx="293">
                  <c:v>#N/A</c:v>
                </c:pt>
                <c:pt idx="294">
                  <c:v>#N/A</c:v>
                </c:pt>
                <c:pt idx="295">
                  <c:v>#N/A</c:v>
                </c:pt>
                <c:pt idx="296">
                  <c:v>#N/A</c:v>
                </c:pt>
                <c:pt idx="297">
                  <c:v>#N/A</c:v>
                </c:pt>
                <c:pt idx="298">
                  <c:v>51.01</c:v>
                </c:pt>
                <c:pt idx="299">
                  <c:v>#N/A</c:v>
                </c:pt>
                <c:pt idx="300">
                  <c:v>#N/A</c:v>
                </c:pt>
                <c:pt idx="301">
                  <c:v>#N/A</c:v>
                </c:pt>
                <c:pt idx="302">
                  <c:v>#N/A</c:v>
                </c:pt>
                <c:pt idx="303">
                  <c:v>#N/A</c:v>
                </c:pt>
                <c:pt idx="304">
                  <c:v>#N/A</c:v>
                </c:pt>
                <c:pt idx="305">
                  <c:v>52.4</c:v>
                </c:pt>
                <c:pt idx="306">
                  <c:v>#N/A</c:v>
                </c:pt>
                <c:pt idx="307">
                  <c:v>#N/A</c:v>
                </c:pt>
                <c:pt idx="308">
                  <c:v>#N/A</c:v>
                </c:pt>
                <c:pt idx="309">
                  <c:v>#N/A</c:v>
                </c:pt>
                <c:pt idx="310">
                  <c:v>#N/A</c:v>
                </c:pt>
                <c:pt idx="311">
                  <c:v>#N/A</c:v>
                </c:pt>
                <c:pt idx="312">
                  <c:v>51.18</c:v>
                </c:pt>
                <c:pt idx="313">
                  <c:v>#N/A</c:v>
                </c:pt>
                <c:pt idx="314">
                  <c:v>#N/A</c:v>
                </c:pt>
                <c:pt idx="315">
                  <c:v>#N/A</c:v>
                </c:pt>
                <c:pt idx="316">
                  <c:v>#N/A</c:v>
                </c:pt>
                <c:pt idx="317">
                  <c:v>#N/A</c:v>
                </c:pt>
                <c:pt idx="318">
                  <c:v>#N/A</c:v>
                </c:pt>
                <c:pt idx="319">
                  <c:v>48.13</c:v>
                </c:pt>
                <c:pt idx="320">
                  <c:v>#N/A</c:v>
                </c:pt>
                <c:pt idx="321">
                  <c:v>#N/A</c:v>
                </c:pt>
                <c:pt idx="322">
                  <c:v>#N/A</c:v>
                </c:pt>
                <c:pt idx="323">
                  <c:v>#N/A</c:v>
                </c:pt>
                <c:pt idx="324">
                  <c:v>#N/A</c:v>
                </c:pt>
                <c:pt idx="325">
                  <c:v>#N/A</c:v>
                </c:pt>
                <c:pt idx="326">
                  <c:v>43.78</c:v>
                </c:pt>
                <c:pt idx="327">
                  <c:v>#N/A</c:v>
                </c:pt>
                <c:pt idx="328">
                  <c:v>#N/A</c:v>
                </c:pt>
                <c:pt idx="329">
                  <c:v>#N/A</c:v>
                </c:pt>
                <c:pt idx="330">
                  <c:v>#N/A</c:v>
                </c:pt>
                <c:pt idx="331">
                  <c:v>#N/A</c:v>
                </c:pt>
                <c:pt idx="332">
                  <c:v>#N/A</c:v>
                </c:pt>
                <c:pt idx="333">
                  <c:v>42.06</c:v>
                </c:pt>
                <c:pt idx="334">
                  <c:v>#N/A</c:v>
                </c:pt>
                <c:pt idx="335">
                  <c:v>#N/A</c:v>
                </c:pt>
                <c:pt idx="336">
                  <c:v>#N/A</c:v>
                </c:pt>
                <c:pt idx="337">
                  <c:v>#N/A</c:v>
                </c:pt>
                <c:pt idx="338">
                  <c:v>#N/A</c:v>
                </c:pt>
                <c:pt idx="339">
                  <c:v>#N/A</c:v>
                </c:pt>
                <c:pt idx="340">
                  <c:v>43.74</c:v>
                </c:pt>
                <c:pt idx="341">
                  <c:v>#N/A</c:v>
                </c:pt>
                <c:pt idx="342">
                  <c:v>#N/A</c:v>
                </c:pt>
                <c:pt idx="343">
                  <c:v>#N/A</c:v>
                </c:pt>
                <c:pt idx="344">
                  <c:v>#N/A</c:v>
                </c:pt>
                <c:pt idx="345">
                  <c:v>#N/A</c:v>
                </c:pt>
                <c:pt idx="346">
                  <c:v>#N/A</c:v>
                </c:pt>
                <c:pt idx="347">
                  <c:v>43.7</c:v>
                </c:pt>
                <c:pt idx="348">
                  <c:v>#N/A</c:v>
                </c:pt>
                <c:pt idx="349">
                  <c:v>#N/A</c:v>
                </c:pt>
                <c:pt idx="350">
                  <c:v>#N/A</c:v>
                </c:pt>
                <c:pt idx="351">
                  <c:v>#N/A</c:v>
                </c:pt>
                <c:pt idx="352">
                  <c:v>#N/A</c:v>
                </c:pt>
                <c:pt idx="353">
                  <c:v>#N/A</c:v>
                </c:pt>
                <c:pt idx="354">
                  <c:v>43.34</c:v>
                </c:pt>
                <c:pt idx="355">
                  <c:v>#N/A</c:v>
                </c:pt>
                <c:pt idx="356">
                  <c:v>#N/A</c:v>
                </c:pt>
                <c:pt idx="357">
                  <c:v>#N/A</c:v>
                </c:pt>
                <c:pt idx="358">
                  <c:v>#N/A</c:v>
                </c:pt>
                <c:pt idx="359">
                  <c:v>#N/A</c:v>
                </c:pt>
                <c:pt idx="360">
                  <c:v>#N/A</c:v>
                </c:pt>
                <c:pt idx="361">
                  <c:v>42.89</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1B69-41E2-9965-8575E7F426CB}"/>
            </c:ext>
          </c:extLst>
        </c:ser>
        <c:ser>
          <c:idx val="2"/>
          <c:order val="1"/>
          <c:tx>
            <c:strRef>
              <c:f>猪价!$J$1</c:f>
              <c:strCache>
                <c:ptCount val="1"/>
                <c:pt idx="0">
                  <c:v>2020</c:v>
                </c:pt>
              </c:strCache>
            </c:strRef>
          </c:tx>
          <c:spPr>
            <a:ln w="28575">
              <a:solidFill>
                <a:srgbClr val="BF5711"/>
              </a:solidFill>
              <a:prstDash val="solid"/>
            </a:ln>
          </c:spPr>
          <c:marker>
            <c:symbol val="none"/>
          </c:marker>
          <c:cat>
            <c:numRef>
              <c:f>猪价!$G$2:$G$366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猪价!$J$2:$J$366</c:f>
              <c:numCache>
                <c:formatCode>General</c:formatCode>
                <c:ptCount val="365"/>
                <c:pt idx="0">
                  <c:v>#N/A</c:v>
                </c:pt>
                <c:pt idx="1">
                  <c:v>#N/A</c:v>
                </c:pt>
                <c:pt idx="2">
                  <c:v>#N/A</c:v>
                </c:pt>
                <c:pt idx="3">
                  <c:v>44.65</c:v>
                </c:pt>
                <c:pt idx="4">
                  <c:v>#N/A</c:v>
                </c:pt>
                <c:pt idx="5">
                  <c:v>#N/A</c:v>
                </c:pt>
                <c:pt idx="6">
                  <c:v>#N/A</c:v>
                </c:pt>
                <c:pt idx="7">
                  <c:v>#N/A</c:v>
                </c:pt>
                <c:pt idx="8">
                  <c:v>#N/A</c:v>
                </c:pt>
                <c:pt idx="9">
                  <c:v>#N/A</c:v>
                </c:pt>
                <c:pt idx="10">
                  <c:v>46.02</c:v>
                </c:pt>
                <c:pt idx="11">
                  <c:v>#N/A</c:v>
                </c:pt>
                <c:pt idx="12">
                  <c:v>#N/A</c:v>
                </c:pt>
                <c:pt idx="13">
                  <c:v>#N/A</c:v>
                </c:pt>
                <c:pt idx="14">
                  <c:v>#N/A</c:v>
                </c:pt>
                <c:pt idx="15">
                  <c:v>#N/A</c:v>
                </c:pt>
                <c:pt idx="16">
                  <c:v>#N/A</c:v>
                </c:pt>
                <c:pt idx="17">
                  <c:v>46.92</c:v>
                </c:pt>
                <c:pt idx="18">
                  <c:v>#N/A</c:v>
                </c:pt>
                <c:pt idx="19">
                  <c:v>#N/A</c:v>
                </c:pt>
                <c:pt idx="20">
                  <c:v>#N/A</c:v>
                </c:pt>
                <c:pt idx="21">
                  <c:v>#N/A</c:v>
                </c:pt>
                <c:pt idx="22">
                  <c:v>#N/A</c:v>
                </c:pt>
                <c:pt idx="23">
                  <c:v>#N/A</c:v>
                </c:pt>
                <c:pt idx="24">
                  <c:v>47.21</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#N/A</c:v>
                </c:pt>
                <c:pt idx="39">
                  <c:v>#N/A</c:v>
                </c:pt>
                <c:pt idx="40">
                  <c:v>#N/A</c:v>
                </c:pt>
                <c:pt idx="41">
                  <c:v>#N/A</c:v>
                </c:pt>
                <c:pt idx="42">
                  <c:v>#N/A</c:v>
                </c:pt>
                <c:pt idx="43">
                  <c:v>#N/A</c:v>
                </c:pt>
                <c:pt idx="44">
                  <c:v>#N/A</c:v>
                </c:pt>
                <c:pt idx="45">
                  <c:v>50.09</c:v>
                </c:pt>
                <c:pt idx="46">
                  <c:v>#N/A</c:v>
                </c:pt>
                <c:pt idx="47">
                  <c:v>#N/A</c:v>
                </c:pt>
                <c:pt idx="48">
                  <c:v>#N/A</c:v>
                </c:pt>
                <c:pt idx="49">
                  <c:v>#N/A</c:v>
                </c:pt>
                <c:pt idx="50">
                  <c:v>#N/A</c:v>
                </c:pt>
                <c:pt idx="51">
                  <c:v>#N/A</c:v>
                </c:pt>
                <c:pt idx="52">
                  <c:v>50.21</c:v>
                </c:pt>
                <c:pt idx="53">
                  <c:v>#N/A</c:v>
                </c:pt>
                <c:pt idx="54">
                  <c:v>#N/A</c:v>
                </c:pt>
                <c:pt idx="55">
                  <c:v>#N/A</c:v>
                </c:pt>
                <c:pt idx="56">
                  <c:v>#N/A</c:v>
                </c:pt>
                <c:pt idx="57">
                  <c:v>#N/A</c:v>
                </c:pt>
                <c:pt idx="58">
                  <c:v>#N/A</c:v>
                </c:pt>
                <c:pt idx="59">
                  <c:v>48.92</c:v>
                </c:pt>
                <c:pt idx="60">
                  <c:v>#N/A</c:v>
                </c:pt>
                <c:pt idx="61">
                  <c:v>#N/A</c:v>
                </c:pt>
                <c:pt idx="62">
                  <c:v>#N/A</c:v>
                </c:pt>
                <c:pt idx="63">
                  <c:v>#N/A</c:v>
                </c:pt>
                <c:pt idx="64">
                  <c:v>#N/A</c:v>
                </c:pt>
                <c:pt idx="65">
                  <c:v>#N/A</c:v>
                </c:pt>
                <c:pt idx="66">
                  <c:v>48.49</c:v>
                </c:pt>
                <c:pt idx="67">
                  <c:v>#N/A</c:v>
                </c:pt>
                <c:pt idx="68">
                  <c:v>#N/A</c:v>
                </c:pt>
                <c:pt idx="69">
                  <c:v>#N/A</c:v>
                </c:pt>
                <c:pt idx="70">
                  <c:v>#N/A</c:v>
                </c:pt>
                <c:pt idx="71">
                  <c:v>#N/A</c:v>
                </c:pt>
                <c:pt idx="72">
                  <c:v>#N/A</c:v>
                </c:pt>
                <c:pt idx="73">
                  <c:v>48.1</c:v>
                </c:pt>
                <c:pt idx="74">
                  <c:v>#N/A</c:v>
                </c:pt>
                <c:pt idx="75">
                  <c:v>#N/A</c:v>
                </c:pt>
                <c:pt idx="76">
                  <c:v>#N/A</c:v>
                </c:pt>
                <c:pt idx="77">
                  <c:v>#N/A</c:v>
                </c:pt>
                <c:pt idx="78">
                  <c:v>#N/A</c:v>
                </c:pt>
                <c:pt idx="79">
                  <c:v>#N/A</c:v>
                </c:pt>
                <c:pt idx="80">
                  <c:v>47.47</c:v>
                </c:pt>
                <c:pt idx="81">
                  <c:v>#N/A</c:v>
                </c:pt>
                <c:pt idx="82">
                  <c:v>#N/A</c:v>
                </c:pt>
                <c:pt idx="83">
                  <c:v>#N/A</c:v>
                </c:pt>
                <c:pt idx="84">
                  <c:v>#N/A</c:v>
                </c:pt>
                <c:pt idx="85">
                  <c:v>#N/A</c:v>
                </c:pt>
                <c:pt idx="86">
                  <c:v>#N/A</c:v>
                </c:pt>
                <c:pt idx="87">
                  <c:v>46.89</c:v>
                </c:pt>
                <c:pt idx="88">
                  <c:v>#N/A</c:v>
                </c:pt>
                <c:pt idx="89">
                  <c:v>#N/A</c:v>
                </c:pt>
                <c:pt idx="90">
                  <c:v>#N/A</c:v>
                </c:pt>
                <c:pt idx="91">
                  <c:v>#N/A</c:v>
                </c:pt>
                <c:pt idx="92">
                  <c:v>#N/A</c:v>
                </c:pt>
                <c:pt idx="93">
                  <c:v>#N/A</c:v>
                </c:pt>
                <c:pt idx="94">
                  <c:v>46.28</c:v>
                </c:pt>
                <c:pt idx="95">
                  <c:v>#N/A</c:v>
                </c:pt>
                <c:pt idx="96">
                  <c:v>#N/A</c:v>
                </c:pt>
                <c:pt idx="97">
                  <c:v>#N/A</c:v>
                </c:pt>
                <c:pt idx="98">
                  <c:v>#N/A</c:v>
                </c:pt>
                <c:pt idx="99">
                  <c:v>#N/A</c:v>
                </c:pt>
                <c:pt idx="100">
                  <c:v>#N/A</c:v>
                </c:pt>
                <c:pt idx="101">
                  <c:v>44.72</c:v>
                </c:pt>
                <c:pt idx="102">
                  <c:v>#N/A</c:v>
                </c:pt>
                <c:pt idx="103">
                  <c:v>#N/A</c:v>
                </c:pt>
                <c:pt idx="104">
                  <c:v>#N/A</c:v>
                </c:pt>
                <c:pt idx="105">
                  <c:v>#N/A</c:v>
                </c:pt>
                <c:pt idx="106">
                  <c:v>#N/A</c:v>
                </c:pt>
                <c:pt idx="107">
                  <c:v>#N/A</c:v>
                </c:pt>
                <c:pt idx="108">
                  <c:v>44.7</c:v>
                </c:pt>
                <c:pt idx="109">
                  <c:v>#N/A</c:v>
                </c:pt>
                <c:pt idx="110">
                  <c:v>#N/A</c:v>
                </c:pt>
                <c:pt idx="111">
                  <c:v>#N/A</c:v>
                </c:pt>
                <c:pt idx="112">
                  <c:v>#N/A</c:v>
                </c:pt>
                <c:pt idx="113">
                  <c:v>#N/A</c:v>
                </c:pt>
                <c:pt idx="114">
                  <c:v>#N/A</c:v>
                </c:pt>
                <c:pt idx="115">
                  <c:v>44.15</c:v>
                </c:pt>
                <c:pt idx="116">
                  <c:v>#N/A</c:v>
                </c:pt>
                <c:pt idx="117">
                  <c:v>#N/A</c:v>
                </c:pt>
                <c:pt idx="118">
                  <c:v>#N/A</c:v>
                </c:pt>
                <c:pt idx="119">
                  <c:v>#N/A</c:v>
                </c:pt>
                <c:pt idx="120">
                  <c:v>#N/A</c:v>
                </c:pt>
                <c:pt idx="121">
                  <c:v>#N/A</c:v>
                </c:pt>
                <c:pt idx="122">
                  <c:v>43.53</c:v>
                </c:pt>
                <c:pt idx="123">
                  <c:v>#N/A</c:v>
                </c:pt>
                <c:pt idx="124">
                  <c:v>#N/A</c:v>
                </c:pt>
                <c:pt idx="125">
                  <c:v>#N/A</c:v>
                </c:pt>
                <c:pt idx="126">
                  <c:v>#N/A</c:v>
                </c:pt>
                <c:pt idx="127">
                  <c:v>#N/A</c:v>
                </c:pt>
                <c:pt idx="128">
                  <c:v>#N/A</c:v>
                </c:pt>
                <c:pt idx="129">
                  <c:v>42.28</c:v>
                </c:pt>
                <c:pt idx="130">
                  <c:v>#N/A</c:v>
                </c:pt>
                <c:pt idx="131">
                  <c:v>#N/A</c:v>
                </c:pt>
                <c:pt idx="132">
                  <c:v>#N/A</c:v>
                </c:pt>
                <c:pt idx="133">
                  <c:v>#N/A</c:v>
                </c:pt>
                <c:pt idx="134">
                  <c:v>#N/A</c:v>
                </c:pt>
                <c:pt idx="135">
                  <c:v>#N/A</c:v>
                </c:pt>
                <c:pt idx="136">
                  <c:v>39.53</c:v>
                </c:pt>
                <c:pt idx="137">
                  <c:v>#N/A</c:v>
                </c:pt>
                <c:pt idx="138">
                  <c:v>#N/A</c:v>
                </c:pt>
                <c:pt idx="139">
                  <c:v>#N/A</c:v>
                </c:pt>
                <c:pt idx="140">
                  <c:v>#N/A</c:v>
                </c:pt>
                <c:pt idx="141">
                  <c:v>#N/A</c:v>
                </c:pt>
                <c:pt idx="142">
                  <c:v>#N/A</c:v>
                </c:pt>
                <c:pt idx="143">
                  <c:v>38.770000000000003</c:v>
                </c:pt>
                <c:pt idx="144">
                  <c:v>#N/A</c:v>
                </c:pt>
                <c:pt idx="145">
                  <c:v>#N/A</c:v>
                </c:pt>
                <c:pt idx="146">
                  <c:v>#N/A</c:v>
                </c:pt>
                <c:pt idx="147">
                  <c:v>#N/A</c:v>
                </c:pt>
                <c:pt idx="148">
                  <c:v>#N/A</c:v>
                </c:pt>
                <c:pt idx="149">
                  <c:v>#N/A</c:v>
                </c:pt>
                <c:pt idx="150">
                  <c:v>38.65</c:v>
                </c:pt>
                <c:pt idx="151">
                  <c:v>#N/A</c:v>
                </c:pt>
                <c:pt idx="152">
                  <c:v>#N/A</c:v>
                </c:pt>
                <c:pt idx="153">
                  <c:v>#N/A</c:v>
                </c:pt>
                <c:pt idx="154">
                  <c:v>#N/A</c:v>
                </c:pt>
                <c:pt idx="155">
                  <c:v>#N/A</c:v>
                </c:pt>
                <c:pt idx="156">
                  <c:v>#N/A</c:v>
                </c:pt>
                <c:pt idx="157">
                  <c:v>39.81</c:v>
                </c:pt>
                <c:pt idx="158">
                  <c:v>#N/A</c:v>
                </c:pt>
                <c:pt idx="159">
                  <c:v>#N/A</c:v>
                </c:pt>
                <c:pt idx="160">
                  <c:v>#N/A</c:v>
                </c:pt>
                <c:pt idx="161">
                  <c:v>#N/A</c:v>
                </c:pt>
                <c:pt idx="162">
                  <c:v>#N/A</c:v>
                </c:pt>
                <c:pt idx="163">
                  <c:v>#N/A</c:v>
                </c:pt>
                <c:pt idx="164">
                  <c:v>40.6</c:v>
                </c:pt>
                <c:pt idx="165">
                  <c:v>#N/A</c:v>
                </c:pt>
                <c:pt idx="166">
                  <c:v>#N/A</c:v>
                </c:pt>
                <c:pt idx="167">
                  <c:v>#N/A</c:v>
                </c:pt>
                <c:pt idx="168">
                  <c:v>#N/A</c:v>
                </c:pt>
                <c:pt idx="169">
                  <c:v>#N/A</c:v>
                </c:pt>
                <c:pt idx="170">
                  <c:v>#N/A</c:v>
                </c:pt>
                <c:pt idx="171">
                  <c:v>43.25</c:v>
                </c:pt>
                <c:pt idx="172">
                  <c:v>#N/A</c:v>
                </c:pt>
                <c:pt idx="173">
                  <c:v>#N/A</c:v>
                </c:pt>
                <c:pt idx="174">
                  <c:v>#N/A</c:v>
                </c:pt>
                <c:pt idx="175">
                  <c:v>#N/A</c:v>
                </c:pt>
                <c:pt idx="176">
                  <c:v>#N/A</c:v>
                </c:pt>
                <c:pt idx="177">
                  <c:v>#N/A</c:v>
                </c:pt>
                <c:pt idx="178">
                  <c:v>44.67</c:v>
                </c:pt>
                <c:pt idx="179">
                  <c:v>#N/A</c:v>
                </c:pt>
                <c:pt idx="180">
                  <c:v>#N/A</c:v>
                </c:pt>
                <c:pt idx="181">
                  <c:v>#N/A</c:v>
                </c:pt>
                <c:pt idx="182">
                  <c:v>#N/A</c:v>
                </c:pt>
                <c:pt idx="183">
                  <c:v>#N/A</c:v>
                </c:pt>
                <c:pt idx="184">
                  <c:v>#N/A</c:v>
                </c:pt>
                <c:pt idx="185">
                  <c:v>46.05</c:v>
                </c:pt>
                <c:pt idx="186">
                  <c:v>#N/A</c:v>
                </c:pt>
                <c:pt idx="187">
                  <c:v>#N/A</c:v>
                </c:pt>
                <c:pt idx="188">
                  <c:v>#N/A</c:v>
                </c:pt>
                <c:pt idx="189">
                  <c:v>#N/A</c:v>
                </c:pt>
                <c:pt idx="190">
                  <c:v>#N/A</c:v>
                </c:pt>
                <c:pt idx="191">
                  <c:v>#N/A</c:v>
                </c:pt>
                <c:pt idx="192">
                  <c:v>48.02</c:v>
                </c:pt>
                <c:pt idx="193">
                  <c:v>#N/A</c:v>
                </c:pt>
                <c:pt idx="194">
                  <c:v>#N/A</c:v>
                </c:pt>
                <c:pt idx="195">
                  <c:v>#N/A</c:v>
                </c:pt>
                <c:pt idx="196">
                  <c:v>#N/A</c:v>
                </c:pt>
                <c:pt idx="197">
                  <c:v>#N/A</c:v>
                </c:pt>
                <c:pt idx="198">
                  <c:v>#N/A</c:v>
                </c:pt>
                <c:pt idx="199">
                  <c:v>48.53</c:v>
                </c:pt>
                <c:pt idx="200">
                  <c:v>#N/A</c:v>
                </c:pt>
                <c:pt idx="201">
                  <c:v>#N/A</c:v>
                </c:pt>
                <c:pt idx="202">
                  <c:v>#N/A</c:v>
                </c:pt>
                <c:pt idx="203">
                  <c:v>#N/A</c:v>
                </c:pt>
                <c:pt idx="204">
                  <c:v>#N/A</c:v>
                </c:pt>
                <c:pt idx="205">
                  <c:v>#N/A</c:v>
                </c:pt>
                <c:pt idx="206">
                  <c:v>48.67</c:v>
                </c:pt>
                <c:pt idx="207">
                  <c:v>#N/A</c:v>
                </c:pt>
                <c:pt idx="208">
                  <c:v>#N/A</c:v>
                </c:pt>
                <c:pt idx="209">
                  <c:v>#N/A</c:v>
                </c:pt>
                <c:pt idx="210">
                  <c:v>#N/A</c:v>
                </c:pt>
                <c:pt idx="211">
                  <c:v>#N/A</c:v>
                </c:pt>
                <c:pt idx="212">
                  <c:v>#N/A</c:v>
                </c:pt>
                <c:pt idx="213">
                  <c:v>48.34</c:v>
                </c:pt>
                <c:pt idx="214">
                  <c:v>#N/A</c:v>
                </c:pt>
                <c:pt idx="215">
                  <c:v>#N/A</c:v>
                </c:pt>
                <c:pt idx="216">
                  <c:v>#N/A</c:v>
                </c:pt>
                <c:pt idx="217">
                  <c:v>#N/A</c:v>
                </c:pt>
                <c:pt idx="218">
                  <c:v>#N/A</c:v>
                </c:pt>
                <c:pt idx="219">
                  <c:v>#N/A</c:v>
                </c:pt>
                <c:pt idx="220">
                  <c:v>48.47</c:v>
                </c:pt>
                <c:pt idx="221">
                  <c:v>#N/A</c:v>
                </c:pt>
                <c:pt idx="222">
                  <c:v>#N/A</c:v>
                </c:pt>
                <c:pt idx="223">
                  <c:v>#N/A</c:v>
                </c:pt>
                <c:pt idx="224">
                  <c:v>#N/A</c:v>
                </c:pt>
                <c:pt idx="225">
                  <c:v>#N/A</c:v>
                </c:pt>
                <c:pt idx="226">
                  <c:v>#N/A</c:v>
                </c:pt>
                <c:pt idx="227">
                  <c:v>48.25</c:v>
                </c:pt>
                <c:pt idx="228">
                  <c:v>#N/A</c:v>
                </c:pt>
                <c:pt idx="229">
                  <c:v>#N/A</c:v>
                </c:pt>
                <c:pt idx="230">
                  <c:v>#N/A</c:v>
                </c:pt>
                <c:pt idx="231">
                  <c:v>#N/A</c:v>
                </c:pt>
                <c:pt idx="232">
                  <c:v>#N/A</c:v>
                </c:pt>
                <c:pt idx="233">
                  <c:v>#N/A</c:v>
                </c:pt>
                <c:pt idx="234">
                  <c:v>48.4</c:v>
                </c:pt>
                <c:pt idx="235">
                  <c:v>#N/A</c:v>
                </c:pt>
                <c:pt idx="236">
                  <c:v>#N/A</c:v>
                </c:pt>
                <c:pt idx="237">
                  <c:v>#N/A</c:v>
                </c:pt>
                <c:pt idx="238">
                  <c:v>#N/A</c:v>
                </c:pt>
                <c:pt idx="239">
                  <c:v>#N/A</c:v>
                </c:pt>
                <c:pt idx="240">
                  <c:v>#N/A</c:v>
                </c:pt>
                <c:pt idx="241">
                  <c:v>48.41</c:v>
                </c:pt>
                <c:pt idx="242">
                  <c:v>#N/A</c:v>
                </c:pt>
                <c:pt idx="243">
                  <c:v>#N/A</c:v>
                </c:pt>
                <c:pt idx="244">
                  <c:v>#N/A</c:v>
                </c:pt>
                <c:pt idx="245">
                  <c:v>#N/A</c:v>
                </c:pt>
                <c:pt idx="246">
                  <c:v>#N/A</c:v>
                </c:pt>
                <c:pt idx="247">
                  <c:v>#N/A</c:v>
                </c:pt>
                <c:pt idx="248">
                  <c:v>47.95</c:v>
                </c:pt>
                <c:pt idx="249">
                  <c:v>#N/A</c:v>
                </c:pt>
                <c:pt idx="250">
                  <c:v>#N/A</c:v>
                </c:pt>
                <c:pt idx="251">
                  <c:v>#N/A</c:v>
                </c:pt>
                <c:pt idx="252">
                  <c:v>#N/A</c:v>
                </c:pt>
                <c:pt idx="253">
                  <c:v>#N/A</c:v>
                </c:pt>
                <c:pt idx="254">
                  <c:v>#N/A</c:v>
                </c:pt>
                <c:pt idx="255">
                  <c:v>47.85</c:v>
                </c:pt>
                <c:pt idx="256">
                  <c:v>#N/A</c:v>
                </c:pt>
                <c:pt idx="257">
                  <c:v>#N/A</c:v>
                </c:pt>
                <c:pt idx="258">
                  <c:v>#N/A</c:v>
                </c:pt>
                <c:pt idx="259">
                  <c:v>#N/A</c:v>
                </c:pt>
                <c:pt idx="260">
                  <c:v>#N/A</c:v>
                </c:pt>
                <c:pt idx="261">
                  <c:v>#N/A</c:v>
                </c:pt>
                <c:pt idx="262">
                  <c:v>47.28</c:v>
                </c:pt>
                <c:pt idx="263">
                  <c:v>#N/A</c:v>
                </c:pt>
                <c:pt idx="264">
                  <c:v>#N/A</c:v>
                </c:pt>
                <c:pt idx="265">
                  <c:v>#N/A</c:v>
                </c:pt>
                <c:pt idx="266">
                  <c:v>#N/A</c:v>
                </c:pt>
                <c:pt idx="267">
                  <c:v>#N/A</c:v>
                </c:pt>
                <c:pt idx="268">
                  <c:v>#N/A</c:v>
                </c:pt>
                <c:pt idx="269">
                  <c:v>46.57</c:v>
                </c:pt>
                <c:pt idx="270">
                  <c:v>#N/A</c:v>
                </c:pt>
                <c:pt idx="271">
                  <c:v>#N/A</c:v>
                </c:pt>
                <c:pt idx="272">
                  <c:v>#N/A</c:v>
                </c:pt>
                <c:pt idx="273">
                  <c:v>#N/A</c:v>
                </c:pt>
                <c:pt idx="274">
                  <c:v>#N/A</c:v>
                </c:pt>
                <c:pt idx="275">
                  <c:v>#N/A</c:v>
                </c:pt>
                <c:pt idx="276">
                  <c:v>45.41</c:v>
                </c:pt>
                <c:pt idx="277">
                  <c:v>#N/A</c:v>
                </c:pt>
                <c:pt idx="278">
                  <c:v>#N/A</c:v>
                </c:pt>
                <c:pt idx="279">
                  <c:v>#N/A</c:v>
                </c:pt>
                <c:pt idx="280">
                  <c:v>#N/A</c:v>
                </c:pt>
                <c:pt idx="281">
                  <c:v>#N/A</c:v>
                </c:pt>
                <c:pt idx="282">
                  <c:v>#N/A</c:v>
                </c:pt>
                <c:pt idx="283">
                  <c:v>43.96</c:v>
                </c:pt>
                <c:pt idx="284">
                  <c:v>#N/A</c:v>
                </c:pt>
                <c:pt idx="285">
                  <c:v>#N/A</c:v>
                </c:pt>
                <c:pt idx="286">
                  <c:v>#N/A</c:v>
                </c:pt>
                <c:pt idx="287">
                  <c:v>#N/A</c:v>
                </c:pt>
                <c:pt idx="288">
                  <c:v>#N/A</c:v>
                </c:pt>
                <c:pt idx="289">
                  <c:v>#N/A</c:v>
                </c:pt>
                <c:pt idx="290">
                  <c:v>42.41</c:v>
                </c:pt>
                <c:pt idx="291">
                  <c:v>#N/A</c:v>
                </c:pt>
                <c:pt idx="292">
                  <c:v>#N/A</c:v>
                </c:pt>
                <c:pt idx="293">
                  <c:v>#N/A</c:v>
                </c:pt>
                <c:pt idx="294">
                  <c:v>#N/A</c:v>
                </c:pt>
                <c:pt idx="295">
                  <c:v>#N/A</c:v>
                </c:pt>
                <c:pt idx="296">
                  <c:v>#N/A</c:v>
                </c:pt>
                <c:pt idx="297">
                  <c:v>40.44</c:v>
                </c:pt>
                <c:pt idx="298">
                  <c:v>#N/A</c:v>
                </c:pt>
                <c:pt idx="299">
                  <c:v>#N/A</c:v>
                </c:pt>
                <c:pt idx="300">
                  <c:v>#N/A</c:v>
                </c:pt>
                <c:pt idx="301">
                  <c:v>#N/A</c:v>
                </c:pt>
                <c:pt idx="302">
                  <c:v>#N/A</c:v>
                </c:pt>
                <c:pt idx="303">
                  <c:v>#N/A</c:v>
                </c:pt>
                <c:pt idx="304">
                  <c:v>38.85</c:v>
                </c:pt>
                <c:pt idx="305">
                  <c:v>#N/A</c:v>
                </c:pt>
                <c:pt idx="306">
                  <c:v>#N/A</c:v>
                </c:pt>
                <c:pt idx="307">
                  <c:v>#N/A</c:v>
                </c:pt>
                <c:pt idx="308">
                  <c:v>#N/A</c:v>
                </c:pt>
                <c:pt idx="309">
                  <c:v>#N/A</c:v>
                </c:pt>
                <c:pt idx="310">
                  <c:v>#N/A</c:v>
                </c:pt>
                <c:pt idx="311">
                  <c:v>39.369999999999997</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1B69-41E2-9965-8575E7F426CB}"/>
            </c:ext>
          </c:extLst>
        </c:ser>
        <c:dLbls>
          <c:showLegendKey val="0"/>
          <c:showVal val="0"/>
          <c:showCatName val="0"/>
          <c:showSerName val="0"/>
          <c:showPercent val="0"/>
          <c:showBubbleSize val="0"/>
        </c:dLbls>
        <c:marker val="1"/>
        <c:smooth val="0"/>
        <c:axId val="367404928"/>
        <c:axId val="367406464"/>
      </c:lineChart>
      <c:dateAx>
        <c:axId val="367404928"/>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67406464"/>
        <c:crosses val="autoZero"/>
        <c:auto val="0"/>
        <c:lblOffset val="0"/>
        <c:baseTimeUnit val="days"/>
        <c:majorUnit val="1"/>
        <c:majorTimeUnit val="months"/>
      </c:dateAx>
      <c:valAx>
        <c:axId val="367406464"/>
        <c:scaling>
          <c:orientation val="minMax"/>
          <c:min val="14"/>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67404928"/>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drawings/drawing1.xml><?xml version="1.0" encoding="utf-8"?>
<c:userShapes xmlns:c="http://schemas.openxmlformats.org/drawingml/2006/chart">
  <cdr:relSizeAnchor xmlns:cdr="http://schemas.openxmlformats.org/drawingml/2006/chartDrawing">
    <cdr:from>
      <cdr:x>0</cdr:x>
      <cdr:y>0</cdr:y>
    </cdr:from>
    <cdr:to>
      <cdr:x>0.12698</cdr:x>
      <cdr:y>0.09987</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580570" cy="273958"/>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亿元</a:t>
          </a:r>
        </a:p>
      </cdr:txBody>
    </cdr:sp>
  </cdr:relSizeAnchor>
</c:userShapes>
</file>

<file path=word/drawings/drawing2.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cdr:x>
      <cdr:y>0.00911</cdr:y>
    </cdr:from>
    <cdr:to>
      <cdr:x>0.12196</cdr:x>
      <cdr:y>0.08202</cdr:y>
    </cdr:to>
    <cdr:sp macro="" textlink="">
      <cdr:nvSpPr>
        <cdr:cNvPr id="5" name="Text Box 1"/>
        <cdr:cNvSpPr txBox="1">
          <a:spLocks xmlns:a="http://schemas.openxmlformats.org/drawingml/2006/main" noChangeArrowheads="1"/>
        </cdr:cNvSpPr>
      </cdr:nvSpPr>
      <cdr:spPr bwMode="auto">
        <a:xfrm xmlns:a="http://schemas.openxmlformats.org/drawingml/2006/main">
          <a:off x="-715617" y="15903"/>
          <a:ext cx="365760" cy="127221"/>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万吨</a:t>
          </a:r>
        </a:p>
      </cdr:txBody>
    </cdr:sp>
  </cdr:relSizeAnchor>
</c:userShapes>
</file>

<file path=word/drawings/drawing7.xml><?xml version="1.0" encoding="utf-8"?>
<c:userShapes xmlns:c="http://schemas.openxmlformats.org/drawingml/2006/chart">
  <cdr:relSizeAnchor xmlns:cdr="http://schemas.openxmlformats.org/drawingml/2006/chartDrawing">
    <cdr:from>
      <cdr:x>0.02916</cdr:x>
      <cdr:y>0</cdr:y>
    </cdr:from>
    <cdr:to>
      <cdr:x>0.0867</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87464" y="-3395207"/>
          <a:ext cx="172569" cy="138901"/>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辆</a:t>
          </a:r>
        </a:p>
      </cdr:txBody>
    </cdr:sp>
  </cdr:relSizeAnchor>
</c:userShapes>
</file>

<file path=word/drawings/drawing8.xml><?xml version="1.0" encoding="utf-8"?>
<c:userShapes xmlns:c="http://schemas.openxmlformats.org/drawingml/2006/chart">
  <cdr:relSizeAnchor xmlns:cdr="http://schemas.openxmlformats.org/drawingml/2006/chartDrawing">
    <cdr:from>
      <cdr:x>0</cdr:x>
      <cdr:y>5.95389E-7</cdr:y>
    </cdr:from>
    <cdr:to>
      <cdr:x>0.12729</cdr:x>
      <cdr:y>0.08521</cdr:y>
    </cdr:to>
    <cdr:sp macro="" textlink="">
      <cdr:nvSpPr>
        <cdr:cNvPr id="5" name="Text Box 1"/>
        <cdr:cNvSpPr txBox="1">
          <a:spLocks xmlns:a="http://schemas.openxmlformats.org/drawingml/2006/main" noChangeArrowheads="1"/>
        </cdr:cNvSpPr>
      </cdr:nvSpPr>
      <cdr:spPr bwMode="auto">
        <a:xfrm xmlns:a="http://schemas.openxmlformats.org/drawingml/2006/main">
          <a:off x="0" y="1"/>
          <a:ext cx="381663" cy="143122"/>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元</a:t>
          </a:r>
          <a:r>
            <a:rPr lang="en-US" altLang="zh-CN" sz="700" b="0" i="0" u="none" strike="noStrike" baseline="0">
              <a:solidFill>
                <a:srgbClr val="000000"/>
              </a:solidFill>
              <a:latin typeface="楷体" panose="02010609060101010101" pitchFamily="49" charset="-122"/>
              <a:ea typeface="楷体" panose="02010609060101010101" pitchFamily="49" charset="-122"/>
            </a:rPr>
            <a:t>/</a:t>
          </a:r>
          <a:r>
            <a:rPr lang="zh-CN" altLang="en-US" sz="700" b="0" i="0" u="none" strike="noStrike" baseline="0">
              <a:solidFill>
                <a:srgbClr val="000000"/>
              </a:solidFill>
              <a:latin typeface="楷体" panose="02010609060101010101" pitchFamily="49" charset="-122"/>
              <a:ea typeface="楷体" panose="02010609060101010101" pitchFamily="49" charset="-122"/>
            </a:rPr>
            <a:t>千克</a:t>
          </a: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23EF8A-285C-4E98-9B8A-872DE6EF79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6</Pages>
  <Words>874</Words>
  <Characters>4987</Characters>
  <Application>Microsoft Office Word</Application>
  <DocSecurity>0</DocSecurity>
  <Lines>41</Lines>
  <Paragraphs>11</Paragraphs>
  <ScaleCrop>false</ScaleCrop>
  <Company>Microsoft</Company>
  <LinksUpToDate>false</LinksUpToDate>
  <CharactersWithSpaces>5850</CharactersWithSpaces>
  <SharedDoc>false</SharedDoc>
  <HLinks>
    <vt:vector size="6" baseType="variant">
      <vt:variant>
        <vt:i4>5767249</vt:i4>
      </vt:variant>
      <vt:variant>
        <vt:i4>0</vt:i4>
      </vt:variant>
      <vt:variant>
        <vt:i4>0</vt:i4>
      </vt:variant>
      <vt:variant>
        <vt:i4>5</vt:i4>
      </vt:variant>
      <vt:variant>
        <vt:lpwstr>http://180.96.8.44/SmartReaderWeb/SmartReader/?type=1&amp;id=451784584&amp;fav=1</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User</dc:title>
  <dc:subject/>
  <dc:creator>钱伟</dc:creator>
  <cp:keywords/>
  <dc:description/>
  <cp:lastModifiedBy>Administrator</cp:lastModifiedBy>
  <cp:revision>9</cp:revision>
  <cp:lastPrinted>2019-06-26T06:05:00Z</cp:lastPrinted>
  <dcterms:created xsi:type="dcterms:W3CDTF">2020-11-08T11:35:00Z</dcterms:created>
  <dcterms:modified xsi:type="dcterms:W3CDTF">2020-11-09T07:02:00Z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2052-8.1.0.3477</vt:lpwstr>
  </property>
</Properties>
</file>