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1B84" w:rsidRDefault="00561B84" w:rsidP="00561B84">
      <w:pPr>
        <w:spacing w:beforeLines="100" w:before="312"/>
        <w:jc w:val="center"/>
        <w:rPr>
          <w:rFonts w:ascii="楷体" w:eastAsia="楷体" w:hAnsi="楷体"/>
          <w:b/>
          <w:sz w:val="44"/>
          <w:szCs w:val="44"/>
        </w:rPr>
      </w:pPr>
      <w:r w:rsidRPr="00BB4A92">
        <w:rPr>
          <w:rFonts w:ascii="楷体" w:eastAsia="楷体" w:hAnsi="楷体" w:hint="eastAsia"/>
          <w:b/>
          <w:sz w:val="44"/>
          <w:szCs w:val="44"/>
        </w:rPr>
        <w:t>富荣基金固定收益周报</w:t>
      </w:r>
    </w:p>
    <w:p w:rsidR="00561B84" w:rsidRPr="00541553" w:rsidRDefault="00561B84" w:rsidP="00561B84">
      <w:pPr>
        <w:widowControl/>
        <w:jc w:val="center"/>
        <w:rPr>
          <w:rFonts w:ascii="楷体" w:eastAsia="楷体" w:hAnsi="楷体"/>
          <w:sz w:val="28"/>
          <w:szCs w:val="28"/>
        </w:rPr>
      </w:pPr>
      <w:r w:rsidRPr="00541553">
        <w:rPr>
          <w:rFonts w:ascii="楷体" w:eastAsia="楷体" w:hAnsi="楷体" w:hint="eastAsia"/>
          <w:sz w:val="28"/>
          <w:szCs w:val="28"/>
        </w:rPr>
        <w:t>——</w:t>
      </w:r>
      <w:r>
        <w:rPr>
          <w:rFonts w:ascii="楷体" w:eastAsia="楷体" w:hAnsi="楷体" w:hint="eastAsia"/>
          <w:sz w:val="28"/>
          <w:szCs w:val="28"/>
        </w:rPr>
        <w:t>信用风险事件冲击,债市风险偏好骤降</w:t>
      </w:r>
    </w:p>
    <w:p w:rsidR="00561B84" w:rsidRPr="00FA6C01" w:rsidRDefault="00561B84" w:rsidP="00561B84">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Pr="00FA6C01">
        <w:rPr>
          <w:rFonts w:ascii="楷体" w:eastAsia="楷体" w:hAnsi="楷体"/>
          <w:sz w:val="28"/>
          <w:szCs w:val="28"/>
        </w:rPr>
        <w:t>年</w:t>
      </w:r>
      <w:r>
        <w:rPr>
          <w:rFonts w:ascii="楷体" w:eastAsia="楷体" w:hAnsi="楷体" w:hint="eastAsia"/>
          <w:sz w:val="28"/>
          <w:szCs w:val="28"/>
        </w:rPr>
        <w:t>11</w:t>
      </w:r>
      <w:r w:rsidRPr="00FA6C01">
        <w:rPr>
          <w:rFonts w:ascii="楷体" w:eastAsia="楷体" w:hAnsi="楷体"/>
          <w:sz w:val="28"/>
          <w:szCs w:val="28"/>
        </w:rPr>
        <w:t>月</w:t>
      </w:r>
      <w:r>
        <w:rPr>
          <w:rFonts w:ascii="楷体" w:eastAsia="楷体" w:hAnsi="楷体" w:hint="eastAsia"/>
          <w:sz w:val="28"/>
          <w:szCs w:val="28"/>
        </w:rPr>
        <w:t>13日</w:t>
      </w:r>
    </w:p>
    <w:p w:rsidR="00561B84" w:rsidRDefault="00561B84" w:rsidP="00561B84">
      <w:pPr>
        <w:pStyle w:val="Header1"/>
        <w:spacing w:before="240"/>
        <w:rPr>
          <w:color w:val="943634" w:themeColor="accent2" w:themeShade="BF"/>
        </w:rPr>
      </w:pPr>
      <w:r>
        <w:rPr>
          <w:rFonts w:hint="eastAsia"/>
          <w:color w:val="943634" w:themeColor="accent2" w:themeShade="BF"/>
        </w:rPr>
        <w:t>一</w:t>
      </w:r>
      <w:r w:rsidRPr="004C5268">
        <w:rPr>
          <w:rFonts w:hint="eastAsia"/>
          <w:color w:val="943634" w:themeColor="accent2" w:themeShade="BF"/>
        </w:rPr>
        <w:t>、</w:t>
      </w:r>
      <w:r>
        <w:rPr>
          <w:rFonts w:hint="eastAsia"/>
          <w:color w:val="943634" w:themeColor="accent2" w:themeShade="BF"/>
        </w:rPr>
        <w:t>本周关注：</w:t>
      </w:r>
      <w:r>
        <w:rPr>
          <w:color w:val="943634" w:themeColor="accent2" w:themeShade="BF"/>
        </w:rPr>
        <w:t xml:space="preserve"> </w:t>
      </w:r>
    </w:p>
    <w:p w:rsidR="00561B84" w:rsidRDefault="00561B84" w:rsidP="00561B84">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永煤违约事件对债市产生重大冲击，引发市场信用风险偏好萎缩，考虑到临近年末尤其关注由信用风险向流动性风险扩散的可能，回顾2019年包商银行风险事件演变过程，简要分析此次永煤信用违约事件对债市可能产生的影响。</w:t>
      </w:r>
    </w:p>
    <w:p w:rsidR="00561B84" w:rsidRDefault="00561B84" w:rsidP="00561B84">
      <w:pPr>
        <w:pStyle w:val="Body-text"/>
        <w:spacing w:after="240"/>
        <w:ind w:firstLine="480"/>
        <w:rPr>
          <w:rFonts w:ascii="华文楷体" w:hAnsi="华文楷体" w:hint="eastAsia"/>
          <w:sz w:val="24"/>
          <w:szCs w:val="24"/>
          <w:lang w:eastAsia="zh-CN"/>
        </w:rPr>
      </w:pPr>
      <w:r w:rsidRPr="008002C6">
        <w:rPr>
          <w:rFonts w:ascii="华文楷体" w:hAnsi="华文楷体" w:hint="eastAsia"/>
          <w:sz w:val="24"/>
          <w:szCs w:val="24"/>
          <w:lang w:eastAsia="zh-CN"/>
        </w:rPr>
        <w:t>2019年5月24日，央行和银保监会联合发布公告称，鉴于包商银行出现严重信用风险，对其实行为期一年的接管。此后公告中又提到对5000万元以上存单及对公存款协商偿付，预计平均保障比例在90%左右</w:t>
      </w:r>
      <w:r>
        <w:rPr>
          <w:rFonts w:ascii="华文楷体" w:hAnsi="华文楷体" w:hint="eastAsia"/>
          <w:sz w:val="24"/>
          <w:szCs w:val="24"/>
          <w:lang w:eastAsia="zh-CN"/>
        </w:rPr>
        <w:t>。包商银行事件对银行间债市流动性产生极大冲击：1）直接引发了银行间流动性分层，</w:t>
      </w:r>
      <w:r w:rsidRPr="008002C6">
        <w:rPr>
          <w:rFonts w:ascii="华文楷体" w:hAnsi="华文楷体" w:hint="eastAsia"/>
          <w:sz w:val="24"/>
          <w:szCs w:val="24"/>
          <w:lang w:eastAsia="zh-CN"/>
        </w:rPr>
        <w:t>银行和非银之间</w:t>
      </w:r>
      <w:r>
        <w:rPr>
          <w:rFonts w:ascii="华文楷体" w:hAnsi="华文楷体" w:hint="eastAsia"/>
          <w:sz w:val="24"/>
          <w:szCs w:val="24"/>
          <w:lang w:eastAsia="zh-CN"/>
        </w:rPr>
        <w:t>融资</w:t>
      </w:r>
      <w:r w:rsidRPr="008002C6">
        <w:rPr>
          <w:rFonts w:ascii="华文楷体" w:hAnsi="华文楷体" w:hint="eastAsia"/>
          <w:sz w:val="24"/>
          <w:szCs w:val="24"/>
          <w:lang w:eastAsia="zh-CN"/>
        </w:rPr>
        <w:t>利差大幅走扩。</w:t>
      </w:r>
      <w:r>
        <w:rPr>
          <w:rFonts w:ascii="华文楷体" w:hAnsi="华文楷体" w:hint="eastAsia"/>
          <w:sz w:val="24"/>
          <w:szCs w:val="24"/>
          <w:lang w:eastAsia="zh-CN"/>
        </w:rPr>
        <w:t>2）由单主体信用风险引发同业存单和利率债抛售，造成一定连锁反应。</w:t>
      </w:r>
      <w:r w:rsidRPr="008002C6">
        <w:rPr>
          <w:rFonts w:ascii="华文楷体" w:hAnsi="华文楷体" w:hint="eastAsia"/>
          <w:sz w:val="24"/>
          <w:szCs w:val="24"/>
          <w:lang w:eastAsia="zh-CN"/>
        </w:rPr>
        <w:t>包商事件出来之后，市场机构排查相关风险，对持仓包商存单、以及持仓包商类似银行存单的基金赎回，引发基金为应对赎回抛售流动性高的利率债、同业存单和高流动性的信用债资产。货基5-6月分别被净赎回1622和3837亿份，债基5-6月分别被赎回146和414亿份，债基的净赎回规模创2017年9月以来新高。</w:t>
      </w:r>
      <w:r>
        <w:rPr>
          <w:rFonts w:ascii="华文楷体" w:hAnsi="华文楷体" w:hint="eastAsia"/>
          <w:sz w:val="24"/>
          <w:szCs w:val="24"/>
          <w:lang w:eastAsia="zh-CN"/>
        </w:rPr>
        <w:t>3）存单信用利差走阔，</w:t>
      </w:r>
      <w:r w:rsidRPr="008002C6">
        <w:rPr>
          <w:rFonts w:ascii="华文楷体" w:hAnsi="华文楷体" w:hint="eastAsia"/>
          <w:sz w:val="24"/>
          <w:szCs w:val="24"/>
          <w:lang w:eastAsia="zh-CN"/>
        </w:rPr>
        <w:t>市场开始规避中小银行同业存单，转向追逐高评级同业存单，使得高评级同业存单收益率</w:t>
      </w:r>
      <w:r>
        <w:rPr>
          <w:rFonts w:ascii="华文楷体" w:hAnsi="华文楷体" w:hint="eastAsia"/>
          <w:sz w:val="24"/>
          <w:szCs w:val="24"/>
          <w:lang w:eastAsia="zh-CN"/>
        </w:rPr>
        <w:t>先上后下</w:t>
      </w:r>
      <w:r w:rsidRPr="008002C6">
        <w:rPr>
          <w:rFonts w:ascii="华文楷体" w:hAnsi="华文楷体" w:hint="eastAsia"/>
          <w:sz w:val="24"/>
          <w:szCs w:val="24"/>
          <w:lang w:eastAsia="zh-CN"/>
        </w:rPr>
        <w:t>，而中低评级存单收益率持续走扩</w:t>
      </w:r>
      <w:r>
        <w:rPr>
          <w:rFonts w:ascii="华文楷体" w:hAnsi="华文楷体" w:hint="eastAsia"/>
          <w:sz w:val="24"/>
          <w:szCs w:val="24"/>
          <w:lang w:eastAsia="zh-CN"/>
        </w:rPr>
        <w:t>。</w:t>
      </w:r>
      <w:r w:rsidRPr="005D047F">
        <w:rPr>
          <w:rFonts w:ascii="华文楷体" w:hAnsi="华文楷体"/>
          <w:sz w:val="24"/>
          <w:szCs w:val="24"/>
          <w:lang w:eastAsia="zh-CN"/>
        </w:rPr>
        <w:t xml:space="preserve"> </w:t>
      </w:r>
    </w:p>
    <w:p w:rsidR="00561B84" w:rsidRPr="005D047F" w:rsidRDefault="00561B84" w:rsidP="00561B84">
      <w:pPr>
        <w:pStyle w:val="Body-text"/>
        <w:spacing w:after="240"/>
        <w:ind w:firstLine="480"/>
        <w:rPr>
          <w:rFonts w:ascii="华文楷体" w:hAnsi="华文楷体"/>
          <w:sz w:val="24"/>
          <w:szCs w:val="24"/>
          <w:lang w:eastAsia="zh-CN"/>
        </w:rPr>
      </w:pPr>
      <w:r>
        <w:rPr>
          <w:rFonts w:ascii="华文楷体" w:hAnsi="华文楷体"/>
          <w:noProof/>
          <w:sz w:val="24"/>
          <w:szCs w:val="24"/>
          <w:lang w:eastAsia="zh-CN"/>
        </w:rPr>
        <w:drawing>
          <wp:inline distT="0" distB="0" distL="0" distR="0" wp14:anchorId="77A25B9E">
            <wp:extent cx="2723795" cy="1958197"/>
            <wp:effectExtent l="0" t="0" r="63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24434" cy="1958656"/>
                    </a:xfrm>
                    <a:prstGeom prst="rect">
                      <a:avLst/>
                    </a:prstGeom>
                    <a:noFill/>
                  </pic:spPr>
                </pic:pic>
              </a:graphicData>
            </a:graphic>
          </wp:inline>
        </w:drawing>
      </w:r>
      <w:r>
        <w:rPr>
          <w:rFonts w:ascii="华文楷体" w:hAnsi="华文楷体"/>
          <w:noProof/>
          <w:sz w:val="24"/>
          <w:szCs w:val="24"/>
          <w:lang w:eastAsia="zh-CN"/>
        </w:rPr>
        <w:drawing>
          <wp:inline distT="0" distB="0" distL="0" distR="0" wp14:anchorId="40C96FF4">
            <wp:extent cx="3115111" cy="2061713"/>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19477" cy="2064603"/>
                    </a:xfrm>
                    <a:prstGeom prst="rect">
                      <a:avLst/>
                    </a:prstGeom>
                    <a:noFill/>
                  </pic:spPr>
                </pic:pic>
              </a:graphicData>
            </a:graphic>
          </wp:inline>
        </w:drawing>
      </w:r>
    </w:p>
    <w:p w:rsidR="00561B84" w:rsidRDefault="00561B84" w:rsidP="00561B84">
      <w:pPr>
        <w:pStyle w:val="Header1"/>
        <w:spacing w:before="240"/>
        <w:ind w:firstLineChars="200" w:firstLine="480"/>
        <w:rPr>
          <w:rFonts w:ascii="华文楷体" w:hAnsi="华文楷体"/>
          <w:b w:val="0"/>
          <w:smallCaps w:val="0"/>
          <w:color w:val="auto"/>
          <w:sz w:val="24"/>
          <w:szCs w:val="24"/>
        </w:rPr>
      </w:pPr>
      <w:r w:rsidRPr="00E6330D">
        <w:rPr>
          <w:rFonts w:ascii="华文楷体" w:hAnsi="华文楷体" w:hint="eastAsia"/>
          <w:b w:val="0"/>
          <w:smallCaps w:val="0"/>
          <w:color w:val="auto"/>
          <w:sz w:val="24"/>
          <w:szCs w:val="24"/>
        </w:rPr>
        <w:t>永煤违约与当年包商事件有相同之处也有不同之处，大概梳理此次永煤违约对债市的影响</w:t>
      </w:r>
      <w:r>
        <w:rPr>
          <w:rFonts w:ascii="华文楷体" w:hAnsi="华文楷体" w:hint="eastAsia"/>
          <w:b w:val="0"/>
          <w:smallCaps w:val="0"/>
          <w:color w:val="auto"/>
          <w:sz w:val="24"/>
          <w:szCs w:val="24"/>
        </w:rPr>
        <w:t>。相似的地方：打破了市场此前“</w:t>
      </w:r>
      <w:r w:rsidRPr="00F85A94">
        <w:rPr>
          <w:rFonts w:ascii="华文楷体" w:hAnsi="华文楷体" w:hint="eastAsia"/>
          <w:b w:val="0"/>
          <w:smallCaps w:val="0"/>
          <w:color w:val="auto"/>
          <w:sz w:val="24"/>
          <w:szCs w:val="24"/>
        </w:rPr>
        <w:t>刚兑信仰</w:t>
      </w:r>
      <w:r>
        <w:rPr>
          <w:rFonts w:ascii="华文楷体" w:hAnsi="华文楷体" w:hint="eastAsia"/>
          <w:b w:val="0"/>
          <w:smallCaps w:val="0"/>
          <w:color w:val="auto"/>
          <w:sz w:val="24"/>
          <w:szCs w:val="24"/>
        </w:rPr>
        <w:t>”</w:t>
      </w:r>
      <w:r w:rsidRPr="00F85A94">
        <w:rPr>
          <w:rFonts w:ascii="华文楷体" w:hAnsi="华文楷体" w:hint="eastAsia"/>
          <w:b w:val="0"/>
          <w:smallCaps w:val="0"/>
          <w:color w:val="auto"/>
          <w:sz w:val="24"/>
          <w:szCs w:val="24"/>
        </w:rPr>
        <w:t>，信用评估体系面临调整。永煤对应的是AAA</w:t>
      </w:r>
      <w:r>
        <w:rPr>
          <w:rFonts w:ascii="华文楷体" w:hAnsi="华文楷体" w:hint="eastAsia"/>
          <w:b w:val="0"/>
          <w:smallCaps w:val="0"/>
          <w:color w:val="auto"/>
          <w:sz w:val="24"/>
          <w:szCs w:val="24"/>
        </w:rPr>
        <w:t>国企破刚兑，</w:t>
      </w:r>
      <w:r w:rsidRPr="00F85A94">
        <w:rPr>
          <w:rFonts w:ascii="华文楷体" w:hAnsi="华文楷体" w:hint="eastAsia"/>
          <w:b w:val="0"/>
          <w:smallCaps w:val="0"/>
          <w:color w:val="auto"/>
          <w:sz w:val="24"/>
          <w:szCs w:val="24"/>
        </w:rPr>
        <w:t>包商对应的是银行破刚兑。两个事件发生</w:t>
      </w:r>
      <w:r>
        <w:rPr>
          <w:rFonts w:ascii="华文楷体" w:hAnsi="华文楷体" w:hint="eastAsia"/>
          <w:b w:val="0"/>
          <w:smallCaps w:val="0"/>
          <w:color w:val="auto"/>
          <w:sz w:val="24"/>
          <w:szCs w:val="24"/>
        </w:rPr>
        <w:t>都属于持续弱势主体但爆发时点略突然，</w:t>
      </w:r>
      <w:r w:rsidRPr="00F85A94">
        <w:rPr>
          <w:rFonts w:ascii="华文楷体" w:hAnsi="华文楷体" w:hint="eastAsia"/>
          <w:b w:val="0"/>
          <w:smallCaps w:val="0"/>
          <w:color w:val="auto"/>
          <w:sz w:val="24"/>
          <w:szCs w:val="24"/>
        </w:rPr>
        <w:t>永煤在违约前刚于10月22日在债券市场发行了10亿元中票，发行时债项评级仍在AAA。牵涉到的投资者相对分散，</w:t>
      </w:r>
      <w:r>
        <w:rPr>
          <w:rFonts w:ascii="华文楷体" w:hAnsi="华文楷体" w:hint="eastAsia"/>
          <w:b w:val="0"/>
          <w:smallCaps w:val="0"/>
          <w:color w:val="auto"/>
          <w:sz w:val="24"/>
          <w:szCs w:val="24"/>
        </w:rPr>
        <w:t>包括银行、非银等不同主体，</w:t>
      </w:r>
      <w:r w:rsidRPr="00F85A94">
        <w:rPr>
          <w:rFonts w:ascii="华文楷体" w:hAnsi="华文楷体" w:hint="eastAsia"/>
          <w:b w:val="0"/>
          <w:smallCaps w:val="0"/>
          <w:color w:val="auto"/>
          <w:sz w:val="24"/>
          <w:szCs w:val="24"/>
        </w:rPr>
        <w:t>信用冲击打击面广。市场对后续同类主体出现</w:t>
      </w:r>
      <w:r>
        <w:rPr>
          <w:rFonts w:ascii="华文楷体" w:hAnsi="华文楷体" w:hint="eastAsia"/>
          <w:b w:val="0"/>
          <w:smallCaps w:val="0"/>
          <w:color w:val="auto"/>
          <w:sz w:val="24"/>
          <w:szCs w:val="24"/>
        </w:rPr>
        <w:t>类似</w:t>
      </w:r>
      <w:r w:rsidRPr="00F85A94">
        <w:rPr>
          <w:rFonts w:ascii="华文楷体" w:hAnsi="华文楷体" w:hint="eastAsia"/>
          <w:b w:val="0"/>
          <w:smallCaps w:val="0"/>
          <w:color w:val="auto"/>
          <w:sz w:val="24"/>
          <w:szCs w:val="24"/>
        </w:rPr>
        <w:t>信用风险担忧升温。</w:t>
      </w:r>
    </w:p>
    <w:p w:rsidR="00561B84" w:rsidRDefault="00561B84" w:rsidP="00561B84">
      <w:pPr>
        <w:pStyle w:val="Header1"/>
        <w:spacing w:before="240"/>
        <w:ind w:firstLineChars="200"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此次永煤违约事件爆发后，市场对于</w:t>
      </w:r>
      <w:r w:rsidRPr="00F85A94">
        <w:rPr>
          <w:rFonts w:ascii="华文楷体" w:hAnsi="华文楷体" w:hint="eastAsia"/>
          <w:b w:val="0"/>
          <w:smallCaps w:val="0"/>
          <w:color w:val="auto"/>
          <w:sz w:val="24"/>
          <w:szCs w:val="24"/>
        </w:rPr>
        <w:t>同行业、同质、</w:t>
      </w:r>
      <w:r>
        <w:rPr>
          <w:rFonts w:ascii="华文楷体" w:hAnsi="华文楷体" w:hint="eastAsia"/>
          <w:b w:val="0"/>
          <w:smallCaps w:val="0"/>
          <w:color w:val="auto"/>
          <w:sz w:val="24"/>
          <w:szCs w:val="24"/>
        </w:rPr>
        <w:t>同区域</w:t>
      </w:r>
      <w:r w:rsidRPr="00F85A94">
        <w:rPr>
          <w:rFonts w:ascii="华文楷体" w:hAnsi="华文楷体" w:hint="eastAsia"/>
          <w:b w:val="0"/>
          <w:smallCaps w:val="0"/>
          <w:color w:val="auto"/>
          <w:sz w:val="24"/>
          <w:szCs w:val="24"/>
        </w:rPr>
        <w:t>发行主体的信用债</w:t>
      </w:r>
      <w:r>
        <w:rPr>
          <w:rFonts w:ascii="华文楷体" w:hAnsi="华文楷体" w:hint="eastAsia"/>
          <w:b w:val="0"/>
          <w:smallCaps w:val="0"/>
          <w:color w:val="auto"/>
          <w:sz w:val="24"/>
          <w:szCs w:val="24"/>
        </w:rPr>
        <w:t>都产生较大</w:t>
      </w:r>
      <w:r>
        <w:rPr>
          <w:rFonts w:ascii="华文楷体" w:hAnsi="华文楷体" w:hint="eastAsia"/>
          <w:b w:val="0"/>
          <w:smallCaps w:val="0"/>
          <w:color w:val="auto"/>
          <w:sz w:val="24"/>
          <w:szCs w:val="24"/>
        </w:rPr>
        <w:lastRenderedPageBreak/>
        <w:t>担心，本周同期煤炭多只主体取消债券发行，</w:t>
      </w:r>
      <w:r w:rsidRPr="00F85A94">
        <w:rPr>
          <w:rFonts w:ascii="华文楷体" w:hAnsi="华文楷体" w:hint="eastAsia"/>
          <w:b w:val="0"/>
          <w:smallCaps w:val="0"/>
          <w:color w:val="auto"/>
          <w:sz w:val="24"/>
          <w:szCs w:val="24"/>
        </w:rPr>
        <w:t>信用债市场</w:t>
      </w:r>
      <w:r>
        <w:rPr>
          <w:rFonts w:ascii="华文楷体" w:hAnsi="华文楷体" w:hint="eastAsia"/>
          <w:b w:val="0"/>
          <w:smallCaps w:val="0"/>
          <w:color w:val="auto"/>
          <w:sz w:val="24"/>
          <w:szCs w:val="24"/>
        </w:rPr>
        <w:t>处于</w:t>
      </w:r>
      <w:r w:rsidRPr="00F85A94">
        <w:rPr>
          <w:rFonts w:ascii="华文楷体" w:hAnsi="华文楷体" w:hint="eastAsia"/>
          <w:b w:val="0"/>
          <w:smallCaps w:val="0"/>
          <w:color w:val="auto"/>
          <w:sz w:val="24"/>
          <w:szCs w:val="24"/>
        </w:rPr>
        <w:t>流动性紧缩</w:t>
      </w:r>
      <w:r>
        <w:rPr>
          <w:rFonts w:ascii="华文楷体" w:hAnsi="华文楷体" w:hint="eastAsia"/>
          <w:b w:val="0"/>
          <w:smallCaps w:val="0"/>
          <w:color w:val="auto"/>
          <w:sz w:val="24"/>
          <w:szCs w:val="24"/>
        </w:rPr>
        <w:t>，信用风险偏好萎缩的状态。其次，永煤违约引发一定连锁反应，同主体、类似主体债券估值大幅下调，引发产品净值波动，进一步</w:t>
      </w:r>
      <w:r w:rsidRPr="00F85A94">
        <w:rPr>
          <w:rFonts w:ascii="华文楷体" w:hAnsi="华文楷体" w:hint="eastAsia"/>
          <w:b w:val="0"/>
          <w:smallCaps w:val="0"/>
          <w:color w:val="auto"/>
          <w:sz w:val="24"/>
          <w:szCs w:val="24"/>
        </w:rPr>
        <w:t>造成基金和资管产品赎回压力</w:t>
      </w:r>
      <w:r>
        <w:rPr>
          <w:rFonts w:ascii="华文楷体" w:hAnsi="华文楷体" w:hint="eastAsia"/>
          <w:b w:val="0"/>
          <w:smallCaps w:val="0"/>
          <w:color w:val="auto"/>
          <w:sz w:val="24"/>
          <w:szCs w:val="24"/>
        </w:rPr>
        <w:t>。此外，不排除金融机构</w:t>
      </w:r>
      <w:r w:rsidRPr="00F85A94">
        <w:rPr>
          <w:rFonts w:ascii="华文楷体" w:hAnsi="华文楷体" w:hint="eastAsia"/>
          <w:b w:val="0"/>
          <w:smallCaps w:val="0"/>
          <w:color w:val="auto"/>
          <w:sz w:val="24"/>
          <w:szCs w:val="24"/>
        </w:rPr>
        <w:t>风控趋严</w:t>
      </w:r>
      <w:r>
        <w:rPr>
          <w:rFonts w:ascii="华文楷体" w:hAnsi="华文楷体" w:hint="eastAsia"/>
          <w:b w:val="0"/>
          <w:smallCaps w:val="0"/>
          <w:color w:val="auto"/>
          <w:sz w:val="24"/>
          <w:szCs w:val="24"/>
        </w:rPr>
        <w:t>甚至</w:t>
      </w:r>
      <w:r w:rsidRPr="00F85A94">
        <w:rPr>
          <w:rFonts w:ascii="华文楷体" w:hAnsi="华文楷体" w:hint="eastAsia"/>
          <w:b w:val="0"/>
          <w:smallCaps w:val="0"/>
          <w:color w:val="auto"/>
          <w:sz w:val="24"/>
          <w:szCs w:val="24"/>
        </w:rPr>
        <w:t>一刀切，开始清查手中同类同质同省资产，</w:t>
      </w:r>
      <w:r>
        <w:rPr>
          <w:rFonts w:ascii="华文楷体" w:hAnsi="华文楷体" w:hint="eastAsia"/>
          <w:b w:val="0"/>
          <w:smallCaps w:val="0"/>
          <w:color w:val="auto"/>
          <w:sz w:val="24"/>
          <w:szCs w:val="24"/>
        </w:rPr>
        <w:t>由于</w:t>
      </w:r>
      <w:r w:rsidRPr="00F85A94">
        <w:rPr>
          <w:rFonts w:ascii="华文楷体" w:hAnsi="华文楷体" w:hint="eastAsia"/>
          <w:b w:val="0"/>
          <w:smallCaps w:val="0"/>
          <w:color w:val="auto"/>
          <w:sz w:val="24"/>
          <w:szCs w:val="24"/>
        </w:rPr>
        <w:t>出库而导致的</w:t>
      </w:r>
      <w:r>
        <w:rPr>
          <w:rFonts w:ascii="华文楷体" w:hAnsi="华文楷体" w:hint="eastAsia"/>
          <w:b w:val="0"/>
          <w:smallCaps w:val="0"/>
          <w:color w:val="auto"/>
          <w:sz w:val="24"/>
          <w:szCs w:val="24"/>
        </w:rPr>
        <w:t>债券抛售，引发负反馈。</w:t>
      </w:r>
    </w:p>
    <w:p w:rsidR="00561B84" w:rsidRDefault="00561B84" w:rsidP="00561B84">
      <w:pPr>
        <w:pStyle w:val="Header1"/>
        <w:spacing w:before="240"/>
        <w:ind w:firstLineChars="200"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此外，与包商银行事件类似，关注</w:t>
      </w:r>
      <w:r w:rsidRPr="00F85A94">
        <w:rPr>
          <w:rFonts w:ascii="华文楷体" w:hAnsi="华文楷体" w:hint="eastAsia"/>
          <w:b w:val="0"/>
          <w:smallCaps w:val="0"/>
          <w:color w:val="auto"/>
          <w:sz w:val="24"/>
          <w:szCs w:val="24"/>
        </w:rPr>
        <w:t>信用风险向流动性风险蔓延</w:t>
      </w:r>
      <w:r>
        <w:rPr>
          <w:rFonts w:ascii="华文楷体" w:hAnsi="华文楷体" w:hint="eastAsia"/>
          <w:b w:val="0"/>
          <w:smallCaps w:val="0"/>
          <w:color w:val="auto"/>
          <w:sz w:val="24"/>
          <w:szCs w:val="24"/>
        </w:rPr>
        <w:t>情况。本周已经出现</w:t>
      </w:r>
      <w:r w:rsidRPr="00F85A94">
        <w:rPr>
          <w:rFonts w:ascii="华文楷体" w:hAnsi="华文楷体" w:hint="eastAsia"/>
          <w:b w:val="0"/>
          <w:smallCaps w:val="0"/>
          <w:color w:val="auto"/>
          <w:sz w:val="24"/>
          <w:szCs w:val="24"/>
        </w:rPr>
        <w:t>回购市场信用债质押率下调打折，甚至出现不接受信用债质押的情况</w:t>
      </w:r>
      <w:r>
        <w:rPr>
          <w:rFonts w:ascii="华文楷体" w:hAnsi="华文楷体" w:hint="eastAsia"/>
          <w:b w:val="0"/>
          <w:smallCaps w:val="0"/>
          <w:color w:val="auto"/>
          <w:sz w:val="24"/>
          <w:szCs w:val="24"/>
        </w:rPr>
        <w:t>，为缓解流动性压力，高资质高流动性资产可能会受到第一波冲击。这个过程中，债市流动性压力可能从单标的主体向同类信用主体、高流动性标的资产、高流动性资管产品（货基、债基）等逐步传导，机构在这个过程中</w:t>
      </w:r>
      <w:r w:rsidRPr="00F85A94">
        <w:rPr>
          <w:rFonts w:ascii="华文楷体" w:hAnsi="华文楷体" w:hint="eastAsia"/>
          <w:b w:val="0"/>
          <w:smallCaps w:val="0"/>
          <w:color w:val="auto"/>
          <w:sz w:val="24"/>
          <w:szCs w:val="24"/>
        </w:rPr>
        <w:t>进入了被动去杠杆的循环</w:t>
      </w:r>
      <w:r>
        <w:rPr>
          <w:rFonts w:ascii="华文楷体" w:hAnsi="华文楷体" w:hint="eastAsia"/>
          <w:b w:val="0"/>
          <w:smallCaps w:val="0"/>
          <w:color w:val="auto"/>
          <w:sz w:val="24"/>
          <w:szCs w:val="24"/>
        </w:rPr>
        <w:t>。</w:t>
      </w:r>
    </w:p>
    <w:p w:rsidR="00561B84" w:rsidRPr="00F85A94" w:rsidRDefault="00561B84" w:rsidP="00561B84">
      <w:pPr>
        <w:pStyle w:val="Header1"/>
        <w:spacing w:before="240"/>
        <w:ind w:firstLineChars="200"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由此可看，永煤违约事件后短期内可能产生的情景：1）风险偏好下移，信用风控要求收紧，</w:t>
      </w:r>
      <w:r w:rsidRPr="00F85A94">
        <w:rPr>
          <w:rFonts w:ascii="华文楷体" w:hAnsi="华文楷体" w:hint="eastAsia"/>
          <w:b w:val="0"/>
          <w:smallCaps w:val="0"/>
          <w:color w:val="auto"/>
          <w:sz w:val="24"/>
          <w:szCs w:val="24"/>
        </w:rPr>
        <w:t>弱国企、弱省份、弱行业的</w:t>
      </w:r>
      <w:r>
        <w:rPr>
          <w:rFonts w:ascii="华文楷体" w:hAnsi="华文楷体" w:hint="eastAsia"/>
          <w:b w:val="0"/>
          <w:smallCaps w:val="0"/>
          <w:color w:val="auto"/>
          <w:sz w:val="24"/>
          <w:szCs w:val="24"/>
        </w:rPr>
        <w:t>标的信用利差走阔，融资环境走弱，流动性分层。2）引发市场对地方政府信仰弱化，</w:t>
      </w:r>
      <w:r w:rsidRPr="00F85A94">
        <w:rPr>
          <w:rFonts w:ascii="华文楷体" w:hAnsi="华文楷体" w:hint="eastAsia"/>
          <w:b w:val="0"/>
          <w:smallCaps w:val="0"/>
          <w:color w:val="auto"/>
          <w:sz w:val="24"/>
          <w:szCs w:val="24"/>
        </w:rPr>
        <w:t>永煤是弱国企，其动摇的是市场对地方政府的信任根基，</w:t>
      </w:r>
      <w:r w:rsidRPr="00E50925">
        <w:rPr>
          <w:rFonts w:ascii="华文楷体" w:hAnsi="华文楷体" w:hint="eastAsia"/>
          <w:b w:val="0"/>
          <w:smallCaps w:val="0"/>
          <w:color w:val="auto"/>
          <w:sz w:val="24"/>
          <w:szCs w:val="24"/>
        </w:rPr>
        <w:t>对地方政府信任的根基一旦动摇，后面波及的将不仅仅是地方弱国企，包括地方城投、地方城商行等，可能也会面临新一轮的风险排查</w:t>
      </w:r>
      <w:r>
        <w:rPr>
          <w:rFonts w:ascii="华文楷体" w:hAnsi="华文楷体" w:hint="eastAsia"/>
          <w:b w:val="0"/>
          <w:smallCaps w:val="0"/>
          <w:color w:val="auto"/>
          <w:sz w:val="24"/>
          <w:szCs w:val="24"/>
        </w:rPr>
        <w:t>。</w:t>
      </w:r>
      <w:r w:rsidRPr="00F85A94">
        <w:rPr>
          <w:rFonts w:ascii="华文楷体" w:hAnsi="华文楷体" w:hint="eastAsia"/>
          <w:b w:val="0"/>
          <w:smallCaps w:val="0"/>
          <w:color w:val="auto"/>
          <w:sz w:val="24"/>
          <w:szCs w:val="24"/>
        </w:rPr>
        <w:t>包商事件引发的市场波动和银行间流动性风险的抬升，可以依靠央行出手来化解，但地方政府引发的债务风险担忧，</w:t>
      </w:r>
      <w:r>
        <w:rPr>
          <w:rFonts w:ascii="华文楷体" w:hAnsi="华文楷体" w:hint="eastAsia"/>
          <w:b w:val="0"/>
          <w:smallCaps w:val="0"/>
          <w:color w:val="auto"/>
          <w:sz w:val="24"/>
          <w:szCs w:val="24"/>
        </w:rPr>
        <w:t>更多需要地方政府或企业层面自身想办法解决</w:t>
      </w:r>
      <w:r w:rsidRPr="00F85A94">
        <w:rPr>
          <w:rFonts w:ascii="华文楷体" w:hAnsi="华文楷体" w:hint="eastAsia"/>
          <w:b w:val="0"/>
          <w:smallCaps w:val="0"/>
          <w:color w:val="auto"/>
          <w:sz w:val="24"/>
          <w:szCs w:val="24"/>
        </w:rPr>
        <w:t>。</w:t>
      </w:r>
    </w:p>
    <w:p w:rsidR="00561B84" w:rsidRPr="00F85A94" w:rsidRDefault="00561B84" w:rsidP="00561B84">
      <w:pPr>
        <w:pStyle w:val="Header1"/>
        <w:spacing w:before="240"/>
        <w:rPr>
          <w:rFonts w:ascii="华文楷体" w:hAnsi="华文楷体"/>
          <w:b w:val="0"/>
          <w:smallCaps w:val="0"/>
          <w:color w:val="auto"/>
          <w:sz w:val="24"/>
          <w:szCs w:val="24"/>
        </w:rPr>
      </w:pPr>
      <w:r>
        <w:rPr>
          <w:rFonts w:ascii="华文楷体" w:hAnsi="华文楷体" w:hint="eastAsia"/>
          <w:b w:val="0"/>
          <w:smallCaps w:val="0"/>
          <w:color w:val="auto"/>
          <w:sz w:val="24"/>
          <w:szCs w:val="24"/>
        </w:rPr>
        <w:t xml:space="preserve">    与包商事件不同，此次央行可以参与的程度有限。</w:t>
      </w:r>
      <w:r w:rsidRPr="00F85A94">
        <w:rPr>
          <w:rFonts w:ascii="华文楷体" w:hAnsi="华文楷体" w:hint="eastAsia"/>
          <w:b w:val="0"/>
          <w:smallCaps w:val="0"/>
          <w:color w:val="auto"/>
          <w:sz w:val="24"/>
          <w:szCs w:val="24"/>
        </w:rPr>
        <w:t>央行</w:t>
      </w:r>
      <w:r>
        <w:rPr>
          <w:rFonts w:ascii="华文楷体" w:hAnsi="华文楷体" w:hint="eastAsia"/>
          <w:b w:val="0"/>
          <w:smallCaps w:val="0"/>
          <w:color w:val="auto"/>
          <w:sz w:val="24"/>
          <w:szCs w:val="24"/>
        </w:rPr>
        <w:t>通过</w:t>
      </w:r>
      <w:r w:rsidRPr="00F85A94">
        <w:rPr>
          <w:rFonts w:ascii="华文楷体" w:hAnsi="华文楷体" w:hint="eastAsia"/>
          <w:b w:val="0"/>
          <w:smallCaps w:val="0"/>
          <w:color w:val="auto"/>
          <w:sz w:val="24"/>
          <w:szCs w:val="24"/>
        </w:rPr>
        <w:t>增加流动性投放呵护资金面的紧张，</w:t>
      </w:r>
      <w:r>
        <w:rPr>
          <w:rFonts w:ascii="华文楷体" w:hAnsi="华文楷体" w:hint="eastAsia"/>
          <w:b w:val="0"/>
          <w:smallCaps w:val="0"/>
          <w:color w:val="auto"/>
          <w:sz w:val="24"/>
          <w:szCs w:val="24"/>
        </w:rPr>
        <w:t>流动性</w:t>
      </w:r>
      <w:r w:rsidRPr="00F85A94">
        <w:rPr>
          <w:rFonts w:ascii="华文楷体" w:hAnsi="华文楷体" w:hint="eastAsia"/>
          <w:b w:val="0"/>
          <w:smallCaps w:val="0"/>
          <w:color w:val="auto"/>
          <w:sz w:val="24"/>
          <w:szCs w:val="24"/>
        </w:rPr>
        <w:t>传导效果取决于市场对信用债信心的恢复程度。</w:t>
      </w:r>
      <w:r>
        <w:rPr>
          <w:rFonts w:ascii="华文楷体" w:hAnsi="华文楷体" w:hint="eastAsia"/>
          <w:b w:val="0"/>
          <w:smallCaps w:val="0"/>
          <w:color w:val="auto"/>
          <w:sz w:val="24"/>
          <w:szCs w:val="24"/>
        </w:rPr>
        <w:t>流动性分层的情况可能短期内仍将持续，信</w:t>
      </w:r>
      <w:r w:rsidRPr="00F85A94">
        <w:rPr>
          <w:rFonts w:ascii="华文楷体" w:hAnsi="华文楷体" w:hint="eastAsia"/>
          <w:b w:val="0"/>
          <w:smallCaps w:val="0"/>
          <w:color w:val="auto"/>
          <w:sz w:val="24"/>
          <w:szCs w:val="24"/>
        </w:rPr>
        <w:t>用债质押率的下调，叠加金融机构风控标准提高，可能会导致非银的融资成本抬升。</w:t>
      </w:r>
      <w:r>
        <w:rPr>
          <w:rFonts w:ascii="华文楷体" w:hAnsi="华文楷体" w:hint="eastAsia"/>
          <w:b w:val="0"/>
          <w:smallCaps w:val="0"/>
          <w:color w:val="auto"/>
          <w:sz w:val="24"/>
          <w:szCs w:val="24"/>
        </w:rPr>
        <w:t>即使央行通过OMO投放流动性，但</w:t>
      </w:r>
      <w:r w:rsidRPr="00F85A94">
        <w:rPr>
          <w:rFonts w:ascii="华文楷体" w:hAnsi="华文楷体" w:hint="eastAsia"/>
          <w:b w:val="0"/>
          <w:smallCaps w:val="0"/>
          <w:color w:val="auto"/>
          <w:sz w:val="24"/>
          <w:szCs w:val="24"/>
        </w:rPr>
        <w:t>融资利率之间的利差</w:t>
      </w:r>
      <w:r>
        <w:rPr>
          <w:rFonts w:ascii="华文楷体" w:hAnsi="华文楷体" w:hint="eastAsia"/>
          <w:b w:val="0"/>
          <w:smallCaps w:val="0"/>
          <w:color w:val="auto"/>
          <w:sz w:val="24"/>
          <w:szCs w:val="24"/>
        </w:rPr>
        <w:t>预计仍</w:t>
      </w:r>
      <w:r w:rsidRPr="00F85A94">
        <w:rPr>
          <w:rFonts w:ascii="华文楷体" w:hAnsi="华文楷体" w:hint="eastAsia"/>
          <w:b w:val="0"/>
          <w:smallCaps w:val="0"/>
          <w:color w:val="auto"/>
          <w:sz w:val="24"/>
          <w:szCs w:val="24"/>
        </w:rPr>
        <w:t>会</w:t>
      </w:r>
      <w:r>
        <w:rPr>
          <w:rFonts w:ascii="华文楷体" w:hAnsi="华文楷体" w:hint="eastAsia"/>
          <w:b w:val="0"/>
          <w:smallCaps w:val="0"/>
          <w:color w:val="auto"/>
          <w:sz w:val="24"/>
          <w:szCs w:val="24"/>
        </w:rPr>
        <w:t>维持</w:t>
      </w:r>
      <w:r w:rsidRPr="00F85A94">
        <w:rPr>
          <w:rFonts w:ascii="华文楷体" w:hAnsi="华文楷体" w:hint="eastAsia"/>
          <w:b w:val="0"/>
          <w:smallCaps w:val="0"/>
          <w:color w:val="auto"/>
          <w:sz w:val="24"/>
          <w:szCs w:val="24"/>
        </w:rPr>
        <w:t>，用国债等低风险利率债质押的回购利率与用信用债质押的回购利率之间的利差均值会走高，不同评级、不同行业、不同省份信用债质押的回购利率之间的利差均值可能也会更加分化。</w:t>
      </w:r>
    </w:p>
    <w:p w:rsidR="00561B84" w:rsidRPr="00F85A94" w:rsidRDefault="00561B84" w:rsidP="00561B84">
      <w:pPr>
        <w:pStyle w:val="Header1"/>
        <w:spacing w:before="240"/>
        <w:rPr>
          <w:rFonts w:ascii="华文楷体" w:hAnsi="华文楷体"/>
          <w:b w:val="0"/>
          <w:smallCaps w:val="0"/>
          <w:color w:val="auto"/>
          <w:sz w:val="24"/>
          <w:szCs w:val="24"/>
        </w:rPr>
      </w:pPr>
      <w:r>
        <w:rPr>
          <w:rFonts w:ascii="华文楷体" w:hAnsi="华文楷体" w:hint="eastAsia"/>
          <w:b w:val="0"/>
          <w:smallCaps w:val="0"/>
          <w:color w:val="auto"/>
          <w:sz w:val="24"/>
          <w:szCs w:val="24"/>
        </w:rPr>
        <w:t xml:space="preserve">    后续来看，</w:t>
      </w:r>
      <w:r w:rsidRPr="00F85A94">
        <w:rPr>
          <w:rFonts w:ascii="华文楷体" w:hAnsi="华文楷体" w:hint="eastAsia"/>
          <w:b w:val="0"/>
          <w:smallCaps w:val="0"/>
          <w:color w:val="auto"/>
          <w:sz w:val="24"/>
          <w:szCs w:val="24"/>
        </w:rPr>
        <w:t>一是</w:t>
      </w:r>
      <w:r>
        <w:rPr>
          <w:rFonts w:ascii="华文楷体" w:hAnsi="华文楷体" w:hint="eastAsia"/>
          <w:b w:val="0"/>
          <w:smallCaps w:val="0"/>
          <w:color w:val="auto"/>
          <w:sz w:val="24"/>
          <w:szCs w:val="24"/>
        </w:rPr>
        <w:t>可能引发</w:t>
      </w:r>
      <w:r w:rsidRPr="00F85A94">
        <w:rPr>
          <w:rFonts w:ascii="华文楷体" w:hAnsi="华文楷体" w:hint="eastAsia"/>
          <w:b w:val="0"/>
          <w:smallCaps w:val="0"/>
          <w:color w:val="auto"/>
          <w:sz w:val="24"/>
          <w:szCs w:val="24"/>
        </w:rPr>
        <w:t>信用债市场整体</w:t>
      </w:r>
      <w:r>
        <w:rPr>
          <w:rFonts w:ascii="华文楷体" w:hAnsi="华文楷体" w:hint="eastAsia"/>
          <w:b w:val="0"/>
          <w:smallCaps w:val="0"/>
          <w:color w:val="auto"/>
          <w:sz w:val="24"/>
          <w:szCs w:val="24"/>
        </w:rPr>
        <w:t>信用溢价重新定价；</w:t>
      </w:r>
      <w:r w:rsidRPr="00F85A94">
        <w:rPr>
          <w:rFonts w:ascii="华文楷体" w:hAnsi="华文楷体" w:hint="eastAsia"/>
          <w:b w:val="0"/>
          <w:smallCaps w:val="0"/>
          <w:color w:val="auto"/>
          <w:sz w:val="24"/>
          <w:szCs w:val="24"/>
        </w:rPr>
        <w:t>二是</w:t>
      </w:r>
      <w:r>
        <w:rPr>
          <w:rFonts w:ascii="华文楷体" w:hAnsi="华文楷体" w:hint="eastAsia"/>
          <w:b w:val="0"/>
          <w:smallCaps w:val="0"/>
          <w:color w:val="auto"/>
          <w:sz w:val="24"/>
          <w:szCs w:val="24"/>
        </w:rPr>
        <w:t>如果信用风险持续发酵，并向</w:t>
      </w:r>
      <w:r w:rsidRPr="00F85A94">
        <w:rPr>
          <w:rFonts w:ascii="华文楷体" w:hAnsi="华文楷体" w:hint="eastAsia"/>
          <w:b w:val="0"/>
          <w:smallCaps w:val="0"/>
          <w:color w:val="auto"/>
          <w:sz w:val="24"/>
          <w:szCs w:val="24"/>
        </w:rPr>
        <w:t>流动性</w:t>
      </w:r>
      <w:r>
        <w:rPr>
          <w:rFonts w:ascii="华文楷体" w:hAnsi="华文楷体" w:hint="eastAsia"/>
          <w:b w:val="0"/>
          <w:smallCaps w:val="0"/>
          <w:color w:val="auto"/>
          <w:sz w:val="24"/>
          <w:szCs w:val="24"/>
        </w:rPr>
        <w:t>风险转移，流动性</w:t>
      </w:r>
      <w:r w:rsidRPr="00F85A94">
        <w:rPr>
          <w:rFonts w:ascii="华文楷体" w:hAnsi="华文楷体" w:hint="eastAsia"/>
          <w:b w:val="0"/>
          <w:smallCaps w:val="0"/>
          <w:color w:val="auto"/>
          <w:sz w:val="24"/>
          <w:szCs w:val="24"/>
        </w:rPr>
        <w:t>趋紧</w:t>
      </w:r>
      <w:r>
        <w:rPr>
          <w:rFonts w:ascii="华文楷体" w:hAnsi="华文楷体" w:hint="eastAsia"/>
          <w:b w:val="0"/>
          <w:smallCaps w:val="0"/>
          <w:color w:val="auto"/>
          <w:sz w:val="24"/>
          <w:szCs w:val="24"/>
        </w:rPr>
        <w:t>和分层情况预计将阶段性持续；</w:t>
      </w:r>
      <w:r w:rsidRPr="00F85A94">
        <w:rPr>
          <w:rFonts w:ascii="华文楷体" w:hAnsi="华文楷体" w:hint="eastAsia"/>
          <w:b w:val="0"/>
          <w:smallCaps w:val="0"/>
          <w:color w:val="auto"/>
          <w:sz w:val="24"/>
          <w:szCs w:val="24"/>
        </w:rPr>
        <w:t>三是</w:t>
      </w:r>
      <w:r>
        <w:rPr>
          <w:rFonts w:ascii="华文楷体" w:hAnsi="华文楷体" w:hint="eastAsia"/>
          <w:b w:val="0"/>
          <w:smallCaps w:val="0"/>
          <w:color w:val="auto"/>
          <w:sz w:val="24"/>
          <w:szCs w:val="24"/>
        </w:rPr>
        <w:t>高等级高流动性资产短期内面临一定抛压，但中期来看信用溢价走阔，风险偏好走弱，中高评级资产将更受益。</w:t>
      </w:r>
    </w:p>
    <w:p w:rsidR="00561B84" w:rsidRPr="0040186C" w:rsidRDefault="00561B84" w:rsidP="00561B84">
      <w:pPr>
        <w:pStyle w:val="Header1"/>
        <w:spacing w:before="240"/>
        <w:rPr>
          <w:color w:val="943634" w:themeColor="accent2" w:themeShade="BF"/>
        </w:rPr>
      </w:pPr>
    </w:p>
    <w:p w:rsidR="00561B84" w:rsidRDefault="00561B84" w:rsidP="00561B84">
      <w:pPr>
        <w:pStyle w:val="Header1"/>
        <w:spacing w:before="240"/>
        <w:rPr>
          <w:color w:val="943634" w:themeColor="accent2" w:themeShade="BF"/>
        </w:rPr>
      </w:pPr>
      <w:r>
        <w:rPr>
          <w:rFonts w:hint="eastAsia"/>
          <w:color w:val="943634" w:themeColor="accent2" w:themeShade="BF"/>
        </w:rPr>
        <w:t>二</w:t>
      </w:r>
      <w:r w:rsidRPr="004C5268">
        <w:rPr>
          <w:rFonts w:hint="eastAsia"/>
          <w:color w:val="943634" w:themeColor="accent2" w:themeShade="BF"/>
        </w:rPr>
        <w:t>、</w:t>
      </w:r>
      <w:r>
        <w:rPr>
          <w:rFonts w:hint="eastAsia"/>
          <w:color w:val="943634" w:themeColor="accent2" w:themeShade="BF"/>
        </w:rPr>
        <w:t>上周市场回顾</w:t>
      </w:r>
    </w:p>
    <w:p w:rsidR="00561B84" w:rsidRPr="00945073" w:rsidRDefault="00561B84" w:rsidP="00561B84">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rsidR="00561B84" w:rsidRPr="00EA1459" w:rsidRDefault="00561B84" w:rsidP="00561B84">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央行公开市场操作净投放2300亿，其中到期3200亿，投放5500亿。资金利率先松后紧，周中发生永煤违约事件，央行持续净投放适度平抑市场情绪波动。周五隔夜较上周五上行90BP至2.78%，7天较上周上行96BP至3.36%，下周公开市场操作与国库现金定存合计到期7500亿，关注MLF、LPR操作情况。</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561B84" w:rsidRPr="006A5F34" w:rsidTr="002C79E5">
        <w:trPr>
          <w:jc w:val="center"/>
        </w:trPr>
        <w:tc>
          <w:tcPr>
            <w:tcW w:w="4939" w:type="dxa"/>
            <w:vAlign w:val="center"/>
          </w:tcPr>
          <w:p w:rsidR="00561B84" w:rsidRPr="006A5F34" w:rsidRDefault="00561B84" w:rsidP="002C79E5">
            <w:pPr>
              <w:pStyle w:val="ChartHeading"/>
              <w:jc w:val="both"/>
            </w:pPr>
            <w:bookmarkStart w:id="0" w:name="_Hlk12804578"/>
            <w:r w:rsidRPr="006A5F34">
              <w:rPr>
                <w:rFonts w:hint="eastAsia"/>
              </w:rPr>
              <w:lastRenderedPageBreak/>
              <w:t>图表</w:t>
            </w:r>
            <w:r w:rsidRPr="006A5F34">
              <w:t xml:space="preserve">. </w:t>
            </w:r>
            <w:r>
              <w:rPr>
                <w:rFonts w:hint="eastAsia"/>
              </w:rPr>
              <w:t>央行公开市场逆回购操作</w:t>
            </w:r>
          </w:p>
        </w:tc>
        <w:tc>
          <w:tcPr>
            <w:tcW w:w="4938" w:type="dxa"/>
            <w:vAlign w:val="center"/>
          </w:tcPr>
          <w:p w:rsidR="00561B84" w:rsidRPr="006A5F34" w:rsidRDefault="00561B84" w:rsidP="002C79E5">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561B84" w:rsidRPr="006A5F34" w:rsidTr="002C79E5">
        <w:tblPrEx>
          <w:tblCellMar>
            <w:left w:w="108" w:type="dxa"/>
            <w:right w:w="108" w:type="dxa"/>
          </w:tblCellMar>
        </w:tblPrEx>
        <w:trPr>
          <w:jc w:val="center"/>
        </w:trPr>
        <w:tc>
          <w:tcPr>
            <w:tcW w:w="4939" w:type="dxa"/>
            <w:vAlign w:val="center"/>
          </w:tcPr>
          <w:p w:rsidR="00561B84" w:rsidRPr="003C6AC1" w:rsidRDefault="00561B84" w:rsidP="002C79E5">
            <w:pPr>
              <w:jc w:val="center"/>
              <w:rPr>
                <w:noProof/>
                <w:sz w:val="20"/>
              </w:rPr>
            </w:pPr>
            <w:r>
              <w:rPr>
                <w:noProof/>
              </w:rPr>
              <w:drawing>
                <wp:inline distT="0" distB="0" distL="0" distR="0" wp14:anchorId="793D2B8A" wp14:editId="3ABC38F5">
                  <wp:extent cx="2999105" cy="1725792"/>
                  <wp:effectExtent l="0" t="0" r="0" b="8255"/>
                  <wp:docPr id="1" name="图表 1">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tc>
        <w:tc>
          <w:tcPr>
            <w:tcW w:w="4938" w:type="dxa"/>
            <w:vAlign w:val="center"/>
          </w:tcPr>
          <w:p w:rsidR="00561B84" w:rsidRPr="00F62F43" w:rsidRDefault="00561B84" w:rsidP="002C79E5">
            <w:pPr>
              <w:jc w:val="center"/>
              <w:rPr>
                <w:noProof/>
                <w:sz w:val="16"/>
                <w:szCs w:val="18"/>
              </w:rPr>
            </w:pPr>
            <w:r>
              <w:rPr>
                <w:noProof/>
              </w:rPr>
              <w:drawing>
                <wp:inline distT="0" distB="0" distL="0" distR="0" wp14:anchorId="61E1D12A" wp14:editId="2F222102">
                  <wp:extent cx="2998470" cy="1709889"/>
                  <wp:effectExtent l="0" t="0" r="0" b="5080"/>
                  <wp:docPr id="7" name="图表 7">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bookmarkStart w:id="1" w:name="_GoBack"/>
        <w:bookmarkEnd w:id="1"/>
      </w:tr>
      <w:tr w:rsidR="00561B84" w:rsidRPr="006A5F34" w:rsidTr="002C79E5">
        <w:trPr>
          <w:trHeight w:val="64"/>
          <w:jc w:val="center"/>
        </w:trPr>
        <w:tc>
          <w:tcPr>
            <w:tcW w:w="4939" w:type="dxa"/>
            <w:vAlign w:val="center"/>
          </w:tcPr>
          <w:p w:rsidR="00561B84" w:rsidRPr="006A5F34" w:rsidRDefault="00561B84" w:rsidP="002C79E5">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rsidR="00561B84" w:rsidRPr="006A5F34" w:rsidRDefault="00561B84" w:rsidP="002C79E5">
            <w:pPr>
              <w:pStyle w:val="Source"/>
              <w:jc w:val="both"/>
              <w:rPr>
                <w:kern w:val="0"/>
              </w:rPr>
            </w:pPr>
            <w:r w:rsidRPr="006A5F34">
              <w:rPr>
                <w:rFonts w:hint="eastAsia"/>
                <w:kern w:val="0"/>
              </w:rPr>
              <w:t>资料来源：万得</w:t>
            </w:r>
            <w:r>
              <w:rPr>
                <w:rFonts w:hint="eastAsia"/>
                <w:kern w:val="0"/>
              </w:rPr>
              <w:t>，富荣基金</w:t>
            </w:r>
          </w:p>
        </w:tc>
      </w:tr>
      <w:bookmarkEnd w:id="0"/>
    </w:tbl>
    <w:p w:rsidR="00561B84" w:rsidRPr="004003D2" w:rsidRDefault="00561B84" w:rsidP="00561B84">
      <w:pPr>
        <w:pStyle w:val="Body-text"/>
        <w:spacing w:after="0"/>
        <w:rPr>
          <w:lang w:eastAsia="zh-CN"/>
        </w:rPr>
      </w:pPr>
    </w:p>
    <w:p w:rsidR="00561B84" w:rsidRPr="00C73E5D" w:rsidRDefault="00561B84" w:rsidP="00561B84">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rsidR="00561B84" w:rsidRDefault="00561B84" w:rsidP="00561B84">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本周债市利率</w:t>
      </w:r>
      <w:r>
        <w:rPr>
          <w:rFonts w:ascii="华文楷体" w:hAnsi="华文楷体"/>
          <w:sz w:val="24"/>
          <w:szCs w:val="24"/>
          <w:lang w:eastAsia="zh-CN"/>
        </w:rPr>
        <w:t>债</w:t>
      </w:r>
      <w:r>
        <w:rPr>
          <w:rFonts w:ascii="华文楷体" w:hAnsi="华文楷体" w:hint="eastAsia"/>
          <w:sz w:val="24"/>
          <w:szCs w:val="24"/>
          <w:lang w:eastAsia="zh-CN"/>
        </w:rPr>
        <w:t>多数主要期限利率上行为主，3Y国债和7年国开表现相对略好。期限利差较前期低位持续小幅下行，国债10年和1Y期限利差在43BP，国开债10Y与1Y利差在77BP</w:t>
      </w:r>
      <w:r>
        <w:rPr>
          <w:rFonts w:ascii="华文楷体" w:hAnsi="华文楷体"/>
          <w:sz w:val="24"/>
          <w:szCs w:val="24"/>
          <w:lang w:eastAsia="zh-CN"/>
        </w:rPr>
        <w:t>。</w:t>
      </w:r>
      <w:r>
        <w:rPr>
          <w:rFonts w:ascii="华文楷体" w:hAnsi="华文楷体" w:hint="eastAsia"/>
          <w:sz w:val="24"/>
          <w:szCs w:val="24"/>
          <w:lang w:eastAsia="zh-CN"/>
        </w:rPr>
        <w:t>最终，本周1</w:t>
      </w:r>
      <w:r>
        <w:rPr>
          <w:rFonts w:ascii="华文楷体" w:hAnsi="华文楷体"/>
          <w:sz w:val="24"/>
          <w:szCs w:val="24"/>
          <w:lang w:eastAsia="zh-CN"/>
        </w:rPr>
        <w:t>0</w:t>
      </w:r>
      <w:r>
        <w:rPr>
          <w:rFonts w:ascii="华文楷体" w:hAnsi="华文楷体" w:hint="eastAsia"/>
          <w:sz w:val="24"/>
          <w:szCs w:val="24"/>
          <w:lang w:eastAsia="zh-CN"/>
        </w:rPr>
        <w:t>Y国债上行6.5BP，10Y国开上行4BP，10Y期限国开债和国债利差至44BP。</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561B84" w:rsidRPr="006A5F34" w:rsidTr="002C79E5">
        <w:trPr>
          <w:jc w:val="center"/>
        </w:trPr>
        <w:tc>
          <w:tcPr>
            <w:tcW w:w="4939" w:type="dxa"/>
            <w:vAlign w:val="center"/>
          </w:tcPr>
          <w:p w:rsidR="00561B84" w:rsidRPr="006A5F34" w:rsidRDefault="00561B84" w:rsidP="002C79E5">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rsidR="00561B84" w:rsidRPr="006A5F34" w:rsidRDefault="00561B84" w:rsidP="002C79E5">
            <w:pPr>
              <w:pStyle w:val="ChartHeading"/>
              <w:jc w:val="both"/>
            </w:pPr>
            <w:r w:rsidRPr="006A5F34">
              <w:rPr>
                <w:rFonts w:hint="eastAsia"/>
              </w:rPr>
              <w:t>图表</w:t>
            </w:r>
            <w:r w:rsidRPr="006A5F34">
              <w:t xml:space="preserve">. </w:t>
            </w:r>
            <w:r>
              <w:rPr>
                <w:rFonts w:hint="eastAsia"/>
              </w:rPr>
              <w:t>国开债收益率曲线和变化</w:t>
            </w:r>
          </w:p>
        </w:tc>
      </w:tr>
      <w:tr w:rsidR="00561B84" w:rsidRPr="006A5F34" w:rsidTr="002C79E5">
        <w:tblPrEx>
          <w:tblCellMar>
            <w:left w:w="108" w:type="dxa"/>
            <w:right w:w="108" w:type="dxa"/>
          </w:tblCellMar>
        </w:tblPrEx>
        <w:trPr>
          <w:jc w:val="center"/>
        </w:trPr>
        <w:tc>
          <w:tcPr>
            <w:tcW w:w="4939" w:type="dxa"/>
            <w:vAlign w:val="center"/>
          </w:tcPr>
          <w:p w:rsidR="00561B84" w:rsidRPr="007E0340" w:rsidRDefault="00561B84" w:rsidP="002C79E5">
            <w:pPr>
              <w:rPr>
                <w:noProof/>
              </w:rPr>
            </w:pPr>
            <w:r>
              <w:rPr>
                <w:noProof/>
              </w:rPr>
              <w:drawing>
                <wp:inline distT="0" distB="0" distL="0" distR="0" wp14:anchorId="4B592105" wp14:editId="355487BF">
                  <wp:extent cx="2999105" cy="1726648"/>
                  <wp:effectExtent l="0" t="0" r="0" b="6985"/>
                  <wp:docPr id="8" name="图表 8">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rsidR="00561B84" w:rsidRPr="007E0340" w:rsidRDefault="00561B84" w:rsidP="002C79E5">
            <w:pPr>
              <w:jc w:val="center"/>
              <w:rPr>
                <w:noProof/>
                <w:szCs w:val="18"/>
              </w:rPr>
            </w:pPr>
            <w:r>
              <w:rPr>
                <w:noProof/>
              </w:rPr>
              <w:drawing>
                <wp:inline distT="0" distB="0" distL="0" distR="0" wp14:anchorId="06E87671" wp14:editId="1F148E8A">
                  <wp:extent cx="2998470" cy="1753070"/>
                  <wp:effectExtent l="0" t="0" r="0" b="0"/>
                  <wp:docPr id="9" name="图表 9">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561B84" w:rsidRPr="006A5F34" w:rsidTr="002C79E5">
        <w:trPr>
          <w:trHeight w:val="64"/>
          <w:jc w:val="center"/>
        </w:trPr>
        <w:tc>
          <w:tcPr>
            <w:tcW w:w="4939" w:type="dxa"/>
            <w:vAlign w:val="center"/>
          </w:tcPr>
          <w:p w:rsidR="00561B84" w:rsidRPr="006A5F34" w:rsidRDefault="00561B84" w:rsidP="002C79E5">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rsidR="00561B84" w:rsidRPr="006A5F34" w:rsidRDefault="00561B84" w:rsidP="002C79E5">
            <w:pPr>
              <w:pStyle w:val="Source"/>
              <w:jc w:val="both"/>
              <w:rPr>
                <w:kern w:val="0"/>
              </w:rPr>
            </w:pPr>
            <w:r w:rsidRPr="006A5F34">
              <w:rPr>
                <w:rFonts w:hint="eastAsia"/>
                <w:kern w:val="0"/>
              </w:rPr>
              <w:t>资料来源：万得</w:t>
            </w:r>
            <w:r>
              <w:rPr>
                <w:rFonts w:hint="eastAsia"/>
                <w:kern w:val="0"/>
              </w:rPr>
              <w:t>，富荣基金</w:t>
            </w:r>
          </w:p>
        </w:tc>
      </w:tr>
    </w:tbl>
    <w:p w:rsidR="00561B84" w:rsidRDefault="00561B84" w:rsidP="00561B84">
      <w:pPr>
        <w:pStyle w:val="Body-text"/>
        <w:spacing w:after="0"/>
        <w:rPr>
          <w:lang w:eastAsia="zh-CN"/>
        </w:rPr>
      </w:pPr>
    </w:p>
    <w:p w:rsidR="00561B84" w:rsidRPr="00C73E5D" w:rsidRDefault="00561B84" w:rsidP="00561B84">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rsidR="00561B84" w:rsidRPr="00AC2976" w:rsidRDefault="00561B84" w:rsidP="00561B84">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Pr="00305223">
        <w:rPr>
          <w:rFonts w:ascii="华文楷体" w:hAnsi="华文楷体" w:hint="eastAsia"/>
          <w:sz w:val="24"/>
          <w:szCs w:val="24"/>
          <w:lang w:eastAsia="zh-CN"/>
        </w:rPr>
        <w:t>信用债</w:t>
      </w:r>
      <w:r>
        <w:rPr>
          <w:rFonts w:ascii="华文楷体" w:hAnsi="华文楷体" w:hint="eastAsia"/>
          <w:sz w:val="24"/>
          <w:szCs w:val="24"/>
          <w:lang w:eastAsia="zh-CN"/>
        </w:rPr>
        <w:t>表现</w:t>
      </w:r>
      <w:r w:rsidRPr="00305223">
        <w:rPr>
          <w:rFonts w:ascii="华文楷体" w:hAnsi="华文楷体" w:hint="eastAsia"/>
          <w:sz w:val="24"/>
          <w:szCs w:val="24"/>
          <w:lang w:eastAsia="zh-CN"/>
        </w:rPr>
        <w:t>，</w:t>
      </w:r>
      <w:r>
        <w:rPr>
          <w:rFonts w:ascii="华文楷体" w:hAnsi="华文楷体" w:hint="eastAsia"/>
          <w:sz w:val="24"/>
          <w:szCs w:val="24"/>
          <w:lang w:eastAsia="zh-CN"/>
        </w:rPr>
        <w:t>信用债受永煤违约事件影响较大，各期限品种皆适度上行。具体</w:t>
      </w:r>
      <w:r>
        <w:rPr>
          <w:rFonts w:ascii="华文楷体" w:hAnsi="华文楷体"/>
          <w:sz w:val="24"/>
          <w:szCs w:val="24"/>
          <w:lang w:eastAsia="zh-CN"/>
        </w:rPr>
        <w:t>来看，</w:t>
      </w:r>
      <w:r>
        <w:rPr>
          <w:rFonts w:ascii="华文楷体" w:hAnsi="华文楷体" w:hint="eastAsia"/>
          <w:sz w:val="24"/>
          <w:szCs w:val="24"/>
          <w:lang w:eastAsia="zh-CN"/>
        </w:rPr>
        <w:t>本周</w:t>
      </w:r>
      <w:r w:rsidRPr="00305223">
        <w:rPr>
          <w:rFonts w:ascii="华文楷体" w:hAnsi="华文楷体" w:hint="eastAsia"/>
          <w:sz w:val="24"/>
          <w:szCs w:val="24"/>
          <w:lang w:eastAsia="zh-CN"/>
        </w:rPr>
        <w:t>中</w:t>
      </w:r>
      <w:r>
        <w:rPr>
          <w:rFonts w:ascii="华文楷体" w:hAnsi="华文楷体" w:hint="eastAsia"/>
          <w:sz w:val="24"/>
          <w:szCs w:val="24"/>
          <w:lang w:eastAsia="zh-CN"/>
        </w:rPr>
        <w:t>短期票据品种调整幅度较大，1Y品种上行16-20BP，3Y品种上行16-17BP，5Y品种上行12-13BP；其次，3Y企业债和城投债上行也较明显，3Y企业债上行16BP左右，3Y城投上行14BP。收益率绝对水平来看，本周各期限品种仍大体维持在30至45分位数，信用品种本周表现较弱，市场持续关注永煤信用风险事件后续情况以及可能对债市整体带来的衍生风险。</w:t>
      </w:r>
    </w:p>
    <w:tbl>
      <w:tblPr>
        <w:tblW w:w="9713" w:type="dxa"/>
        <w:jc w:val="center"/>
        <w:tblCellMar>
          <w:left w:w="0" w:type="dxa"/>
          <w:right w:w="0" w:type="dxa"/>
        </w:tblCellMar>
        <w:tblLook w:val="01E0" w:firstRow="1" w:lastRow="1" w:firstColumn="1" w:lastColumn="1" w:noHBand="0" w:noVBand="0"/>
      </w:tblPr>
      <w:tblGrid>
        <w:gridCol w:w="9864"/>
      </w:tblGrid>
      <w:tr w:rsidR="00561B84" w:rsidRPr="00F966B6" w:rsidTr="002C79E5">
        <w:trPr>
          <w:trHeight w:val="360"/>
          <w:jc w:val="center"/>
        </w:trPr>
        <w:tc>
          <w:tcPr>
            <w:tcW w:w="9713" w:type="dxa"/>
            <w:vAlign w:val="center"/>
          </w:tcPr>
          <w:p w:rsidR="00561B84" w:rsidRPr="006A5F34" w:rsidRDefault="00561B84" w:rsidP="002C79E5">
            <w:pPr>
              <w:pStyle w:val="ChartHeading"/>
              <w:jc w:val="both"/>
            </w:pPr>
            <w:r w:rsidRPr="006A5F34">
              <w:rPr>
                <w:rFonts w:hint="eastAsia"/>
              </w:rPr>
              <w:lastRenderedPageBreak/>
              <w:t>图表</w:t>
            </w:r>
            <w:r w:rsidRPr="006A5F34">
              <w:t xml:space="preserve">. </w:t>
            </w:r>
            <w:r>
              <w:rPr>
                <w:rFonts w:hint="eastAsia"/>
              </w:rPr>
              <w:t>信用债收益率、利差变化情况</w:t>
            </w:r>
          </w:p>
        </w:tc>
      </w:tr>
      <w:tr w:rsidR="00561B84" w:rsidRPr="006A5F34" w:rsidTr="002C79E5">
        <w:tblPrEx>
          <w:tblCellMar>
            <w:left w:w="108" w:type="dxa"/>
            <w:right w:w="108" w:type="dxa"/>
          </w:tblCellMar>
        </w:tblPrEx>
        <w:trPr>
          <w:trHeight w:val="4663"/>
          <w:jc w:val="center"/>
        </w:trPr>
        <w:tc>
          <w:tcPr>
            <w:tcW w:w="9713" w:type="dxa"/>
            <w:vAlign w:val="center"/>
          </w:tcPr>
          <w:tbl>
            <w:tblPr>
              <w:tblW w:w="9638"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561B84" w:rsidRPr="001D3EB7" w:rsidTr="002C79E5">
              <w:trPr>
                <w:trHeight w:val="285"/>
              </w:trPr>
              <w:tc>
                <w:tcPr>
                  <w:tcW w:w="1316"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收益率(%)</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1128"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r>
            <w:tr w:rsidR="00561B84" w:rsidRPr="001D3EB7" w:rsidTr="002C79E5">
              <w:trPr>
                <w:trHeight w:val="315"/>
              </w:trPr>
              <w:tc>
                <w:tcPr>
                  <w:tcW w:w="1316"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3.43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3.60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3.72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5.77 </w:t>
                  </w:r>
                </w:p>
              </w:tc>
              <w:tc>
                <w:tcPr>
                  <w:tcW w:w="1128"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0.58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0.75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0.87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2.92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3.80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3.96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4.13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6.23 </w:t>
                  </w:r>
                </w:p>
              </w:tc>
              <w:tc>
                <w:tcPr>
                  <w:tcW w:w="1128"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0.80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0.96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1.13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3.23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4.07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4.27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4.63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6.80 </w:t>
                  </w:r>
                </w:p>
              </w:tc>
              <w:tc>
                <w:tcPr>
                  <w:tcW w:w="1128"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0.97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1.17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1.53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3.70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3.79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3.95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4.12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6.22 </w:t>
                  </w:r>
                </w:p>
              </w:tc>
              <w:tc>
                <w:tcPr>
                  <w:tcW w:w="1128"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0.78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0.94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1.11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3.21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4.07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4.27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4.63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6.80 </w:t>
                  </w:r>
                </w:p>
              </w:tc>
              <w:tc>
                <w:tcPr>
                  <w:tcW w:w="1128"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0.97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1.17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1.53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3.70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4.19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4.45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4.84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7.02 </w:t>
                  </w:r>
                </w:p>
              </w:tc>
              <w:tc>
                <w:tcPr>
                  <w:tcW w:w="1128"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0.90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1.16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1.55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3.73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城投债3Y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3.80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3.91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4.06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5.73 </w:t>
                  </w:r>
                </w:p>
              </w:tc>
              <w:tc>
                <w:tcPr>
                  <w:tcW w:w="1128"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城投债3Y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0.80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0.91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1.05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2.72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城投债5Y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4.08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4.20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4.44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6.66 </w:t>
                  </w:r>
                </w:p>
              </w:tc>
              <w:tc>
                <w:tcPr>
                  <w:tcW w:w="1128"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城投债5Y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0.98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1.10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1.34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3.56 </w:t>
                  </w:r>
                </w:p>
              </w:tc>
            </w:tr>
            <w:tr w:rsidR="00561B84" w:rsidRPr="001D3EB7" w:rsidTr="002C79E5">
              <w:trPr>
                <w:trHeight w:val="300"/>
              </w:trPr>
              <w:tc>
                <w:tcPr>
                  <w:tcW w:w="1316" w:type="dxa"/>
                  <w:tcBorders>
                    <w:top w:val="nil"/>
                    <w:left w:val="nil"/>
                    <w:bottom w:val="nil"/>
                    <w:right w:val="nil"/>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城投债7Y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4.26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4.47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4.79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7.15 </w:t>
                  </w:r>
                </w:p>
              </w:tc>
              <w:tc>
                <w:tcPr>
                  <w:tcW w:w="1128" w:type="dxa"/>
                  <w:tcBorders>
                    <w:top w:val="nil"/>
                    <w:left w:val="nil"/>
                    <w:bottom w:val="nil"/>
                    <w:right w:val="nil"/>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城投债7Y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0.98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1.19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1.51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3.87 </w:t>
                  </w:r>
                </w:p>
              </w:tc>
            </w:tr>
            <w:tr w:rsidR="00561B84" w:rsidRPr="001D3EB7" w:rsidTr="002C79E5">
              <w:trPr>
                <w:trHeight w:val="300"/>
              </w:trPr>
              <w:tc>
                <w:tcPr>
                  <w:tcW w:w="1316"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周变化(BP)</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1128"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r>
            <w:tr w:rsidR="00561B84" w:rsidRPr="001D3EB7" w:rsidTr="002C79E5">
              <w:trPr>
                <w:trHeight w:val="315"/>
              </w:trPr>
              <w:tc>
                <w:tcPr>
                  <w:tcW w:w="1316"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16.9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19.9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19.9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16.9 </w:t>
                  </w:r>
                </w:p>
              </w:tc>
              <w:tc>
                <w:tcPr>
                  <w:tcW w:w="1128"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10.5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13.6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13.6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10.6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16.2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17.2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15.2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16.2 </w:t>
                  </w:r>
                </w:p>
              </w:tc>
              <w:tc>
                <w:tcPr>
                  <w:tcW w:w="1128"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12.7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13.7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11.7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12.7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12.0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13.0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13.0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13.0 </w:t>
                  </w:r>
                </w:p>
              </w:tc>
              <w:tc>
                <w:tcPr>
                  <w:tcW w:w="1128"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5.6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6.6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6.6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6.6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15.5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16.5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14.5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15.5 </w:t>
                  </w:r>
                </w:p>
              </w:tc>
              <w:tc>
                <w:tcPr>
                  <w:tcW w:w="1128"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12.0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12.9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10.9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11.9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12.0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13.0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13.0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13.0 </w:t>
                  </w:r>
                </w:p>
              </w:tc>
              <w:tc>
                <w:tcPr>
                  <w:tcW w:w="1128"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5.6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6.6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6.6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6.6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7.7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5.7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5.7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5.7 </w:t>
                  </w:r>
                </w:p>
              </w:tc>
              <w:tc>
                <w:tcPr>
                  <w:tcW w:w="1128"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2.4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0.4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0.4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0.4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城投债3Y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14.1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14.0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16.0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13.0 </w:t>
                  </w:r>
                </w:p>
              </w:tc>
              <w:tc>
                <w:tcPr>
                  <w:tcW w:w="1128"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城投债3Y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10.5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10.5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12.5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9.5 </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城投债5Y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10.8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11.8 </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11.8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10.8 </w:t>
                  </w:r>
                </w:p>
              </w:tc>
              <w:tc>
                <w:tcPr>
                  <w:tcW w:w="1128"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城投债5Y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4.4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5.4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5.4 </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4.4 </w:t>
                  </w:r>
                </w:p>
              </w:tc>
            </w:tr>
            <w:tr w:rsidR="00561B84" w:rsidRPr="001D3EB7" w:rsidTr="002C79E5">
              <w:trPr>
                <w:trHeight w:val="300"/>
              </w:trPr>
              <w:tc>
                <w:tcPr>
                  <w:tcW w:w="1316" w:type="dxa"/>
                  <w:tcBorders>
                    <w:top w:val="nil"/>
                    <w:left w:val="nil"/>
                    <w:bottom w:val="nil"/>
                    <w:right w:val="nil"/>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城投债7Y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7.7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8.7 </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8.7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7.7 </w:t>
                  </w:r>
                </w:p>
              </w:tc>
              <w:tc>
                <w:tcPr>
                  <w:tcW w:w="1128" w:type="dxa"/>
                  <w:tcBorders>
                    <w:top w:val="nil"/>
                    <w:left w:val="nil"/>
                    <w:bottom w:val="nil"/>
                    <w:right w:val="nil"/>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城投债7Y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2.4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3.4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3.4 </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 xml:space="preserve">2.4 </w:t>
                  </w:r>
                </w:p>
              </w:tc>
            </w:tr>
            <w:tr w:rsidR="00561B84" w:rsidRPr="001D3EB7" w:rsidTr="002C79E5">
              <w:trPr>
                <w:trHeight w:val="300"/>
              </w:trPr>
              <w:tc>
                <w:tcPr>
                  <w:tcW w:w="1316"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收益率分位</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AAA</w:t>
                  </w:r>
                </w:p>
              </w:tc>
              <w:tc>
                <w:tcPr>
                  <w:tcW w:w="900"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900"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1128"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息差</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AAA</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c>
                <w:tcPr>
                  <w:tcW w:w="899" w:type="dxa"/>
                  <w:tcBorders>
                    <w:top w:val="nil"/>
                    <w:left w:val="nil"/>
                    <w:bottom w:val="single" w:sz="12" w:space="0" w:color="FFFFFF"/>
                    <w:right w:val="single" w:sz="8" w:space="0" w:color="FFFFFF"/>
                  </w:tcBorders>
                  <w:shd w:val="clear" w:color="000000" w:fill="F79646"/>
                  <w:noWrap/>
                  <w:vAlign w:val="center"/>
                  <w:hideMark/>
                </w:tcPr>
                <w:p w:rsidR="00561B84" w:rsidRPr="001D3EB7" w:rsidRDefault="00561B84" w:rsidP="002C79E5">
                  <w:pPr>
                    <w:widowControl/>
                    <w:jc w:val="center"/>
                    <w:rPr>
                      <w:rFonts w:ascii="楷体" w:eastAsia="楷体" w:hAnsi="楷体" w:cs="宋体"/>
                      <w:b/>
                      <w:bCs/>
                      <w:color w:val="FFFFFF"/>
                      <w:kern w:val="0"/>
                      <w:sz w:val="20"/>
                      <w:szCs w:val="20"/>
                    </w:rPr>
                  </w:pPr>
                  <w:r w:rsidRPr="001D3EB7">
                    <w:rPr>
                      <w:rFonts w:ascii="楷体" w:eastAsia="楷体" w:hAnsi="楷体" w:cs="宋体" w:hint="eastAsia"/>
                      <w:b/>
                      <w:bCs/>
                      <w:color w:val="FFFFFF"/>
                      <w:kern w:val="0"/>
                      <w:sz w:val="20"/>
                      <w:szCs w:val="20"/>
                    </w:rPr>
                    <w:t>AA-</w:t>
                  </w:r>
                </w:p>
              </w:tc>
            </w:tr>
            <w:tr w:rsidR="00561B84" w:rsidRPr="001D3EB7" w:rsidTr="002C79E5">
              <w:trPr>
                <w:trHeight w:val="315"/>
              </w:trPr>
              <w:tc>
                <w:tcPr>
                  <w:tcW w:w="1316"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44%</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42%</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37%</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67%</w:t>
                  </w:r>
                </w:p>
              </w:tc>
              <w:tc>
                <w:tcPr>
                  <w:tcW w:w="1128"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CP</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9%</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9%</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4%</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59%</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37%</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33%</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27%</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61%</w:t>
                  </w:r>
                </w:p>
              </w:tc>
              <w:tc>
                <w:tcPr>
                  <w:tcW w:w="1128"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MTN3Y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19%</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14%</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7%</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56%</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34%</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27%</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24%</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62%</w:t>
                  </w:r>
                </w:p>
              </w:tc>
              <w:tc>
                <w:tcPr>
                  <w:tcW w:w="1128"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MTN5Y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25%</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14%</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10%</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66%</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39%</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33%</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26%</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58%</w:t>
                  </w:r>
                </w:p>
              </w:tc>
              <w:tc>
                <w:tcPr>
                  <w:tcW w:w="1128"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企业债3Y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20%</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14%</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7%</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54%</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35%</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27%</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24%</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57%</w:t>
                  </w:r>
                </w:p>
              </w:tc>
              <w:tc>
                <w:tcPr>
                  <w:tcW w:w="1128"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企业债5Y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25%</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13%</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8%</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64%</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29%</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20%</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16%</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51%</w:t>
                  </w:r>
                </w:p>
              </w:tc>
              <w:tc>
                <w:tcPr>
                  <w:tcW w:w="1128"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企业债7Y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17%</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4%</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4%</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50%</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城投债3Y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33%</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27%</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21%</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42%</w:t>
                  </w:r>
                </w:p>
              </w:tc>
              <w:tc>
                <w:tcPr>
                  <w:tcW w:w="1128"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城投债3Y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16%</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15%</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12%</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34%</w:t>
                  </w:r>
                </w:p>
              </w:tc>
            </w:tr>
            <w:tr w:rsidR="00561B84" w:rsidRPr="001D3EB7" w:rsidTr="002C79E5">
              <w:trPr>
                <w:trHeight w:val="300"/>
              </w:trPr>
              <w:tc>
                <w:tcPr>
                  <w:tcW w:w="1316"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城投债5Y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28%</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21%</w:t>
                  </w:r>
                </w:p>
              </w:tc>
              <w:tc>
                <w:tcPr>
                  <w:tcW w:w="900"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20%</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52%</w:t>
                  </w:r>
                </w:p>
              </w:tc>
              <w:tc>
                <w:tcPr>
                  <w:tcW w:w="1128"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城投债5Y</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15%</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14%</w:t>
                  </w:r>
                </w:p>
              </w:tc>
              <w:tc>
                <w:tcPr>
                  <w:tcW w:w="899" w:type="dxa"/>
                  <w:tcBorders>
                    <w:top w:val="nil"/>
                    <w:left w:val="nil"/>
                    <w:bottom w:val="single" w:sz="8" w:space="0" w:color="FFFFFF"/>
                    <w:right w:val="single" w:sz="8" w:space="0" w:color="FFFFFF"/>
                  </w:tcBorders>
                  <w:shd w:val="clear" w:color="000000" w:fill="FDE9D9"/>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63%</w:t>
                  </w:r>
                </w:p>
              </w:tc>
            </w:tr>
            <w:tr w:rsidR="00561B84" w:rsidRPr="001D3EB7" w:rsidTr="002C79E5">
              <w:trPr>
                <w:trHeight w:val="300"/>
              </w:trPr>
              <w:tc>
                <w:tcPr>
                  <w:tcW w:w="1316" w:type="dxa"/>
                  <w:tcBorders>
                    <w:top w:val="nil"/>
                    <w:left w:val="nil"/>
                    <w:bottom w:val="nil"/>
                    <w:right w:val="nil"/>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城投债7Y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22%</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20%</w:t>
                  </w:r>
                </w:p>
              </w:tc>
              <w:tc>
                <w:tcPr>
                  <w:tcW w:w="900"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18%</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58%</w:t>
                  </w:r>
                </w:p>
              </w:tc>
              <w:tc>
                <w:tcPr>
                  <w:tcW w:w="1128" w:type="dxa"/>
                  <w:tcBorders>
                    <w:top w:val="nil"/>
                    <w:left w:val="nil"/>
                    <w:bottom w:val="nil"/>
                    <w:right w:val="nil"/>
                  </w:tcBorders>
                  <w:shd w:val="clear" w:color="000000" w:fill="FCD5B4"/>
                  <w:noWrap/>
                  <w:vAlign w:val="center"/>
                  <w:hideMark/>
                </w:tcPr>
                <w:p w:rsidR="00561B84" w:rsidRPr="001D3EB7" w:rsidRDefault="00561B84" w:rsidP="002C79E5">
                  <w:pPr>
                    <w:widowControl/>
                    <w:jc w:val="center"/>
                    <w:rPr>
                      <w:rFonts w:ascii="楷体" w:eastAsia="楷体" w:hAnsi="楷体" w:cs="宋体"/>
                      <w:color w:val="000000"/>
                      <w:kern w:val="0"/>
                      <w:sz w:val="20"/>
                      <w:szCs w:val="20"/>
                    </w:rPr>
                  </w:pPr>
                  <w:r w:rsidRPr="001D3EB7">
                    <w:rPr>
                      <w:rFonts w:ascii="楷体" w:eastAsia="楷体" w:hAnsi="楷体" w:cs="宋体" w:hint="eastAsia"/>
                      <w:color w:val="000000"/>
                      <w:kern w:val="0"/>
                      <w:sz w:val="20"/>
                      <w:szCs w:val="20"/>
                    </w:rPr>
                    <w:t>城投债7Y</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15%</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14%</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9%</w:t>
                  </w:r>
                </w:p>
              </w:tc>
              <w:tc>
                <w:tcPr>
                  <w:tcW w:w="899" w:type="dxa"/>
                  <w:tcBorders>
                    <w:top w:val="nil"/>
                    <w:left w:val="nil"/>
                    <w:bottom w:val="single" w:sz="8" w:space="0" w:color="FFFFFF"/>
                    <w:right w:val="single" w:sz="8" w:space="0" w:color="FFFFFF"/>
                  </w:tcBorders>
                  <w:shd w:val="clear" w:color="000000" w:fill="FCD5B4"/>
                  <w:noWrap/>
                  <w:vAlign w:val="center"/>
                  <w:hideMark/>
                </w:tcPr>
                <w:p w:rsidR="00561B84" w:rsidRPr="001D3EB7" w:rsidRDefault="00561B84" w:rsidP="002C79E5">
                  <w:pPr>
                    <w:widowControl/>
                    <w:jc w:val="center"/>
                    <w:rPr>
                      <w:rFonts w:eastAsia="等线" w:cs="Calibri"/>
                      <w:color w:val="000000"/>
                      <w:kern w:val="0"/>
                      <w:szCs w:val="21"/>
                    </w:rPr>
                  </w:pPr>
                  <w:r w:rsidRPr="001D3EB7">
                    <w:rPr>
                      <w:rFonts w:eastAsia="等线" w:cs="Calibri"/>
                      <w:color w:val="000000"/>
                      <w:kern w:val="0"/>
                      <w:szCs w:val="21"/>
                    </w:rPr>
                    <w:t>63%</w:t>
                  </w:r>
                </w:p>
              </w:tc>
            </w:tr>
          </w:tbl>
          <w:p w:rsidR="00561B84" w:rsidRPr="003C1CC8" w:rsidRDefault="00561B84" w:rsidP="002C79E5">
            <w:pPr>
              <w:rPr>
                <w:noProof/>
                <w:szCs w:val="18"/>
              </w:rPr>
            </w:pPr>
          </w:p>
        </w:tc>
      </w:tr>
      <w:tr w:rsidR="00561B84" w:rsidRPr="006A5F34" w:rsidTr="002C79E5">
        <w:trPr>
          <w:trHeight w:val="60"/>
          <w:jc w:val="center"/>
        </w:trPr>
        <w:tc>
          <w:tcPr>
            <w:tcW w:w="9713" w:type="dxa"/>
            <w:vAlign w:val="center"/>
          </w:tcPr>
          <w:p w:rsidR="00561B84" w:rsidRPr="006A5F34" w:rsidRDefault="00561B84" w:rsidP="002C79E5">
            <w:pPr>
              <w:pStyle w:val="Source"/>
              <w:jc w:val="both"/>
              <w:rPr>
                <w:kern w:val="0"/>
              </w:rPr>
            </w:pPr>
            <w:r w:rsidRPr="006A5F34">
              <w:rPr>
                <w:rFonts w:hint="eastAsia"/>
                <w:kern w:val="0"/>
              </w:rPr>
              <w:t>资料来源：万得</w:t>
            </w:r>
            <w:r>
              <w:rPr>
                <w:rFonts w:hint="eastAsia"/>
                <w:kern w:val="0"/>
              </w:rPr>
              <w:t>，富荣基金；利差基准为同期限国债</w:t>
            </w:r>
          </w:p>
        </w:tc>
      </w:tr>
    </w:tbl>
    <w:p w:rsidR="00561B84" w:rsidRPr="00B8530C" w:rsidRDefault="00561B84" w:rsidP="00561B84">
      <w:pPr>
        <w:pStyle w:val="Body-text"/>
        <w:spacing w:after="0"/>
        <w:rPr>
          <w:lang w:eastAsia="zh-CN"/>
        </w:rPr>
      </w:pPr>
    </w:p>
    <w:p w:rsidR="00561B84" w:rsidRPr="00C73E5D" w:rsidRDefault="00561B84" w:rsidP="00561B84">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rsidR="00561B84" w:rsidRPr="00C16434" w:rsidRDefault="00561B84" w:rsidP="00561B84">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Pr="003926C0">
        <w:rPr>
          <w:rFonts w:ascii="华文楷体" w:hAnsi="华文楷体" w:hint="eastAsia"/>
          <w:sz w:val="24"/>
          <w:szCs w:val="24"/>
          <w:lang w:eastAsia="zh-CN"/>
        </w:rPr>
        <w:t>权益</w:t>
      </w:r>
      <w:r>
        <w:rPr>
          <w:rFonts w:ascii="华文楷体" w:hAnsi="华文楷体" w:hint="eastAsia"/>
          <w:sz w:val="24"/>
          <w:szCs w:val="24"/>
          <w:lang w:eastAsia="zh-CN"/>
        </w:rPr>
        <w:t>市场情绪一般，成交量除创业板小幅萎缩其他板块成交量持续扩大</w:t>
      </w:r>
      <w:r w:rsidRPr="003926C0">
        <w:rPr>
          <w:rFonts w:ascii="华文楷体" w:hAnsi="华文楷体" w:hint="eastAsia"/>
          <w:sz w:val="24"/>
          <w:szCs w:val="24"/>
          <w:lang w:eastAsia="zh-CN"/>
        </w:rPr>
        <w:t>。</w:t>
      </w:r>
      <w:r>
        <w:rPr>
          <w:rFonts w:ascii="华文楷体" w:hAnsi="华文楷体" w:hint="eastAsia"/>
          <w:sz w:val="24"/>
          <w:szCs w:val="24"/>
          <w:lang w:eastAsia="zh-CN"/>
        </w:rPr>
        <w:t>转债策略方面本周仍关注行业景气度、业绩较好、估值较低的品种。</w:t>
      </w:r>
      <w:r w:rsidRPr="003926C0">
        <w:rPr>
          <w:rFonts w:ascii="华文楷体" w:hAnsi="华文楷体" w:hint="eastAsia"/>
          <w:sz w:val="24"/>
          <w:szCs w:val="24"/>
          <w:lang w:eastAsia="zh-CN"/>
        </w:rPr>
        <w:t>周日15个成员国领导人正式签署区域全面经济伙伴关系协定（RCEP），该协定可能对农产品、化肥、电子产品等相关行业产生一定影响</w:t>
      </w:r>
      <w:r>
        <w:rPr>
          <w:rFonts w:ascii="华文楷体" w:hAnsi="华文楷体" w:hint="eastAsia"/>
          <w:sz w:val="24"/>
          <w:szCs w:val="24"/>
          <w:lang w:eastAsia="zh-CN"/>
        </w:rPr>
        <w:t>。</w:t>
      </w:r>
      <w:r w:rsidRPr="003926C0">
        <w:rPr>
          <w:rFonts w:ascii="华文楷体" w:hAnsi="华文楷体" w:hint="eastAsia"/>
          <w:sz w:val="24"/>
          <w:szCs w:val="24"/>
          <w:lang w:eastAsia="zh-CN"/>
        </w:rPr>
        <w:t>转债近期情绪持续回稳，考虑到债券信用风险事件，股性品种强的转债可能表现更稳定。</w:t>
      </w:r>
      <w:r>
        <w:rPr>
          <w:rFonts w:ascii="华文楷体" w:hAnsi="华文楷体" w:hint="eastAsia"/>
          <w:sz w:val="24"/>
          <w:szCs w:val="24"/>
          <w:lang w:eastAsia="zh-CN"/>
        </w:rPr>
        <w:t>本周，上证综指</w:t>
      </w:r>
      <w:r>
        <w:rPr>
          <w:rFonts w:ascii="华文楷体" w:hAnsi="华文楷体"/>
          <w:sz w:val="24"/>
          <w:szCs w:val="24"/>
          <w:lang w:eastAsia="zh-CN"/>
        </w:rPr>
        <w:t>、</w:t>
      </w:r>
      <w:r>
        <w:rPr>
          <w:rFonts w:ascii="华文楷体" w:hAnsi="华文楷体" w:hint="eastAsia"/>
          <w:sz w:val="24"/>
          <w:szCs w:val="24"/>
          <w:lang w:eastAsia="zh-CN"/>
        </w:rPr>
        <w:t>创业板指</w:t>
      </w:r>
      <w:r>
        <w:rPr>
          <w:rFonts w:ascii="华文楷体" w:hAnsi="华文楷体"/>
          <w:sz w:val="24"/>
          <w:szCs w:val="24"/>
          <w:lang w:eastAsia="zh-CN"/>
        </w:rPr>
        <w:t>、上证</w:t>
      </w:r>
      <w:r>
        <w:rPr>
          <w:rFonts w:ascii="华文楷体" w:hAnsi="华文楷体" w:hint="eastAsia"/>
          <w:sz w:val="24"/>
          <w:szCs w:val="24"/>
          <w:lang w:eastAsia="zh-CN"/>
        </w:rPr>
        <w:t>50和</w:t>
      </w:r>
      <w:r>
        <w:rPr>
          <w:rFonts w:ascii="华文楷体" w:hAnsi="华文楷体"/>
          <w:sz w:val="24"/>
          <w:szCs w:val="24"/>
          <w:lang w:eastAsia="zh-CN"/>
        </w:rPr>
        <w:t>沪深</w:t>
      </w:r>
      <w:r>
        <w:rPr>
          <w:rFonts w:ascii="华文楷体" w:hAnsi="华文楷体" w:hint="eastAsia"/>
          <w:sz w:val="24"/>
          <w:szCs w:val="24"/>
          <w:lang w:eastAsia="zh-CN"/>
        </w:rPr>
        <w:t>300表现</w:t>
      </w:r>
      <w:r>
        <w:rPr>
          <w:rFonts w:ascii="华文楷体" w:hAnsi="华文楷体"/>
          <w:sz w:val="24"/>
          <w:szCs w:val="24"/>
          <w:lang w:eastAsia="zh-CN"/>
        </w:rPr>
        <w:t>分别为</w:t>
      </w:r>
      <w:r>
        <w:rPr>
          <w:rFonts w:ascii="华文楷体" w:hAnsi="华文楷体" w:hint="eastAsia"/>
          <w:sz w:val="24"/>
          <w:szCs w:val="24"/>
          <w:lang w:eastAsia="zh-CN"/>
        </w:rPr>
        <w:t>-0.1</w:t>
      </w:r>
      <w:r>
        <w:rPr>
          <w:rFonts w:ascii="华文楷体" w:hAnsi="华文楷体"/>
          <w:sz w:val="24"/>
          <w:szCs w:val="24"/>
          <w:lang w:eastAsia="zh-CN"/>
        </w:rPr>
        <w:t>%、-1.0%、</w:t>
      </w:r>
      <w:r>
        <w:rPr>
          <w:rFonts w:ascii="华文楷体" w:hAnsi="华文楷体" w:hint="eastAsia"/>
          <w:sz w:val="24"/>
          <w:szCs w:val="24"/>
          <w:lang w:eastAsia="zh-CN"/>
        </w:rPr>
        <w:t>-</w:t>
      </w:r>
      <w:r>
        <w:rPr>
          <w:rFonts w:ascii="华文楷体" w:hAnsi="华文楷体"/>
          <w:sz w:val="24"/>
          <w:szCs w:val="24"/>
          <w:lang w:eastAsia="zh-CN"/>
        </w:rPr>
        <w:t>0</w:t>
      </w:r>
      <w:r>
        <w:rPr>
          <w:rFonts w:ascii="华文楷体" w:hAnsi="华文楷体" w:hint="eastAsia"/>
          <w:sz w:val="24"/>
          <w:szCs w:val="24"/>
          <w:lang w:eastAsia="zh-CN"/>
        </w:rPr>
        <w:t>.6</w:t>
      </w:r>
      <w:r>
        <w:rPr>
          <w:rFonts w:ascii="华文楷体" w:hAnsi="华文楷体"/>
          <w:sz w:val="24"/>
          <w:szCs w:val="24"/>
          <w:lang w:eastAsia="zh-CN"/>
        </w:rPr>
        <w:t>%</w:t>
      </w:r>
      <w:r>
        <w:rPr>
          <w:rFonts w:ascii="华文楷体" w:hAnsi="华文楷体" w:hint="eastAsia"/>
          <w:sz w:val="24"/>
          <w:szCs w:val="24"/>
          <w:lang w:eastAsia="zh-CN"/>
        </w:rPr>
        <w:t>和-0</w:t>
      </w:r>
      <w:r>
        <w:rPr>
          <w:rFonts w:ascii="华文楷体" w:hAnsi="华文楷体"/>
          <w:sz w:val="24"/>
          <w:szCs w:val="24"/>
          <w:lang w:eastAsia="zh-CN"/>
        </w:rPr>
        <w:t>.6%</w:t>
      </w:r>
      <w:r>
        <w:rPr>
          <w:rFonts w:ascii="华文楷体" w:hAnsi="华文楷体" w:hint="eastAsia"/>
          <w:sz w:val="24"/>
          <w:szCs w:val="24"/>
          <w:lang w:eastAsia="zh-CN"/>
        </w:rPr>
        <w:t>。转债市场伴随权益市场情绪，中证转债指数较上周下行0</w:t>
      </w:r>
      <w:r>
        <w:rPr>
          <w:rFonts w:ascii="华文楷体" w:hAnsi="华文楷体"/>
          <w:sz w:val="24"/>
          <w:szCs w:val="24"/>
          <w:lang w:eastAsia="zh-CN"/>
        </w:rPr>
        <w:t>.4</w:t>
      </w:r>
      <w:r>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561B84" w:rsidRPr="006A5F34" w:rsidTr="002C79E5">
        <w:trPr>
          <w:jc w:val="center"/>
        </w:trPr>
        <w:tc>
          <w:tcPr>
            <w:tcW w:w="4939" w:type="dxa"/>
            <w:vAlign w:val="center"/>
          </w:tcPr>
          <w:p w:rsidR="00561B84" w:rsidRPr="006A5F34" w:rsidRDefault="00561B84" w:rsidP="002C79E5">
            <w:pPr>
              <w:pStyle w:val="ChartHeading"/>
              <w:jc w:val="both"/>
            </w:pPr>
            <w:r w:rsidRPr="006A5F34">
              <w:rPr>
                <w:rFonts w:hint="eastAsia"/>
              </w:rPr>
              <w:lastRenderedPageBreak/>
              <w:t>图表</w:t>
            </w:r>
            <w:r w:rsidRPr="006A5F34">
              <w:t>.</w:t>
            </w:r>
            <w:r>
              <w:t xml:space="preserve"> </w:t>
            </w:r>
            <w:r>
              <w:rPr>
                <w:rFonts w:hint="eastAsia"/>
              </w:rPr>
              <w:t>A</w:t>
            </w:r>
            <w:r>
              <w:rPr>
                <w:rFonts w:hint="eastAsia"/>
              </w:rPr>
              <w:t>股主要指数交易和估值情况</w:t>
            </w:r>
          </w:p>
        </w:tc>
        <w:tc>
          <w:tcPr>
            <w:tcW w:w="4938" w:type="dxa"/>
            <w:vAlign w:val="center"/>
          </w:tcPr>
          <w:p w:rsidR="00561B84" w:rsidRPr="006A5F34" w:rsidRDefault="00561B84" w:rsidP="002C79E5">
            <w:pPr>
              <w:pStyle w:val="ChartHeading"/>
              <w:jc w:val="both"/>
            </w:pPr>
            <w:r w:rsidRPr="006A5F34">
              <w:rPr>
                <w:rFonts w:hint="eastAsia"/>
              </w:rPr>
              <w:t>图表</w:t>
            </w:r>
            <w:r w:rsidRPr="006A5F34">
              <w:t xml:space="preserve">. </w:t>
            </w:r>
            <w:r>
              <w:rPr>
                <w:rFonts w:hint="eastAsia"/>
              </w:rPr>
              <w:t>转债指数与股指累计变化</w:t>
            </w:r>
          </w:p>
        </w:tc>
      </w:tr>
      <w:tr w:rsidR="00561B84" w:rsidRPr="006A5F34" w:rsidTr="002C79E5">
        <w:tblPrEx>
          <w:tblCellMar>
            <w:left w:w="108" w:type="dxa"/>
            <w:right w:w="108" w:type="dxa"/>
          </w:tblCellMar>
        </w:tblPrEx>
        <w:trPr>
          <w:jc w:val="center"/>
        </w:trPr>
        <w:tc>
          <w:tcPr>
            <w:tcW w:w="4939" w:type="dxa"/>
            <w:vAlign w:val="center"/>
          </w:tcPr>
          <w:p w:rsidR="00561B84" w:rsidRPr="007E0340" w:rsidRDefault="00561B84" w:rsidP="002C79E5">
            <w:pPr>
              <w:jc w:val="center"/>
              <w:rPr>
                <w:noProof/>
              </w:rPr>
            </w:pPr>
            <w:r w:rsidRPr="003926C0">
              <w:rPr>
                <w:noProof/>
              </w:rPr>
              <w:drawing>
                <wp:inline distT="0" distB="0" distL="0" distR="0" wp14:anchorId="72AD1487" wp14:editId="74F97B6C">
                  <wp:extent cx="3142562" cy="1732943"/>
                  <wp:effectExtent l="0" t="0" r="1270" b="635"/>
                  <wp:docPr id="10" name="图片 10" descr="C:\Users\Tang\AppData\Local\Temp\16054399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0543990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91225" cy="1759778"/>
                          </a:xfrm>
                          <a:prstGeom prst="rect">
                            <a:avLst/>
                          </a:prstGeom>
                          <a:noFill/>
                          <a:ln>
                            <a:noFill/>
                          </a:ln>
                        </pic:spPr>
                      </pic:pic>
                    </a:graphicData>
                  </a:graphic>
                </wp:inline>
              </w:drawing>
            </w:r>
          </w:p>
        </w:tc>
        <w:tc>
          <w:tcPr>
            <w:tcW w:w="4938" w:type="dxa"/>
            <w:vAlign w:val="center"/>
          </w:tcPr>
          <w:p w:rsidR="00561B84" w:rsidRPr="007E0340" w:rsidRDefault="00561B84" w:rsidP="002C79E5">
            <w:pPr>
              <w:jc w:val="center"/>
              <w:rPr>
                <w:noProof/>
                <w:szCs w:val="18"/>
              </w:rPr>
            </w:pPr>
            <w:r>
              <w:rPr>
                <w:noProof/>
              </w:rPr>
              <w:drawing>
                <wp:inline distT="0" distB="0" distL="0" distR="0" wp14:anchorId="2200CC28" wp14:editId="13A4DFFE">
                  <wp:extent cx="2998470" cy="1757239"/>
                  <wp:effectExtent l="0" t="0" r="0" b="0"/>
                  <wp:docPr id="11" name="图表 11">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561B84" w:rsidRPr="006A5F34" w:rsidTr="002C79E5">
        <w:trPr>
          <w:trHeight w:val="64"/>
          <w:jc w:val="center"/>
        </w:trPr>
        <w:tc>
          <w:tcPr>
            <w:tcW w:w="4939" w:type="dxa"/>
            <w:vAlign w:val="center"/>
          </w:tcPr>
          <w:p w:rsidR="00561B84" w:rsidRPr="006A5F34" w:rsidRDefault="00561B84" w:rsidP="002C79E5">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rsidR="00561B84" w:rsidRPr="006A5F34" w:rsidRDefault="00561B84" w:rsidP="002C79E5">
            <w:pPr>
              <w:pStyle w:val="Source"/>
              <w:jc w:val="both"/>
              <w:rPr>
                <w:kern w:val="0"/>
              </w:rPr>
            </w:pPr>
            <w:r w:rsidRPr="006A5F34">
              <w:rPr>
                <w:rFonts w:hint="eastAsia"/>
                <w:kern w:val="0"/>
              </w:rPr>
              <w:t>资料来源：万得</w:t>
            </w:r>
            <w:r>
              <w:rPr>
                <w:rFonts w:hint="eastAsia"/>
                <w:kern w:val="0"/>
              </w:rPr>
              <w:t>，富荣基金</w:t>
            </w:r>
          </w:p>
        </w:tc>
      </w:tr>
    </w:tbl>
    <w:p w:rsidR="00561B84" w:rsidRDefault="00561B84" w:rsidP="00561B84">
      <w:pPr>
        <w:pStyle w:val="Body-text"/>
        <w:spacing w:after="0"/>
        <w:rPr>
          <w:lang w:eastAsia="zh-CN"/>
        </w:rPr>
      </w:pPr>
    </w:p>
    <w:p w:rsidR="00561B84" w:rsidRPr="00963D43" w:rsidRDefault="00561B84" w:rsidP="00561B84">
      <w:pPr>
        <w:pStyle w:val="Header1"/>
        <w:spacing w:before="240"/>
        <w:rPr>
          <w:color w:val="943634" w:themeColor="accent2" w:themeShade="BF"/>
        </w:rPr>
      </w:pPr>
      <w:r>
        <w:rPr>
          <w:rFonts w:hint="eastAsia"/>
          <w:color w:val="943634" w:themeColor="accent2" w:themeShade="BF"/>
        </w:rPr>
        <w:t>三</w:t>
      </w:r>
      <w:r w:rsidRPr="00963D43">
        <w:rPr>
          <w:rFonts w:hint="eastAsia"/>
          <w:color w:val="943634" w:themeColor="accent2" w:themeShade="BF"/>
        </w:rPr>
        <w:t>、</w:t>
      </w:r>
      <w:r>
        <w:rPr>
          <w:rFonts w:hint="eastAsia"/>
          <w:color w:val="943634" w:themeColor="accent2" w:themeShade="BF"/>
        </w:rPr>
        <w:t>本周市场展望</w:t>
      </w:r>
    </w:p>
    <w:p w:rsidR="00561B84" w:rsidRPr="00BE2819" w:rsidRDefault="00561B84" w:rsidP="00561B84">
      <w:pPr>
        <w:pStyle w:val="Header2"/>
        <w:rPr>
          <w:rFonts w:eastAsia="PMingLiU"/>
          <w:sz w:val="28"/>
          <w:szCs w:val="21"/>
        </w:rPr>
      </w:pPr>
      <w:r>
        <w:rPr>
          <w:rFonts w:hint="eastAsia"/>
          <w:sz w:val="28"/>
          <w:szCs w:val="21"/>
          <w:lang w:eastAsia="zh-CN"/>
        </w:rPr>
        <w:t>1</w:t>
      </w:r>
      <w:r>
        <w:rPr>
          <w:rFonts w:hint="eastAsia"/>
          <w:sz w:val="28"/>
          <w:szCs w:val="21"/>
          <w:lang w:eastAsia="zh-CN"/>
        </w:rPr>
        <w:t>、</w:t>
      </w:r>
      <w:r>
        <w:rPr>
          <w:rFonts w:hint="eastAsia"/>
          <w:sz w:val="28"/>
          <w:szCs w:val="21"/>
        </w:rPr>
        <w:t>基本面变化</w:t>
      </w:r>
    </w:p>
    <w:p w:rsidR="00561B84" w:rsidRPr="003E42BE" w:rsidRDefault="00561B84" w:rsidP="00561B84">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Pr="007E547E">
        <w:rPr>
          <w:rFonts w:ascii="华文楷体" w:hAnsi="华文楷体" w:hint="eastAsia"/>
          <w:bCs/>
          <w:sz w:val="24"/>
          <w:szCs w:val="24"/>
          <w:lang w:eastAsia="zh-CN"/>
        </w:rPr>
        <w:t>本周主要港口动力煤平均价环比回落0.16%，煤价整体处于偏高位置。</w:t>
      </w:r>
      <w:r w:rsidRPr="00E00C6E">
        <w:rPr>
          <w:rFonts w:ascii="华文楷体" w:hAnsi="华文楷体" w:hint="eastAsia"/>
          <w:bCs/>
          <w:sz w:val="24"/>
          <w:szCs w:val="24"/>
          <w:lang w:eastAsia="zh-CN"/>
        </w:rPr>
        <w:t>PTA产业链负荷率环比持平，当前由于亏损减少，加之下游订单尚可，PTA企业的生产积极性良好，并没有出现大面积检修现象，本周PTA产业链负荷率与上周持平；库存方面，截至上周，国内PTA生产企业的库存能够维持6.5天，仍维持在偏高水平。中国玻璃综合指数回升0.32%，周内玻璃价格稳中有升</w:t>
      </w:r>
      <w:r w:rsidRPr="00B805A8">
        <w:rPr>
          <w:rFonts w:ascii="华文楷体" w:hAnsi="华文楷体" w:hint="eastAsia"/>
          <w:bCs/>
          <w:sz w:val="24"/>
          <w:szCs w:val="24"/>
          <w:lang w:eastAsia="zh-CN"/>
        </w:rPr>
        <w:t>。</w:t>
      </w:r>
    </w:p>
    <w:p w:rsidR="00561B84" w:rsidRDefault="00561B84" w:rsidP="00561B84">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Pr="00E00C6E">
        <w:rPr>
          <w:rFonts w:ascii="华文楷体" w:hAnsi="华文楷体" w:hint="eastAsia"/>
          <w:bCs/>
          <w:sz w:val="24"/>
          <w:szCs w:val="24"/>
          <w:lang w:eastAsia="zh-CN"/>
        </w:rPr>
        <w:t>11月初30大中城市商品房成交面积小幅回落，其中一线城市销售微幅回落，但二、三线城市销售面积回落较为明显，拖累地产销售整体略有下行；拿地方面，本周100大中城市土地成交面积表现仍偏弱，各线城市拿地继续分化，一线城市延续上行，二三线城市土地成交面积仍继续回落，当前拿地数据下行或对明年新开工造成影响。从地产信托发行数据来看，本周地产信托发行量为148.12亿，较上周的发行193.87亿有所下行</w:t>
      </w:r>
      <w:r>
        <w:rPr>
          <w:rFonts w:ascii="华文楷体" w:hAnsi="华文楷体" w:hint="eastAsia"/>
          <w:bCs/>
          <w:sz w:val="24"/>
          <w:szCs w:val="24"/>
          <w:lang w:eastAsia="zh-CN"/>
        </w:rPr>
        <w:t>。</w:t>
      </w:r>
    </w:p>
    <w:p w:rsidR="00561B84" w:rsidRPr="00682A95" w:rsidRDefault="00561B84" w:rsidP="00561B84">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Pr="00AE5436">
        <w:rPr>
          <w:rFonts w:ascii="华文楷体" w:hAnsi="华文楷体" w:hint="eastAsia"/>
          <w:bCs/>
          <w:sz w:val="24"/>
          <w:szCs w:val="24"/>
          <w:lang w:eastAsia="zh-CN"/>
        </w:rPr>
        <w:t>进口方面，</w:t>
      </w:r>
      <w:r w:rsidRPr="00E00C6E">
        <w:rPr>
          <w:rFonts w:ascii="华文楷体" w:hAnsi="华文楷体" w:hint="eastAsia"/>
          <w:bCs/>
          <w:sz w:val="24"/>
          <w:szCs w:val="24"/>
          <w:lang w:eastAsia="zh-CN"/>
        </w:rPr>
        <w:t>波罗的海干散货指数较上周回落6.07%，中国进口干散货运价指数走势较上周回落2.34%。</w:t>
      </w:r>
      <w:r w:rsidRPr="00AE5436">
        <w:rPr>
          <w:rFonts w:ascii="华文楷体" w:hAnsi="华文楷体" w:hint="eastAsia"/>
          <w:bCs/>
          <w:sz w:val="24"/>
          <w:szCs w:val="24"/>
          <w:lang w:eastAsia="zh-CN"/>
        </w:rPr>
        <w:t>出口方面，</w:t>
      </w:r>
      <w:r w:rsidRPr="00E00C6E">
        <w:rPr>
          <w:rFonts w:ascii="华文楷体" w:hAnsi="华文楷体" w:hint="eastAsia"/>
          <w:bCs/>
          <w:sz w:val="24"/>
          <w:szCs w:val="24"/>
          <w:lang w:eastAsia="zh-CN"/>
        </w:rPr>
        <w:t>上海出口集装箱指数（SCFI）本周回落0.31%，中国出口集装箱运价指数（CCFI）本周则大幅上行11.58%</w:t>
      </w:r>
      <w:r>
        <w:rPr>
          <w:rFonts w:ascii="华文楷体" w:hAnsi="华文楷体" w:hint="eastAsia"/>
          <w:bCs/>
          <w:sz w:val="24"/>
          <w:szCs w:val="24"/>
          <w:lang w:eastAsia="zh-CN"/>
        </w:rPr>
        <w:t>。</w:t>
      </w:r>
    </w:p>
    <w:p w:rsidR="00561B84" w:rsidRDefault="00561B84" w:rsidP="00561B84">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Pr="00AE5436">
        <w:rPr>
          <w:rFonts w:ascii="华文楷体" w:hAnsi="华文楷体" w:hint="eastAsia"/>
          <w:bCs/>
          <w:sz w:val="24"/>
          <w:szCs w:val="24"/>
          <w:lang w:eastAsia="zh-CN"/>
        </w:rPr>
        <w:t>食品价格方面，</w:t>
      </w:r>
      <w:r w:rsidRPr="00E00C6E">
        <w:rPr>
          <w:rFonts w:ascii="华文楷体" w:hAnsi="华文楷体" w:hint="eastAsia"/>
          <w:bCs/>
          <w:sz w:val="24"/>
          <w:szCs w:val="24"/>
          <w:lang w:eastAsia="zh-CN"/>
        </w:rPr>
        <w:t>猪肉价格本周微幅回升0.06%，周度数据来看，农业部公布的全国平均批发价较上周末小幅回升至39.39元/</w:t>
      </w:r>
      <w:r>
        <w:rPr>
          <w:rFonts w:ascii="华文楷体" w:hAnsi="华文楷体" w:hint="eastAsia"/>
          <w:bCs/>
          <w:sz w:val="24"/>
          <w:szCs w:val="24"/>
          <w:lang w:eastAsia="zh-CN"/>
        </w:rPr>
        <w:t>公斤左右</w:t>
      </w:r>
      <w:r w:rsidRPr="00E00C6E">
        <w:rPr>
          <w:rFonts w:ascii="华文楷体" w:hAnsi="华文楷体" w:hint="eastAsia"/>
          <w:bCs/>
          <w:sz w:val="24"/>
          <w:szCs w:val="24"/>
          <w:lang w:eastAsia="zh-CN"/>
        </w:rPr>
        <w:t>；本周牛羊肉价格表现分化，牛肉本周回升0.3%，羊肉价格微幅回落0.06%；蔬菜方面，价格转为回落0.76%；水果价格则转为上行2.13%，走势基本符合季节性；鸡蛋方面，价格小幅回升0.65%；水产品本周价格回升0.89%。</w:t>
      </w:r>
      <w:r w:rsidRPr="0063487B">
        <w:rPr>
          <w:rFonts w:ascii="华文楷体" w:hAnsi="华文楷体" w:hint="eastAsia"/>
          <w:bCs/>
          <w:sz w:val="24"/>
          <w:szCs w:val="24"/>
          <w:lang w:eastAsia="zh-CN"/>
        </w:rPr>
        <w:t>工业品价格方面，</w:t>
      </w:r>
      <w:r w:rsidRPr="00E00C6E">
        <w:rPr>
          <w:rFonts w:ascii="华文楷体" w:hAnsi="华文楷体" w:hint="eastAsia"/>
          <w:bCs/>
          <w:sz w:val="24"/>
          <w:szCs w:val="24"/>
          <w:lang w:eastAsia="zh-CN"/>
        </w:rPr>
        <w:t>本周Myspic综合全国钢铁价格指数上行3.02%，较上周涨幅明显走扩。主要品种中，螺纹钢、热卷、高线价格本周均有所回升，分别变动4.68%、4.88%、2.04%；从库存来看，螺纹钢、热卷、线材库存分别变动-11.16%、-5.19%、-9.93%，库存继续快速回落。</w:t>
      </w:r>
    </w:p>
    <w:p w:rsidR="00561B84" w:rsidRDefault="00561B84" w:rsidP="00561B84">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Pr="008D4119">
        <w:rPr>
          <w:rFonts w:ascii="华文楷体" w:hAnsi="华文楷体" w:hint="eastAsia"/>
          <w:b/>
          <w:bCs/>
          <w:sz w:val="24"/>
          <w:szCs w:val="24"/>
          <w:lang w:eastAsia="zh-CN"/>
        </w:rPr>
        <w:t>：</w:t>
      </w:r>
      <w:bookmarkStart w:id="2" w:name="_Hlk21205334"/>
      <w:r w:rsidRPr="00E00C6E">
        <w:rPr>
          <w:rFonts w:ascii="华文楷体" w:hAnsi="华文楷体" w:hint="eastAsia"/>
          <w:bCs/>
          <w:sz w:val="24"/>
          <w:szCs w:val="24"/>
          <w:lang w:eastAsia="zh-CN"/>
        </w:rPr>
        <w:t>乘联会最新数据显示，11月首周的日均零售是3.5万辆，同比增长10%，环比9月同期销量大幅增长42%，11月首周汽车零售市场表现相对较好；批发方面，11月首周主要厂商批发销量达到日均4万辆，同比去年11月增长8%，环比10月首周同样大幅增长136%</w:t>
      </w:r>
      <w:r w:rsidRPr="00AE5436">
        <w:rPr>
          <w:rFonts w:ascii="华文楷体" w:hAnsi="华文楷体" w:hint="eastAsia"/>
          <w:bCs/>
          <w:sz w:val="24"/>
          <w:szCs w:val="24"/>
          <w:lang w:eastAsia="zh-CN"/>
        </w:rPr>
        <w:t>。</w:t>
      </w:r>
    </w:p>
    <w:p w:rsidR="00561B84" w:rsidRPr="00EB6DED" w:rsidRDefault="00561B84" w:rsidP="00561B84">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Pr="00E00C6E">
        <w:rPr>
          <w:rFonts w:ascii="华文楷体" w:hAnsi="华文楷体" w:hint="eastAsia"/>
          <w:bCs/>
          <w:sz w:val="24"/>
          <w:szCs w:val="24"/>
          <w:lang w:eastAsia="zh-CN"/>
        </w:rPr>
        <w:t>WTI原油价格回升8.05%，至40.13美元/桶；布伦特原油价格回升8.44%，至42.78美元/桶，国际油价明显回升</w:t>
      </w:r>
      <w:r w:rsidRPr="00AE5436">
        <w:rPr>
          <w:rFonts w:ascii="华文楷体" w:hAnsi="华文楷体" w:hint="eastAsia"/>
          <w:bCs/>
          <w:sz w:val="24"/>
          <w:szCs w:val="24"/>
          <w:lang w:eastAsia="zh-CN"/>
        </w:rPr>
        <w:t>。</w:t>
      </w:r>
    </w:p>
    <w:p w:rsidR="00561B84" w:rsidRDefault="00561B84" w:rsidP="00561B84">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lastRenderedPageBreak/>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Pr="00E00C6E">
        <w:rPr>
          <w:rFonts w:ascii="Helvetica" w:hAnsi="Helvetica" w:hint="eastAsia"/>
          <w:color w:val="000000"/>
          <w:spacing w:val="8"/>
          <w:sz w:val="23"/>
          <w:szCs w:val="23"/>
          <w:shd w:val="clear" w:color="auto" w:fill="FFFFFF"/>
          <w:lang w:eastAsia="zh-CN"/>
        </w:rPr>
        <w:t>10</w:t>
      </w:r>
      <w:r w:rsidRPr="00E00C6E">
        <w:rPr>
          <w:rFonts w:ascii="Helvetica" w:hAnsi="Helvetica" w:hint="eastAsia"/>
          <w:color w:val="000000"/>
          <w:spacing w:val="8"/>
          <w:sz w:val="23"/>
          <w:szCs w:val="23"/>
          <w:shd w:val="clear" w:color="auto" w:fill="FFFFFF"/>
          <w:lang w:eastAsia="zh-CN"/>
        </w:rPr>
        <w:t>月经济数据</w:t>
      </w:r>
      <w:r>
        <w:rPr>
          <w:rFonts w:ascii="Helvetica" w:hAnsi="Helvetica" w:hint="eastAsia"/>
          <w:color w:val="000000"/>
          <w:spacing w:val="8"/>
          <w:sz w:val="23"/>
          <w:szCs w:val="23"/>
          <w:shd w:val="clear" w:color="auto" w:fill="FFFFFF"/>
          <w:lang w:eastAsia="zh-CN"/>
        </w:rPr>
        <w:t>，</w:t>
      </w:r>
      <w:r w:rsidRPr="00E00C6E">
        <w:rPr>
          <w:rFonts w:ascii="Helvetica" w:hAnsi="Helvetica" w:hint="eastAsia"/>
          <w:color w:val="000000"/>
          <w:spacing w:val="8"/>
          <w:sz w:val="23"/>
          <w:szCs w:val="23"/>
          <w:shd w:val="clear" w:color="auto" w:fill="FFFFFF"/>
          <w:lang w:eastAsia="zh-CN"/>
        </w:rPr>
        <w:t>房地产销售数据</w:t>
      </w:r>
      <w:r>
        <w:rPr>
          <w:rFonts w:ascii="Helvetica" w:hAnsi="Helvetica" w:hint="eastAsia"/>
          <w:color w:val="000000"/>
          <w:spacing w:val="8"/>
          <w:sz w:val="23"/>
          <w:szCs w:val="23"/>
          <w:shd w:val="clear" w:color="auto" w:fill="FFFFFF"/>
          <w:lang w:eastAsia="zh-CN"/>
        </w:rPr>
        <w:t>，</w:t>
      </w:r>
      <w:r w:rsidRPr="00E00C6E">
        <w:rPr>
          <w:rFonts w:ascii="Helvetica" w:hAnsi="Helvetica" w:hint="eastAsia"/>
          <w:color w:val="000000"/>
          <w:spacing w:val="8"/>
          <w:sz w:val="23"/>
          <w:szCs w:val="23"/>
          <w:shd w:val="clear" w:color="auto" w:fill="FFFFFF"/>
          <w:lang w:eastAsia="zh-CN"/>
        </w:rPr>
        <w:t>LPR</w:t>
      </w:r>
      <w:r w:rsidRPr="00E00C6E">
        <w:rPr>
          <w:rFonts w:ascii="Helvetica" w:hAnsi="Helvetica" w:hint="eastAsia"/>
          <w:color w:val="000000"/>
          <w:spacing w:val="8"/>
          <w:sz w:val="23"/>
          <w:szCs w:val="23"/>
          <w:shd w:val="clear" w:color="auto" w:fill="FFFFFF"/>
          <w:lang w:eastAsia="zh-CN"/>
        </w:rPr>
        <w:t>利率公布</w:t>
      </w:r>
      <w:r>
        <w:rPr>
          <w:rFonts w:ascii="Helvetica" w:hAnsi="Helvetica" w:hint="eastAsia"/>
          <w:color w:val="000000"/>
          <w:spacing w:val="8"/>
          <w:sz w:val="23"/>
          <w:szCs w:val="23"/>
          <w:shd w:val="clear" w:color="auto" w:fill="FFFFFF"/>
          <w:lang w:eastAsia="zh-CN"/>
        </w:rPr>
        <w:t>，</w:t>
      </w:r>
      <w:r w:rsidRPr="00E00C6E">
        <w:rPr>
          <w:rFonts w:ascii="Helvetica" w:hAnsi="Helvetica" w:hint="eastAsia"/>
          <w:color w:val="000000"/>
          <w:spacing w:val="8"/>
          <w:sz w:val="23"/>
          <w:szCs w:val="23"/>
          <w:shd w:val="clear" w:color="auto" w:fill="FFFFFF"/>
          <w:lang w:eastAsia="zh-CN"/>
        </w:rPr>
        <w:t>永煤违约信用违约事件后续处理</w:t>
      </w:r>
    </w:p>
    <w:p w:rsidR="00561B84" w:rsidRPr="005C6814" w:rsidRDefault="00561B84" w:rsidP="00561B84">
      <w:pPr>
        <w:pStyle w:val="Body-text"/>
        <w:ind w:firstLineChars="200" w:firstLine="480"/>
        <w:rPr>
          <w:rFonts w:ascii="华文楷体" w:hAnsi="华文楷体"/>
          <w:bCs/>
          <w:sz w:val="24"/>
          <w:szCs w:val="24"/>
          <w:lang w:eastAsia="zh-CN"/>
        </w:rPr>
      </w:pPr>
    </w:p>
    <w:bookmarkEnd w:id="2"/>
    <w:p w:rsidR="00561B84" w:rsidRPr="00884635" w:rsidRDefault="00561B84" w:rsidP="00561B84">
      <w:pPr>
        <w:pStyle w:val="Header2"/>
        <w:spacing w:before="120"/>
        <w:rPr>
          <w:rFonts w:eastAsia="PMingLiU"/>
          <w:sz w:val="28"/>
          <w:szCs w:val="21"/>
          <w:lang w:eastAsia="zh-CN"/>
        </w:rPr>
      </w:pPr>
      <w:r>
        <w:rPr>
          <w:sz w:val="28"/>
          <w:szCs w:val="21"/>
          <w:lang w:eastAsia="zh-CN"/>
        </w:rPr>
        <w:t>2</w:t>
      </w:r>
      <w:r>
        <w:rPr>
          <w:rFonts w:hint="eastAsia"/>
          <w:sz w:val="28"/>
          <w:szCs w:val="21"/>
          <w:lang w:eastAsia="zh-CN"/>
        </w:rPr>
        <w:t>、下周债市判断</w:t>
      </w:r>
    </w:p>
    <w:p w:rsidR="00561B84" w:rsidRPr="00CD3C43" w:rsidRDefault="00561B84" w:rsidP="00561B84">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Pr="00F71169">
        <w:rPr>
          <w:rFonts w:ascii="华文楷体" w:hAnsi="华文楷体" w:hint="eastAsia"/>
          <w:sz w:val="24"/>
          <w:szCs w:val="24"/>
          <w:lang w:eastAsia="zh-CN"/>
        </w:rPr>
        <w:t>债券市场受永煤违约事件冲击较大，目前事件仍处于发酵过程中，市场密切关注后续处理情况。短期内市场风险偏好急遽收缩，叠加年末流动性季节压力，警惕信用风险向流动性风险转移。策略上短期债券整体趋向谨慎，中期信用利差预计走阔，存单价格目前还在高位震荡银行负债端压力尚未完全释放，资金面维持紧平衡。本周央行公开市场操作到期7500亿，关注MLF续作情况。</w:t>
      </w:r>
    </w:p>
    <w:p w:rsidR="00561B84" w:rsidRDefault="00561B84" w:rsidP="00561B84">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Pr>
          <w:rFonts w:ascii="华文楷体" w:hAnsi="华文楷体"/>
          <w:sz w:val="24"/>
          <w:szCs w:val="24"/>
          <w:lang w:eastAsia="zh-CN"/>
        </w:rPr>
        <w:t>信用</w:t>
      </w:r>
      <w:r>
        <w:rPr>
          <w:rFonts w:ascii="华文楷体" w:hAnsi="华文楷体" w:hint="eastAsia"/>
          <w:sz w:val="24"/>
          <w:szCs w:val="24"/>
          <w:lang w:eastAsia="zh-CN"/>
        </w:rPr>
        <w:t>债情绪受永煤违约事件冲击，信用溢价预计持续走阔，如信用风险进一步向流动性风险转移，关注债券整体曲线大幅上移风险。策略上，仍坚持挖掘行业和个券机会为主，关注绝对收益价值配置为主，防范信用风险暴露。继续关注政策影响更突出的行业和区域，票息策略为主，防范信用风险暴露</w:t>
      </w:r>
      <w:r w:rsidRPr="004133A5">
        <w:rPr>
          <w:rFonts w:ascii="华文楷体" w:hAnsi="华文楷体" w:hint="eastAsia"/>
          <w:sz w:val="24"/>
          <w:szCs w:val="24"/>
          <w:lang w:eastAsia="zh-CN"/>
        </w:rPr>
        <w:t>。</w:t>
      </w:r>
    </w:p>
    <w:p w:rsidR="00561B84" w:rsidRDefault="00561B84" w:rsidP="00561B84">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Pr="00F71169">
        <w:rPr>
          <w:rFonts w:ascii="华文楷体" w:hAnsi="华文楷体" w:hint="eastAsia"/>
          <w:sz w:val="24"/>
          <w:szCs w:val="24"/>
          <w:lang w:eastAsia="zh-CN"/>
        </w:rPr>
        <w:t>周日15个成员国领导人正式签署区域全面经济伙伴关系协定（RCEP），该协定可能对农产品、化肥、电子产品等相关行业产生一定影响</w:t>
      </w:r>
      <w:r>
        <w:rPr>
          <w:rFonts w:ascii="华文楷体" w:hAnsi="华文楷体" w:hint="eastAsia"/>
          <w:sz w:val="24"/>
          <w:szCs w:val="24"/>
          <w:lang w:eastAsia="zh-CN"/>
        </w:rPr>
        <w:t>。</w:t>
      </w:r>
      <w:r w:rsidRPr="00F71169">
        <w:rPr>
          <w:rFonts w:ascii="华文楷体" w:hAnsi="华文楷体" w:hint="eastAsia"/>
          <w:sz w:val="24"/>
          <w:szCs w:val="24"/>
          <w:lang w:eastAsia="zh-CN"/>
        </w:rPr>
        <w:t>转债近期情绪</w:t>
      </w:r>
      <w:r>
        <w:rPr>
          <w:rFonts w:ascii="华文楷体" w:hAnsi="华文楷体" w:hint="eastAsia"/>
          <w:sz w:val="24"/>
          <w:szCs w:val="24"/>
          <w:lang w:eastAsia="zh-CN"/>
        </w:rPr>
        <w:t>有所</w:t>
      </w:r>
      <w:r w:rsidRPr="00F71169">
        <w:rPr>
          <w:rFonts w:ascii="华文楷体" w:hAnsi="华文楷体" w:hint="eastAsia"/>
          <w:sz w:val="24"/>
          <w:szCs w:val="24"/>
          <w:lang w:eastAsia="zh-CN"/>
        </w:rPr>
        <w:t>回稳，</w:t>
      </w:r>
      <w:r w:rsidRPr="000E64E3">
        <w:rPr>
          <w:rFonts w:ascii="华文楷体" w:hAnsi="华文楷体" w:hint="eastAsia"/>
          <w:sz w:val="24"/>
          <w:szCs w:val="24"/>
          <w:lang w:eastAsia="zh-CN"/>
        </w:rPr>
        <w:t>行业上持续关注受政策影响利好明显的板块，策略上</w:t>
      </w:r>
      <w:r w:rsidRPr="00101F9D">
        <w:rPr>
          <w:rFonts w:ascii="华文楷体" w:hAnsi="华文楷体" w:hint="eastAsia"/>
          <w:sz w:val="24"/>
          <w:szCs w:val="24"/>
          <w:lang w:eastAsia="zh-CN"/>
        </w:rPr>
        <w:t>转债阶段性规避爆炒的负面影响，坚持业绩优先和估值挖掘</w:t>
      </w:r>
      <w:r>
        <w:rPr>
          <w:rFonts w:ascii="华文楷体" w:hAnsi="华文楷体" w:hint="eastAsia"/>
          <w:sz w:val="24"/>
          <w:szCs w:val="24"/>
          <w:lang w:eastAsia="zh-CN"/>
        </w:rPr>
        <w:t>，</w:t>
      </w:r>
      <w:r w:rsidRPr="00F71169">
        <w:rPr>
          <w:rFonts w:ascii="华文楷体" w:hAnsi="华文楷体" w:hint="eastAsia"/>
          <w:sz w:val="24"/>
          <w:szCs w:val="24"/>
          <w:lang w:eastAsia="zh-CN"/>
        </w:rPr>
        <w:t>考虑到债券信用风险事件，股性品种强的转债</w:t>
      </w:r>
      <w:r>
        <w:rPr>
          <w:rFonts w:ascii="华文楷体" w:hAnsi="华文楷体" w:hint="eastAsia"/>
          <w:sz w:val="24"/>
          <w:szCs w:val="24"/>
          <w:lang w:eastAsia="zh-CN"/>
        </w:rPr>
        <w:t>近期</w:t>
      </w:r>
      <w:r w:rsidRPr="00F71169">
        <w:rPr>
          <w:rFonts w:ascii="华文楷体" w:hAnsi="华文楷体" w:hint="eastAsia"/>
          <w:sz w:val="24"/>
          <w:szCs w:val="24"/>
          <w:lang w:eastAsia="zh-CN"/>
        </w:rPr>
        <w:t>可能表现更稳定。</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561B84" w:rsidRPr="006A5F34" w:rsidTr="002C79E5">
        <w:trPr>
          <w:jc w:val="center"/>
        </w:trPr>
        <w:tc>
          <w:tcPr>
            <w:tcW w:w="4939" w:type="dxa"/>
            <w:vAlign w:val="center"/>
          </w:tcPr>
          <w:p w:rsidR="00561B84" w:rsidRPr="006A5F34" w:rsidRDefault="00561B84" w:rsidP="002C79E5">
            <w:pPr>
              <w:pStyle w:val="ChartHeading"/>
              <w:jc w:val="both"/>
            </w:pPr>
            <w:r w:rsidRPr="006A5F34">
              <w:rPr>
                <w:rFonts w:hint="eastAsia"/>
              </w:rPr>
              <w:t>图表</w:t>
            </w:r>
            <w:r w:rsidRPr="006A5F34">
              <w:t>.</w:t>
            </w:r>
            <w:r>
              <w:rPr>
                <w:rFonts w:hint="eastAsia"/>
              </w:rPr>
              <w:t>高炉开工表现平稳</w:t>
            </w:r>
          </w:p>
        </w:tc>
        <w:tc>
          <w:tcPr>
            <w:tcW w:w="4938" w:type="dxa"/>
            <w:vAlign w:val="center"/>
          </w:tcPr>
          <w:p w:rsidR="00561B84" w:rsidRPr="006A5F34" w:rsidRDefault="00561B84" w:rsidP="002C79E5">
            <w:pPr>
              <w:pStyle w:val="ChartHeading"/>
              <w:jc w:val="both"/>
            </w:pPr>
            <w:r w:rsidRPr="006A5F34">
              <w:rPr>
                <w:rFonts w:hint="eastAsia"/>
              </w:rPr>
              <w:t>图表</w:t>
            </w:r>
            <w:r w:rsidRPr="006A5F34">
              <w:t xml:space="preserve">. </w:t>
            </w:r>
            <w:r>
              <w:rPr>
                <w:rFonts w:hint="eastAsia"/>
              </w:rPr>
              <w:t>水泥价格持续修复</w:t>
            </w:r>
          </w:p>
        </w:tc>
      </w:tr>
      <w:tr w:rsidR="00561B84" w:rsidRPr="006A5F34" w:rsidTr="002C79E5">
        <w:tblPrEx>
          <w:tblCellMar>
            <w:left w:w="108" w:type="dxa"/>
            <w:right w:w="108" w:type="dxa"/>
          </w:tblCellMar>
        </w:tblPrEx>
        <w:trPr>
          <w:jc w:val="center"/>
        </w:trPr>
        <w:tc>
          <w:tcPr>
            <w:tcW w:w="4939" w:type="dxa"/>
            <w:vAlign w:val="center"/>
          </w:tcPr>
          <w:p w:rsidR="00561B84" w:rsidRPr="007E0340" w:rsidRDefault="00561B84" w:rsidP="002C79E5">
            <w:pPr>
              <w:jc w:val="center"/>
              <w:rPr>
                <w:noProof/>
              </w:rPr>
            </w:pPr>
            <w:r>
              <w:rPr>
                <w:noProof/>
              </w:rPr>
              <w:drawing>
                <wp:inline distT="0" distB="0" distL="0" distR="0" wp14:anchorId="3731D55C" wp14:editId="0DD30C35">
                  <wp:extent cx="2999105" cy="1768833"/>
                  <wp:effectExtent l="0" t="0" r="0" b="3175"/>
                  <wp:docPr id="17" name="图表 17">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rsidR="00561B84" w:rsidRPr="007E0340" w:rsidRDefault="00561B84" w:rsidP="002C79E5">
            <w:pPr>
              <w:jc w:val="center"/>
              <w:rPr>
                <w:noProof/>
                <w:szCs w:val="18"/>
              </w:rPr>
            </w:pPr>
            <w:r>
              <w:rPr>
                <w:noProof/>
              </w:rPr>
              <w:drawing>
                <wp:inline distT="0" distB="0" distL="0" distR="0" wp14:anchorId="7488024D" wp14:editId="20CD34E4">
                  <wp:extent cx="2998470" cy="1754478"/>
                  <wp:effectExtent l="0" t="0" r="0" b="0"/>
                  <wp:docPr id="18" name="图表 18">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561B84" w:rsidRPr="006A5F34" w:rsidTr="002C79E5">
        <w:trPr>
          <w:trHeight w:val="64"/>
          <w:jc w:val="center"/>
        </w:trPr>
        <w:tc>
          <w:tcPr>
            <w:tcW w:w="4939" w:type="dxa"/>
            <w:vAlign w:val="center"/>
          </w:tcPr>
          <w:p w:rsidR="00561B84" w:rsidRPr="006A5F34" w:rsidRDefault="00561B84" w:rsidP="002C79E5">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rsidR="00561B84" w:rsidRPr="006A5F34" w:rsidRDefault="00561B84" w:rsidP="002C79E5">
            <w:pPr>
              <w:pStyle w:val="Source"/>
              <w:jc w:val="both"/>
              <w:rPr>
                <w:kern w:val="0"/>
              </w:rPr>
            </w:pPr>
            <w:r w:rsidRPr="006A5F34">
              <w:rPr>
                <w:rFonts w:hint="eastAsia"/>
                <w:kern w:val="0"/>
              </w:rPr>
              <w:t>资料来源：万得</w:t>
            </w:r>
            <w:r>
              <w:rPr>
                <w:rFonts w:hint="eastAsia"/>
                <w:kern w:val="0"/>
              </w:rPr>
              <w:t>，富荣基金</w:t>
            </w:r>
          </w:p>
        </w:tc>
      </w:tr>
    </w:tbl>
    <w:p w:rsidR="00561B84" w:rsidRDefault="00561B84" w:rsidP="00561B84">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561B84" w:rsidRPr="006A5F34" w:rsidTr="002C79E5">
        <w:trPr>
          <w:jc w:val="center"/>
        </w:trPr>
        <w:tc>
          <w:tcPr>
            <w:tcW w:w="4939" w:type="dxa"/>
            <w:vAlign w:val="center"/>
          </w:tcPr>
          <w:p w:rsidR="00561B84" w:rsidRPr="006A5F34" w:rsidRDefault="00561B84" w:rsidP="002C79E5">
            <w:pPr>
              <w:pStyle w:val="ChartHeading"/>
              <w:jc w:val="both"/>
            </w:pPr>
            <w:r w:rsidRPr="006A5F34">
              <w:rPr>
                <w:rFonts w:hint="eastAsia"/>
              </w:rPr>
              <w:t>图表</w:t>
            </w:r>
            <w:r w:rsidRPr="006A5F34">
              <w:t>.</w:t>
            </w:r>
            <w:r>
              <w:t xml:space="preserve"> </w:t>
            </w:r>
            <w:r>
              <w:rPr>
                <w:rFonts w:hint="eastAsia"/>
              </w:rPr>
              <w:t>南华</w:t>
            </w:r>
            <w:r>
              <w:t>工业品指数</w:t>
            </w:r>
            <w:r>
              <w:rPr>
                <w:rFonts w:hint="eastAsia"/>
              </w:rPr>
              <w:t>调整下行</w:t>
            </w:r>
          </w:p>
        </w:tc>
        <w:tc>
          <w:tcPr>
            <w:tcW w:w="4938" w:type="dxa"/>
            <w:vAlign w:val="center"/>
          </w:tcPr>
          <w:p w:rsidR="00561B84" w:rsidRPr="006A5F34" w:rsidRDefault="00561B84" w:rsidP="002C79E5">
            <w:pPr>
              <w:pStyle w:val="ChartHeading"/>
              <w:jc w:val="both"/>
            </w:pPr>
            <w:r w:rsidRPr="006A5F34">
              <w:rPr>
                <w:rFonts w:hint="eastAsia"/>
              </w:rPr>
              <w:t>图表</w:t>
            </w:r>
            <w:r w:rsidRPr="006A5F34">
              <w:t xml:space="preserve">. </w:t>
            </w:r>
            <w:r>
              <w:rPr>
                <w:rFonts w:hint="eastAsia"/>
              </w:rPr>
              <w:t>猪肉价格持续下行</w:t>
            </w:r>
          </w:p>
        </w:tc>
      </w:tr>
      <w:tr w:rsidR="00561B84" w:rsidRPr="006A5F34" w:rsidTr="002C79E5">
        <w:tblPrEx>
          <w:tblCellMar>
            <w:left w:w="108" w:type="dxa"/>
            <w:right w:w="108" w:type="dxa"/>
          </w:tblCellMar>
        </w:tblPrEx>
        <w:trPr>
          <w:trHeight w:val="2987"/>
          <w:jc w:val="center"/>
        </w:trPr>
        <w:tc>
          <w:tcPr>
            <w:tcW w:w="4939" w:type="dxa"/>
            <w:vAlign w:val="center"/>
          </w:tcPr>
          <w:p w:rsidR="00561B84" w:rsidRPr="007E0340" w:rsidRDefault="00561B84" w:rsidP="002C79E5">
            <w:pPr>
              <w:jc w:val="center"/>
              <w:rPr>
                <w:noProof/>
              </w:rPr>
            </w:pPr>
            <w:r>
              <w:rPr>
                <w:noProof/>
              </w:rPr>
              <w:drawing>
                <wp:inline distT="0" distB="0" distL="0" distR="0" wp14:anchorId="7B72DE79" wp14:editId="00CDCB63">
                  <wp:extent cx="2999105" cy="1773141"/>
                  <wp:effectExtent l="0" t="0" r="0" b="0"/>
                  <wp:docPr id="19" name="图表 19">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rsidR="00561B84" w:rsidRPr="007E0340" w:rsidRDefault="00561B84" w:rsidP="002C79E5">
            <w:pPr>
              <w:jc w:val="center"/>
              <w:rPr>
                <w:noProof/>
                <w:szCs w:val="18"/>
              </w:rPr>
            </w:pPr>
            <w:r>
              <w:rPr>
                <w:noProof/>
              </w:rPr>
              <w:drawing>
                <wp:inline distT="0" distB="0" distL="0" distR="0" wp14:anchorId="72003901" wp14:editId="0D97C35E">
                  <wp:extent cx="2998470" cy="1766542"/>
                  <wp:effectExtent l="0" t="0" r="0" b="5715"/>
                  <wp:docPr id="20" name="图表 20">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561B84" w:rsidRPr="006A5F34" w:rsidTr="002C79E5">
        <w:trPr>
          <w:trHeight w:val="64"/>
          <w:jc w:val="center"/>
        </w:trPr>
        <w:tc>
          <w:tcPr>
            <w:tcW w:w="4939" w:type="dxa"/>
            <w:vAlign w:val="center"/>
          </w:tcPr>
          <w:p w:rsidR="00561B84" w:rsidRPr="006A5F34" w:rsidRDefault="00561B84" w:rsidP="002C79E5">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rsidR="00561B84" w:rsidRPr="006A5F34" w:rsidRDefault="00561B84" w:rsidP="002C79E5">
            <w:pPr>
              <w:pStyle w:val="Source"/>
              <w:jc w:val="both"/>
              <w:rPr>
                <w:kern w:val="0"/>
              </w:rPr>
            </w:pPr>
            <w:r w:rsidRPr="006A5F34">
              <w:rPr>
                <w:rFonts w:hint="eastAsia"/>
                <w:kern w:val="0"/>
              </w:rPr>
              <w:t>资料来源：万得</w:t>
            </w:r>
            <w:r>
              <w:rPr>
                <w:rFonts w:hint="eastAsia"/>
                <w:kern w:val="0"/>
              </w:rPr>
              <w:t>，富荣基金</w:t>
            </w:r>
          </w:p>
        </w:tc>
      </w:tr>
    </w:tbl>
    <w:p w:rsidR="00561B84" w:rsidRPr="004E02E2" w:rsidDel="006D1AD9" w:rsidRDefault="00561B84" w:rsidP="00561B84">
      <w:pPr>
        <w:pStyle w:val="Body-text"/>
        <w:spacing w:after="0"/>
        <w:rPr>
          <w:rFonts w:ascii="华文楷体" w:hAnsi="华文楷体"/>
          <w:sz w:val="24"/>
          <w:szCs w:val="24"/>
          <w:lang w:eastAsia="zh-CN"/>
        </w:rPr>
      </w:pPr>
    </w:p>
    <w:p w:rsidR="00561B84" w:rsidRPr="001D69C6" w:rsidRDefault="00561B84" w:rsidP="00561B84">
      <w:pPr>
        <w:widowControl/>
        <w:jc w:val="left"/>
      </w:pPr>
    </w:p>
    <w:p w:rsidR="00561B84" w:rsidRPr="00435232" w:rsidRDefault="00561B84" w:rsidP="00561B84">
      <w:pPr>
        <w:pStyle w:val="Body-text"/>
        <w:ind w:firstLineChars="200" w:firstLine="360"/>
        <w:rPr>
          <w:rFonts w:ascii="华文楷体" w:hAnsi="华文楷体"/>
          <w:sz w:val="18"/>
          <w:szCs w:val="18"/>
          <w:lang w:eastAsia="zh-CN"/>
        </w:rPr>
      </w:pPr>
      <w:r w:rsidRPr="00435232">
        <w:rPr>
          <w:rFonts w:ascii="黑体" w:eastAsia="黑体" w:hAnsi="Calibri" w:hint="eastAsia"/>
          <w:kern w:val="2"/>
          <w:sz w:val="18"/>
          <w:szCs w:val="18"/>
          <w:lang w:eastAsia="zh-CN"/>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p w:rsidR="00561B84" w:rsidRPr="001A1299" w:rsidRDefault="00561B84" w:rsidP="00561B84">
      <w:pPr>
        <w:pStyle w:val="Body-text"/>
        <w:ind w:firstLineChars="200" w:firstLine="480"/>
        <w:rPr>
          <w:rFonts w:ascii="华文楷体" w:hAnsi="华文楷体"/>
          <w:sz w:val="24"/>
          <w:szCs w:val="24"/>
          <w:lang w:eastAsia="zh-CN"/>
        </w:rPr>
      </w:pPr>
    </w:p>
    <w:p w:rsidR="009A546E" w:rsidRDefault="009A546E"/>
    <w:sectPr w:rsidR="009A546E" w:rsidSect="00AB78C4">
      <w:headerReference w:type="default" r:id="rId17"/>
      <w:footerReference w:type="default" r:id="rId18"/>
      <w:pgSz w:w="11906" w:h="16838"/>
      <w:pgMar w:top="1134" w:right="1021" w:bottom="1134" w:left="1021" w:header="284" w:footer="567"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rsidR="007E547E" w:rsidRDefault="00561B84">
        <w:pPr>
          <w:pStyle w:val="a4"/>
          <w:jc w:val="right"/>
        </w:pPr>
        <w:r>
          <w:fldChar w:fldCharType="begin"/>
        </w:r>
        <w:r>
          <w:instrText>PAGE   \* MERGEFORMAT</w:instrText>
        </w:r>
        <w:r>
          <w:fldChar w:fldCharType="separate"/>
        </w:r>
        <w:r w:rsidRPr="00561B84">
          <w:rPr>
            <w:noProof/>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547E" w:rsidRDefault="00561B84" w:rsidP="00D41DC0">
    <w:pPr>
      <w:pStyle w:val="a3"/>
      <w:jc w:val="left"/>
    </w:pPr>
    <w:r w:rsidRPr="0021237F">
      <w:rPr>
        <w:noProof/>
      </w:rPr>
      <w:drawing>
        <wp:inline distT="0" distB="0" distL="0" distR="0" wp14:anchorId="2B5B58ED" wp14:editId="6A6F4813">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B84"/>
    <w:rsid w:val="00561B84"/>
    <w:rsid w:val="009A5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1B8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sid w:val="00561B84"/>
    <w:rPr>
      <w:rFonts w:ascii="Times New Roman" w:eastAsia="宋体" w:hAnsi="Times New Roman" w:cs="Times New Roman"/>
      <w:sz w:val="18"/>
      <w:szCs w:val="18"/>
    </w:rPr>
  </w:style>
  <w:style w:type="paragraph" w:styleId="a3">
    <w:name w:val="header"/>
    <w:basedOn w:val="a"/>
    <w:link w:val="Char"/>
    <w:rsid w:val="00561B84"/>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1">
    <w:name w:val="页眉 Char1"/>
    <w:basedOn w:val="a0"/>
    <w:uiPriority w:val="99"/>
    <w:semiHidden/>
    <w:rsid w:val="00561B84"/>
    <w:rPr>
      <w:rFonts w:ascii="Calibri" w:eastAsia="宋体" w:hAnsi="Calibri" w:cs="Times New Roman"/>
      <w:sz w:val="18"/>
      <w:szCs w:val="18"/>
    </w:rPr>
  </w:style>
  <w:style w:type="character" w:customStyle="1" w:styleId="Char0">
    <w:name w:val="页脚 Char"/>
    <w:link w:val="a4"/>
    <w:uiPriority w:val="99"/>
    <w:rsid w:val="00561B84"/>
    <w:rPr>
      <w:rFonts w:ascii="Times New Roman" w:eastAsia="宋体" w:hAnsi="Times New Roman" w:cs="Times New Roman"/>
      <w:sz w:val="18"/>
      <w:szCs w:val="18"/>
    </w:rPr>
  </w:style>
  <w:style w:type="paragraph" w:styleId="a4">
    <w:name w:val="footer"/>
    <w:basedOn w:val="a"/>
    <w:link w:val="Char0"/>
    <w:uiPriority w:val="99"/>
    <w:rsid w:val="00561B84"/>
    <w:pPr>
      <w:tabs>
        <w:tab w:val="center" w:pos="4153"/>
        <w:tab w:val="right" w:pos="8306"/>
      </w:tabs>
      <w:snapToGrid w:val="0"/>
      <w:jc w:val="left"/>
    </w:pPr>
    <w:rPr>
      <w:rFonts w:ascii="Times New Roman" w:hAnsi="Times New Roman"/>
      <w:sz w:val="18"/>
      <w:szCs w:val="18"/>
    </w:rPr>
  </w:style>
  <w:style w:type="character" w:customStyle="1" w:styleId="Char10">
    <w:name w:val="页脚 Char1"/>
    <w:basedOn w:val="a0"/>
    <w:uiPriority w:val="99"/>
    <w:semiHidden/>
    <w:rsid w:val="00561B84"/>
    <w:rPr>
      <w:rFonts w:ascii="Calibri" w:eastAsia="宋体" w:hAnsi="Calibri" w:cs="Times New Roman"/>
      <w:sz w:val="18"/>
      <w:szCs w:val="18"/>
    </w:rPr>
  </w:style>
  <w:style w:type="paragraph" w:customStyle="1" w:styleId="ChartHeading">
    <w:name w:val="Chart Heading"/>
    <w:basedOn w:val="a"/>
    <w:link w:val="ChartHeadingChar"/>
    <w:rsid w:val="00561B84"/>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1B84"/>
    <w:rPr>
      <w:rFonts w:ascii="Arial Narrow" w:eastAsia="华文楷体" w:hAnsi="Arial Narrow" w:cs="Times New Roman"/>
      <w:b/>
      <w:kern w:val="0"/>
      <w:sz w:val="20"/>
      <w:szCs w:val="20"/>
    </w:rPr>
  </w:style>
  <w:style w:type="paragraph" w:customStyle="1" w:styleId="Source">
    <w:name w:val="Source"/>
    <w:basedOn w:val="a"/>
    <w:link w:val="Source1"/>
    <w:rsid w:val="00561B84"/>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1B84"/>
    <w:rPr>
      <w:rFonts w:ascii="Arial Narrow" w:eastAsia="华文楷体" w:hAnsi="Arial Narrow" w:cs="Times New Roman"/>
      <w:i/>
      <w:sz w:val="16"/>
      <w:szCs w:val="24"/>
    </w:rPr>
  </w:style>
  <w:style w:type="paragraph" w:customStyle="1" w:styleId="Header1">
    <w:name w:val="Header1"/>
    <w:basedOn w:val="a"/>
    <w:link w:val="Header1Char"/>
    <w:rsid w:val="00561B84"/>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561B84"/>
    <w:rPr>
      <w:rFonts w:ascii="Arial Bold" w:eastAsia="华文楷体" w:hAnsi="Arial Bold" w:cs="Times New Roman"/>
      <w:b/>
      <w:smallCaps/>
      <w:color w:val="A7001D"/>
      <w:kern w:val="0"/>
      <w:sz w:val="32"/>
      <w:szCs w:val="20"/>
    </w:rPr>
  </w:style>
  <w:style w:type="paragraph" w:customStyle="1" w:styleId="Header2">
    <w:name w:val="Header 2"/>
    <w:basedOn w:val="a"/>
    <w:link w:val="Header20"/>
    <w:rsid w:val="00561B84"/>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561B84"/>
    <w:rPr>
      <w:rFonts w:ascii="Arial" w:eastAsia="华文楷体" w:hAnsi="Arial" w:cs="Times New Roman"/>
      <w:b/>
      <w:bCs/>
      <w:kern w:val="0"/>
      <w:sz w:val="24"/>
      <w:szCs w:val="20"/>
      <w:u w:color="003300"/>
      <w:lang w:eastAsia="zh-TW"/>
    </w:rPr>
  </w:style>
  <w:style w:type="paragraph" w:customStyle="1" w:styleId="Body-text">
    <w:name w:val="Body-text"/>
    <w:basedOn w:val="a"/>
    <w:link w:val="Body-textChar"/>
    <w:qFormat/>
    <w:rsid w:val="00561B84"/>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561B84"/>
    <w:rPr>
      <w:rFonts w:ascii="Arial Narrow" w:eastAsia="华文楷体" w:hAnsi="Arial Narrow" w:cs="Times New Roman"/>
      <w:kern w:val="0"/>
      <w:sz w:val="20"/>
      <w:szCs w:val="20"/>
      <w:lang w:eastAsia="zh-TW"/>
    </w:rPr>
  </w:style>
  <w:style w:type="paragraph" w:styleId="a5">
    <w:name w:val="Balloon Text"/>
    <w:basedOn w:val="a"/>
    <w:link w:val="Char2"/>
    <w:uiPriority w:val="99"/>
    <w:semiHidden/>
    <w:unhideWhenUsed/>
    <w:rsid w:val="00561B84"/>
    <w:rPr>
      <w:sz w:val="18"/>
      <w:szCs w:val="18"/>
    </w:rPr>
  </w:style>
  <w:style w:type="character" w:customStyle="1" w:styleId="Char2">
    <w:name w:val="批注框文本 Char"/>
    <w:basedOn w:val="a0"/>
    <w:link w:val="a5"/>
    <w:uiPriority w:val="99"/>
    <w:semiHidden/>
    <w:rsid w:val="00561B84"/>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1B84"/>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sid w:val="00561B84"/>
    <w:rPr>
      <w:rFonts w:ascii="Times New Roman" w:eastAsia="宋体" w:hAnsi="Times New Roman" w:cs="Times New Roman"/>
      <w:sz w:val="18"/>
      <w:szCs w:val="18"/>
    </w:rPr>
  </w:style>
  <w:style w:type="paragraph" w:styleId="a3">
    <w:name w:val="header"/>
    <w:basedOn w:val="a"/>
    <w:link w:val="Char"/>
    <w:rsid w:val="00561B84"/>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1">
    <w:name w:val="页眉 Char1"/>
    <w:basedOn w:val="a0"/>
    <w:uiPriority w:val="99"/>
    <w:semiHidden/>
    <w:rsid w:val="00561B84"/>
    <w:rPr>
      <w:rFonts w:ascii="Calibri" w:eastAsia="宋体" w:hAnsi="Calibri" w:cs="Times New Roman"/>
      <w:sz w:val="18"/>
      <w:szCs w:val="18"/>
    </w:rPr>
  </w:style>
  <w:style w:type="character" w:customStyle="1" w:styleId="Char0">
    <w:name w:val="页脚 Char"/>
    <w:link w:val="a4"/>
    <w:uiPriority w:val="99"/>
    <w:rsid w:val="00561B84"/>
    <w:rPr>
      <w:rFonts w:ascii="Times New Roman" w:eastAsia="宋体" w:hAnsi="Times New Roman" w:cs="Times New Roman"/>
      <w:sz w:val="18"/>
      <w:szCs w:val="18"/>
    </w:rPr>
  </w:style>
  <w:style w:type="paragraph" w:styleId="a4">
    <w:name w:val="footer"/>
    <w:basedOn w:val="a"/>
    <w:link w:val="Char0"/>
    <w:uiPriority w:val="99"/>
    <w:rsid w:val="00561B84"/>
    <w:pPr>
      <w:tabs>
        <w:tab w:val="center" w:pos="4153"/>
        <w:tab w:val="right" w:pos="8306"/>
      </w:tabs>
      <w:snapToGrid w:val="0"/>
      <w:jc w:val="left"/>
    </w:pPr>
    <w:rPr>
      <w:rFonts w:ascii="Times New Roman" w:hAnsi="Times New Roman"/>
      <w:sz w:val="18"/>
      <w:szCs w:val="18"/>
    </w:rPr>
  </w:style>
  <w:style w:type="character" w:customStyle="1" w:styleId="Char10">
    <w:name w:val="页脚 Char1"/>
    <w:basedOn w:val="a0"/>
    <w:uiPriority w:val="99"/>
    <w:semiHidden/>
    <w:rsid w:val="00561B84"/>
    <w:rPr>
      <w:rFonts w:ascii="Calibri" w:eastAsia="宋体" w:hAnsi="Calibri" w:cs="Times New Roman"/>
      <w:sz w:val="18"/>
      <w:szCs w:val="18"/>
    </w:rPr>
  </w:style>
  <w:style w:type="paragraph" w:customStyle="1" w:styleId="ChartHeading">
    <w:name w:val="Chart Heading"/>
    <w:basedOn w:val="a"/>
    <w:link w:val="ChartHeadingChar"/>
    <w:rsid w:val="00561B84"/>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1B84"/>
    <w:rPr>
      <w:rFonts w:ascii="Arial Narrow" w:eastAsia="华文楷体" w:hAnsi="Arial Narrow" w:cs="Times New Roman"/>
      <w:b/>
      <w:kern w:val="0"/>
      <w:sz w:val="20"/>
      <w:szCs w:val="20"/>
    </w:rPr>
  </w:style>
  <w:style w:type="paragraph" w:customStyle="1" w:styleId="Source">
    <w:name w:val="Source"/>
    <w:basedOn w:val="a"/>
    <w:link w:val="Source1"/>
    <w:rsid w:val="00561B84"/>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1B84"/>
    <w:rPr>
      <w:rFonts w:ascii="Arial Narrow" w:eastAsia="华文楷体" w:hAnsi="Arial Narrow" w:cs="Times New Roman"/>
      <w:i/>
      <w:sz w:val="16"/>
      <w:szCs w:val="24"/>
    </w:rPr>
  </w:style>
  <w:style w:type="paragraph" w:customStyle="1" w:styleId="Header1">
    <w:name w:val="Header1"/>
    <w:basedOn w:val="a"/>
    <w:link w:val="Header1Char"/>
    <w:rsid w:val="00561B84"/>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561B84"/>
    <w:rPr>
      <w:rFonts w:ascii="Arial Bold" w:eastAsia="华文楷体" w:hAnsi="Arial Bold" w:cs="Times New Roman"/>
      <w:b/>
      <w:smallCaps/>
      <w:color w:val="A7001D"/>
      <w:kern w:val="0"/>
      <w:sz w:val="32"/>
      <w:szCs w:val="20"/>
    </w:rPr>
  </w:style>
  <w:style w:type="paragraph" w:customStyle="1" w:styleId="Header2">
    <w:name w:val="Header 2"/>
    <w:basedOn w:val="a"/>
    <w:link w:val="Header20"/>
    <w:rsid w:val="00561B84"/>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561B84"/>
    <w:rPr>
      <w:rFonts w:ascii="Arial" w:eastAsia="华文楷体" w:hAnsi="Arial" w:cs="Times New Roman"/>
      <w:b/>
      <w:bCs/>
      <w:kern w:val="0"/>
      <w:sz w:val="24"/>
      <w:szCs w:val="20"/>
      <w:u w:color="003300"/>
      <w:lang w:eastAsia="zh-TW"/>
    </w:rPr>
  </w:style>
  <w:style w:type="paragraph" w:customStyle="1" w:styleId="Body-text">
    <w:name w:val="Body-text"/>
    <w:basedOn w:val="a"/>
    <w:link w:val="Body-textChar"/>
    <w:qFormat/>
    <w:rsid w:val="00561B84"/>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561B84"/>
    <w:rPr>
      <w:rFonts w:ascii="Arial Narrow" w:eastAsia="华文楷体" w:hAnsi="Arial Narrow" w:cs="Times New Roman"/>
      <w:kern w:val="0"/>
      <w:sz w:val="20"/>
      <w:szCs w:val="20"/>
      <w:lang w:eastAsia="zh-TW"/>
    </w:rPr>
  </w:style>
  <w:style w:type="paragraph" w:styleId="a5">
    <w:name w:val="Balloon Text"/>
    <w:basedOn w:val="a"/>
    <w:link w:val="Char2"/>
    <w:uiPriority w:val="99"/>
    <w:semiHidden/>
    <w:unhideWhenUsed/>
    <w:rsid w:val="00561B84"/>
    <w:rPr>
      <w:sz w:val="18"/>
      <w:szCs w:val="18"/>
    </w:rPr>
  </w:style>
  <w:style w:type="character" w:customStyle="1" w:styleId="Char2">
    <w:name w:val="批注框文本 Char"/>
    <w:basedOn w:val="a0"/>
    <w:link w:val="a5"/>
    <w:uiPriority w:val="99"/>
    <w:semiHidden/>
    <w:rsid w:val="00561B84"/>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6.xm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5.xml"/><Relationship Id="rId17"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chart" Target="charts/chart9.xm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3.png"/><Relationship Id="rId5" Type="http://schemas.openxmlformats.org/officeDocument/2006/relationships/image" Target="media/image1.png"/><Relationship Id="rId15" Type="http://schemas.openxmlformats.org/officeDocument/2006/relationships/chart" Target="charts/chart8.xml"/><Relationship Id="rId10" Type="http://schemas.openxmlformats.org/officeDocument/2006/relationships/chart" Target="charts/chart4.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chart" Target="charts/chart7.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43994</c:v>
                </c:pt>
                <c:pt idx="1">
                  <c:v>44001</c:v>
                </c:pt>
                <c:pt idx="2">
                  <c:v>44008</c:v>
                </c:pt>
                <c:pt idx="3">
                  <c:v>44015</c:v>
                </c:pt>
                <c:pt idx="4">
                  <c:v>44022</c:v>
                </c:pt>
                <c:pt idx="5">
                  <c:v>44029</c:v>
                </c:pt>
                <c:pt idx="6">
                  <c:v>44036</c:v>
                </c:pt>
                <c:pt idx="7">
                  <c:v>44043</c:v>
                </c:pt>
                <c:pt idx="8">
                  <c:v>44050</c:v>
                </c:pt>
                <c:pt idx="9">
                  <c:v>44057</c:v>
                </c:pt>
                <c:pt idx="10">
                  <c:v>44064</c:v>
                </c:pt>
                <c:pt idx="11">
                  <c:v>44071</c:v>
                </c:pt>
                <c:pt idx="12">
                  <c:v>44078</c:v>
                </c:pt>
                <c:pt idx="13">
                  <c:v>44085</c:v>
                </c:pt>
                <c:pt idx="14">
                  <c:v>44092</c:v>
                </c:pt>
                <c:pt idx="15">
                  <c:v>44099</c:v>
                </c:pt>
                <c:pt idx="16">
                  <c:v>44106</c:v>
                </c:pt>
                <c:pt idx="17">
                  <c:v>44113</c:v>
                </c:pt>
                <c:pt idx="18">
                  <c:v>44120</c:v>
                </c:pt>
                <c:pt idx="19">
                  <c:v>44127</c:v>
                </c:pt>
                <c:pt idx="20">
                  <c:v>44134</c:v>
                </c:pt>
                <c:pt idx="21">
                  <c:v>44141</c:v>
                </c:pt>
                <c:pt idx="22">
                  <c:v>44148</c:v>
                </c:pt>
              </c:numCache>
            </c:numRef>
          </c:cat>
          <c:val>
            <c:numRef>
              <c:f>央行!$B$5:$B$27</c:f>
              <c:numCache>
                <c:formatCode>###,###,###,###,##0.00</c:formatCode>
                <c:ptCount val="23"/>
                <c:pt idx="0">
                  <c:v>4200</c:v>
                </c:pt>
                <c:pt idx="1">
                  <c:v>3000</c:v>
                </c:pt>
                <c:pt idx="2">
                  <c:v>5050</c:v>
                </c:pt>
                <c:pt idx="3">
                  <c:v>1025</c:v>
                </c:pt>
                <c:pt idx="4">
                  <c:v>0</c:v>
                </c:pt>
                <c:pt idx="5">
                  <c:v>3300</c:v>
                </c:pt>
                <c:pt idx="6">
                  <c:v>1650</c:v>
                </c:pt>
                <c:pt idx="7">
                  <c:v>2800</c:v>
                </c:pt>
                <c:pt idx="8">
                  <c:v>100</c:v>
                </c:pt>
                <c:pt idx="9">
                  <c:v>5000</c:v>
                </c:pt>
                <c:pt idx="10">
                  <c:v>6600</c:v>
                </c:pt>
                <c:pt idx="11">
                  <c:v>8150</c:v>
                </c:pt>
                <c:pt idx="12">
                  <c:v>2800</c:v>
                </c:pt>
                <c:pt idx="13">
                  <c:v>6200</c:v>
                </c:pt>
                <c:pt idx="14">
                  <c:v>4800</c:v>
                </c:pt>
                <c:pt idx="15">
                  <c:v>9000</c:v>
                </c:pt>
                <c:pt idx="16">
                  <c:v>2150</c:v>
                </c:pt>
                <c:pt idx="17">
                  <c:v>0</c:v>
                </c:pt>
                <c:pt idx="18">
                  <c:v>1000</c:v>
                </c:pt>
                <c:pt idx="19">
                  <c:v>3200</c:v>
                </c:pt>
                <c:pt idx="20">
                  <c:v>5150</c:v>
                </c:pt>
                <c:pt idx="21">
                  <c:v>3200</c:v>
                </c:pt>
                <c:pt idx="22">
                  <c:v>5500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43994</c:v>
                </c:pt>
                <c:pt idx="1">
                  <c:v>44001</c:v>
                </c:pt>
                <c:pt idx="2">
                  <c:v>44008</c:v>
                </c:pt>
                <c:pt idx="3">
                  <c:v>44015</c:v>
                </c:pt>
                <c:pt idx="4">
                  <c:v>44022</c:v>
                </c:pt>
                <c:pt idx="5">
                  <c:v>44029</c:v>
                </c:pt>
                <c:pt idx="6">
                  <c:v>44036</c:v>
                </c:pt>
                <c:pt idx="7">
                  <c:v>44043</c:v>
                </c:pt>
                <c:pt idx="8">
                  <c:v>44050</c:v>
                </c:pt>
                <c:pt idx="9">
                  <c:v>44057</c:v>
                </c:pt>
                <c:pt idx="10">
                  <c:v>44064</c:v>
                </c:pt>
                <c:pt idx="11">
                  <c:v>44071</c:v>
                </c:pt>
                <c:pt idx="12">
                  <c:v>44078</c:v>
                </c:pt>
                <c:pt idx="13">
                  <c:v>44085</c:v>
                </c:pt>
                <c:pt idx="14">
                  <c:v>44092</c:v>
                </c:pt>
                <c:pt idx="15">
                  <c:v>44099</c:v>
                </c:pt>
                <c:pt idx="16">
                  <c:v>44106</c:v>
                </c:pt>
                <c:pt idx="17">
                  <c:v>44113</c:v>
                </c:pt>
                <c:pt idx="18">
                  <c:v>44120</c:v>
                </c:pt>
                <c:pt idx="19">
                  <c:v>44127</c:v>
                </c:pt>
                <c:pt idx="20">
                  <c:v>44134</c:v>
                </c:pt>
                <c:pt idx="21">
                  <c:v>44141</c:v>
                </c:pt>
                <c:pt idx="22">
                  <c:v>44148</c:v>
                </c:pt>
              </c:numCache>
            </c:numRef>
          </c:cat>
          <c:val>
            <c:numRef>
              <c:f>央行!$C$5:$C$27</c:f>
              <c:numCache>
                <c:formatCode>###,###,###,###,##0.00</c:formatCode>
                <c:ptCount val="23"/>
                <c:pt idx="0">
                  <c:v>-2200</c:v>
                </c:pt>
                <c:pt idx="1">
                  <c:v>-4200</c:v>
                </c:pt>
                <c:pt idx="2">
                  <c:v>-1200</c:v>
                </c:pt>
                <c:pt idx="3">
                  <c:v>-4950</c:v>
                </c:pt>
                <c:pt idx="4">
                  <c:v>-2900</c:v>
                </c:pt>
                <c:pt idx="5">
                  <c:v>0</c:v>
                </c:pt>
                <c:pt idx="6">
                  <c:v>-3300</c:v>
                </c:pt>
                <c:pt idx="7">
                  <c:v>-1650</c:v>
                </c:pt>
                <c:pt idx="8">
                  <c:v>-2800</c:v>
                </c:pt>
                <c:pt idx="9">
                  <c:v>-100</c:v>
                </c:pt>
                <c:pt idx="10">
                  <c:v>-5000</c:v>
                </c:pt>
                <c:pt idx="11">
                  <c:v>-6150</c:v>
                </c:pt>
                <c:pt idx="12">
                  <c:v>-7500</c:v>
                </c:pt>
                <c:pt idx="13">
                  <c:v>-3900</c:v>
                </c:pt>
                <c:pt idx="14">
                  <c:v>-6200</c:v>
                </c:pt>
                <c:pt idx="15">
                  <c:v>-4200</c:v>
                </c:pt>
                <c:pt idx="16">
                  <c:v>-4650</c:v>
                </c:pt>
                <c:pt idx="17">
                  <c:v>-5000</c:v>
                </c:pt>
                <c:pt idx="18">
                  <c:v>-2100</c:v>
                </c:pt>
                <c:pt idx="19">
                  <c:v>-1000</c:v>
                </c:pt>
                <c:pt idx="20">
                  <c:v>-3250</c:v>
                </c:pt>
                <c:pt idx="21">
                  <c:v>-5100</c:v>
                </c:pt>
                <c:pt idx="22">
                  <c:v>-3200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340054400"/>
        <c:axId val="34005632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43994</c:v>
                </c:pt>
                <c:pt idx="1">
                  <c:v>44001</c:v>
                </c:pt>
                <c:pt idx="2">
                  <c:v>44008</c:v>
                </c:pt>
                <c:pt idx="3">
                  <c:v>44015</c:v>
                </c:pt>
                <c:pt idx="4">
                  <c:v>44022</c:v>
                </c:pt>
                <c:pt idx="5">
                  <c:v>44029</c:v>
                </c:pt>
                <c:pt idx="6">
                  <c:v>44036</c:v>
                </c:pt>
                <c:pt idx="7">
                  <c:v>44043</c:v>
                </c:pt>
                <c:pt idx="8">
                  <c:v>44050</c:v>
                </c:pt>
                <c:pt idx="9">
                  <c:v>44057</c:v>
                </c:pt>
                <c:pt idx="10">
                  <c:v>44064</c:v>
                </c:pt>
                <c:pt idx="11">
                  <c:v>44071</c:v>
                </c:pt>
                <c:pt idx="12">
                  <c:v>44078</c:v>
                </c:pt>
                <c:pt idx="13">
                  <c:v>44085</c:v>
                </c:pt>
                <c:pt idx="14">
                  <c:v>44092</c:v>
                </c:pt>
                <c:pt idx="15">
                  <c:v>44099</c:v>
                </c:pt>
                <c:pt idx="16">
                  <c:v>44106</c:v>
                </c:pt>
                <c:pt idx="17">
                  <c:v>44113</c:v>
                </c:pt>
                <c:pt idx="18">
                  <c:v>44120</c:v>
                </c:pt>
                <c:pt idx="19">
                  <c:v>44127</c:v>
                </c:pt>
                <c:pt idx="20">
                  <c:v>44134</c:v>
                </c:pt>
                <c:pt idx="21">
                  <c:v>44141</c:v>
                </c:pt>
                <c:pt idx="22">
                  <c:v>44148</c:v>
                </c:pt>
              </c:numCache>
            </c:numRef>
          </c:cat>
          <c:val>
            <c:numRef>
              <c:f>央行!$D$5:$D$27</c:f>
              <c:numCache>
                <c:formatCode>###,###,###,###,##0.00</c:formatCode>
                <c:ptCount val="23"/>
                <c:pt idx="0">
                  <c:v>2000</c:v>
                </c:pt>
                <c:pt idx="1">
                  <c:v>-1200</c:v>
                </c:pt>
                <c:pt idx="2">
                  <c:v>3850</c:v>
                </c:pt>
                <c:pt idx="3">
                  <c:v>-3925</c:v>
                </c:pt>
                <c:pt idx="4">
                  <c:v>-2900</c:v>
                </c:pt>
                <c:pt idx="5">
                  <c:v>3300</c:v>
                </c:pt>
                <c:pt idx="6">
                  <c:v>-1650</c:v>
                </c:pt>
                <c:pt idx="7">
                  <c:v>1150</c:v>
                </c:pt>
                <c:pt idx="8">
                  <c:v>-2700</c:v>
                </c:pt>
                <c:pt idx="9">
                  <c:v>4900</c:v>
                </c:pt>
                <c:pt idx="10">
                  <c:v>1600</c:v>
                </c:pt>
                <c:pt idx="11">
                  <c:v>2000</c:v>
                </c:pt>
                <c:pt idx="12">
                  <c:v>-4700</c:v>
                </c:pt>
                <c:pt idx="13">
                  <c:v>2300</c:v>
                </c:pt>
                <c:pt idx="14">
                  <c:v>-1400</c:v>
                </c:pt>
                <c:pt idx="15">
                  <c:v>4800</c:v>
                </c:pt>
                <c:pt idx="16">
                  <c:v>-2500</c:v>
                </c:pt>
                <c:pt idx="17">
                  <c:v>-5000</c:v>
                </c:pt>
                <c:pt idx="18">
                  <c:v>-1100</c:v>
                </c:pt>
                <c:pt idx="19">
                  <c:v>2200</c:v>
                </c:pt>
                <c:pt idx="20">
                  <c:v>1900</c:v>
                </c:pt>
                <c:pt idx="21">
                  <c:v>-1900</c:v>
                </c:pt>
                <c:pt idx="22">
                  <c:v>2300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340054400"/>
        <c:axId val="340056320"/>
      </c:lineChart>
      <c:catAx>
        <c:axId val="34005440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40056320"/>
        <c:crosses val="autoZero"/>
        <c:auto val="0"/>
        <c:lblAlgn val="ctr"/>
        <c:lblOffset val="0"/>
        <c:tickMarkSkip val="2"/>
        <c:noMultiLvlLbl val="0"/>
      </c:catAx>
      <c:valAx>
        <c:axId val="34005632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40054400"/>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9333093210870873"/>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44148</c:v>
                </c:pt>
                <c:pt idx="1">
                  <c:v>44147</c:v>
                </c:pt>
                <c:pt idx="2">
                  <c:v>44146</c:v>
                </c:pt>
                <c:pt idx="3">
                  <c:v>44145</c:v>
                </c:pt>
                <c:pt idx="4">
                  <c:v>44144</c:v>
                </c:pt>
                <c:pt idx="5">
                  <c:v>44141</c:v>
                </c:pt>
                <c:pt idx="6">
                  <c:v>44140</c:v>
                </c:pt>
                <c:pt idx="7">
                  <c:v>44139</c:v>
                </c:pt>
                <c:pt idx="8">
                  <c:v>44138</c:v>
                </c:pt>
                <c:pt idx="9">
                  <c:v>44137</c:v>
                </c:pt>
                <c:pt idx="10">
                  <c:v>44134</c:v>
                </c:pt>
                <c:pt idx="11">
                  <c:v>44133</c:v>
                </c:pt>
                <c:pt idx="12">
                  <c:v>44132</c:v>
                </c:pt>
                <c:pt idx="13">
                  <c:v>44131</c:v>
                </c:pt>
                <c:pt idx="14">
                  <c:v>44130</c:v>
                </c:pt>
                <c:pt idx="15">
                  <c:v>44127</c:v>
                </c:pt>
                <c:pt idx="16">
                  <c:v>44126</c:v>
                </c:pt>
                <c:pt idx="17">
                  <c:v>44125</c:v>
                </c:pt>
                <c:pt idx="18">
                  <c:v>44124</c:v>
                </c:pt>
                <c:pt idx="19">
                  <c:v>44123</c:v>
                </c:pt>
                <c:pt idx="20">
                  <c:v>44120</c:v>
                </c:pt>
                <c:pt idx="21">
                  <c:v>44119</c:v>
                </c:pt>
                <c:pt idx="22">
                  <c:v>44118</c:v>
                </c:pt>
                <c:pt idx="23">
                  <c:v>44117</c:v>
                </c:pt>
                <c:pt idx="24">
                  <c:v>44116</c:v>
                </c:pt>
                <c:pt idx="25">
                  <c:v>44114</c:v>
                </c:pt>
                <c:pt idx="26">
                  <c:v>44113</c:v>
                </c:pt>
                <c:pt idx="27">
                  <c:v>44104</c:v>
                </c:pt>
                <c:pt idx="28">
                  <c:v>44103</c:v>
                </c:pt>
                <c:pt idx="29">
                  <c:v>44102</c:v>
                </c:pt>
                <c:pt idx="30">
                  <c:v>44101</c:v>
                </c:pt>
                <c:pt idx="31">
                  <c:v>44099</c:v>
                </c:pt>
                <c:pt idx="32">
                  <c:v>44098</c:v>
                </c:pt>
                <c:pt idx="33">
                  <c:v>44097</c:v>
                </c:pt>
                <c:pt idx="34">
                  <c:v>44096</c:v>
                </c:pt>
                <c:pt idx="35">
                  <c:v>44095</c:v>
                </c:pt>
                <c:pt idx="36">
                  <c:v>44092</c:v>
                </c:pt>
                <c:pt idx="37">
                  <c:v>44091</c:v>
                </c:pt>
                <c:pt idx="38">
                  <c:v>44090</c:v>
                </c:pt>
                <c:pt idx="39">
                  <c:v>44089</c:v>
                </c:pt>
                <c:pt idx="40">
                  <c:v>44088</c:v>
                </c:pt>
                <c:pt idx="41">
                  <c:v>44085</c:v>
                </c:pt>
                <c:pt idx="42">
                  <c:v>44084</c:v>
                </c:pt>
                <c:pt idx="43">
                  <c:v>44083</c:v>
                </c:pt>
                <c:pt idx="44">
                  <c:v>44082</c:v>
                </c:pt>
                <c:pt idx="45">
                  <c:v>44081</c:v>
                </c:pt>
                <c:pt idx="46">
                  <c:v>44078</c:v>
                </c:pt>
                <c:pt idx="47">
                  <c:v>44077</c:v>
                </c:pt>
                <c:pt idx="48">
                  <c:v>44076</c:v>
                </c:pt>
                <c:pt idx="49">
                  <c:v>44075</c:v>
                </c:pt>
                <c:pt idx="50">
                  <c:v>44074</c:v>
                </c:pt>
                <c:pt idx="51">
                  <c:v>44071</c:v>
                </c:pt>
                <c:pt idx="52">
                  <c:v>44070</c:v>
                </c:pt>
                <c:pt idx="53">
                  <c:v>44069</c:v>
                </c:pt>
                <c:pt idx="54">
                  <c:v>44068</c:v>
                </c:pt>
                <c:pt idx="55">
                  <c:v>44067</c:v>
                </c:pt>
                <c:pt idx="56">
                  <c:v>44064</c:v>
                </c:pt>
                <c:pt idx="57">
                  <c:v>44063</c:v>
                </c:pt>
                <c:pt idx="58">
                  <c:v>44062</c:v>
                </c:pt>
              </c:numCache>
            </c:numRef>
          </c:cat>
          <c:val>
            <c:numRef>
              <c:f>资金!$B$3:$B$61</c:f>
              <c:numCache>
                <c:formatCode>###,###,###,###,##0.0000</c:formatCode>
                <c:ptCount val="59"/>
                <c:pt idx="0">
                  <c:v>2.7808999999999999</c:v>
                </c:pt>
                <c:pt idx="1">
                  <c:v>2.8058000000000001</c:v>
                </c:pt>
                <c:pt idx="2">
                  <c:v>2.4857</c:v>
                </c:pt>
                <c:pt idx="3">
                  <c:v>2.4521999999999999</c:v>
                </c:pt>
                <c:pt idx="4">
                  <c:v>2.2858000000000001</c:v>
                </c:pt>
                <c:pt idx="5">
                  <c:v>1.8764000000000001</c:v>
                </c:pt>
                <c:pt idx="6">
                  <c:v>1.4429000000000001</c:v>
                </c:pt>
                <c:pt idx="7">
                  <c:v>1.4752000000000001</c:v>
                </c:pt>
                <c:pt idx="8">
                  <c:v>1.8856999999999999</c:v>
                </c:pt>
                <c:pt idx="9">
                  <c:v>2.4079999999999999</c:v>
                </c:pt>
                <c:pt idx="10">
                  <c:v>2.9178999999999999</c:v>
                </c:pt>
                <c:pt idx="11">
                  <c:v>2.2277999999999998</c:v>
                </c:pt>
                <c:pt idx="12">
                  <c:v>2.6492</c:v>
                </c:pt>
                <c:pt idx="13">
                  <c:v>2.6776</c:v>
                </c:pt>
                <c:pt idx="14">
                  <c:v>2.3357999999999999</c:v>
                </c:pt>
                <c:pt idx="15">
                  <c:v>2.2181999999999999</c:v>
                </c:pt>
                <c:pt idx="16">
                  <c:v>1.9681</c:v>
                </c:pt>
                <c:pt idx="17">
                  <c:v>2.0144000000000002</c:v>
                </c:pt>
                <c:pt idx="18">
                  <c:v>2.2193000000000001</c:v>
                </c:pt>
                <c:pt idx="19">
                  <c:v>2.2770000000000001</c:v>
                </c:pt>
                <c:pt idx="20">
                  <c:v>2.0550000000000002</c:v>
                </c:pt>
                <c:pt idx="21">
                  <c:v>2.1076000000000001</c:v>
                </c:pt>
                <c:pt idx="22">
                  <c:v>2.04</c:v>
                </c:pt>
                <c:pt idx="23">
                  <c:v>1.7559</c:v>
                </c:pt>
                <c:pt idx="24">
                  <c:v>1.5719000000000001</c:v>
                </c:pt>
                <c:pt idx="25">
                  <c:v>1.5667</c:v>
                </c:pt>
                <c:pt idx="26">
                  <c:v>2.0432999999999999</c:v>
                </c:pt>
                <c:pt idx="27">
                  <c:v>2.5255999999999998</c:v>
                </c:pt>
                <c:pt idx="28">
                  <c:v>1.0124</c:v>
                </c:pt>
                <c:pt idx="29">
                  <c:v>0.68540000000000001</c:v>
                </c:pt>
                <c:pt idx="30">
                  <c:v>0.67789999999999995</c:v>
                </c:pt>
                <c:pt idx="31">
                  <c:v>1.0967</c:v>
                </c:pt>
                <c:pt idx="32">
                  <c:v>1.4666999999999999</c:v>
                </c:pt>
                <c:pt idx="33">
                  <c:v>1.9109</c:v>
                </c:pt>
                <c:pt idx="34">
                  <c:v>2.4359999999999999</c:v>
                </c:pt>
                <c:pt idx="35">
                  <c:v>2.4319999999999999</c:v>
                </c:pt>
                <c:pt idx="36">
                  <c:v>2.2553000000000001</c:v>
                </c:pt>
                <c:pt idx="37">
                  <c:v>1.8871</c:v>
                </c:pt>
                <c:pt idx="38">
                  <c:v>1.4536</c:v>
                </c:pt>
                <c:pt idx="39">
                  <c:v>1.7635000000000001</c:v>
                </c:pt>
                <c:pt idx="40">
                  <c:v>1.6466000000000001</c:v>
                </c:pt>
                <c:pt idx="41">
                  <c:v>1.5072000000000001</c:v>
                </c:pt>
                <c:pt idx="42">
                  <c:v>1.3864000000000001</c:v>
                </c:pt>
                <c:pt idx="43">
                  <c:v>1.6471</c:v>
                </c:pt>
                <c:pt idx="44">
                  <c:v>2.0707</c:v>
                </c:pt>
                <c:pt idx="45">
                  <c:v>2.1291000000000002</c:v>
                </c:pt>
                <c:pt idx="46">
                  <c:v>2.0886</c:v>
                </c:pt>
                <c:pt idx="47">
                  <c:v>1.7948999999999999</c:v>
                </c:pt>
                <c:pt idx="48">
                  <c:v>2.1187</c:v>
                </c:pt>
                <c:pt idx="49">
                  <c:v>2.1785999999999999</c:v>
                </c:pt>
                <c:pt idx="50">
                  <c:v>1.9719</c:v>
                </c:pt>
                <c:pt idx="51">
                  <c:v>1.3997999999999999</c:v>
                </c:pt>
                <c:pt idx="52">
                  <c:v>1.5077</c:v>
                </c:pt>
                <c:pt idx="53">
                  <c:v>1.6649</c:v>
                </c:pt>
                <c:pt idx="54">
                  <c:v>1.9847999999999999</c:v>
                </c:pt>
                <c:pt idx="55">
                  <c:v>2.4039999999999999</c:v>
                </c:pt>
                <c:pt idx="56">
                  <c:v>2.3462000000000001</c:v>
                </c:pt>
                <c:pt idx="57">
                  <c:v>2.2711000000000001</c:v>
                </c:pt>
                <c:pt idx="58">
                  <c:v>2.2111999999999998</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44148</c:v>
                </c:pt>
                <c:pt idx="1">
                  <c:v>44147</c:v>
                </c:pt>
                <c:pt idx="2">
                  <c:v>44146</c:v>
                </c:pt>
                <c:pt idx="3">
                  <c:v>44145</c:v>
                </c:pt>
                <c:pt idx="4">
                  <c:v>44144</c:v>
                </c:pt>
                <c:pt idx="5">
                  <c:v>44141</c:v>
                </c:pt>
                <c:pt idx="6">
                  <c:v>44140</c:v>
                </c:pt>
                <c:pt idx="7">
                  <c:v>44139</c:v>
                </c:pt>
                <c:pt idx="8">
                  <c:v>44138</c:v>
                </c:pt>
                <c:pt idx="9">
                  <c:v>44137</c:v>
                </c:pt>
                <c:pt idx="10">
                  <c:v>44134</c:v>
                </c:pt>
                <c:pt idx="11">
                  <c:v>44133</c:v>
                </c:pt>
                <c:pt idx="12">
                  <c:v>44132</c:v>
                </c:pt>
                <c:pt idx="13">
                  <c:v>44131</c:v>
                </c:pt>
                <c:pt idx="14">
                  <c:v>44130</c:v>
                </c:pt>
                <c:pt idx="15">
                  <c:v>44127</c:v>
                </c:pt>
                <c:pt idx="16">
                  <c:v>44126</c:v>
                </c:pt>
                <c:pt idx="17">
                  <c:v>44125</c:v>
                </c:pt>
                <c:pt idx="18">
                  <c:v>44124</c:v>
                </c:pt>
                <c:pt idx="19">
                  <c:v>44123</c:v>
                </c:pt>
                <c:pt idx="20">
                  <c:v>44120</c:v>
                </c:pt>
                <c:pt idx="21">
                  <c:v>44119</c:v>
                </c:pt>
                <c:pt idx="22">
                  <c:v>44118</c:v>
                </c:pt>
                <c:pt idx="23">
                  <c:v>44117</c:v>
                </c:pt>
                <c:pt idx="24">
                  <c:v>44116</c:v>
                </c:pt>
                <c:pt idx="25">
                  <c:v>44114</c:v>
                </c:pt>
                <c:pt idx="26">
                  <c:v>44113</c:v>
                </c:pt>
                <c:pt idx="27">
                  <c:v>44104</c:v>
                </c:pt>
                <c:pt idx="28">
                  <c:v>44103</c:v>
                </c:pt>
                <c:pt idx="29">
                  <c:v>44102</c:v>
                </c:pt>
                <c:pt idx="30">
                  <c:v>44101</c:v>
                </c:pt>
                <c:pt idx="31">
                  <c:v>44099</c:v>
                </c:pt>
                <c:pt idx="32">
                  <c:v>44098</c:v>
                </c:pt>
                <c:pt idx="33">
                  <c:v>44097</c:v>
                </c:pt>
                <c:pt idx="34">
                  <c:v>44096</c:v>
                </c:pt>
                <c:pt idx="35">
                  <c:v>44095</c:v>
                </c:pt>
                <c:pt idx="36">
                  <c:v>44092</c:v>
                </c:pt>
                <c:pt idx="37">
                  <c:v>44091</c:v>
                </c:pt>
                <c:pt idx="38">
                  <c:v>44090</c:v>
                </c:pt>
                <c:pt idx="39">
                  <c:v>44089</c:v>
                </c:pt>
                <c:pt idx="40">
                  <c:v>44088</c:v>
                </c:pt>
                <c:pt idx="41">
                  <c:v>44085</c:v>
                </c:pt>
                <c:pt idx="42">
                  <c:v>44084</c:v>
                </c:pt>
                <c:pt idx="43">
                  <c:v>44083</c:v>
                </c:pt>
                <c:pt idx="44">
                  <c:v>44082</c:v>
                </c:pt>
                <c:pt idx="45">
                  <c:v>44081</c:v>
                </c:pt>
                <c:pt idx="46">
                  <c:v>44078</c:v>
                </c:pt>
                <c:pt idx="47">
                  <c:v>44077</c:v>
                </c:pt>
                <c:pt idx="48">
                  <c:v>44076</c:v>
                </c:pt>
                <c:pt idx="49">
                  <c:v>44075</c:v>
                </c:pt>
                <c:pt idx="50">
                  <c:v>44074</c:v>
                </c:pt>
                <c:pt idx="51">
                  <c:v>44071</c:v>
                </c:pt>
                <c:pt idx="52">
                  <c:v>44070</c:v>
                </c:pt>
                <c:pt idx="53">
                  <c:v>44069</c:v>
                </c:pt>
                <c:pt idx="54">
                  <c:v>44068</c:v>
                </c:pt>
                <c:pt idx="55">
                  <c:v>44067</c:v>
                </c:pt>
                <c:pt idx="56">
                  <c:v>44064</c:v>
                </c:pt>
                <c:pt idx="57">
                  <c:v>44063</c:v>
                </c:pt>
                <c:pt idx="58">
                  <c:v>44062</c:v>
                </c:pt>
              </c:numCache>
            </c:numRef>
          </c:cat>
          <c:val>
            <c:numRef>
              <c:f>资金!$C$3:$C$61</c:f>
              <c:numCache>
                <c:formatCode>###,###,###,###,##0.0000</c:formatCode>
                <c:ptCount val="59"/>
                <c:pt idx="0">
                  <c:v>3.3582000000000001</c:v>
                </c:pt>
                <c:pt idx="1">
                  <c:v>3.1901000000000002</c:v>
                </c:pt>
                <c:pt idx="2">
                  <c:v>2.7547000000000001</c:v>
                </c:pt>
                <c:pt idx="3">
                  <c:v>2.6374</c:v>
                </c:pt>
                <c:pt idx="4">
                  <c:v>2.5253000000000001</c:v>
                </c:pt>
                <c:pt idx="5">
                  <c:v>2.4022000000000001</c:v>
                </c:pt>
                <c:pt idx="6">
                  <c:v>2.1776</c:v>
                </c:pt>
                <c:pt idx="7">
                  <c:v>2.2040000000000002</c:v>
                </c:pt>
                <c:pt idx="8">
                  <c:v>2.3984000000000001</c:v>
                </c:pt>
                <c:pt idx="9">
                  <c:v>2.7995999999999999</c:v>
                </c:pt>
                <c:pt idx="10">
                  <c:v>3.3693</c:v>
                </c:pt>
                <c:pt idx="11">
                  <c:v>3.1760000000000002</c:v>
                </c:pt>
                <c:pt idx="12">
                  <c:v>3.2090000000000001</c:v>
                </c:pt>
                <c:pt idx="13">
                  <c:v>3.2181000000000002</c:v>
                </c:pt>
                <c:pt idx="14">
                  <c:v>2.9083999999999999</c:v>
                </c:pt>
                <c:pt idx="15">
                  <c:v>2.3586999999999998</c:v>
                </c:pt>
                <c:pt idx="16">
                  <c:v>2.3241999999999998</c:v>
                </c:pt>
                <c:pt idx="17">
                  <c:v>2.4226999999999999</c:v>
                </c:pt>
                <c:pt idx="18">
                  <c:v>2.5091999999999999</c:v>
                </c:pt>
                <c:pt idx="19">
                  <c:v>2.4037999999999999</c:v>
                </c:pt>
                <c:pt idx="20">
                  <c:v>2.3121</c:v>
                </c:pt>
                <c:pt idx="21">
                  <c:v>2.3601999999999999</c:v>
                </c:pt>
                <c:pt idx="22">
                  <c:v>2.3079000000000001</c:v>
                </c:pt>
                <c:pt idx="23">
                  <c:v>2.2389000000000001</c:v>
                </c:pt>
                <c:pt idx="24">
                  <c:v>2.2442000000000002</c:v>
                </c:pt>
                <c:pt idx="25">
                  <c:v>2.0114999999999998</c:v>
                </c:pt>
                <c:pt idx="26">
                  <c:v>2.2972999999999999</c:v>
                </c:pt>
                <c:pt idx="27">
                  <c:v>2.5514000000000001</c:v>
                </c:pt>
                <c:pt idx="28">
                  <c:v>3.0106999999999999</c:v>
                </c:pt>
                <c:pt idx="29">
                  <c:v>2.7132000000000001</c:v>
                </c:pt>
                <c:pt idx="30">
                  <c:v>1.89</c:v>
                </c:pt>
                <c:pt idx="31">
                  <c:v>1.968</c:v>
                </c:pt>
                <c:pt idx="32">
                  <c:v>2.1869000000000001</c:v>
                </c:pt>
                <c:pt idx="33">
                  <c:v>2.3142</c:v>
                </c:pt>
                <c:pt idx="34">
                  <c:v>2.9742999999999999</c:v>
                </c:pt>
                <c:pt idx="35">
                  <c:v>2.8206000000000002</c:v>
                </c:pt>
                <c:pt idx="36">
                  <c:v>2.6425999999999998</c:v>
                </c:pt>
                <c:pt idx="37">
                  <c:v>2.3935</c:v>
                </c:pt>
                <c:pt idx="38">
                  <c:v>2.2740999999999998</c:v>
                </c:pt>
                <c:pt idx="39">
                  <c:v>2.2704</c:v>
                </c:pt>
                <c:pt idx="40">
                  <c:v>2.2275999999999998</c:v>
                </c:pt>
                <c:pt idx="41">
                  <c:v>2.1873999999999998</c:v>
                </c:pt>
                <c:pt idx="42">
                  <c:v>2.2033</c:v>
                </c:pt>
                <c:pt idx="43">
                  <c:v>2.2875999999999999</c:v>
                </c:pt>
                <c:pt idx="44">
                  <c:v>2.3258999999999999</c:v>
                </c:pt>
                <c:pt idx="45">
                  <c:v>2.3267000000000002</c:v>
                </c:pt>
                <c:pt idx="46">
                  <c:v>2.3408000000000002</c:v>
                </c:pt>
                <c:pt idx="47">
                  <c:v>2.3216000000000001</c:v>
                </c:pt>
                <c:pt idx="48">
                  <c:v>2.3963000000000001</c:v>
                </c:pt>
                <c:pt idx="49">
                  <c:v>2.4113000000000002</c:v>
                </c:pt>
                <c:pt idx="50">
                  <c:v>2.5141</c:v>
                </c:pt>
                <c:pt idx="51">
                  <c:v>2.4836999999999998</c:v>
                </c:pt>
                <c:pt idx="52">
                  <c:v>2.4744999999999999</c:v>
                </c:pt>
                <c:pt idx="53">
                  <c:v>2.4973999999999998</c:v>
                </c:pt>
                <c:pt idx="54">
                  <c:v>2.5918000000000001</c:v>
                </c:pt>
                <c:pt idx="55">
                  <c:v>2.5108000000000001</c:v>
                </c:pt>
                <c:pt idx="56">
                  <c:v>2.5731999999999999</c:v>
                </c:pt>
                <c:pt idx="57">
                  <c:v>2.4491000000000001</c:v>
                </c:pt>
                <c:pt idx="58">
                  <c:v>2.3744999999999998</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354211328"/>
        <c:axId val="354212864"/>
      </c:lineChart>
      <c:dateAx>
        <c:axId val="35421132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4212864"/>
        <c:crosses val="autoZero"/>
        <c:auto val="0"/>
        <c:lblOffset val="0"/>
        <c:baseTimeUnit val="days"/>
        <c:majorUnit val="14"/>
        <c:majorTimeUnit val="days"/>
        <c:minorUnit val="7"/>
        <c:minorTimeUnit val="days"/>
      </c:dateAx>
      <c:valAx>
        <c:axId val="35421286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4211328"/>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25.629999999999995</c:v>
                </c:pt>
                <c:pt idx="1">
                  <c:v>14.13000000000002</c:v>
                </c:pt>
                <c:pt idx="2">
                  <c:v>6.3200000000000145</c:v>
                </c:pt>
                <c:pt idx="3">
                  <c:v>3.5099999999999909</c:v>
                </c:pt>
                <c:pt idx="4">
                  <c:v>6.4299999999999802</c:v>
                </c:pt>
                <c:pt idx="5">
                  <c:v>5.3100000000000147</c:v>
                </c:pt>
                <c:pt idx="6">
                  <c:v>6.5199999999999925</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354581120"/>
        <c:axId val="354595584"/>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B-F10F-4D2D-834C-E6E69D663A7D}"/>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A-F10F-4D2D-834C-E6E69D663A7D}"/>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9-F10F-4D2D-834C-E6E69D663A7D}"/>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8-F10F-4D2D-834C-E6E69D663A7D}"/>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7-F10F-4D2D-834C-E6E69D663A7D}"/>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F10F-4D2D-834C-E6E69D663A7D}"/>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2.0125999999999999</c:v>
                </c:pt>
                <c:pt idx="1">
                  <c:v>2.7926000000000002</c:v>
                </c:pt>
                <c:pt idx="2">
                  <c:v>2.8464</c:v>
                </c:pt>
                <c:pt idx="3">
                  <c:v>3.0053000000000001</c:v>
                </c:pt>
                <c:pt idx="4">
                  <c:v>3.0983999999999998</c:v>
                </c:pt>
                <c:pt idx="5">
                  <c:v>3.2885</c:v>
                </c:pt>
                <c:pt idx="6">
                  <c:v>3.2715000000000001</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1.7563</c:v>
                </c:pt>
                <c:pt idx="1">
                  <c:v>2.6513</c:v>
                </c:pt>
                <c:pt idx="2">
                  <c:v>2.7831999999999999</c:v>
                </c:pt>
                <c:pt idx="3">
                  <c:v>2.9702000000000002</c:v>
                </c:pt>
                <c:pt idx="4">
                  <c:v>3.0341</c:v>
                </c:pt>
                <c:pt idx="5">
                  <c:v>3.2353999999999998</c:v>
                </c:pt>
                <c:pt idx="6">
                  <c:v>3.2063000000000001</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54598912"/>
        <c:axId val="354597120"/>
      </c:lineChart>
      <c:dateAx>
        <c:axId val="35458112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4595584"/>
        <c:crosses val="autoZero"/>
        <c:auto val="0"/>
        <c:lblOffset val="0"/>
        <c:baseTimeUnit val="days"/>
      </c:dateAx>
      <c:valAx>
        <c:axId val="35459558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4581120"/>
        <c:crosses val="autoZero"/>
        <c:crossBetween val="between"/>
      </c:valAx>
      <c:valAx>
        <c:axId val="354597120"/>
        <c:scaling>
          <c:orientation val="minMax"/>
        </c:scaling>
        <c:delete val="0"/>
        <c:axPos val="r"/>
        <c:numFmt formatCode="#,##0.0_);[Red]\(#,##0.0\)" sourceLinked="0"/>
        <c:majorTickMark val="out"/>
        <c:minorTickMark val="none"/>
        <c:tickLblPos val="nextTo"/>
        <c:spPr>
          <a:ln w="3175">
            <a:solidFill>
              <a:sysClr val="windowText" lastClr="000000"/>
            </a:solidFill>
          </a:ln>
        </c:spPr>
        <c:crossAx val="354598912"/>
        <c:crosses val="max"/>
        <c:crossBetween val="between"/>
      </c:valAx>
      <c:dateAx>
        <c:axId val="354598912"/>
        <c:scaling>
          <c:orientation val="minMax"/>
        </c:scaling>
        <c:delete val="1"/>
        <c:axPos val="b"/>
        <c:numFmt formatCode="General" sourceLinked="1"/>
        <c:majorTickMark val="out"/>
        <c:minorTickMark val="none"/>
        <c:tickLblPos val="nextTo"/>
        <c:crossAx val="354597120"/>
        <c:crosses val="autoZero"/>
        <c:auto val="0"/>
        <c:lblOffset val="100"/>
        <c:baseTimeUnit val="years"/>
      </c:dateAx>
    </c:plotArea>
    <c:legend>
      <c:legendPos val="r"/>
      <c:layout>
        <c:manualLayout>
          <c:xMode val="edge"/>
          <c:yMode val="edge"/>
          <c:x val="9.296573477754197E-2"/>
          <c:y val="2.3336152572456434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25.629999999999995</c:v>
                </c:pt>
                <c:pt idx="1">
                  <c:v>9.360000000000035</c:v>
                </c:pt>
                <c:pt idx="2">
                  <c:v>9.6000000000000085</c:v>
                </c:pt>
                <c:pt idx="3">
                  <c:v>7.6400000000000023</c:v>
                </c:pt>
                <c:pt idx="4">
                  <c:v>5.2200000000000024</c:v>
                </c:pt>
                <c:pt idx="5">
                  <c:v>-1.8199999999999772</c:v>
                </c:pt>
                <c:pt idx="6">
                  <c:v>3.9900000000000269</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354619392"/>
        <c:axId val="35462131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1-0319-4AA3-8886-0F871A1F4B20}"/>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2-0319-4AA3-8886-0F871A1F4B20}"/>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3-0319-4AA3-8886-0F871A1F4B20}"/>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4-0319-4AA3-8886-0F871A1F4B20}"/>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5-0319-4AA3-8886-0F871A1F4B20}"/>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0319-4AA3-8886-0F871A1F4B20}"/>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2.0442</c:v>
                </c:pt>
                <c:pt idx="1">
                  <c:v>2.7970000000000002</c:v>
                </c:pt>
                <c:pt idx="2">
                  <c:v>2.9390000000000001</c:v>
                </c:pt>
                <c:pt idx="3">
                  <c:v>3.3182</c:v>
                </c:pt>
                <c:pt idx="4">
                  <c:v>3.4739</c:v>
                </c:pt>
                <c:pt idx="5">
                  <c:v>3.5203000000000002</c:v>
                </c:pt>
                <c:pt idx="6">
                  <c:v>3.7126000000000001</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1.7879</c:v>
                </c:pt>
                <c:pt idx="1">
                  <c:v>2.7033999999999998</c:v>
                </c:pt>
                <c:pt idx="2">
                  <c:v>2.843</c:v>
                </c:pt>
                <c:pt idx="3">
                  <c:v>3.2418</c:v>
                </c:pt>
                <c:pt idx="4">
                  <c:v>3.4217</c:v>
                </c:pt>
                <c:pt idx="5">
                  <c:v>3.5385</c:v>
                </c:pt>
                <c:pt idx="6">
                  <c:v>3.6726999999999999</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354653312"/>
        <c:axId val="354622848"/>
      </c:lineChart>
      <c:dateAx>
        <c:axId val="35461939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4621312"/>
        <c:crosses val="autoZero"/>
        <c:auto val="0"/>
        <c:lblOffset val="0"/>
        <c:baseTimeUnit val="days"/>
      </c:dateAx>
      <c:valAx>
        <c:axId val="35462131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4619392"/>
        <c:crosses val="autoZero"/>
        <c:crossBetween val="between"/>
      </c:valAx>
      <c:valAx>
        <c:axId val="354622848"/>
        <c:scaling>
          <c:orientation val="minMax"/>
        </c:scaling>
        <c:delete val="0"/>
        <c:axPos val="r"/>
        <c:numFmt formatCode="#,##0.0_);[Red]\(#,##0.0\)" sourceLinked="0"/>
        <c:majorTickMark val="out"/>
        <c:minorTickMark val="none"/>
        <c:tickLblPos val="nextTo"/>
        <c:spPr>
          <a:ln w="3175">
            <a:solidFill>
              <a:sysClr val="windowText" lastClr="000000"/>
            </a:solidFill>
          </a:ln>
        </c:spPr>
        <c:crossAx val="354653312"/>
        <c:crosses val="max"/>
        <c:crossBetween val="between"/>
      </c:valAx>
      <c:dateAx>
        <c:axId val="354653312"/>
        <c:scaling>
          <c:orientation val="minMax"/>
        </c:scaling>
        <c:delete val="1"/>
        <c:axPos val="b"/>
        <c:numFmt formatCode="General" sourceLinked="1"/>
        <c:majorTickMark val="out"/>
        <c:minorTickMark val="none"/>
        <c:tickLblPos val="nextTo"/>
        <c:crossAx val="354622848"/>
        <c:crosses val="autoZero"/>
        <c:auto val="0"/>
        <c:lblOffset val="100"/>
        <c:baseTimeUnit val="years"/>
      </c:dateAx>
    </c:plotArea>
    <c:legend>
      <c:legendPos val="r"/>
      <c:layout>
        <c:manualLayout>
          <c:xMode val="edge"/>
          <c:yMode val="edge"/>
          <c:x val="0.11413053990868677"/>
          <c:y val="2.3336865583376614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44148</c:v>
                </c:pt>
                <c:pt idx="1">
                  <c:v>44141</c:v>
                </c:pt>
                <c:pt idx="2">
                  <c:v>44134</c:v>
                </c:pt>
                <c:pt idx="3">
                  <c:v>44127</c:v>
                </c:pt>
                <c:pt idx="4">
                  <c:v>44120</c:v>
                </c:pt>
                <c:pt idx="5">
                  <c:v>44113</c:v>
                </c:pt>
                <c:pt idx="6">
                  <c:v>44104</c:v>
                </c:pt>
                <c:pt idx="7">
                  <c:v>44099</c:v>
                </c:pt>
                <c:pt idx="8">
                  <c:v>44092</c:v>
                </c:pt>
                <c:pt idx="9">
                  <c:v>44085</c:v>
                </c:pt>
                <c:pt idx="10">
                  <c:v>44078</c:v>
                </c:pt>
                <c:pt idx="11">
                  <c:v>44071</c:v>
                </c:pt>
                <c:pt idx="12">
                  <c:v>44064</c:v>
                </c:pt>
                <c:pt idx="13">
                  <c:v>44057</c:v>
                </c:pt>
                <c:pt idx="14">
                  <c:v>44050</c:v>
                </c:pt>
                <c:pt idx="15">
                  <c:v>44043</c:v>
                </c:pt>
                <c:pt idx="16">
                  <c:v>44036</c:v>
                </c:pt>
                <c:pt idx="17">
                  <c:v>44029</c:v>
                </c:pt>
                <c:pt idx="18">
                  <c:v>44022</c:v>
                </c:pt>
                <c:pt idx="19">
                  <c:v>44015</c:v>
                </c:pt>
                <c:pt idx="20">
                  <c:v>44006</c:v>
                </c:pt>
                <c:pt idx="21">
                  <c:v>44001</c:v>
                </c:pt>
                <c:pt idx="22">
                  <c:v>43994</c:v>
                </c:pt>
                <c:pt idx="23">
                  <c:v>43987</c:v>
                </c:pt>
              </c:numCache>
            </c:numRef>
          </c:cat>
          <c:val>
            <c:numRef>
              <c:f>转债!$H$5:$H$28</c:f>
              <c:numCache>
                <c:formatCode>General</c:formatCode>
                <c:ptCount val="24"/>
                <c:pt idx="0">
                  <c:v>6.6430112895103033</c:v>
                </c:pt>
                <c:pt idx="1">
                  <c:v>7.0224255189129003</c:v>
                </c:pt>
                <c:pt idx="2">
                  <c:v>6.5609592486514767</c:v>
                </c:pt>
                <c:pt idx="3">
                  <c:v>6.8548552700450127</c:v>
                </c:pt>
                <c:pt idx="4">
                  <c:v>7.3384001512297514</c:v>
                </c:pt>
                <c:pt idx="5">
                  <c:v>5.6542215731330892</c:v>
                </c:pt>
                <c:pt idx="6">
                  <c:v>4.6294303223215039</c:v>
                </c:pt>
                <c:pt idx="7">
                  <c:v>3.6169599849935397</c:v>
                </c:pt>
                <c:pt idx="8">
                  <c:v>5.843404393643592</c:v>
                </c:pt>
                <c:pt idx="9">
                  <c:v>5.717195130938113</c:v>
                </c:pt>
                <c:pt idx="10">
                  <c:v>8.5296256801624892</c:v>
                </c:pt>
                <c:pt idx="11">
                  <c:v>8.247409768241587</c:v>
                </c:pt>
                <c:pt idx="12">
                  <c:v>8.3614728821937092</c:v>
                </c:pt>
                <c:pt idx="13">
                  <c:v>8.2432736696253386</c:v>
                </c:pt>
                <c:pt idx="14">
                  <c:v>8.701244645281502</c:v>
                </c:pt>
                <c:pt idx="15">
                  <c:v>7.5170388330143556</c:v>
                </c:pt>
                <c:pt idx="16">
                  <c:v>5.12695638192735</c:v>
                </c:pt>
                <c:pt idx="17">
                  <c:v>4.6596937481121925</c:v>
                </c:pt>
                <c:pt idx="18">
                  <c:v>8.4387188929702983</c:v>
                </c:pt>
                <c:pt idx="19">
                  <c:v>4.2755608709924786</c:v>
                </c:pt>
                <c:pt idx="20">
                  <c:v>8.0974325022298288E-3</c:v>
                </c:pt>
                <c:pt idx="21">
                  <c:v>0.52347862205002205</c:v>
                </c:pt>
                <c:pt idx="22">
                  <c:v>-0.34542248936629827</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44148</c:v>
                </c:pt>
                <c:pt idx="1">
                  <c:v>44141</c:v>
                </c:pt>
                <c:pt idx="2">
                  <c:v>44134</c:v>
                </c:pt>
                <c:pt idx="3">
                  <c:v>44127</c:v>
                </c:pt>
                <c:pt idx="4">
                  <c:v>44120</c:v>
                </c:pt>
                <c:pt idx="5">
                  <c:v>44113</c:v>
                </c:pt>
                <c:pt idx="6">
                  <c:v>44104</c:v>
                </c:pt>
                <c:pt idx="7">
                  <c:v>44099</c:v>
                </c:pt>
                <c:pt idx="8">
                  <c:v>44092</c:v>
                </c:pt>
                <c:pt idx="9">
                  <c:v>44085</c:v>
                </c:pt>
                <c:pt idx="10">
                  <c:v>44078</c:v>
                </c:pt>
                <c:pt idx="11">
                  <c:v>44071</c:v>
                </c:pt>
                <c:pt idx="12">
                  <c:v>44064</c:v>
                </c:pt>
                <c:pt idx="13">
                  <c:v>44057</c:v>
                </c:pt>
                <c:pt idx="14">
                  <c:v>44050</c:v>
                </c:pt>
                <c:pt idx="15">
                  <c:v>44043</c:v>
                </c:pt>
                <c:pt idx="16">
                  <c:v>44036</c:v>
                </c:pt>
                <c:pt idx="17">
                  <c:v>44029</c:v>
                </c:pt>
                <c:pt idx="18">
                  <c:v>44022</c:v>
                </c:pt>
                <c:pt idx="19">
                  <c:v>44015</c:v>
                </c:pt>
                <c:pt idx="20">
                  <c:v>44006</c:v>
                </c:pt>
                <c:pt idx="21">
                  <c:v>44001</c:v>
                </c:pt>
                <c:pt idx="22">
                  <c:v>43994</c:v>
                </c:pt>
                <c:pt idx="23">
                  <c:v>43987</c:v>
                </c:pt>
              </c:numCache>
            </c:numRef>
          </c:cat>
          <c:val>
            <c:numRef>
              <c:f>转债!$I$5:$I$28</c:f>
              <c:numCache>
                <c:formatCode>General</c:formatCode>
                <c:ptCount val="24"/>
                <c:pt idx="0">
                  <c:v>-2.1029004772385562</c:v>
                </c:pt>
                <c:pt idx="1">
                  <c:v>-1.8868272436665778</c:v>
                </c:pt>
                <c:pt idx="2">
                  <c:v>-1.9078646298677282</c:v>
                </c:pt>
                <c:pt idx="3">
                  <c:v>-2.0149792894895158</c:v>
                </c:pt>
                <c:pt idx="4">
                  <c:v>-2.2578730951107739</c:v>
                </c:pt>
                <c:pt idx="5">
                  <c:v>-2.1836136362493486</c:v>
                </c:pt>
                <c:pt idx="6">
                  <c:v>-1.9824593458797723</c:v>
                </c:pt>
                <c:pt idx="7">
                  <c:v>-1.8812955006814125</c:v>
                </c:pt>
                <c:pt idx="8">
                  <c:v>-1.8841451864616499</c:v>
                </c:pt>
                <c:pt idx="9">
                  <c:v>-1.9029195868961457</c:v>
                </c:pt>
                <c:pt idx="10">
                  <c:v>-1.929572530370105</c:v>
                </c:pt>
                <c:pt idx="11">
                  <c:v>-1.6851700675710846</c:v>
                </c:pt>
                <c:pt idx="12">
                  <c:v>-1.2001367849174605</c:v>
                </c:pt>
                <c:pt idx="13">
                  <c:v>-0.97484397970353243</c:v>
                </c:pt>
                <c:pt idx="14">
                  <c:v>-1.1805242416064177</c:v>
                </c:pt>
                <c:pt idx="15">
                  <c:v>-0.97065326532083107</c:v>
                </c:pt>
                <c:pt idx="16">
                  <c:v>-0.42854245277484937</c:v>
                </c:pt>
                <c:pt idx="17">
                  <c:v>-1.0752534963130223</c:v>
                </c:pt>
                <c:pt idx="18">
                  <c:v>-1.3044017587590218</c:v>
                </c:pt>
                <c:pt idx="19">
                  <c:v>-7.0236373054055612E-2</c:v>
                </c:pt>
                <c:pt idx="20">
                  <c:v>-0.11122155971684533</c:v>
                </c:pt>
                <c:pt idx="21">
                  <c:v>-5.288681550966734E-2</c:v>
                </c:pt>
                <c:pt idx="22">
                  <c:v>0.46810279654752041</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44148</c:v>
                </c:pt>
                <c:pt idx="1">
                  <c:v>44141</c:v>
                </c:pt>
                <c:pt idx="2">
                  <c:v>44134</c:v>
                </c:pt>
                <c:pt idx="3">
                  <c:v>44127</c:v>
                </c:pt>
                <c:pt idx="4">
                  <c:v>44120</c:v>
                </c:pt>
                <c:pt idx="5">
                  <c:v>44113</c:v>
                </c:pt>
                <c:pt idx="6">
                  <c:v>44104</c:v>
                </c:pt>
                <c:pt idx="7">
                  <c:v>44099</c:v>
                </c:pt>
                <c:pt idx="8">
                  <c:v>44092</c:v>
                </c:pt>
                <c:pt idx="9">
                  <c:v>44085</c:v>
                </c:pt>
                <c:pt idx="10">
                  <c:v>44078</c:v>
                </c:pt>
                <c:pt idx="11">
                  <c:v>44071</c:v>
                </c:pt>
                <c:pt idx="12">
                  <c:v>44064</c:v>
                </c:pt>
                <c:pt idx="13">
                  <c:v>44057</c:v>
                </c:pt>
                <c:pt idx="14">
                  <c:v>44050</c:v>
                </c:pt>
                <c:pt idx="15">
                  <c:v>44043</c:v>
                </c:pt>
                <c:pt idx="16">
                  <c:v>44036</c:v>
                </c:pt>
                <c:pt idx="17">
                  <c:v>44029</c:v>
                </c:pt>
                <c:pt idx="18">
                  <c:v>44022</c:v>
                </c:pt>
                <c:pt idx="19">
                  <c:v>44015</c:v>
                </c:pt>
                <c:pt idx="20">
                  <c:v>44006</c:v>
                </c:pt>
                <c:pt idx="21">
                  <c:v>44001</c:v>
                </c:pt>
                <c:pt idx="22">
                  <c:v>43994</c:v>
                </c:pt>
                <c:pt idx="23">
                  <c:v>43987</c:v>
                </c:pt>
              </c:numCache>
            </c:numRef>
          </c:cat>
          <c:val>
            <c:numRef>
              <c:f>转债!$J$5:$J$28</c:f>
              <c:numCache>
                <c:formatCode>General</c:formatCode>
                <c:ptCount val="24"/>
                <c:pt idx="0">
                  <c:v>21.383322900345991</c:v>
                </c:pt>
                <c:pt idx="1">
                  <c:v>22.104759788994997</c:v>
                </c:pt>
                <c:pt idx="2">
                  <c:v>17.346647769576261</c:v>
                </c:pt>
                <c:pt idx="3">
                  <c:v>17.925324302957346</c:v>
                </c:pt>
                <c:pt idx="4">
                  <c:v>19.75444978968952</c:v>
                </c:pt>
                <c:pt idx="5">
                  <c:v>16.991943694408175</c:v>
                </c:pt>
                <c:pt idx="6">
                  <c:v>14.649028882442749</c:v>
                </c:pt>
                <c:pt idx="7">
                  <c:v>14.214822169736973</c:v>
                </c:pt>
                <c:pt idx="8">
                  <c:v>18.390193926604304</c:v>
                </c:pt>
                <c:pt idx="9">
                  <c:v>15.645899636036308</c:v>
                </c:pt>
                <c:pt idx="10">
                  <c:v>19.218192490753339</c:v>
                </c:pt>
                <c:pt idx="11">
                  <c:v>21.068768769286628</c:v>
                </c:pt>
                <c:pt idx="12">
                  <c:v>17.934196528390657</c:v>
                </c:pt>
                <c:pt idx="13">
                  <c:v>17.578950122822846</c:v>
                </c:pt>
                <c:pt idx="14">
                  <c:v>17.661359351396833</c:v>
                </c:pt>
                <c:pt idx="15">
                  <c:v>17.339460017366058</c:v>
                </c:pt>
                <c:pt idx="16">
                  <c:v>12.604550741869257</c:v>
                </c:pt>
                <c:pt idx="17">
                  <c:v>13.581997569809978</c:v>
                </c:pt>
                <c:pt idx="18">
                  <c:v>18.791183527131494</c:v>
                </c:pt>
                <c:pt idx="19">
                  <c:v>10.455345352124755</c:v>
                </c:pt>
                <c:pt idx="20">
                  <c:v>3.4423884790628856</c:v>
                </c:pt>
                <c:pt idx="21">
                  <c:v>2.4357032946871637</c:v>
                </c:pt>
                <c:pt idx="22">
                  <c:v>4.5785681672705358E-2</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354671232"/>
        <c:axId val="356262272"/>
      </c:lineChart>
      <c:dateAx>
        <c:axId val="35467123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500"/>
            </a:pPr>
            <a:endParaRPr lang="zh-CN"/>
          </a:p>
        </c:txPr>
        <c:crossAx val="356262272"/>
        <c:crosses val="autoZero"/>
        <c:auto val="0"/>
        <c:lblOffset val="0"/>
        <c:baseTimeUnit val="days"/>
        <c:majorUnit val="14"/>
        <c:majorTimeUnit val="days"/>
      </c:dateAx>
      <c:valAx>
        <c:axId val="35626227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4671232"/>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高炉!$H$1</c:f>
              <c:strCache>
                <c:ptCount val="1"/>
                <c:pt idx="0">
                  <c:v>2018</c:v>
                </c:pt>
              </c:strCache>
            </c:strRef>
          </c:tx>
          <c:spPr>
            <a:ln w="28575">
              <a:solidFill>
                <a:srgbClr val="E7E6E6">
                  <a:lumMod val="75000"/>
                </a:srgbClr>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高炉!$H$2:$H$366</c:f>
              <c:numCache>
                <c:formatCode>General</c:formatCode>
                <c:ptCount val="365"/>
                <c:pt idx="0">
                  <c:v>#N/A</c:v>
                </c:pt>
                <c:pt idx="1">
                  <c:v>#N/A</c:v>
                </c:pt>
                <c:pt idx="2">
                  <c:v>#N/A</c:v>
                </c:pt>
                <c:pt idx="3">
                  <c:v>#N/A</c:v>
                </c:pt>
                <c:pt idx="4">
                  <c:v>63.12</c:v>
                </c:pt>
                <c:pt idx="5">
                  <c:v>#N/A</c:v>
                </c:pt>
                <c:pt idx="6">
                  <c:v>#N/A</c:v>
                </c:pt>
                <c:pt idx="7">
                  <c:v>#N/A</c:v>
                </c:pt>
                <c:pt idx="8">
                  <c:v>#N/A</c:v>
                </c:pt>
                <c:pt idx="9">
                  <c:v>#N/A</c:v>
                </c:pt>
                <c:pt idx="10">
                  <c:v>#N/A</c:v>
                </c:pt>
                <c:pt idx="11">
                  <c:v>64.09</c:v>
                </c:pt>
                <c:pt idx="12">
                  <c:v>#N/A</c:v>
                </c:pt>
                <c:pt idx="13">
                  <c:v>#N/A</c:v>
                </c:pt>
                <c:pt idx="14">
                  <c:v>#N/A</c:v>
                </c:pt>
                <c:pt idx="15">
                  <c:v>#N/A</c:v>
                </c:pt>
                <c:pt idx="16">
                  <c:v>#N/A</c:v>
                </c:pt>
                <c:pt idx="17">
                  <c:v>#N/A</c:v>
                </c:pt>
                <c:pt idx="18">
                  <c:v>64.09</c:v>
                </c:pt>
                <c:pt idx="19">
                  <c:v>#N/A</c:v>
                </c:pt>
                <c:pt idx="20">
                  <c:v>#N/A</c:v>
                </c:pt>
                <c:pt idx="21">
                  <c:v>#N/A</c:v>
                </c:pt>
                <c:pt idx="22">
                  <c:v>#N/A</c:v>
                </c:pt>
                <c:pt idx="23">
                  <c:v>#N/A</c:v>
                </c:pt>
                <c:pt idx="24">
                  <c:v>#N/A</c:v>
                </c:pt>
                <c:pt idx="25">
                  <c:v>64.09</c:v>
                </c:pt>
                <c:pt idx="26">
                  <c:v>#N/A</c:v>
                </c:pt>
                <c:pt idx="27">
                  <c:v>#N/A</c:v>
                </c:pt>
                <c:pt idx="28">
                  <c:v>#N/A</c:v>
                </c:pt>
                <c:pt idx="29">
                  <c:v>#N/A</c:v>
                </c:pt>
                <c:pt idx="30">
                  <c:v>#N/A</c:v>
                </c:pt>
                <c:pt idx="31">
                  <c:v>#N/A</c:v>
                </c:pt>
                <c:pt idx="32">
                  <c:v>63.67</c:v>
                </c:pt>
                <c:pt idx="33">
                  <c:v>#N/A</c:v>
                </c:pt>
                <c:pt idx="34">
                  <c:v>#N/A</c:v>
                </c:pt>
                <c:pt idx="35">
                  <c:v>#N/A</c:v>
                </c:pt>
                <c:pt idx="36">
                  <c:v>#N/A</c:v>
                </c:pt>
                <c:pt idx="37">
                  <c:v>#N/A</c:v>
                </c:pt>
                <c:pt idx="38">
                  <c:v>#N/A</c:v>
                </c:pt>
                <c:pt idx="39">
                  <c:v>63.67</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63.81</c:v>
                </c:pt>
                <c:pt idx="54">
                  <c:v>#N/A</c:v>
                </c:pt>
                <c:pt idx="55">
                  <c:v>#N/A</c:v>
                </c:pt>
                <c:pt idx="56">
                  <c:v>#N/A</c:v>
                </c:pt>
                <c:pt idx="57">
                  <c:v>#N/A</c:v>
                </c:pt>
                <c:pt idx="58">
                  <c:v>#N/A</c:v>
                </c:pt>
                <c:pt idx="59">
                  <c:v>#N/A</c:v>
                </c:pt>
                <c:pt idx="60">
                  <c:v>63.26</c:v>
                </c:pt>
                <c:pt idx="61">
                  <c:v>#N/A</c:v>
                </c:pt>
                <c:pt idx="62">
                  <c:v>#N/A</c:v>
                </c:pt>
                <c:pt idx="63">
                  <c:v>#N/A</c:v>
                </c:pt>
                <c:pt idx="64">
                  <c:v>#N/A</c:v>
                </c:pt>
                <c:pt idx="65">
                  <c:v>#N/A</c:v>
                </c:pt>
                <c:pt idx="66">
                  <c:v>#N/A</c:v>
                </c:pt>
                <c:pt idx="67">
                  <c:v>62.57</c:v>
                </c:pt>
                <c:pt idx="68">
                  <c:v>#N/A</c:v>
                </c:pt>
                <c:pt idx="69">
                  <c:v>#N/A</c:v>
                </c:pt>
                <c:pt idx="70">
                  <c:v>#N/A</c:v>
                </c:pt>
                <c:pt idx="71">
                  <c:v>#N/A</c:v>
                </c:pt>
                <c:pt idx="72">
                  <c:v>#N/A</c:v>
                </c:pt>
                <c:pt idx="73">
                  <c:v>#N/A</c:v>
                </c:pt>
                <c:pt idx="74">
                  <c:v>62.02</c:v>
                </c:pt>
                <c:pt idx="75">
                  <c:v>#N/A</c:v>
                </c:pt>
                <c:pt idx="76">
                  <c:v>#N/A</c:v>
                </c:pt>
                <c:pt idx="77">
                  <c:v>#N/A</c:v>
                </c:pt>
                <c:pt idx="78">
                  <c:v>#N/A</c:v>
                </c:pt>
                <c:pt idx="79">
                  <c:v>#N/A</c:v>
                </c:pt>
                <c:pt idx="80">
                  <c:v>#N/A</c:v>
                </c:pt>
                <c:pt idx="81">
                  <c:v>63.12</c:v>
                </c:pt>
                <c:pt idx="82">
                  <c:v>#N/A</c:v>
                </c:pt>
                <c:pt idx="83">
                  <c:v>#N/A</c:v>
                </c:pt>
                <c:pt idx="84">
                  <c:v>#N/A</c:v>
                </c:pt>
                <c:pt idx="85">
                  <c:v>#N/A</c:v>
                </c:pt>
                <c:pt idx="86">
                  <c:v>#N/A</c:v>
                </c:pt>
                <c:pt idx="87">
                  <c:v>#N/A</c:v>
                </c:pt>
                <c:pt idx="88">
                  <c:v>64.5</c:v>
                </c:pt>
                <c:pt idx="89">
                  <c:v>#N/A</c:v>
                </c:pt>
                <c:pt idx="90">
                  <c:v>#N/A</c:v>
                </c:pt>
                <c:pt idx="91">
                  <c:v>#N/A</c:v>
                </c:pt>
                <c:pt idx="92">
                  <c:v>#N/A</c:v>
                </c:pt>
                <c:pt idx="93">
                  <c:v>#N/A</c:v>
                </c:pt>
                <c:pt idx="94">
                  <c:v>#N/A</c:v>
                </c:pt>
                <c:pt idx="95">
                  <c:v>#N/A</c:v>
                </c:pt>
                <c:pt idx="96">
                  <c:v>#N/A</c:v>
                </c:pt>
                <c:pt idx="97">
                  <c:v>#N/A</c:v>
                </c:pt>
                <c:pt idx="98">
                  <c:v>65.06</c:v>
                </c:pt>
                <c:pt idx="99">
                  <c:v>#N/A</c:v>
                </c:pt>
                <c:pt idx="100">
                  <c:v>#N/A</c:v>
                </c:pt>
                <c:pt idx="101">
                  <c:v>#N/A</c:v>
                </c:pt>
                <c:pt idx="102">
                  <c:v>66.989999999999995</c:v>
                </c:pt>
                <c:pt idx="103">
                  <c:v>#N/A</c:v>
                </c:pt>
                <c:pt idx="104">
                  <c:v>#N/A</c:v>
                </c:pt>
                <c:pt idx="105">
                  <c:v>#N/A</c:v>
                </c:pt>
                <c:pt idx="106">
                  <c:v>#N/A</c:v>
                </c:pt>
                <c:pt idx="107">
                  <c:v>#N/A</c:v>
                </c:pt>
                <c:pt idx="108">
                  <c:v>#N/A</c:v>
                </c:pt>
                <c:pt idx="109">
                  <c:v>67.27</c:v>
                </c:pt>
                <c:pt idx="110">
                  <c:v>#N/A</c:v>
                </c:pt>
                <c:pt idx="111">
                  <c:v>#N/A</c:v>
                </c:pt>
                <c:pt idx="112">
                  <c:v>#N/A</c:v>
                </c:pt>
                <c:pt idx="113">
                  <c:v>#N/A</c:v>
                </c:pt>
                <c:pt idx="114">
                  <c:v>#N/A</c:v>
                </c:pt>
                <c:pt idx="115">
                  <c:v>#N/A</c:v>
                </c:pt>
                <c:pt idx="116">
                  <c:v>67.680000000000007</c:v>
                </c:pt>
                <c:pt idx="117">
                  <c:v>#N/A</c:v>
                </c:pt>
                <c:pt idx="118">
                  <c:v>#N/A</c:v>
                </c:pt>
                <c:pt idx="119">
                  <c:v>#N/A</c:v>
                </c:pt>
                <c:pt idx="120">
                  <c:v>#N/A</c:v>
                </c:pt>
                <c:pt idx="121">
                  <c:v>#N/A</c:v>
                </c:pt>
                <c:pt idx="122">
                  <c:v>#N/A</c:v>
                </c:pt>
                <c:pt idx="123">
                  <c:v>68.92</c:v>
                </c:pt>
                <c:pt idx="124">
                  <c:v>#N/A</c:v>
                </c:pt>
                <c:pt idx="125">
                  <c:v>#N/A</c:v>
                </c:pt>
                <c:pt idx="126">
                  <c:v>#N/A</c:v>
                </c:pt>
                <c:pt idx="127">
                  <c:v>#N/A</c:v>
                </c:pt>
                <c:pt idx="128">
                  <c:v>#N/A</c:v>
                </c:pt>
                <c:pt idx="129">
                  <c:v>#N/A</c:v>
                </c:pt>
                <c:pt idx="130">
                  <c:v>69.98</c:v>
                </c:pt>
                <c:pt idx="131">
                  <c:v>#N/A</c:v>
                </c:pt>
                <c:pt idx="132">
                  <c:v>#N/A</c:v>
                </c:pt>
                <c:pt idx="133">
                  <c:v>#N/A</c:v>
                </c:pt>
                <c:pt idx="134">
                  <c:v>#N/A</c:v>
                </c:pt>
                <c:pt idx="135">
                  <c:v>#N/A</c:v>
                </c:pt>
                <c:pt idx="136">
                  <c:v>#N/A</c:v>
                </c:pt>
                <c:pt idx="137">
                  <c:v>70.17</c:v>
                </c:pt>
                <c:pt idx="138">
                  <c:v>#N/A</c:v>
                </c:pt>
                <c:pt idx="139">
                  <c:v>#N/A</c:v>
                </c:pt>
                <c:pt idx="140">
                  <c:v>#N/A</c:v>
                </c:pt>
                <c:pt idx="141">
                  <c:v>#N/A</c:v>
                </c:pt>
                <c:pt idx="142">
                  <c:v>#N/A</c:v>
                </c:pt>
                <c:pt idx="143">
                  <c:v>#N/A</c:v>
                </c:pt>
                <c:pt idx="144">
                  <c:v>71.959999999999994</c:v>
                </c:pt>
                <c:pt idx="145">
                  <c:v>#N/A</c:v>
                </c:pt>
                <c:pt idx="146">
                  <c:v>#N/A</c:v>
                </c:pt>
                <c:pt idx="147">
                  <c:v>#N/A</c:v>
                </c:pt>
                <c:pt idx="148">
                  <c:v>#N/A</c:v>
                </c:pt>
                <c:pt idx="149">
                  <c:v>#N/A</c:v>
                </c:pt>
                <c:pt idx="150">
                  <c:v>#N/A</c:v>
                </c:pt>
                <c:pt idx="151">
                  <c:v>71.819999999999993</c:v>
                </c:pt>
                <c:pt idx="152">
                  <c:v>#N/A</c:v>
                </c:pt>
                <c:pt idx="153">
                  <c:v>#N/A</c:v>
                </c:pt>
                <c:pt idx="154">
                  <c:v>#N/A</c:v>
                </c:pt>
                <c:pt idx="155">
                  <c:v>#N/A</c:v>
                </c:pt>
                <c:pt idx="156">
                  <c:v>#N/A</c:v>
                </c:pt>
                <c:pt idx="157">
                  <c:v>#N/A</c:v>
                </c:pt>
                <c:pt idx="158">
                  <c:v>71.41</c:v>
                </c:pt>
                <c:pt idx="159">
                  <c:v>#N/A</c:v>
                </c:pt>
                <c:pt idx="160">
                  <c:v>#N/A</c:v>
                </c:pt>
                <c:pt idx="161">
                  <c:v>#N/A</c:v>
                </c:pt>
                <c:pt idx="162">
                  <c:v>#N/A</c:v>
                </c:pt>
                <c:pt idx="163">
                  <c:v>#N/A</c:v>
                </c:pt>
                <c:pt idx="164">
                  <c:v>#N/A</c:v>
                </c:pt>
                <c:pt idx="165">
                  <c:v>71.41</c:v>
                </c:pt>
                <c:pt idx="166">
                  <c:v>#N/A</c:v>
                </c:pt>
                <c:pt idx="167">
                  <c:v>#N/A</c:v>
                </c:pt>
                <c:pt idx="168">
                  <c:v>#N/A</c:v>
                </c:pt>
                <c:pt idx="169">
                  <c:v>#N/A</c:v>
                </c:pt>
                <c:pt idx="170">
                  <c:v>#N/A</c:v>
                </c:pt>
                <c:pt idx="171">
                  <c:v>#N/A</c:v>
                </c:pt>
                <c:pt idx="172">
                  <c:v>71.55</c:v>
                </c:pt>
                <c:pt idx="173">
                  <c:v>#N/A</c:v>
                </c:pt>
                <c:pt idx="174">
                  <c:v>#N/A</c:v>
                </c:pt>
                <c:pt idx="175">
                  <c:v>#N/A</c:v>
                </c:pt>
                <c:pt idx="176">
                  <c:v>#N/A</c:v>
                </c:pt>
                <c:pt idx="177">
                  <c:v>#N/A</c:v>
                </c:pt>
                <c:pt idx="178">
                  <c:v>#N/A</c:v>
                </c:pt>
                <c:pt idx="179">
                  <c:v>71.27</c:v>
                </c:pt>
                <c:pt idx="180">
                  <c:v>#N/A</c:v>
                </c:pt>
                <c:pt idx="181">
                  <c:v>#N/A</c:v>
                </c:pt>
                <c:pt idx="182">
                  <c:v>#N/A</c:v>
                </c:pt>
                <c:pt idx="183">
                  <c:v>#N/A</c:v>
                </c:pt>
                <c:pt idx="184">
                  <c:v>#N/A</c:v>
                </c:pt>
                <c:pt idx="185">
                  <c:v>#N/A</c:v>
                </c:pt>
                <c:pt idx="186">
                  <c:v>71.55</c:v>
                </c:pt>
                <c:pt idx="187">
                  <c:v>#N/A</c:v>
                </c:pt>
                <c:pt idx="188">
                  <c:v>#N/A</c:v>
                </c:pt>
                <c:pt idx="189">
                  <c:v>#N/A</c:v>
                </c:pt>
                <c:pt idx="190">
                  <c:v>#N/A</c:v>
                </c:pt>
                <c:pt idx="191">
                  <c:v>#N/A</c:v>
                </c:pt>
                <c:pt idx="192">
                  <c:v>#N/A</c:v>
                </c:pt>
                <c:pt idx="193">
                  <c:v>70.86</c:v>
                </c:pt>
                <c:pt idx="194">
                  <c:v>#N/A</c:v>
                </c:pt>
                <c:pt idx="195">
                  <c:v>#N/A</c:v>
                </c:pt>
                <c:pt idx="196">
                  <c:v>#N/A</c:v>
                </c:pt>
                <c:pt idx="197">
                  <c:v>#N/A</c:v>
                </c:pt>
                <c:pt idx="198">
                  <c:v>#N/A</c:v>
                </c:pt>
                <c:pt idx="199">
                  <c:v>#N/A</c:v>
                </c:pt>
                <c:pt idx="200">
                  <c:v>70.989999999999995</c:v>
                </c:pt>
                <c:pt idx="201">
                  <c:v>#N/A</c:v>
                </c:pt>
                <c:pt idx="202">
                  <c:v>#N/A</c:v>
                </c:pt>
                <c:pt idx="203">
                  <c:v>#N/A</c:v>
                </c:pt>
                <c:pt idx="204">
                  <c:v>#N/A</c:v>
                </c:pt>
                <c:pt idx="205">
                  <c:v>#N/A</c:v>
                </c:pt>
                <c:pt idx="206">
                  <c:v>#N/A</c:v>
                </c:pt>
                <c:pt idx="207">
                  <c:v>67.400000000000006</c:v>
                </c:pt>
                <c:pt idx="208">
                  <c:v>#N/A</c:v>
                </c:pt>
                <c:pt idx="209">
                  <c:v>#N/A</c:v>
                </c:pt>
                <c:pt idx="210">
                  <c:v>#N/A</c:v>
                </c:pt>
                <c:pt idx="211">
                  <c:v>#N/A</c:v>
                </c:pt>
                <c:pt idx="212">
                  <c:v>#N/A</c:v>
                </c:pt>
                <c:pt idx="213">
                  <c:v>#N/A</c:v>
                </c:pt>
                <c:pt idx="214">
                  <c:v>66.989999999999995</c:v>
                </c:pt>
                <c:pt idx="215">
                  <c:v>#N/A</c:v>
                </c:pt>
                <c:pt idx="216">
                  <c:v>#N/A</c:v>
                </c:pt>
                <c:pt idx="217">
                  <c:v>#N/A</c:v>
                </c:pt>
                <c:pt idx="218">
                  <c:v>#N/A</c:v>
                </c:pt>
                <c:pt idx="219">
                  <c:v>#N/A</c:v>
                </c:pt>
                <c:pt idx="220">
                  <c:v>#N/A</c:v>
                </c:pt>
                <c:pt idx="221">
                  <c:v>66.16</c:v>
                </c:pt>
                <c:pt idx="222">
                  <c:v>#N/A</c:v>
                </c:pt>
                <c:pt idx="223">
                  <c:v>#N/A</c:v>
                </c:pt>
                <c:pt idx="224">
                  <c:v>#N/A</c:v>
                </c:pt>
                <c:pt idx="225">
                  <c:v>#N/A</c:v>
                </c:pt>
                <c:pt idx="226">
                  <c:v>#N/A</c:v>
                </c:pt>
                <c:pt idx="227">
                  <c:v>#N/A</c:v>
                </c:pt>
                <c:pt idx="228">
                  <c:v>66.16</c:v>
                </c:pt>
                <c:pt idx="229">
                  <c:v>#N/A</c:v>
                </c:pt>
                <c:pt idx="230">
                  <c:v>#N/A</c:v>
                </c:pt>
                <c:pt idx="231">
                  <c:v>#N/A</c:v>
                </c:pt>
                <c:pt idx="232">
                  <c:v>#N/A</c:v>
                </c:pt>
                <c:pt idx="233">
                  <c:v>#N/A</c:v>
                </c:pt>
                <c:pt idx="234">
                  <c:v>#N/A</c:v>
                </c:pt>
                <c:pt idx="235">
                  <c:v>66.44</c:v>
                </c:pt>
                <c:pt idx="236">
                  <c:v>#N/A</c:v>
                </c:pt>
                <c:pt idx="237">
                  <c:v>#N/A</c:v>
                </c:pt>
                <c:pt idx="238">
                  <c:v>#N/A</c:v>
                </c:pt>
                <c:pt idx="239">
                  <c:v>#N/A</c:v>
                </c:pt>
                <c:pt idx="240">
                  <c:v>#N/A</c:v>
                </c:pt>
                <c:pt idx="241">
                  <c:v>#N/A</c:v>
                </c:pt>
                <c:pt idx="242">
                  <c:v>66.709999999999994</c:v>
                </c:pt>
                <c:pt idx="243">
                  <c:v>#N/A</c:v>
                </c:pt>
                <c:pt idx="244">
                  <c:v>#N/A</c:v>
                </c:pt>
                <c:pt idx="245">
                  <c:v>#N/A</c:v>
                </c:pt>
                <c:pt idx="246">
                  <c:v>#N/A</c:v>
                </c:pt>
                <c:pt idx="247">
                  <c:v>#N/A</c:v>
                </c:pt>
                <c:pt idx="248">
                  <c:v>#N/A</c:v>
                </c:pt>
                <c:pt idx="249">
                  <c:v>67.540000000000006</c:v>
                </c:pt>
                <c:pt idx="250">
                  <c:v>#N/A</c:v>
                </c:pt>
                <c:pt idx="251">
                  <c:v>#N/A</c:v>
                </c:pt>
                <c:pt idx="252">
                  <c:v>#N/A</c:v>
                </c:pt>
                <c:pt idx="253">
                  <c:v>#N/A</c:v>
                </c:pt>
                <c:pt idx="254">
                  <c:v>#N/A</c:v>
                </c:pt>
                <c:pt idx="255">
                  <c:v>#N/A</c:v>
                </c:pt>
                <c:pt idx="256">
                  <c:v>68.23</c:v>
                </c:pt>
                <c:pt idx="257">
                  <c:v>#N/A</c:v>
                </c:pt>
                <c:pt idx="258">
                  <c:v>#N/A</c:v>
                </c:pt>
                <c:pt idx="259">
                  <c:v>#N/A</c:v>
                </c:pt>
                <c:pt idx="260">
                  <c:v>#N/A</c:v>
                </c:pt>
                <c:pt idx="261">
                  <c:v>#N/A</c:v>
                </c:pt>
                <c:pt idx="262">
                  <c:v>#N/A</c:v>
                </c:pt>
                <c:pt idx="263">
                  <c:v>67.959999999999994</c:v>
                </c:pt>
                <c:pt idx="264">
                  <c:v>#N/A</c:v>
                </c:pt>
                <c:pt idx="265">
                  <c:v>#N/A</c:v>
                </c:pt>
                <c:pt idx="266">
                  <c:v>#N/A</c:v>
                </c:pt>
                <c:pt idx="267">
                  <c:v>#N/A</c:v>
                </c:pt>
                <c:pt idx="268">
                  <c:v>#N/A</c:v>
                </c:pt>
                <c:pt idx="269">
                  <c:v>#N/A</c:v>
                </c:pt>
                <c:pt idx="270">
                  <c:v>68.09</c:v>
                </c:pt>
                <c:pt idx="271">
                  <c:v>#N/A</c:v>
                </c:pt>
                <c:pt idx="272">
                  <c:v>#N/A</c:v>
                </c:pt>
                <c:pt idx="273">
                  <c:v>#N/A</c:v>
                </c:pt>
                <c:pt idx="274">
                  <c:v>#N/A</c:v>
                </c:pt>
                <c:pt idx="275">
                  <c:v>#N/A</c:v>
                </c:pt>
                <c:pt idx="276">
                  <c:v>#N/A</c:v>
                </c:pt>
                <c:pt idx="277">
                  <c:v>68.09</c:v>
                </c:pt>
                <c:pt idx="278">
                  <c:v>#N/A</c:v>
                </c:pt>
                <c:pt idx="279">
                  <c:v>#N/A</c:v>
                </c:pt>
                <c:pt idx="280">
                  <c:v>#N/A</c:v>
                </c:pt>
                <c:pt idx="281">
                  <c:v>#N/A</c:v>
                </c:pt>
                <c:pt idx="282">
                  <c:v>#N/A</c:v>
                </c:pt>
                <c:pt idx="283">
                  <c:v>#N/A</c:v>
                </c:pt>
                <c:pt idx="284">
                  <c:v>68.650000000000006</c:v>
                </c:pt>
                <c:pt idx="285">
                  <c:v>#N/A</c:v>
                </c:pt>
                <c:pt idx="286">
                  <c:v>#N/A</c:v>
                </c:pt>
                <c:pt idx="287">
                  <c:v>#N/A</c:v>
                </c:pt>
                <c:pt idx="288">
                  <c:v>#N/A</c:v>
                </c:pt>
                <c:pt idx="289">
                  <c:v>#N/A</c:v>
                </c:pt>
                <c:pt idx="290">
                  <c:v>#N/A</c:v>
                </c:pt>
                <c:pt idx="291">
                  <c:v>68.37</c:v>
                </c:pt>
                <c:pt idx="292">
                  <c:v>#N/A</c:v>
                </c:pt>
                <c:pt idx="293">
                  <c:v>#N/A</c:v>
                </c:pt>
                <c:pt idx="294">
                  <c:v>#N/A</c:v>
                </c:pt>
                <c:pt idx="295">
                  <c:v>#N/A</c:v>
                </c:pt>
                <c:pt idx="296">
                  <c:v>#N/A</c:v>
                </c:pt>
                <c:pt idx="297">
                  <c:v>#N/A</c:v>
                </c:pt>
                <c:pt idx="298">
                  <c:v>68.23</c:v>
                </c:pt>
                <c:pt idx="299">
                  <c:v>#N/A</c:v>
                </c:pt>
                <c:pt idx="300">
                  <c:v>#N/A</c:v>
                </c:pt>
                <c:pt idx="301">
                  <c:v>#N/A</c:v>
                </c:pt>
                <c:pt idx="302">
                  <c:v>#N/A</c:v>
                </c:pt>
                <c:pt idx="303">
                  <c:v>#N/A</c:v>
                </c:pt>
                <c:pt idx="304">
                  <c:v>#N/A</c:v>
                </c:pt>
                <c:pt idx="305">
                  <c:v>67.540000000000006</c:v>
                </c:pt>
                <c:pt idx="306">
                  <c:v>#N/A</c:v>
                </c:pt>
                <c:pt idx="307">
                  <c:v>#N/A</c:v>
                </c:pt>
                <c:pt idx="308">
                  <c:v>#N/A</c:v>
                </c:pt>
                <c:pt idx="309">
                  <c:v>#N/A</c:v>
                </c:pt>
                <c:pt idx="310">
                  <c:v>#N/A</c:v>
                </c:pt>
                <c:pt idx="311">
                  <c:v>#N/A</c:v>
                </c:pt>
                <c:pt idx="312">
                  <c:v>67.680000000000007</c:v>
                </c:pt>
                <c:pt idx="313">
                  <c:v>#N/A</c:v>
                </c:pt>
                <c:pt idx="314">
                  <c:v>#N/A</c:v>
                </c:pt>
                <c:pt idx="315">
                  <c:v>#N/A</c:v>
                </c:pt>
                <c:pt idx="316">
                  <c:v>#N/A</c:v>
                </c:pt>
                <c:pt idx="317">
                  <c:v>#N/A</c:v>
                </c:pt>
                <c:pt idx="318">
                  <c:v>#N/A</c:v>
                </c:pt>
                <c:pt idx="319">
                  <c:v>67.819999999999993</c:v>
                </c:pt>
                <c:pt idx="320">
                  <c:v>#N/A</c:v>
                </c:pt>
                <c:pt idx="321">
                  <c:v>#N/A</c:v>
                </c:pt>
                <c:pt idx="322">
                  <c:v>#N/A</c:v>
                </c:pt>
                <c:pt idx="323">
                  <c:v>#N/A</c:v>
                </c:pt>
                <c:pt idx="324">
                  <c:v>#N/A</c:v>
                </c:pt>
                <c:pt idx="325">
                  <c:v>#N/A</c:v>
                </c:pt>
                <c:pt idx="326">
                  <c:v>67.540000000000006</c:v>
                </c:pt>
                <c:pt idx="327">
                  <c:v>#N/A</c:v>
                </c:pt>
                <c:pt idx="328">
                  <c:v>#N/A</c:v>
                </c:pt>
                <c:pt idx="329">
                  <c:v>#N/A</c:v>
                </c:pt>
                <c:pt idx="330">
                  <c:v>#N/A</c:v>
                </c:pt>
                <c:pt idx="331">
                  <c:v>#N/A</c:v>
                </c:pt>
                <c:pt idx="332">
                  <c:v>#N/A</c:v>
                </c:pt>
                <c:pt idx="333">
                  <c:v>66.709999999999994</c:v>
                </c:pt>
                <c:pt idx="334">
                  <c:v>#N/A</c:v>
                </c:pt>
                <c:pt idx="335">
                  <c:v>#N/A</c:v>
                </c:pt>
                <c:pt idx="336">
                  <c:v>#N/A</c:v>
                </c:pt>
                <c:pt idx="337">
                  <c:v>#N/A</c:v>
                </c:pt>
                <c:pt idx="338">
                  <c:v>#N/A</c:v>
                </c:pt>
                <c:pt idx="339">
                  <c:v>#N/A</c:v>
                </c:pt>
                <c:pt idx="340">
                  <c:v>65.88</c:v>
                </c:pt>
                <c:pt idx="341">
                  <c:v>#N/A</c:v>
                </c:pt>
                <c:pt idx="342">
                  <c:v>#N/A</c:v>
                </c:pt>
                <c:pt idx="343">
                  <c:v>#N/A</c:v>
                </c:pt>
                <c:pt idx="344">
                  <c:v>#N/A</c:v>
                </c:pt>
                <c:pt idx="345">
                  <c:v>#N/A</c:v>
                </c:pt>
                <c:pt idx="346">
                  <c:v>#N/A</c:v>
                </c:pt>
                <c:pt idx="347">
                  <c:v>65.75</c:v>
                </c:pt>
                <c:pt idx="348">
                  <c:v>#N/A</c:v>
                </c:pt>
                <c:pt idx="349">
                  <c:v>#N/A</c:v>
                </c:pt>
                <c:pt idx="350">
                  <c:v>#N/A</c:v>
                </c:pt>
                <c:pt idx="351">
                  <c:v>#N/A</c:v>
                </c:pt>
                <c:pt idx="352">
                  <c:v>#N/A</c:v>
                </c:pt>
                <c:pt idx="353">
                  <c:v>#N/A</c:v>
                </c:pt>
                <c:pt idx="354">
                  <c:v>65.06</c:v>
                </c:pt>
                <c:pt idx="355">
                  <c:v>#N/A</c:v>
                </c:pt>
                <c:pt idx="356">
                  <c:v>#N/A</c:v>
                </c:pt>
                <c:pt idx="357">
                  <c:v>#N/A</c:v>
                </c:pt>
                <c:pt idx="358">
                  <c:v>#N/A</c:v>
                </c:pt>
                <c:pt idx="359">
                  <c:v>#N/A</c:v>
                </c:pt>
                <c:pt idx="360">
                  <c:v>#N/A</c:v>
                </c:pt>
                <c:pt idx="361">
                  <c:v>64.92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1-405E-B422-D7A57FDA5907}"/>
            </c:ext>
          </c:extLst>
        </c:ser>
        <c:ser>
          <c:idx val="2"/>
          <c:order val="1"/>
          <c:tx>
            <c:strRef>
              <c:f>高炉!$I$1</c:f>
              <c:strCache>
                <c:ptCount val="1"/>
                <c:pt idx="0">
                  <c:v>2019</c:v>
                </c:pt>
              </c:strCache>
            </c:strRef>
          </c:tx>
          <c:spPr>
            <a:ln w="28575">
              <a:solidFill>
                <a:srgbClr val="F8CBAD"/>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高炉!$I$2:$I$366</c:f>
              <c:numCache>
                <c:formatCode>General</c:formatCode>
                <c:ptCount val="365"/>
                <c:pt idx="0">
                  <c:v>#N/A</c:v>
                </c:pt>
                <c:pt idx="1">
                  <c:v>#N/A</c:v>
                </c:pt>
                <c:pt idx="2">
                  <c:v>#N/A</c:v>
                </c:pt>
                <c:pt idx="3">
                  <c:v>64.23</c:v>
                </c:pt>
                <c:pt idx="4">
                  <c:v>#N/A</c:v>
                </c:pt>
                <c:pt idx="5">
                  <c:v>#N/A</c:v>
                </c:pt>
                <c:pt idx="6">
                  <c:v>#N/A</c:v>
                </c:pt>
                <c:pt idx="7">
                  <c:v>#N/A</c:v>
                </c:pt>
                <c:pt idx="8">
                  <c:v>#N/A</c:v>
                </c:pt>
                <c:pt idx="9">
                  <c:v>#N/A</c:v>
                </c:pt>
                <c:pt idx="10">
                  <c:v>64.36</c:v>
                </c:pt>
                <c:pt idx="11">
                  <c:v>#N/A</c:v>
                </c:pt>
                <c:pt idx="12">
                  <c:v>#N/A</c:v>
                </c:pt>
                <c:pt idx="13">
                  <c:v>#N/A</c:v>
                </c:pt>
                <c:pt idx="14">
                  <c:v>#N/A</c:v>
                </c:pt>
                <c:pt idx="15">
                  <c:v>#N/A</c:v>
                </c:pt>
                <c:pt idx="16">
                  <c:v>#N/A</c:v>
                </c:pt>
                <c:pt idx="17">
                  <c:v>64.92</c:v>
                </c:pt>
                <c:pt idx="18">
                  <c:v>#N/A</c:v>
                </c:pt>
                <c:pt idx="19">
                  <c:v>#N/A</c:v>
                </c:pt>
                <c:pt idx="20">
                  <c:v>#N/A</c:v>
                </c:pt>
                <c:pt idx="21">
                  <c:v>#N/A</c:v>
                </c:pt>
                <c:pt idx="22">
                  <c:v>#N/A</c:v>
                </c:pt>
                <c:pt idx="23">
                  <c:v>#N/A</c:v>
                </c:pt>
                <c:pt idx="24">
                  <c:v>65.47</c:v>
                </c:pt>
                <c:pt idx="25">
                  <c:v>#N/A</c:v>
                </c:pt>
                <c:pt idx="26">
                  <c:v>#N/A</c:v>
                </c:pt>
                <c:pt idx="27">
                  <c:v>#N/A</c:v>
                </c:pt>
                <c:pt idx="28">
                  <c:v>#N/A</c:v>
                </c:pt>
                <c:pt idx="29">
                  <c:v>#N/A</c:v>
                </c:pt>
                <c:pt idx="30">
                  <c:v>#N/A</c:v>
                </c:pt>
                <c:pt idx="31">
                  <c:v>65.75</c:v>
                </c:pt>
                <c:pt idx="32">
                  <c:v>#N/A</c:v>
                </c:pt>
                <c:pt idx="33">
                  <c:v>#N/A</c:v>
                </c:pt>
                <c:pt idx="34">
                  <c:v>#N/A</c:v>
                </c:pt>
                <c:pt idx="35">
                  <c:v>#N/A</c:v>
                </c:pt>
                <c:pt idx="36">
                  <c:v>#N/A</c:v>
                </c:pt>
                <c:pt idx="37">
                  <c:v>#N/A</c:v>
                </c:pt>
                <c:pt idx="38">
                  <c:v>#N/A</c:v>
                </c:pt>
                <c:pt idx="39">
                  <c:v>#N/A</c:v>
                </c:pt>
                <c:pt idx="40">
                  <c:v>#N/A</c:v>
                </c:pt>
                <c:pt idx="41">
                  <c:v>65.75</c:v>
                </c:pt>
                <c:pt idx="42">
                  <c:v>#N/A</c:v>
                </c:pt>
                <c:pt idx="43">
                  <c:v>#N/A</c:v>
                </c:pt>
                <c:pt idx="44">
                  <c:v>#N/A</c:v>
                </c:pt>
                <c:pt idx="45">
                  <c:v>65.61</c:v>
                </c:pt>
                <c:pt idx="46">
                  <c:v>#N/A</c:v>
                </c:pt>
                <c:pt idx="47">
                  <c:v>#N/A</c:v>
                </c:pt>
                <c:pt idx="48">
                  <c:v>#N/A</c:v>
                </c:pt>
                <c:pt idx="49">
                  <c:v>#N/A</c:v>
                </c:pt>
                <c:pt idx="50">
                  <c:v>#N/A</c:v>
                </c:pt>
                <c:pt idx="51">
                  <c:v>#N/A</c:v>
                </c:pt>
                <c:pt idx="52">
                  <c:v>65.75</c:v>
                </c:pt>
                <c:pt idx="53">
                  <c:v>#N/A</c:v>
                </c:pt>
                <c:pt idx="54">
                  <c:v>#N/A</c:v>
                </c:pt>
                <c:pt idx="55">
                  <c:v>#N/A</c:v>
                </c:pt>
                <c:pt idx="56">
                  <c:v>#N/A</c:v>
                </c:pt>
                <c:pt idx="57">
                  <c:v>#N/A</c:v>
                </c:pt>
                <c:pt idx="58">
                  <c:v>#N/A</c:v>
                </c:pt>
                <c:pt idx="59">
                  <c:v>65.75</c:v>
                </c:pt>
                <c:pt idx="60">
                  <c:v>#N/A</c:v>
                </c:pt>
                <c:pt idx="61">
                  <c:v>#N/A</c:v>
                </c:pt>
                <c:pt idx="62">
                  <c:v>#N/A</c:v>
                </c:pt>
                <c:pt idx="63">
                  <c:v>#N/A</c:v>
                </c:pt>
                <c:pt idx="64">
                  <c:v>#N/A</c:v>
                </c:pt>
                <c:pt idx="65">
                  <c:v>#N/A</c:v>
                </c:pt>
                <c:pt idx="66">
                  <c:v>62.98</c:v>
                </c:pt>
                <c:pt idx="67">
                  <c:v>#N/A</c:v>
                </c:pt>
                <c:pt idx="68">
                  <c:v>#N/A</c:v>
                </c:pt>
                <c:pt idx="69">
                  <c:v>#N/A</c:v>
                </c:pt>
                <c:pt idx="70">
                  <c:v>#N/A</c:v>
                </c:pt>
                <c:pt idx="71">
                  <c:v>#N/A</c:v>
                </c:pt>
                <c:pt idx="72">
                  <c:v>#N/A</c:v>
                </c:pt>
                <c:pt idx="73">
                  <c:v>62.29</c:v>
                </c:pt>
                <c:pt idx="74">
                  <c:v>#N/A</c:v>
                </c:pt>
                <c:pt idx="75">
                  <c:v>#N/A</c:v>
                </c:pt>
                <c:pt idx="76">
                  <c:v>#N/A</c:v>
                </c:pt>
                <c:pt idx="77">
                  <c:v>#N/A</c:v>
                </c:pt>
                <c:pt idx="78">
                  <c:v>#N/A</c:v>
                </c:pt>
                <c:pt idx="79">
                  <c:v>#N/A</c:v>
                </c:pt>
                <c:pt idx="80">
                  <c:v>63.4</c:v>
                </c:pt>
                <c:pt idx="81">
                  <c:v>#N/A</c:v>
                </c:pt>
                <c:pt idx="82">
                  <c:v>#N/A</c:v>
                </c:pt>
                <c:pt idx="83">
                  <c:v>#N/A</c:v>
                </c:pt>
                <c:pt idx="84">
                  <c:v>#N/A</c:v>
                </c:pt>
                <c:pt idx="85">
                  <c:v>#N/A</c:v>
                </c:pt>
                <c:pt idx="86">
                  <c:v>#N/A</c:v>
                </c:pt>
                <c:pt idx="87">
                  <c:v>64.64</c:v>
                </c:pt>
                <c:pt idx="88">
                  <c:v>#N/A</c:v>
                </c:pt>
                <c:pt idx="89">
                  <c:v>#N/A</c:v>
                </c:pt>
                <c:pt idx="90">
                  <c:v>#N/A</c:v>
                </c:pt>
                <c:pt idx="91">
                  <c:v>#N/A</c:v>
                </c:pt>
                <c:pt idx="92">
                  <c:v>#N/A</c:v>
                </c:pt>
                <c:pt idx="93">
                  <c:v>67.680000000000007</c:v>
                </c:pt>
                <c:pt idx="94">
                  <c:v>#N/A</c:v>
                </c:pt>
                <c:pt idx="95">
                  <c:v>#N/A</c:v>
                </c:pt>
                <c:pt idx="96">
                  <c:v>#N/A</c:v>
                </c:pt>
                <c:pt idx="97">
                  <c:v>#N/A</c:v>
                </c:pt>
                <c:pt idx="98">
                  <c:v>#N/A</c:v>
                </c:pt>
                <c:pt idx="99">
                  <c:v>#N/A</c:v>
                </c:pt>
                <c:pt idx="100">
                  <c:v>#N/A</c:v>
                </c:pt>
                <c:pt idx="101">
                  <c:v>69.48</c:v>
                </c:pt>
                <c:pt idx="102">
                  <c:v>#N/A</c:v>
                </c:pt>
                <c:pt idx="103">
                  <c:v>#N/A</c:v>
                </c:pt>
                <c:pt idx="104">
                  <c:v>#N/A</c:v>
                </c:pt>
                <c:pt idx="105">
                  <c:v>#N/A</c:v>
                </c:pt>
                <c:pt idx="106">
                  <c:v>#N/A</c:v>
                </c:pt>
                <c:pt idx="107">
                  <c:v>#N/A</c:v>
                </c:pt>
                <c:pt idx="108">
                  <c:v>70.03</c:v>
                </c:pt>
                <c:pt idx="109">
                  <c:v>#N/A</c:v>
                </c:pt>
                <c:pt idx="110">
                  <c:v>#N/A</c:v>
                </c:pt>
                <c:pt idx="111">
                  <c:v>#N/A</c:v>
                </c:pt>
                <c:pt idx="112">
                  <c:v>#N/A</c:v>
                </c:pt>
                <c:pt idx="113">
                  <c:v>#N/A</c:v>
                </c:pt>
                <c:pt idx="114">
                  <c:v>#N/A</c:v>
                </c:pt>
                <c:pt idx="115">
                  <c:v>70.58</c:v>
                </c:pt>
                <c:pt idx="116">
                  <c:v>#N/A</c:v>
                </c:pt>
                <c:pt idx="117">
                  <c:v>#N/A</c:v>
                </c:pt>
                <c:pt idx="118">
                  <c:v>#N/A</c:v>
                </c:pt>
                <c:pt idx="119">
                  <c:v>#N/A</c:v>
                </c:pt>
                <c:pt idx="120">
                  <c:v>#N/A</c:v>
                </c:pt>
                <c:pt idx="121">
                  <c:v>#N/A</c:v>
                </c:pt>
                <c:pt idx="122">
                  <c:v>#N/A</c:v>
                </c:pt>
                <c:pt idx="123">
                  <c:v>#N/A</c:v>
                </c:pt>
                <c:pt idx="124">
                  <c:v>70.58</c:v>
                </c:pt>
                <c:pt idx="125">
                  <c:v>#N/A</c:v>
                </c:pt>
                <c:pt idx="126">
                  <c:v>#N/A</c:v>
                </c:pt>
                <c:pt idx="127">
                  <c:v>#N/A</c:v>
                </c:pt>
                <c:pt idx="128">
                  <c:v>#N/A</c:v>
                </c:pt>
                <c:pt idx="129">
                  <c:v>68.78</c:v>
                </c:pt>
                <c:pt idx="130">
                  <c:v>#N/A</c:v>
                </c:pt>
                <c:pt idx="131">
                  <c:v>#N/A</c:v>
                </c:pt>
                <c:pt idx="132">
                  <c:v>#N/A</c:v>
                </c:pt>
                <c:pt idx="133">
                  <c:v>#N/A</c:v>
                </c:pt>
                <c:pt idx="134">
                  <c:v>#N/A</c:v>
                </c:pt>
                <c:pt idx="135">
                  <c:v>#N/A</c:v>
                </c:pt>
                <c:pt idx="136">
                  <c:v>69.06</c:v>
                </c:pt>
                <c:pt idx="137">
                  <c:v>#N/A</c:v>
                </c:pt>
                <c:pt idx="138">
                  <c:v>#N/A</c:v>
                </c:pt>
                <c:pt idx="139">
                  <c:v>#N/A</c:v>
                </c:pt>
                <c:pt idx="140">
                  <c:v>#N/A</c:v>
                </c:pt>
                <c:pt idx="141">
                  <c:v>#N/A</c:v>
                </c:pt>
                <c:pt idx="142">
                  <c:v>#N/A</c:v>
                </c:pt>
                <c:pt idx="143">
                  <c:v>71.13</c:v>
                </c:pt>
                <c:pt idx="144">
                  <c:v>#N/A</c:v>
                </c:pt>
                <c:pt idx="145">
                  <c:v>#N/A</c:v>
                </c:pt>
                <c:pt idx="146">
                  <c:v>#N/A</c:v>
                </c:pt>
                <c:pt idx="147">
                  <c:v>#N/A</c:v>
                </c:pt>
                <c:pt idx="148">
                  <c:v>#N/A</c:v>
                </c:pt>
                <c:pt idx="149">
                  <c:v>#N/A</c:v>
                </c:pt>
                <c:pt idx="150">
                  <c:v>71.69</c:v>
                </c:pt>
                <c:pt idx="151">
                  <c:v>#N/A</c:v>
                </c:pt>
                <c:pt idx="152">
                  <c:v>#N/A</c:v>
                </c:pt>
                <c:pt idx="153">
                  <c:v>#N/A</c:v>
                </c:pt>
                <c:pt idx="154">
                  <c:v>#N/A</c:v>
                </c:pt>
                <c:pt idx="155">
                  <c:v>#N/A</c:v>
                </c:pt>
                <c:pt idx="156">
                  <c:v>71.41</c:v>
                </c:pt>
                <c:pt idx="157">
                  <c:v>#N/A</c:v>
                </c:pt>
                <c:pt idx="158">
                  <c:v>#N/A</c:v>
                </c:pt>
                <c:pt idx="159">
                  <c:v>#N/A</c:v>
                </c:pt>
                <c:pt idx="160">
                  <c:v>#N/A</c:v>
                </c:pt>
                <c:pt idx="161">
                  <c:v>#N/A</c:v>
                </c:pt>
                <c:pt idx="162">
                  <c:v>#N/A</c:v>
                </c:pt>
                <c:pt idx="163">
                  <c:v>#N/A</c:v>
                </c:pt>
                <c:pt idx="164">
                  <c:v>71.13</c:v>
                </c:pt>
                <c:pt idx="165">
                  <c:v>#N/A</c:v>
                </c:pt>
                <c:pt idx="166">
                  <c:v>#N/A</c:v>
                </c:pt>
                <c:pt idx="167">
                  <c:v>#N/A</c:v>
                </c:pt>
                <c:pt idx="168">
                  <c:v>#N/A</c:v>
                </c:pt>
                <c:pt idx="169">
                  <c:v>#N/A</c:v>
                </c:pt>
                <c:pt idx="170">
                  <c:v>#N/A</c:v>
                </c:pt>
                <c:pt idx="171">
                  <c:v>71.13</c:v>
                </c:pt>
                <c:pt idx="172">
                  <c:v>#N/A</c:v>
                </c:pt>
                <c:pt idx="173">
                  <c:v>#N/A</c:v>
                </c:pt>
                <c:pt idx="174">
                  <c:v>#N/A</c:v>
                </c:pt>
                <c:pt idx="175">
                  <c:v>#N/A</c:v>
                </c:pt>
                <c:pt idx="176">
                  <c:v>#N/A</c:v>
                </c:pt>
                <c:pt idx="177">
                  <c:v>#N/A</c:v>
                </c:pt>
                <c:pt idx="178">
                  <c:v>67.959999999999994</c:v>
                </c:pt>
                <c:pt idx="179">
                  <c:v>#N/A</c:v>
                </c:pt>
                <c:pt idx="180">
                  <c:v>#N/A</c:v>
                </c:pt>
                <c:pt idx="181">
                  <c:v>#N/A</c:v>
                </c:pt>
                <c:pt idx="182">
                  <c:v>#N/A</c:v>
                </c:pt>
                <c:pt idx="183">
                  <c:v>#N/A</c:v>
                </c:pt>
                <c:pt idx="184">
                  <c:v>#N/A</c:v>
                </c:pt>
                <c:pt idx="185">
                  <c:v>66.3</c:v>
                </c:pt>
                <c:pt idx="186">
                  <c:v>#N/A</c:v>
                </c:pt>
                <c:pt idx="187">
                  <c:v>#N/A</c:v>
                </c:pt>
                <c:pt idx="188">
                  <c:v>#N/A</c:v>
                </c:pt>
                <c:pt idx="189">
                  <c:v>#N/A</c:v>
                </c:pt>
                <c:pt idx="190">
                  <c:v>#N/A</c:v>
                </c:pt>
                <c:pt idx="191">
                  <c:v>#N/A</c:v>
                </c:pt>
                <c:pt idx="192">
                  <c:v>66.02</c:v>
                </c:pt>
                <c:pt idx="193">
                  <c:v>#N/A</c:v>
                </c:pt>
                <c:pt idx="194">
                  <c:v>#N/A</c:v>
                </c:pt>
                <c:pt idx="195">
                  <c:v>#N/A</c:v>
                </c:pt>
                <c:pt idx="196">
                  <c:v>#N/A</c:v>
                </c:pt>
                <c:pt idx="197">
                  <c:v>#N/A</c:v>
                </c:pt>
                <c:pt idx="198">
                  <c:v>#N/A</c:v>
                </c:pt>
                <c:pt idx="199">
                  <c:v>66.709999999999994</c:v>
                </c:pt>
                <c:pt idx="200">
                  <c:v>#N/A</c:v>
                </c:pt>
                <c:pt idx="201">
                  <c:v>#N/A</c:v>
                </c:pt>
                <c:pt idx="202">
                  <c:v>#N/A</c:v>
                </c:pt>
                <c:pt idx="203">
                  <c:v>#N/A</c:v>
                </c:pt>
                <c:pt idx="204">
                  <c:v>#N/A</c:v>
                </c:pt>
                <c:pt idx="205">
                  <c:v>#N/A</c:v>
                </c:pt>
                <c:pt idx="206">
                  <c:v>66.709999999999994</c:v>
                </c:pt>
                <c:pt idx="207">
                  <c:v>#N/A</c:v>
                </c:pt>
                <c:pt idx="208">
                  <c:v>#N/A</c:v>
                </c:pt>
                <c:pt idx="209">
                  <c:v>#N/A</c:v>
                </c:pt>
                <c:pt idx="210">
                  <c:v>#N/A</c:v>
                </c:pt>
                <c:pt idx="211">
                  <c:v>#N/A</c:v>
                </c:pt>
                <c:pt idx="212">
                  <c:v>#N/A</c:v>
                </c:pt>
                <c:pt idx="213">
                  <c:v>67.27</c:v>
                </c:pt>
                <c:pt idx="214">
                  <c:v>#N/A</c:v>
                </c:pt>
                <c:pt idx="215">
                  <c:v>#N/A</c:v>
                </c:pt>
                <c:pt idx="216">
                  <c:v>#N/A</c:v>
                </c:pt>
                <c:pt idx="217">
                  <c:v>#N/A</c:v>
                </c:pt>
                <c:pt idx="218">
                  <c:v>#N/A</c:v>
                </c:pt>
                <c:pt idx="219">
                  <c:v>#N/A</c:v>
                </c:pt>
                <c:pt idx="220">
                  <c:v>69.48</c:v>
                </c:pt>
                <c:pt idx="221">
                  <c:v>#N/A</c:v>
                </c:pt>
                <c:pt idx="222">
                  <c:v>#N/A</c:v>
                </c:pt>
                <c:pt idx="223">
                  <c:v>#N/A</c:v>
                </c:pt>
                <c:pt idx="224">
                  <c:v>#N/A</c:v>
                </c:pt>
                <c:pt idx="225">
                  <c:v>#N/A</c:v>
                </c:pt>
                <c:pt idx="226">
                  <c:v>#N/A</c:v>
                </c:pt>
                <c:pt idx="227">
                  <c:v>68.09</c:v>
                </c:pt>
                <c:pt idx="228">
                  <c:v>#N/A</c:v>
                </c:pt>
                <c:pt idx="229">
                  <c:v>#N/A</c:v>
                </c:pt>
                <c:pt idx="230">
                  <c:v>#N/A</c:v>
                </c:pt>
                <c:pt idx="231">
                  <c:v>#N/A</c:v>
                </c:pt>
                <c:pt idx="232">
                  <c:v>#N/A</c:v>
                </c:pt>
                <c:pt idx="233">
                  <c:v>#N/A</c:v>
                </c:pt>
                <c:pt idx="234">
                  <c:v>68.23</c:v>
                </c:pt>
                <c:pt idx="235">
                  <c:v>#N/A</c:v>
                </c:pt>
                <c:pt idx="236">
                  <c:v>#N/A</c:v>
                </c:pt>
                <c:pt idx="237">
                  <c:v>#N/A</c:v>
                </c:pt>
                <c:pt idx="238">
                  <c:v>#N/A</c:v>
                </c:pt>
                <c:pt idx="239">
                  <c:v>#N/A</c:v>
                </c:pt>
                <c:pt idx="240">
                  <c:v>#N/A</c:v>
                </c:pt>
                <c:pt idx="241">
                  <c:v>67.959999999999994</c:v>
                </c:pt>
                <c:pt idx="242">
                  <c:v>#N/A</c:v>
                </c:pt>
                <c:pt idx="243">
                  <c:v>#N/A</c:v>
                </c:pt>
                <c:pt idx="244">
                  <c:v>#N/A</c:v>
                </c:pt>
                <c:pt idx="245">
                  <c:v>#N/A</c:v>
                </c:pt>
                <c:pt idx="246">
                  <c:v>#N/A</c:v>
                </c:pt>
                <c:pt idx="247">
                  <c:v>#N/A</c:v>
                </c:pt>
                <c:pt idx="248">
                  <c:v>68.23</c:v>
                </c:pt>
                <c:pt idx="249">
                  <c:v>#N/A</c:v>
                </c:pt>
                <c:pt idx="250">
                  <c:v>#N/A</c:v>
                </c:pt>
                <c:pt idx="251">
                  <c:v>#N/A</c:v>
                </c:pt>
                <c:pt idx="252">
                  <c:v>#N/A</c:v>
                </c:pt>
                <c:pt idx="253">
                  <c:v>#N/A</c:v>
                </c:pt>
                <c:pt idx="254">
                  <c:v>68.09</c:v>
                </c:pt>
                <c:pt idx="255">
                  <c:v>#N/A</c:v>
                </c:pt>
                <c:pt idx="256">
                  <c:v>#N/A</c:v>
                </c:pt>
                <c:pt idx="257">
                  <c:v>#N/A</c:v>
                </c:pt>
                <c:pt idx="258">
                  <c:v>#N/A</c:v>
                </c:pt>
                <c:pt idx="259">
                  <c:v>#N/A</c:v>
                </c:pt>
                <c:pt idx="260">
                  <c:v>#N/A</c:v>
                </c:pt>
                <c:pt idx="261">
                  <c:v>#N/A</c:v>
                </c:pt>
                <c:pt idx="262">
                  <c:v>68.09</c:v>
                </c:pt>
                <c:pt idx="263">
                  <c:v>#N/A</c:v>
                </c:pt>
                <c:pt idx="264">
                  <c:v>#N/A</c:v>
                </c:pt>
                <c:pt idx="265">
                  <c:v>#N/A</c:v>
                </c:pt>
                <c:pt idx="266">
                  <c:v>#N/A</c:v>
                </c:pt>
                <c:pt idx="267">
                  <c:v>#N/A</c:v>
                </c:pt>
                <c:pt idx="268">
                  <c:v>#N/A</c:v>
                </c:pt>
                <c:pt idx="269">
                  <c:v>57.6</c:v>
                </c:pt>
                <c:pt idx="270">
                  <c:v>#N/A</c:v>
                </c:pt>
                <c:pt idx="271">
                  <c:v>#N/A</c:v>
                </c:pt>
                <c:pt idx="272">
                  <c:v>#N/A</c:v>
                </c:pt>
                <c:pt idx="273">
                  <c:v>#N/A</c:v>
                </c:pt>
                <c:pt idx="274">
                  <c:v>#N/A</c:v>
                </c:pt>
                <c:pt idx="275">
                  <c:v>#N/A</c:v>
                </c:pt>
                <c:pt idx="276">
                  <c:v>56.22</c:v>
                </c:pt>
                <c:pt idx="277">
                  <c:v>#N/A</c:v>
                </c:pt>
                <c:pt idx="278">
                  <c:v>#N/A</c:v>
                </c:pt>
                <c:pt idx="279">
                  <c:v>#N/A</c:v>
                </c:pt>
                <c:pt idx="280">
                  <c:v>#N/A</c:v>
                </c:pt>
                <c:pt idx="281">
                  <c:v>#N/A</c:v>
                </c:pt>
                <c:pt idx="282">
                  <c:v>#N/A</c:v>
                </c:pt>
                <c:pt idx="283">
                  <c:v>64.36</c:v>
                </c:pt>
                <c:pt idx="284">
                  <c:v>#N/A</c:v>
                </c:pt>
                <c:pt idx="285">
                  <c:v>#N/A</c:v>
                </c:pt>
                <c:pt idx="286">
                  <c:v>#N/A</c:v>
                </c:pt>
                <c:pt idx="287">
                  <c:v>#N/A</c:v>
                </c:pt>
                <c:pt idx="288">
                  <c:v>#N/A</c:v>
                </c:pt>
                <c:pt idx="289">
                  <c:v>#N/A</c:v>
                </c:pt>
                <c:pt idx="290">
                  <c:v>63.54</c:v>
                </c:pt>
                <c:pt idx="291">
                  <c:v>#N/A</c:v>
                </c:pt>
                <c:pt idx="292">
                  <c:v>#N/A</c:v>
                </c:pt>
                <c:pt idx="293">
                  <c:v>#N/A</c:v>
                </c:pt>
                <c:pt idx="294">
                  <c:v>#N/A</c:v>
                </c:pt>
                <c:pt idx="295">
                  <c:v>#N/A</c:v>
                </c:pt>
                <c:pt idx="296">
                  <c:v>#N/A</c:v>
                </c:pt>
                <c:pt idx="297">
                  <c:v>63.54</c:v>
                </c:pt>
                <c:pt idx="298">
                  <c:v>#N/A</c:v>
                </c:pt>
                <c:pt idx="299">
                  <c:v>#N/A</c:v>
                </c:pt>
                <c:pt idx="300">
                  <c:v>#N/A</c:v>
                </c:pt>
                <c:pt idx="301">
                  <c:v>#N/A</c:v>
                </c:pt>
                <c:pt idx="302">
                  <c:v>#N/A</c:v>
                </c:pt>
                <c:pt idx="303">
                  <c:v>#N/A</c:v>
                </c:pt>
                <c:pt idx="304">
                  <c:v>64.92</c:v>
                </c:pt>
                <c:pt idx="305">
                  <c:v>#N/A</c:v>
                </c:pt>
                <c:pt idx="306">
                  <c:v>#N/A</c:v>
                </c:pt>
                <c:pt idx="307">
                  <c:v>#N/A</c:v>
                </c:pt>
                <c:pt idx="308">
                  <c:v>#N/A</c:v>
                </c:pt>
                <c:pt idx="309">
                  <c:v>#N/A</c:v>
                </c:pt>
                <c:pt idx="310">
                  <c:v>#N/A</c:v>
                </c:pt>
                <c:pt idx="311">
                  <c:v>64.23</c:v>
                </c:pt>
                <c:pt idx="312">
                  <c:v>#N/A</c:v>
                </c:pt>
                <c:pt idx="313">
                  <c:v>#N/A</c:v>
                </c:pt>
                <c:pt idx="314">
                  <c:v>#N/A</c:v>
                </c:pt>
                <c:pt idx="315">
                  <c:v>#N/A</c:v>
                </c:pt>
                <c:pt idx="316">
                  <c:v>#N/A</c:v>
                </c:pt>
                <c:pt idx="317">
                  <c:v>#N/A</c:v>
                </c:pt>
                <c:pt idx="318">
                  <c:v>66.02</c:v>
                </c:pt>
                <c:pt idx="319">
                  <c:v>#N/A</c:v>
                </c:pt>
                <c:pt idx="320">
                  <c:v>#N/A</c:v>
                </c:pt>
                <c:pt idx="321">
                  <c:v>#N/A</c:v>
                </c:pt>
                <c:pt idx="322">
                  <c:v>#N/A</c:v>
                </c:pt>
                <c:pt idx="323">
                  <c:v>#N/A</c:v>
                </c:pt>
                <c:pt idx="324">
                  <c:v>#N/A</c:v>
                </c:pt>
                <c:pt idx="325">
                  <c:v>65.33</c:v>
                </c:pt>
                <c:pt idx="326">
                  <c:v>#N/A</c:v>
                </c:pt>
                <c:pt idx="327">
                  <c:v>#N/A</c:v>
                </c:pt>
                <c:pt idx="328">
                  <c:v>#N/A</c:v>
                </c:pt>
                <c:pt idx="329">
                  <c:v>#N/A</c:v>
                </c:pt>
                <c:pt idx="330">
                  <c:v>#N/A</c:v>
                </c:pt>
                <c:pt idx="331">
                  <c:v>#N/A</c:v>
                </c:pt>
                <c:pt idx="332">
                  <c:v>65.88</c:v>
                </c:pt>
                <c:pt idx="333">
                  <c:v>#N/A</c:v>
                </c:pt>
                <c:pt idx="334">
                  <c:v>#N/A</c:v>
                </c:pt>
                <c:pt idx="335">
                  <c:v>#N/A</c:v>
                </c:pt>
                <c:pt idx="336">
                  <c:v>#N/A</c:v>
                </c:pt>
                <c:pt idx="337">
                  <c:v>#N/A</c:v>
                </c:pt>
                <c:pt idx="338">
                  <c:v>#N/A</c:v>
                </c:pt>
                <c:pt idx="339">
                  <c:v>66.849999999999994</c:v>
                </c:pt>
                <c:pt idx="340">
                  <c:v>#N/A</c:v>
                </c:pt>
                <c:pt idx="341">
                  <c:v>#N/A</c:v>
                </c:pt>
                <c:pt idx="342">
                  <c:v>#N/A</c:v>
                </c:pt>
                <c:pt idx="343">
                  <c:v>#N/A</c:v>
                </c:pt>
                <c:pt idx="344">
                  <c:v>#N/A</c:v>
                </c:pt>
                <c:pt idx="345">
                  <c:v>#N/A</c:v>
                </c:pt>
                <c:pt idx="346">
                  <c:v>65.88</c:v>
                </c:pt>
                <c:pt idx="347">
                  <c:v>#N/A</c:v>
                </c:pt>
                <c:pt idx="348">
                  <c:v>#N/A</c:v>
                </c:pt>
                <c:pt idx="349">
                  <c:v>#N/A</c:v>
                </c:pt>
                <c:pt idx="350">
                  <c:v>#N/A</c:v>
                </c:pt>
                <c:pt idx="351">
                  <c:v>#N/A</c:v>
                </c:pt>
                <c:pt idx="352">
                  <c:v>#N/A</c:v>
                </c:pt>
                <c:pt idx="353">
                  <c:v>65.75</c:v>
                </c:pt>
                <c:pt idx="354">
                  <c:v>#N/A</c:v>
                </c:pt>
                <c:pt idx="355">
                  <c:v>#N/A</c:v>
                </c:pt>
                <c:pt idx="356">
                  <c:v>#N/A</c:v>
                </c:pt>
                <c:pt idx="357">
                  <c:v>#N/A</c:v>
                </c:pt>
                <c:pt idx="358">
                  <c:v>#N/A</c:v>
                </c:pt>
                <c:pt idx="359">
                  <c:v>#N/A</c:v>
                </c:pt>
                <c:pt idx="360">
                  <c:v>65.33</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1-405E-B422-D7A57FDA5907}"/>
            </c:ext>
          </c:extLst>
        </c:ser>
        <c:ser>
          <c:idx val="1"/>
          <c:order val="2"/>
          <c:tx>
            <c:strRef>
              <c:f>高炉!$J$1</c:f>
              <c:strCache>
                <c:ptCount val="1"/>
                <c:pt idx="0">
                  <c:v>2020</c:v>
                </c:pt>
              </c:strCache>
            </c:strRef>
          </c:tx>
          <c:spPr>
            <a:ln w="28575">
              <a:solidFill>
                <a:srgbClr val="BF5711"/>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高炉!$J$2:$J$366</c:f>
              <c:numCache>
                <c:formatCode>General</c:formatCode>
                <c:ptCount val="365"/>
                <c:pt idx="0">
                  <c:v>#N/A</c:v>
                </c:pt>
                <c:pt idx="1">
                  <c:v>#N/A</c:v>
                </c:pt>
                <c:pt idx="2">
                  <c:v>66.709999999999994</c:v>
                </c:pt>
                <c:pt idx="3">
                  <c:v>#N/A</c:v>
                </c:pt>
                <c:pt idx="4">
                  <c:v>#N/A</c:v>
                </c:pt>
                <c:pt idx="5">
                  <c:v>#N/A</c:v>
                </c:pt>
                <c:pt idx="6">
                  <c:v>#N/A</c:v>
                </c:pt>
                <c:pt idx="7">
                  <c:v>#N/A</c:v>
                </c:pt>
                <c:pt idx="8">
                  <c:v>#N/A</c:v>
                </c:pt>
                <c:pt idx="9">
                  <c:v>66.569999999999993</c:v>
                </c:pt>
                <c:pt idx="10">
                  <c:v>#N/A</c:v>
                </c:pt>
                <c:pt idx="11">
                  <c:v>#N/A</c:v>
                </c:pt>
                <c:pt idx="12">
                  <c:v>#N/A</c:v>
                </c:pt>
                <c:pt idx="13">
                  <c:v>#N/A</c:v>
                </c:pt>
                <c:pt idx="14">
                  <c:v>#N/A</c:v>
                </c:pt>
                <c:pt idx="15">
                  <c:v>#N/A</c:v>
                </c:pt>
                <c:pt idx="16">
                  <c:v>66.709999999999994</c:v>
                </c:pt>
                <c:pt idx="17">
                  <c:v>#N/A</c:v>
                </c:pt>
                <c:pt idx="18">
                  <c:v>#N/A</c:v>
                </c:pt>
                <c:pt idx="19">
                  <c:v>#N/A</c:v>
                </c:pt>
                <c:pt idx="20">
                  <c:v>#N/A</c:v>
                </c:pt>
                <c:pt idx="21">
                  <c:v>#N/A</c:v>
                </c:pt>
                <c:pt idx="22">
                  <c:v>66.849999999999994</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64.09</c:v>
                </c:pt>
                <c:pt idx="38">
                  <c:v>#N/A</c:v>
                </c:pt>
                <c:pt idx="39">
                  <c:v>#N/A</c:v>
                </c:pt>
                <c:pt idx="40">
                  <c:v>#N/A</c:v>
                </c:pt>
                <c:pt idx="41">
                  <c:v>#N/A</c:v>
                </c:pt>
                <c:pt idx="42">
                  <c:v>#N/A</c:v>
                </c:pt>
                <c:pt idx="43">
                  <c:v>#N/A</c:v>
                </c:pt>
                <c:pt idx="44">
                  <c:v>62.71</c:v>
                </c:pt>
                <c:pt idx="45">
                  <c:v>#N/A</c:v>
                </c:pt>
                <c:pt idx="46">
                  <c:v>#N/A</c:v>
                </c:pt>
                <c:pt idx="47">
                  <c:v>#N/A</c:v>
                </c:pt>
                <c:pt idx="48">
                  <c:v>#N/A</c:v>
                </c:pt>
                <c:pt idx="49">
                  <c:v>#N/A</c:v>
                </c:pt>
                <c:pt idx="50">
                  <c:v>#N/A</c:v>
                </c:pt>
                <c:pt idx="51">
                  <c:v>61.88</c:v>
                </c:pt>
                <c:pt idx="52">
                  <c:v>#N/A</c:v>
                </c:pt>
                <c:pt idx="53">
                  <c:v>#N/A</c:v>
                </c:pt>
                <c:pt idx="54">
                  <c:v>#N/A</c:v>
                </c:pt>
                <c:pt idx="55">
                  <c:v>#N/A</c:v>
                </c:pt>
                <c:pt idx="56">
                  <c:v>#N/A</c:v>
                </c:pt>
                <c:pt idx="57">
                  <c:v>#N/A</c:v>
                </c:pt>
                <c:pt idx="58">
                  <c:v>62.85</c:v>
                </c:pt>
                <c:pt idx="59">
                  <c:v>#N/A</c:v>
                </c:pt>
                <c:pt idx="60">
                  <c:v>#N/A</c:v>
                </c:pt>
                <c:pt idx="61">
                  <c:v>#N/A</c:v>
                </c:pt>
                <c:pt idx="62">
                  <c:v>#N/A</c:v>
                </c:pt>
                <c:pt idx="63">
                  <c:v>#N/A</c:v>
                </c:pt>
                <c:pt idx="64">
                  <c:v>#N/A</c:v>
                </c:pt>
                <c:pt idx="65">
                  <c:v>63.54</c:v>
                </c:pt>
                <c:pt idx="66">
                  <c:v>#N/A</c:v>
                </c:pt>
                <c:pt idx="67">
                  <c:v>#N/A</c:v>
                </c:pt>
                <c:pt idx="68">
                  <c:v>#N/A</c:v>
                </c:pt>
                <c:pt idx="69">
                  <c:v>#N/A</c:v>
                </c:pt>
                <c:pt idx="70">
                  <c:v>#N/A</c:v>
                </c:pt>
                <c:pt idx="71">
                  <c:v>#N/A</c:v>
                </c:pt>
                <c:pt idx="72">
                  <c:v>64.5</c:v>
                </c:pt>
                <c:pt idx="73">
                  <c:v>#N/A</c:v>
                </c:pt>
                <c:pt idx="74">
                  <c:v>#N/A</c:v>
                </c:pt>
                <c:pt idx="75">
                  <c:v>#N/A</c:v>
                </c:pt>
                <c:pt idx="76">
                  <c:v>#N/A</c:v>
                </c:pt>
                <c:pt idx="77">
                  <c:v>#N/A</c:v>
                </c:pt>
                <c:pt idx="78">
                  <c:v>#N/A</c:v>
                </c:pt>
                <c:pt idx="79">
                  <c:v>65.06</c:v>
                </c:pt>
                <c:pt idx="80">
                  <c:v>#N/A</c:v>
                </c:pt>
                <c:pt idx="81">
                  <c:v>#N/A</c:v>
                </c:pt>
                <c:pt idx="82">
                  <c:v>#N/A</c:v>
                </c:pt>
                <c:pt idx="83">
                  <c:v>#N/A</c:v>
                </c:pt>
                <c:pt idx="84">
                  <c:v>#N/A</c:v>
                </c:pt>
                <c:pt idx="85">
                  <c:v>#N/A</c:v>
                </c:pt>
                <c:pt idx="86">
                  <c:v>65.88</c:v>
                </c:pt>
                <c:pt idx="87">
                  <c:v>#N/A</c:v>
                </c:pt>
                <c:pt idx="88">
                  <c:v>#N/A</c:v>
                </c:pt>
                <c:pt idx="89">
                  <c:v>#N/A</c:v>
                </c:pt>
                <c:pt idx="90">
                  <c:v>#N/A</c:v>
                </c:pt>
                <c:pt idx="91">
                  <c:v>#N/A</c:v>
                </c:pt>
                <c:pt idx="92">
                  <c:v>#N/A</c:v>
                </c:pt>
                <c:pt idx="93">
                  <c:v>66.989999999999995</c:v>
                </c:pt>
                <c:pt idx="94">
                  <c:v>#N/A</c:v>
                </c:pt>
                <c:pt idx="95">
                  <c:v>#N/A</c:v>
                </c:pt>
                <c:pt idx="96">
                  <c:v>#N/A</c:v>
                </c:pt>
                <c:pt idx="97">
                  <c:v>#N/A</c:v>
                </c:pt>
                <c:pt idx="98">
                  <c:v>#N/A</c:v>
                </c:pt>
                <c:pt idx="99">
                  <c:v>#N/A</c:v>
                </c:pt>
                <c:pt idx="100">
                  <c:v>68.09</c:v>
                </c:pt>
                <c:pt idx="101">
                  <c:v>#N/A</c:v>
                </c:pt>
                <c:pt idx="102">
                  <c:v>#N/A</c:v>
                </c:pt>
                <c:pt idx="103">
                  <c:v>#N/A</c:v>
                </c:pt>
                <c:pt idx="104">
                  <c:v>#N/A</c:v>
                </c:pt>
                <c:pt idx="105">
                  <c:v>#N/A</c:v>
                </c:pt>
                <c:pt idx="106">
                  <c:v>#N/A</c:v>
                </c:pt>
                <c:pt idx="107">
                  <c:v>68.650000000000006</c:v>
                </c:pt>
                <c:pt idx="108">
                  <c:v>#N/A</c:v>
                </c:pt>
                <c:pt idx="109">
                  <c:v>#N/A</c:v>
                </c:pt>
                <c:pt idx="110">
                  <c:v>#N/A</c:v>
                </c:pt>
                <c:pt idx="111">
                  <c:v>#N/A</c:v>
                </c:pt>
                <c:pt idx="112">
                  <c:v>#N/A</c:v>
                </c:pt>
                <c:pt idx="113">
                  <c:v>#N/A</c:v>
                </c:pt>
                <c:pt idx="114">
                  <c:v>68.650000000000006</c:v>
                </c:pt>
                <c:pt idx="115">
                  <c:v>#N/A</c:v>
                </c:pt>
                <c:pt idx="116">
                  <c:v>#N/A</c:v>
                </c:pt>
                <c:pt idx="117">
                  <c:v>#N/A</c:v>
                </c:pt>
                <c:pt idx="118">
                  <c:v>#N/A</c:v>
                </c:pt>
                <c:pt idx="119">
                  <c:v>#N/A</c:v>
                </c:pt>
                <c:pt idx="120">
                  <c:v>69.06</c:v>
                </c:pt>
                <c:pt idx="121">
                  <c:v>#N/A</c:v>
                </c:pt>
                <c:pt idx="122">
                  <c:v>#N/A</c:v>
                </c:pt>
                <c:pt idx="123">
                  <c:v>#N/A</c:v>
                </c:pt>
                <c:pt idx="124">
                  <c:v>#N/A</c:v>
                </c:pt>
                <c:pt idx="125">
                  <c:v>#N/A</c:v>
                </c:pt>
                <c:pt idx="126">
                  <c:v>#N/A</c:v>
                </c:pt>
                <c:pt idx="127">
                  <c:v>#N/A</c:v>
                </c:pt>
                <c:pt idx="128">
                  <c:v>69.06</c:v>
                </c:pt>
                <c:pt idx="129">
                  <c:v>#N/A</c:v>
                </c:pt>
                <c:pt idx="130">
                  <c:v>#N/A</c:v>
                </c:pt>
                <c:pt idx="131">
                  <c:v>#N/A</c:v>
                </c:pt>
                <c:pt idx="132">
                  <c:v>#N/A</c:v>
                </c:pt>
                <c:pt idx="133">
                  <c:v>#N/A</c:v>
                </c:pt>
                <c:pt idx="134">
                  <c:v>#N/A</c:v>
                </c:pt>
                <c:pt idx="135">
                  <c:v>70.44</c:v>
                </c:pt>
                <c:pt idx="136">
                  <c:v>#N/A</c:v>
                </c:pt>
                <c:pt idx="137">
                  <c:v>#N/A</c:v>
                </c:pt>
                <c:pt idx="138">
                  <c:v>#N/A</c:v>
                </c:pt>
                <c:pt idx="139">
                  <c:v>#N/A</c:v>
                </c:pt>
                <c:pt idx="140">
                  <c:v>#N/A</c:v>
                </c:pt>
                <c:pt idx="141">
                  <c:v>#N/A</c:v>
                </c:pt>
                <c:pt idx="142">
                  <c:v>70.44</c:v>
                </c:pt>
                <c:pt idx="143">
                  <c:v>#N/A</c:v>
                </c:pt>
                <c:pt idx="144">
                  <c:v>#N/A</c:v>
                </c:pt>
                <c:pt idx="145">
                  <c:v>#N/A</c:v>
                </c:pt>
                <c:pt idx="146">
                  <c:v>#N/A</c:v>
                </c:pt>
                <c:pt idx="147">
                  <c:v>#N/A</c:v>
                </c:pt>
                <c:pt idx="148">
                  <c:v>#N/A</c:v>
                </c:pt>
                <c:pt idx="149">
                  <c:v>70.58</c:v>
                </c:pt>
                <c:pt idx="150">
                  <c:v>#N/A</c:v>
                </c:pt>
                <c:pt idx="151">
                  <c:v>#N/A</c:v>
                </c:pt>
                <c:pt idx="152">
                  <c:v>#N/A</c:v>
                </c:pt>
                <c:pt idx="153">
                  <c:v>#N/A</c:v>
                </c:pt>
                <c:pt idx="154">
                  <c:v>#N/A</c:v>
                </c:pt>
                <c:pt idx="155">
                  <c:v>#N/A</c:v>
                </c:pt>
                <c:pt idx="156">
                  <c:v>70.44</c:v>
                </c:pt>
                <c:pt idx="157">
                  <c:v>#N/A</c:v>
                </c:pt>
                <c:pt idx="158">
                  <c:v>#N/A</c:v>
                </c:pt>
                <c:pt idx="159">
                  <c:v>#N/A</c:v>
                </c:pt>
                <c:pt idx="160">
                  <c:v>#N/A</c:v>
                </c:pt>
                <c:pt idx="161">
                  <c:v>#N/A</c:v>
                </c:pt>
                <c:pt idx="162">
                  <c:v>#N/A</c:v>
                </c:pt>
                <c:pt idx="163">
                  <c:v>70.72</c:v>
                </c:pt>
                <c:pt idx="164">
                  <c:v>#N/A</c:v>
                </c:pt>
                <c:pt idx="165">
                  <c:v>#N/A</c:v>
                </c:pt>
                <c:pt idx="166">
                  <c:v>#N/A</c:v>
                </c:pt>
                <c:pt idx="167">
                  <c:v>#N/A</c:v>
                </c:pt>
                <c:pt idx="168">
                  <c:v>#N/A</c:v>
                </c:pt>
                <c:pt idx="169">
                  <c:v>#N/A</c:v>
                </c:pt>
                <c:pt idx="170">
                  <c:v>70.03</c:v>
                </c:pt>
                <c:pt idx="171">
                  <c:v>#N/A</c:v>
                </c:pt>
                <c:pt idx="172">
                  <c:v>#N/A</c:v>
                </c:pt>
                <c:pt idx="173">
                  <c:v>#N/A</c:v>
                </c:pt>
                <c:pt idx="174">
                  <c:v>#N/A</c:v>
                </c:pt>
                <c:pt idx="175">
                  <c:v>#N/A</c:v>
                </c:pt>
                <c:pt idx="176">
                  <c:v>#N/A</c:v>
                </c:pt>
                <c:pt idx="177">
                  <c:v>70.44</c:v>
                </c:pt>
                <c:pt idx="178">
                  <c:v>#N/A</c:v>
                </c:pt>
                <c:pt idx="179">
                  <c:v>#N/A</c:v>
                </c:pt>
                <c:pt idx="180">
                  <c:v>#N/A</c:v>
                </c:pt>
                <c:pt idx="181">
                  <c:v>#N/A</c:v>
                </c:pt>
                <c:pt idx="182">
                  <c:v>#N/A</c:v>
                </c:pt>
                <c:pt idx="183">
                  <c:v>#N/A</c:v>
                </c:pt>
                <c:pt idx="184">
                  <c:v>70.44</c:v>
                </c:pt>
                <c:pt idx="185">
                  <c:v>#N/A</c:v>
                </c:pt>
                <c:pt idx="186">
                  <c:v>#N/A</c:v>
                </c:pt>
                <c:pt idx="187">
                  <c:v>#N/A</c:v>
                </c:pt>
                <c:pt idx="188">
                  <c:v>#N/A</c:v>
                </c:pt>
                <c:pt idx="189">
                  <c:v>#N/A</c:v>
                </c:pt>
                <c:pt idx="190">
                  <c:v>#N/A</c:v>
                </c:pt>
                <c:pt idx="191">
                  <c:v>70.03</c:v>
                </c:pt>
                <c:pt idx="192">
                  <c:v>#N/A</c:v>
                </c:pt>
                <c:pt idx="193">
                  <c:v>#N/A</c:v>
                </c:pt>
                <c:pt idx="194">
                  <c:v>#N/A</c:v>
                </c:pt>
                <c:pt idx="195">
                  <c:v>#N/A</c:v>
                </c:pt>
                <c:pt idx="196">
                  <c:v>#N/A</c:v>
                </c:pt>
                <c:pt idx="197">
                  <c:v>#N/A</c:v>
                </c:pt>
                <c:pt idx="198">
                  <c:v>69.89</c:v>
                </c:pt>
                <c:pt idx="199">
                  <c:v>#N/A</c:v>
                </c:pt>
                <c:pt idx="200">
                  <c:v>#N/A</c:v>
                </c:pt>
                <c:pt idx="201">
                  <c:v>#N/A</c:v>
                </c:pt>
                <c:pt idx="202">
                  <c:v>#N/A</c:v>
                </c:pt>
                <c:pt idx="203">
                  <c:v>#N/A</c:v>
                </c:pt>
                <c:pt idx="204">
                  <c:v>#N/A</c:v>
                </c:pt>
                <c:pt idx="205">
                  <c:v>70.17</c:v>
                </c:pt>
                <c:pt idx="206">
                  <c:v>#N/A</c:v>
                </c:pt>
                <c:pt idx="207">
                  <c:v>#N/A</c:v>
                </c:pt>
                <c:pt idx="208">
                  <c:v>#N/A</c:v>
                </c:pt>
                <c:pt idx="209">
                  <c:v>#N/A</c:v>
                </c:pt>
                <c:pt idx="210">
                  <c:v>#N/A</c:v>
                </c:pt>
                <c:pt idx="211">
                  <c:v>#N/A</c:v>
                </c:pt>
                <c:pt idx="212">
                  <c:v>70.3</c:v>
                </c:pt>
                <c:pt idx="213">
                  <c:v>#N/A</c:v>
                </c:pt>
                <c:pt idx="214">
                  <c:v>#N/A</c:v>
                </c:pt>
                <c:pt idx="215">
                  <c:v>#N/A</c:v>
                </c:pt>
                <c:pt idx="216">
                  <c:v>#N/A</c:v>
                </c:pt>
                <c:pt idx="217">
                  <c:v>#N/A</c:v>
                </c:pt>
                <c:pt idx="218">
                  <c:v>#N/A</c:v>
                </c:pt>
                <c:pt idx="219">
                  <c:v>70.86</c:v>
                </c:pt>
                <c:pt idx="220">
                  <c:v>#N/A</c:v>
                </c:pt>
                <c:pt idx="221">
                  <c:v>#N/A</c:v>
                </c:pt>
                <c:pt idx="222">
                  <c:v>#N/A</c:v>
                </c:pt>
                <c:pt idx="223">
                  <c:v>#N/A</c:v>
                </c:pt>
                <c:pt idx="224">
                  <c:v>#N/A</c:v>
                </c:pt>
                <c:pt idx="225">
                  <c:v>#N/A</c:v>
                </c:pt>
                <c:pt idx="226">
                  <c:v>71.27</c:v>
                </c:pt>
                <c:pt idx="227">
                  <c:v>#N/A</c:v>
                </c:pt>
                <c:pt idx="228">
                  <c:v>#N/A</c:v>
                </c:pt>
                <c:pt idx="229">
                  <c:v>#N/A</c:v>
                </c:pt>
                <c:pt idx="230">
                  <c:v>#N/A</c:v>
                </c:pt>
                <c:pt idx="231">
                  <c:v>#N/A</c:v>
                </c:pt>
                <c:pt idx="232">
                  <c:v>#N/A</c:v>
                </c:pt>
                <c:pt idx="233">
                  <c:v>71.13</c:v>
                </c:pt>
                <c:pt idx="234">
                  <c:v>#N/A</c:v>
                </c:pt>
                <c:pt idx="235">
                  <c:v>#N/A</c:v>
                </c:pt>
                <c:pt idx="236">
                  <c:v>#N/A</c:v>
                </c:pt>
                <c:pt idx="237">
                  <c:v>#N/A</c:v>
                </c:pt>
                <c:pt idx="238">
                  <c:v>#N/A</c:v>
                </c:pt>
                <c:pt idx="239">
                  <c:v>#N/A</c:v>
                </c:pt>
                <c:pt idx="240">
                  <c:v>70.989999999999995</c:v>
                </c:pt>
                <c:pt idx="241">
                  <c:v>#N/A</c:v>
                </c:pt>
                <c:pt idx="242">
                  <c:v>#N/A</c:v>
                </c:pt>
                <c:pt idx="243">
                  <c:v>#N/A</c:v>
                </c:pt>
                <c:pt idx="244">
                  <c:v>#N/A</c:v>
                </c:pt>
                <c:pt idx="245">
                  <c:v>#N/A</c:v>
                </c:pt>
                <c:pt idx="246">
                  <c:v>#N/A</c:v>
                </c:pt>
                <c:pt idx="247">
                  <c:v>70.72</c:v>
                </c:pt>
                <c:pt idx="248">
                  <c:v>#N/A</c:v>
                </c:pt>
                <c:pt idx="249">
                  <c:v>#N/A</c:v>
                </c:pt>
                <c:pt idx="250">
                  <c:v>#N/A</c:v>
                </c:pt>
                <c:pt idx="251">
                  <c:v>#N/A</c:v>
                </c:pt>
                <c:pt idx="252">
                  <c:v>#N/A</c:v>
                </c:pt>
                <c:pt idx="253">
                  <c:v>#N/A</c:v>
                </c:pt>
                <c:pt idx="254">
                  <c:v>70.17</c:v>
                </c:pt>
                <c:pt idx="255">
                  <c:v>#N/A</c:v>
                </c:pt>
                <c:pt idx="256">
                  <c:v>#N/A</c:v>
                </c:pt>
                <c:pt idx="257">
                  <c:v>#N/A</c:v>
                </c:pt>
                <c:pt idx="258">
                  <c:v>#N/A</c:v>
                </c:pt>
                <c:pt idx="259">
                  <c:v>#N/A</c:v>
                </c:pt>
                <c:pt idx="260">
                  <c:v>#N/A</c:v>
                </c:pt>
                <c:pt idx="261">
                  <c:v>69.89</c:v>
                </c:pt>
                <c:pt idx="262">
                  <c:v>#N/A</c:v>
                </c:pt>
                <c:pt idx="263">
                  <c:v>#N/A</c:v>
                </c:pt>
                <c:pt idx="264">
                  <c:v>#N/A</c:v>
                </c:pt>
                <c:pt idx="265">
                  <c:v>#N/A</c:v>
                </c:pt>
                <c:pt idx="266">
                  <c:v>#N/A</c:v>
                </c:pt>
                <c:pt idx="267">
                  <c:v>#N/A</c:v>
                </c:pt>
                <c:pt idx="268">
                  <c:v>68.650000000000006</c:v>
                </c:pt>
                <c:pt idx="269">
                  <c:v>#N/A</c:v>
                </c:pt>
                <c:pt idx="270">
                  <c:v>#N/A</c:v>
                </c:pt>
                <c:pt idx="271">
                  <c:v>#N/A</c:v>
                </c:pt>
                <c:pt idx="272">
                  <c:v>#N/A</c:v>
                </c:pt>
                <c:pt idx="273">
                  <c:v>68.09</c:v>
                </c:pt>
                <c:pt idx="274">
                  <c:v>#N/A</c:v>
                </c:pt>
                <c:pt idx="275">
                  <c:v>#N/A</c:v>
                </c:pt>
                <c:pt idx="276">
                  <c:v>#N/A</c:v>
                </c:pt>
                <c:pt idx="277">
                  <c:v>#N/A</c:v>
                </c:pt>
                <c:pt idx="278">
                  <c:v>#N/A</c:v>
                </c:pt>
                <c:pt idx="279">
                  <c:v>#N/A</c:v>
                </c:pt>
                <c:pt idx="280">
                  <c:v>#N/A</c:v>
                </c:pt>
                <c:pt idx="281">
                  <c:v>#N/A</c:v>
                </c:pt>
                <c:pt idx="282">
                  <c:v>68.78</c:v>
                </c:pt>
                <c:pt idx="283">
                  <c:v>#N/A</c:v>
                </c:pt>
                <c:pt idx="284">
                  <c:v>#N/A</c:v>
                </c:pt>
                <c:pt idx="285">
                  <c:v>#N/A</c:v>
                </c:pt>
                <c:pt idx="286">
                  <c:v>#N/A</c:v>
                </c:pt>
                <c:pt idx="287">
                  <c:v>#N/A</c:v>
                </c:pt>
                <c:pt idx="288">
                  <c:v>#N/A</c:v>
                </c:pt>
                <c:pt idx="289">
                  <c:v>68.23</c:v>
                </c:pt>
                <c:pt idx="290">
                  <c:v>#N/A</c:v>
                </c:pt>
                <c:pt idx="291">
                  <c:v>#N/A</c:v>
                </c:pt>
                <c:pt idx="292">
                  <c:v>#N/A</c:v>
                </c:pt>
                <c:pt idx="293">
                  <c:v>#N/A</c:v>
                </c:pt>
                <c:pt idx="294">
                  <c:v>#N/A</c:v>
                </c:pt>
                <c:pt idx="295">
                  <c:v>#N/A</c:v>
                </c:pt>
                <c:pt idx="296">
                  <c:v>68.37</c:v>
                </c:pt>
                <c:pt idx="297">
                  <c:v>#N/A</c:v>
                </c:pt>
                <c:pt idx="298">
                  <c:v>#N/A</c:v>
                </c:pt>
                <c:pt idx="299">
                  <c:v>#N/A</c:v>
                </c:pt>
                <c:pt idx="300">
                  <c:v>#N/A</c:v>
                </c:pt>
                <c:pt idx="301">
                  <c:v>#N/A</c:v>
                </c:pt>
                <c:pt idx="302">
                  <c:v>#N/A</c:v>
                </c:pt>
                <c:pt idx="303">
                  <c:v>67.819999999999993</c:v>
                </c:pt>
                <c:pt idx="304">
                  <c:v>#N/A</c:v>
                </c:pt>
                <c:pt idx="305">
                  <c:v>#N/A</c:v>
                </c:pt>
                <c:pt idx="306">
                  <c:v>#N/A</c:v>
                </c:pt>
                <c:pt idx="307">
                  <c:v>#N/A</c:v>
                </c:pt>
                <c:pt idx="308">
                  <c:v>#N/A</c:v>
                </c:pt>
                <c:pt idx="309">
                  <c:v>#N/A</c:v>
                </c:pt>
                <c:pt idx="310">
                  <c:v>67.13</c:v>
                </c:pt>
                <c:pt idx="311">
                  <c:v>#N/A</c:v>
                </c:pt>
                <c:pt idx="312">
                  <c:v>#N/A</c:v>
                </c:pt>
                <c:pt idx="313">
                  <c:v>#N/A</c:v>
                </c:pt>
                <c:pt idx="314">
                  <c:v>#N/A</c:v>
                </c:pt>
                <c:pt idx="315">
                  <c:v>#N/A</c:v>
                </c:pt>
                <c:pt idx="316">
                  <c:v>#N/A</c:v>
                </c:pt>
                <c:pt idx="317">
                  <c:v>67.400000000000006</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1B61-405E-B422-D7A57FDA5907}"/>
            </c:ext>
          </c:extLst>
        </c:ser>
        <c:dLbls>
          <c:showLegendKey val="0"/>
          <c:showVal val="0"/>
          <c:showCatName val="0"/>
          <c:showSerName val="0"/>
          <c:showPercent val="0"/>
          <c:showBubbleSize val="0"/>
        </c:dLbls>
        <c:marker val="1"/>
        <c:smooth val="0"/>
        <c:axId val="356307712"/>
        <c:axId val="356309248"/>
      </c:lineChart>
      <c:dateAx>
        <c:axId val="35630771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6309248"/>
        <c:crosses val="autoZero"/>
        <c:auto val="0"/>
        <c:lblOffset val="0"/>
        <c:baseTimeUnit val="days"/>
        <c:majorUnit val="1"/>
        <c:majorTimeUnit val="months"/>
      </c:dateAx>
      <c:valAx>
        <c:axId val="356309248"/>
        <c:scaling>
          <c:orientation val="minMax"/>
          <c:min val="5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630771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357385344"/>
        <c:axId val="357386880"/>
      </c:lineChart>
      <c:dateAx>
        <c:axId val="35738534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7386880"/>
        <c:crosses val="autoZero"/>
        <c:auto val="0"/>
        <c:lblOffset val="0"/>
        <c:baseTimeUnit val="days"/>
        <c:majorUnit val="1"/>
        <c:majorTimeUnit val="months"/>
      </c:dateAx>
      <c:valAx>
        <c:axId val="357386880"/>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738534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358634624"/>
        <c:axId val="358636160"/>
      </c:lineChart>
      <c:dateAx>
        <c:axId val="35863462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8636160"/>
        <c:crosses val="autoZero"/>
        <c:auto val="0"/>
        <c:lblOffset val="0"/>
        <c:baseTimeUnit val="days"/>
        <c:majorUnit val="1"/>
        <c:majorTimeUnit val="months"/>
      </c:dateAx>
      <c:valAx>
        <c:axId val="35863616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863462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猪价!$I$1</c:f>
              <c:strCache>
                <c:ptCount val="1"/>
                <c:pt idx="0">
                  <c:v>2019</c:v>
                </c:pt>
              </c:strCache>
            </c:strRef>
          </c:tx>
          <c:spPr>
            <a:ln w="28575">
              <a:solidFill>
                <a:srgbClr val="F8CBAD"/>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猪价!$I$2:$I$366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猪价!$J$1</c:f>
              <c:strCache>
                <c:ptCount val="1"/>
                <c:pt idx="0">
                  <c:v>2020</c:v>
                </c:pt>
              </c:strCache>
            </c:strRef>
          </c:tx>
          <c:spPr>
            <a:ln w="28575">
              <a:solidFill>
                <a:srgbClr val="BF5711"/>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猪价!$J$2:$J$366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dLbls>
          <c:showLegendKey val="0"/>
          <c:showVal val="0"/>
          <c:showCatName val="0"/>
          <c:showSerName val="0"/>
          <c:showPercent val="0"/>
          <c:showBubbleSize val="0"/>
        </c:dLbls>
        <c:marker val="1"/>
        <c:smooth val="0"/>
        <c:axId val="358727680"/>
        <c:axId val="358729216"/>
      </c:lineChart>
      <c:dateAx>
        <c:axId val="35872768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58729216"/>
        <c:crosses val="autoZero"/>
        <c:auto val="0"/>
        <c:lblOffset val="0"/>
        <c:baseTimeUnit val="days"/>
        <c:majorUnit val="1"/>
        <c:majorTimeUnit val="months"/>
      </c:dateAx>
      <c:valAx>
        <c:axId val="358729216"/>
        <c:scaling>
          <c:orientation val="minMax"/>
          <c:min val="14"/>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5872768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0.01326</cdr:x>
      <cdr:y>0</cdr:y>
    </cdr:from>
    <cdr:to>
      <cdr:x>0.0708</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39756" y="-6599583"/>
          <a:ext cx="172532" cy="138795"/>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楷体" panose="02010609060101010101" pitchFamily="49" charset="-122"/>
              <a:ea typeface="楷体" panose="02010609060101010101" pitchFamily="49" charset="-122"/>
            </a:rPr>
            <a:t>%</a:t>
          </a:r>
          <a:endParaRPr lang="zh-CN" altLang="en-US" sz="700" b="0" i="0" u="none" strike="noStrike" baseline="0">
            <a:solidFill>
              <a:srgbClr val="000000"/>
            </a:solidFill>
            <a:latin typeface="楷体" panose="02010609060101010101" pitchFamily="49" charset="-122"/>
            <a:ea typeface="楷体" panose="02010609060101010101" pitchFamily="49"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5.66272E-7</cdr:y>
    </cdr:from>
    <cdr:to>
      <cdr:x>0.14054</cdr:x>
      <cdr:y>0.09005</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21419" cy="159025"/>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1</TotalTime>
  <Pages>7</Pages>
  <Words>932</Words>
  <Characters>5315</Characters>
  <Application>Microsoft Office Word</Application>
  <DocSecurity>0</DocSecurity>
  <Lines>44</Lines>
  <Paragraphs>12</Paragraphs>
  <ScaleCrop>false</ScaleCrop>
  <Company>微软中国</Company>
  <LinksUpToDate>false</LinksUpToDate>
  <CharactersWithSpaces>6235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2020-11-16T02:06:00Z</dcterms:created>
  <dcterms:modified xsi:type="dcterms:W3CDTF">2020-11-16T02:08:00Z</dcterms:modified>
</cp:coreProperties>
</file>