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E59BDE7" w14:textId="380A4009" w:rsidR="002C4C07" w:rsidRDefault="002C4C07" w:rsidP="002C4C07">
      <w:pPr>
        <w:jc w:val="center"/>
        <w:rPr>
          <w:b/>
        </w:rPr>
      </w:pPr>
      <w:r w:rsidRPr="00EF6393">
        <w:rPr>
          <w:rFonts w:hint="eastAsia"/>
          <w:b/>
        </w:rPr>
        <w:t>富荣量化周观察——</w:t>
      </w:r>
      <w:r w:rsidR="004650FC">
        <w:rPr>
          <w:rFonts w:hint="eastAsia"/>
          <w:b/>
        </w:rPr>
        <w:t>市场不紧张</w:t>
      </w:r>
    </w:p>
    <w:p w14:paraId="2E0A072D" w14:textId="77777777" w:rsidR="00930F5D" w:rsidRPr="00EF6393" w:rsidRDefault="00930F5D" w:rsidP="002C4C07">
      <w:pPr>
        <w:jc w:val="center"/>
        <w:rPr>
          <w:b/>
        </w:rPr>
      </w:pPr>
    </w:p>
    <w:p w14:paraId="05B27627" w14:textId="23B6CB81" w:rsidR="002D7112" w:rsidRDefault="004650FC" w:rsidP="00B236BA">
      <w:pPr>
        <w:ind w:firstLineChars="200" w:firstLine="480"/>
      </w:pPr>
      <w:r>
        <w:rPr>
          <w:rFonts w:hint="eastAsia"/>
        </w:rPr>
        <w:t>在内外消息夹击下，本周市场表现得</w:t>
      </w:r>
      <w:r w:rsidR="00381B9A">
        <w:rPr>
          <w:rFonts w:hint="eastAsia"/>
        </w:rPr>
        <w:t>较差。美国大选落地后，</w:t>
      </w:r>
      <w:r w:rsidR="002D7112">
        <w:rPr>
          <w:rFonts w:hint="eastAsia"/>
        </w:rPr>
        <w:t>全球风险偏好</w:t>
      </w:r>
      <w:r w:rsidR="00381B9A">
        <w:rPr>
          <w:rFonts w:hint="eastAsia"/>
        </w:rPr>
        <w:t>快速</w:t>
      </w:r>
      <w:r w:rsidR="002D7112">
        <w:rPr>
          <w:rFonts w:hint="eastAsia"/>
        </w:rPr>
        <w:t>提升，</w:t>
      </w:r>
      <w:r w:rsidR="00381B9A">
        <w:rPr>
          <w:rFonts w:hint="eastAsia"/>
        </w:rPr>
        <w:t>尤其是周一疫苗消息利好，全球</w:t>
      </w:r>
      <w:r w:rsidR="002D7112">
        <w:rPr>
          <w:rFonts w:hint="eastAsia"/>
        </w:rPr>
        <w:t>市场快速上涨。</w:t>
      </w:r>
      <w:r w:rsidR="00381B9A">
        <w:rPr>
          <w:rFonts w:hint="eastAsia"/>
        </w:rPr>
        <w:t>但是A股市场在周二并没有跟随市场上涨，而是冲高回落。信用债事件发酵，</w:t>
      </w:r>
      <w:r w:rsidR="00200956">
        <w:rPr>
          <w:rFonts w:hint="eastAsia"/>
        </w:rPr>
        <w:t>反垄断监管议题，</w:t>
      </w:r>
      <w:r w:rsidR="00381B9A">
        <w:rPr>
          <w:rFonts w:hint="eastAsia"/>
        </w:rPr>
        <w:t>货币政策正常化的消息让市场情绪受到一定的压制。</w:t>
      </w:r>
    </w:p>
    <w:p w14:paraId="494BB2B2" w14:textId="1C1AEDB8" w:rsidR="002D7112" w:rsidRDefault="002D7112" w:rsidP="00B236BA">
      <w:pPr>
        <w:ind w:firstLineChars="200" w:firstLine="480"/>
      </w:pPr>
      <w:r>
        <w:rPr>
          <w:rFonts w:hint="eastAsia"/>
        </w:rPr>
        <w:t>本周市场</w:t>
      </w:r>
      <w:proofErr w:type="gramStart"/>
      <w:r w:rsidR="0034141F">
        <w:rPr>
          <w:rFonts w:hint="eastAsia"/>
        </w:rPr>
        <w:t>各</w:t>
      </w:r>
      <w:r w:rsidR="00B236BA">
        <w:rPr>
          <w:rFonts w:hint="eastAsia"/>
        </w:rPr>
        <w:t>宽基指数</w:t>
      </w:r>
      <w:proofErr w:type="gramEnd"/>
      <w:r w:rsidR="00B236BA">
        <w:rPr>
          <w:rFonts w:hint="eastAsia"/>
        </w:rPr>
        <w:t>表现为：上证</w:t>
      </w:r>
      <w:proofErr w:type="gramStart"/>
      <w:r w:rsidR="00B236BA">
        <w:rPr>
          <w:rFonts w:hint="eastAsia"/>
        </w:rPr>
        <w:t>指数</w:t>
      </w:r>
      <w:r w:rsidR="00200956">
        <w:rPr>
          <w:rFonts w:hint="eastAsia"/>
        </w:rPr>
        <w:t>收跌</w:t>
      </w:r>
      <w:proofErr w:type="gramEnd"/>
      <w:r w:rsidR="00200956">
        <w:rPr>
          <w:rFonts w:hint="eastAsia"/>
        </w:rPr>
        <w:t>0.06</w:t>
      </w:r>
      <w:r w:rsidR="00B236BA">
        <w:rPr>
          <w:rFonts w:hint="eastAsia"/>
        </w:rPr>
        <w:t>%，沪深300</w:t>
      </w:r>
      <w:proofErr w:type="gramStart"/>
      <w:r w:rsidR="00B236BA">
        <w:rPr>
          <w:rFonts w:hint="eastAsia"/>
        </w:rPr>
        <w:t>指数</w:t>
      </w:r>
      <w:r>
        <w:rPr>
          <w:rFonts w:hint="eastAsia"/>
        </w:rPr>
        <w:t>收</w:t>
      </w:r>
      <w:r w:rsidR="00200956">
        <w:rPr>
          <w:rFonts w:hint="eastAsia"/>
        </w:rPr>
        <w:t>跌</w:t>
      </w:r>
      <w:proofErr w:type="gramEnd"/>
      <w:r w:rsidR="00200956">
        <w:rPr>
          <w:rFonts w:hint="eastAsia"/>
        </w:rPr>
        <w:t>0.59%</w:t>
      </w:r>
      <w:r w:rsidR="00B236BA">
        <w:rPr>
          <w:rFonts w:hint="eastAsia"/>
        </w:rPr>
        <w:t>，</w:t>
      </w:r>
      <w:r w:rsidR="00D458F1">
        <w:rPr>
          <w:rFonts w:hint="eastAsia"/>
        </w:rPr>
        <w:t>中证500</w:t>
      </w:r>
      <w:r>
        <w:rPr>
          <w:rFonts w:hint="eastAsia"/>
        </w:rPr>
        <w:t>涨幅</w:t>
      </w:r>
      <w:r w:rsidR="00200956">
        <w:rPr>
          <w:rFonts w:hint="eastAsia"/>
        </w:rPr>
        <w:t>0.09</w:t>
      </w:r>
      <w:r w:rsidR="00D458F1">
        <w:rPr>
          <w:rFonts w:hint="eastAsia"/>
        </w:rPr>
        <w:t>%，上证50</w:t>
      </w:r>
      <w:proofErr w:type="gramStart"/>
      <w:r>
        <w:rPr>
          <w:rFonts w:hint="eastAsia"/>
        </w:rPr>
        <w:t>收</w:t>
      </w:r>
      <w:r w:rsidR="00200956">
        <w:rPr>
          <w:rFonts w:hint="eastAsia"/>
        </w:rPr>
        <w:t>跌</w:t>
      </w:r>
      <w:proofErr w:type="gramEnd"/>
      <w:r w:rsidR="00200956">
        <w:rPr>
          <w:rFonts w:hint="eastAsia"/>
        </w:rPr>
        <w:t>0.62</w:t>
      </w:r>
      <w:r w:rsidR="00D458F1">
        <w:rPr>
          <w:rFonts w:hint="eastAsia"/>
        </w:rPr>
        <w:t>%，创业</w:t>
      </w:r>
      <w:proofErr w:type="gramStart"/>
      <w:r w:rsidR="00D458F1">
        <w:rPr>
          <w:rFonts w:hint="eastAsia"/>
        </w:rPr>
        <w:t>板收</w:t>
      </w:r>
      <w:r w:rsidR="00200956">
        <w:rPr>
          <w:rFonts w:hint="eastAsia"/>
        </w:rPr>
        <w:t>跌</w:t>
      </w:r>
      <w:proofErr w:type="gramEnd"/>
      <w:r w:rsidR="00200956">
        <w:rPr>
          <w:rFonts w:hint="eastAsia"/>
        </w:rPr>
        <w:t>0.96</w:t>
      </w:r>
      <w:r w:rsidR="00D458F1">
        <w:rPr>
          <w:rFonts w:hint="eastAsia"/>
        </w:rPr>
        <w:t>%，</w:t>
      </w:r>
      <w:proofErr w:type="gramStart"/>
      <w:r w:rsidR="00D458F1">
        <w:rPr>
          <w:rFonts w:hint="eastAsia"/>
        </w:rPr>
        <w:t>科创板</w:t>
      </w:r>
      <w:proofErr w:type="gramEnd"/>
      <w:r w:rsidR="00D458F1">
        <w:rPr>
          <w:rFonts w:hint="eastAsia"/>
        </w:rPr>
        <w:t>50</w:t>
      </w:r>
      <w:r w:rsidR="00417D5E">
        <w:rPr>
          <w:rFonts w:hint="eastAsia"/>
        </w:rPr>
        <w:t>下跌</w:t>
      </w:r>
      <w:r w:rsidR="00200956">
        <w:rPr>
          <w:rFonts w:hint="eastAsia"/>
        </w:rPr>
        <w:t>0.32</w:t>
      </w:r>
      <w:r w:rsidR="00D458F1">
        <w:rPr>
          <w:rFonts w:hint="eastAsia"/>
        </w:rPr>
        <w:t>%</w:t>
      </w:r>
      <w:r w:rsidR="00200956">
        <w:rPr>
          <w:rFonts w:hint="eastAsia"/>
        </w:rPr>
        <w:t>。</w:t>
      </w:r>
      <w:proofErr w:type="gramStart"/>
      <w:r w:rsidR="00200956">
        <w:rPr>
          <w:rFonts w:hint="eastAsia"/>
        </w:rPr>
        <w:t>从宽基</w:t>
      </w:r>
      <w:proofErr w:type="gramEnd"/>
      <w:r w:rsidR="00200956">
        <w:rPr>
          <w:rFonts w:hint="eastAsia"/>
        </w:rPr>
        <w:t>指数来看，本周市场表现各不相同，</w:t>
      </w:r>
      <w:proofErr w:type="gramStart"/>
      <w:r w:rsidR="00200956">
        <w:rPr>
          <w:rFonts w:hint="eastAsia"/>
        </w:rPr>
        <w:t>各宽基涨跌</w:t>
      </w:r>
      <w:proofErr w:type="gramEnd"/>
      <w:r w:rsidR="00200956">
        <w:rPr>
          <w:rFonts w:hint="eastAsia"/>
        </w:rPr>
        <w:t>各异</w:t>
      </w:r>
      <w:r>
        <w:rPr>
          <w:rFonts w:hint="eastAsia"/>
        </w:rPr>
        <w:t>，与</w:t>
      </w:r>
      <w:r w:rsidR="00200956">
        <w:rPr>
          <w:rFonts w:hint="eastAsia"/>
        </w:rPr>
        <w:t>11月初比较</w:t>
      </w:r>
      <w:r w:rsidR="009A3A51">
        <w:rPr>
          <w:rFonts w:hint="eastAsia"/>
        </w:rPr>
        <w:t>，投资者风险偏好</w:t>
      </w:r>
      <w:r w:rsidR="00200956">
        <w:rPr>
          <w:rFonts w:hint="eastAsia"/>
        </w:rPr>
        <w:t>在各方消息下明显收敛</w:t>
      </w:r>
      <w:r w:rsidR="0034141F">
        <w:rPr>
          <w:rFonts w:hint="eastAsia"/>
        </w:rPr>
        <w:t>。</w:t>
      </w:r>
    </w:p>
    <w:p w14:paraId="2A9422FC" w14:textId="0B7D598A" w:rsidR="009A3A51" w:rsidRDefault="009A3A51" w:rsidP="00B236BA">
      <w:pPr>
        <w:ind w:firstLineChars="200" w:firstLine="480"/>
      </w:pPr>
      <w:r>
        <w:rPr>
          <w:rFonts w:hint="eastAsia"/>
        </w:rPr>
        <w:t>从资金流动来看，本周北向资金</w:t>
      </w:r>
      <w:r w:rsidR="00200956">
        <w:rPr>
          <w:rFonts w:hint="eastAsia"/>
        </w:rPr>
        <w:t>在周一大量流入后有小额出逃的迹象</w:t>
      </w:r>
      <w:r w:rsidR="001B42AC">
        <w:rPr>
          <w:rFonts w:hint="eastAsia"/>
        </w:rPr>
        <w:t>，本周合计流入</w:t>
      </w:r>
      <w:r w:rsidR="00200956">
        <w:rPr>
          <w:rFonts w:hint="eastAsia"/>
        </w:rPr>
        <w:t>92.13</w:t>
      </w:r>
      <w:r w:rsidR="001B42AC">
        <w:rPr>
          <w:rFonts w:hint="eastAsia"/>
        </w:rPr>
        <w:t>亿，其中沪股通流入</w:t>
      </w:r>
      <w:r w:rsidR="00200956">
        <w:rPr>
          <w:rFonts w:hint="eastAsia"/>
        </w:rPr>
        <w:t>73.75</w:t>
      </w:r>
      <w:r w:rsidR="001B42AC">
        <w:rPr>
          <w:rFonts w:hint="eastAsia"/>
        </w:rPr>
        <w:t>亿，深股通流入</w:t>
      </w:r>
      <w:r w:rsidR="00200956">
        <w:rPr>
          <w:rFonts w:hint="eastAsia"/>
        </w:rPr>
        <w:t>18.38</w:t>
      </w:r>
      <w:r w:rsidR="001B42AC">
        <w:rPr>
          <w:rFonts w:hint="eastAsia"/>
        </w:rPr>
        <w:t>亿，全周每个交易</w:t>
      </w:r>
      <w:proofErr w:type="gramStart"/>
      <w:r w:rsidR="001B42AC">
        <w:rPr>
          <w:rFonts w:hint="eastAsia"/>
        </w:rPr>
        <w:t>日</w:t>
      </w:r>
      <w:r w:rsidR="00200956">
        <w:rPr>
          <w:rFonts w:hint="eastAsia"/>
        </w:rPr>
        <w:t>除了</w:t>
      </w:r>
      <w:proofErr w:type="gramEnd"/>
      <w:r w:rsidR="00200956">
        <w:rPr>
          <w:rFonts w:hint="eastAsia"/>
        </w:rPr>
        <w:t>周一其他均处于流出状态</w:t>
      </w:r>
      <w:r>
        <w:rPr>
          <w:rFonts w:hint="eastAsia"/>
        </w:rPr>
        <w:t>。如下图：</w:t>
      </w:r>
    </w:p>
    <w:p w14:paraId="2D49AD54" w14:textId="6F6FD590" w:rsidR="009A3A51" w:rsidRDefault="009A3A51" w:rsidP="00B236BA">
      <w:pPr>
        <w:ind w:firstLineChars="200" w:firstLine="480"/>
      </w:pPr>
      <w:r>
        <w:rPr>
          <w:rFonts w:hint="eastAsia"/>
        </w:rPr>
        <w:t>图 1</w:t>
      </w:r>
      <w:r>
        <w:t xml:space="preserve"> </w:t>
      </w:r>
      <w:r>
        <w:rPr>
          <w:rFonts w:hint="eastAsia"/>
        </w:rPr>
        <w:t>北向资金流动</w:t>
      </w:r>
    </w:p>
    <w:p w14:paraId="3060E4CF" w14:textId="5E10840E" w:rsidR="009A3A51" w:rsidRDefault="00200956" w:rsidP="009A3A51">
      <w:r>
        <w:rPr>
          <w:noProof/>
        </w:rPr>
        <w:drawing>
          <wp:inline distT="0" distB="0" distL="0" distR="0" wp14:anchorId="3AA7044C" wp14:editId="3A223DBE">
            <wp:extent cx="5274310" cy="1807550"/>
            <wp:effectExtent l="0" t="0" r="2540" b="254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tretch>
                      <a:fillRect/>
                    </a:stretch>
                  </pic:blipFill>
                  <pic:spPr>
                    <a:xfrm>
                      <a:off x="0" y="0"/>
                      <a:ext cx="5274310" cy="1807550"/>
                    </a:xfrm>
                    <a:prstGeom prst="rect">
                      <a:avLst/>
                    </a:prstGeom>
                  </pic:spPr>
                </pic:pic>
              </a:graphicData>
            </a:graphic>
          </wp:inline>
        </w:drawing>
      </w:r>
    </w:p>
    <w:p w14:paraId="0A375EBA" w14:textId="2A01A86C" w:rsidR="009A3A51" w:rsidRDefault="009A3A51" w:rsidP="009A3A51">
      <w:r>
        <w:rPr>
          <w:rFonts w:hint="eastAsia"/>
        </w:rPr>
        <w:t>数据来源：Wind</w:t>
      </w:r>
      <w:r w:rsidR="0013128D">
        <w:rPr>
          <w:rFonts w:hint="eastAsia"/>
        </w:rPr>
        <w:t>；整理：富</w:t>
      </w:r>
      <w:proofErr w:type="gramStart"/>
      <w:r w:rsidR="0013128D">
        <w:rPr>
          <w:rFonts w:hint="eastAsia"/>
        </w:rPr>
        <w:t>荣基金</w:t>
      </w:r>
      <w:proofErr w:type="gramEnd"/>
      <w:r w:rsidR="0013128D">
        <w:rPr>
          <w:rFonts w:hint="eastAsia"/>
        </w:rPr>
        <w:t>量化组</w:t>
      </w:r>
    </w:p>
    <w:p w14:paraId="3FD0F67F" w14:textId="6E3D573C" w:rsidR="009A3A51" w:rsidRDefault="009A3A51" w:rsidP="0013128D">
      <w:pPr>
        <w:ind w:firstLine="480"/>
      </w:pPr>
      <w:r>
        <w:rPr>
          <w:rFonts w:hint="eastAsia"/>
        </w:rPr>
        <w:t>从</w:t>
      </w:r>
      <w:r w:rsidR="00200956">
        <w:rPr>
          <w:rFonts w:hint="eastAsia"/>
        </w:rPr>
        <w:t>新增融资余额来看，市场的情绪逐步回落</w:t>
      </w:r>
      <w:r w:rsidR="001B42AC">
        <w:rPr>
          <w:rFonts w:hint="eastAsia"/>
        </w:rPr>
        <w:t>，</w:t>
      </w:r>
      <w:r w:rsidR="00200956">
        <w:rPr>
          <w:rFonts w:hint="eastAsia"/>
        </w:rPr>
        <w:t>杠杆资金有流出的迹象，投资者表现谨慎</w:t>
      </w:r>
      <w:r w:rsidR="001B42AC">
        <w:rPr>
          <w:rFonts w:hint="eastAsia"/>
        </w:rPr>
        <w:t>。</w:t>
      </w:r>
    </w:p>
    <w:p w14:paraId="772B231D" w14:textId="2B7F9488" w:rsidR="0013128D" w:rsidRPr="0013128D" w:rsidRDefault="00200956" w:rsidP="0013128D">
      <w:r>
        <w:rPr>
          <w:noProof/>
        </w:rPr>
        <w:lastRenderedPageBreak/>
        <w:drawing>
          <wp:inline distT="0" distB="0" distL="0" distR="0" wp14:anchorId="5871E060" wp14:editId="6D95D8DF">
            <wp:extent cx="5274310" cy="1864322"/>
            <wp:effectExtent l="0" t="0" r="2540" b="317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5274310" cy="1864322"/>
                    </a:xfrm>
                    <a:prstGeom prst="rect">
                      <a:avLst/>
                    </a:prstGeom>
                  </pic:spPr>
                </pic:pic>
              </a:graphicData>
            </a:graphic>
          </wp:inline>
        </w:drawing>
      </w:r>
    </w:p>
    <w:p w14:paraId="762E8E4A" w14:textId="4FD7D775" w:rsidR="009A3A51" w:rsidRDefault="0013128D" w:rsidP="0013128D">
      <w:r>
        <w:rPr>
          <w:rFonts w:hint="eastAsia"/>
        </w:rPr>
        <w:t>数据来源：Wind;整理：富</w:t>
      </w:r>
      <w:proofErr w:type="gramStart"/>
      <w:r>
        <w:rPr>
          <w:rFonts w:hint="eastAsia"/>
        </w:rPr>
        <w:t>荣基金</w:t>
      </w:r>
      <w:proofErr w:type="gramEnd"/>
      <w:r>
        <w:rPr>
          <w:rFonts w:hint="eastAsia"/>
        </w:rPr>
        <w:t>量化组</w:t>
      </w:r>
    </w:p>
    <w:p w14:paraId="26717627" w14:textId="2532F545" w:rsidR="0013128D" w:rsidRDefault="001B42AC" w:rsidP="0013128D">
      <w:pPr>
        <w:ind w:firstLine="480"/>
      </w:pPr>
      <w:r>
        <w:rPr>
          <w:rFonts w:hint="eastAsia"/>
        </w:rPr>
        <w:t>从因子超额来看，本周基本面类因子</w:t>
      </w:r>
      <w:r w:rsidR="00200956">
        <w:rPr>
          <w:rFonts w:hint="eastAsia"/>
        </w:rPr>
        <w:t>依然</w:t>
      </w:r>
      <w:r>
        <w:rPr>
          <w:rFonts w:hint="eastAsia"/>
        </w:rPr>
        <w:t>表现都比较逊色</w:t>
      </w:r>
      <w:r w:rsidR="0013128D">
        <w:rPr>
          <w:rFonts w:hint="eastAsia"/>
        </w:rPr>
        <w:t>。</w:t>
      </w:r>
      <w:r w:rsidR="00200956">
        <w:rPr>
          <w:rFonts w:hint="eastAsia"/>
        </w:rPr>
        <w:t>11月的</w:t>
      </w:r>
      <w:r w:rsidR="00314EC4">
        <w:rPr>
          <w:rFonts w:hint="eastAsia"/>
        </w:rPr>
        <w:t>数据</w:t>
      </w:r>
      <w:r w:rsidR="00200956">
        <w:rPr>
          <w:rFonts w:hint="eastAsia"/>
        </w:rPr>
        <w:t>依然</w:t>
      </w:r>
      <w:r w:rsidR="00314EC4">
        <w:rPr>
          <w:rFonts w:hint="eastAsia"/>
        </w:rPr>
        <w:t>处于短暂真空期，</w:t>
      </w:r>
      <w:r>
        <w:rPr>
          <w:rFonts w:hint="eastAsia"/>
        </w:rPr>
        <w:t>各类基本面因子如盈利、</w:t>
      </w:r>
      <w:proofErr w:type="gramStart"/>
      <w:r>
        <w:rPr>
          <w:rFonts w:hint="eastAsia"/>
        </w:rPr>
        <w:t>业绩超</w:t>
      </w:r>
      <w:proofErr w:type="gramEnd"/>
      <w:r>
        <w:rPr>
          <w:rFonts w:hint="eastAsia"/>
        </w:rPr>
        <w:t>预期等因子表现都比较</w:t>
      </w:r>
      <w:r w:rsidR="00314EC4">
        <w:rPr>
          <w:rFonts w:hint="eastAsia"/>
        </w:rPr>
        <w:t>差</w:t>
      </w:r>
      <w:r w:rsidR="0013128D">
        <w:rPr>
          <w:rFonts w:hint="eastAsia"/>
        </w:rPr>
        <w:t>。</w:t>
      </w:r>
      <w:r w:rsidR="00200956">
        <w:rPr>
          <w:rFonts w:hint="eastAsia"/>
        </w:rPr>
        <w:t>而低估值、低流动性的因子则表现出一定的防御特点。</w:t>
      </w:r>
    </w:p>
    <w:p w14:paraId="600030D4" w14:textId="72ACD98F" w:rsidR="0013128D" w:rsidRDefault="00200956" w:rsidP="0013128D">
      <w:pPr>
        <w:ind w:firstLine="480"/>
      </w:pPr>
      <w:r>
        <w:rPr>
          <w:rFonts w:hint="eastAsia"/>
        </w:rPr>
        <w:t>虽然本周市场有点回撤，而且各方面的消息对市场的情绪产生了一定的负面影响，但是我们观察到沪深300ETF期权的波动率依然快速下降，市场对未来没有悲观，因此我们认为市场并没有表现出过分紧张。经过信用债等事件，资本市场正在朝着更加健康的情况发展，权益市场未来可期。</w:t>
      </w:r>
    </w:p>
    <w:p w14:paraId="172E80AB" w14:textId="59010FE5" w:rsidR="0013128D" w:rsidRDefault="00200956" w:rsidP="0013128D">
      <w:r>
        <w:rPr>
          <w:noProof/>
        </w:rPr>
        <w:drawing>
          <wp:inline distT="0" distB="0" distL="0" distR="0" wp14:anchorId="18CB9C29" wp14:editId="3961799F">
            <wp:extent cx="5274310" cy="3449667"/>
            <wp:effectExtent l="0" t="0" r="254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5274310" cy="3449667"/>
                    </a:xfrm>
                    <a:prstGeom prst="rect">
                      <a:avLst/>
                    </a:prstGeom>
                  </pic:spPr>
                </pic:pic>
              </a:graphicData>
            </a:graphic>
          </wp:inline>
        </w:drawing>
      </w:r>
    </w:p>
    <w:p w14:paraId="4F33F48F" w14:textId="0EEA4E09" w:rsidR="0013128D" w:rsidRDefault="00620469" w:rsidP="0013128D">
      <w:pPr>
        <w:rPr>
          <w:rFonts w:hint="eastAsia"/>
        </w:rPr>
      </w:pPr>
      <w:r>
        <w:rPr>
          <w:rFonts w:hint="eastAsia"/>
        </w:rPr>
        <w:t>数据来源：富</w:t>
      </w:r>
      <w:proofErr w:type="gramStart"/>
      <w:r>
        <w:rPr>
          <w:rFonts w:hint="eastAsia"/>
        </w:rPr>
        <w:t>荣基金</w:t>
      </w:r>
      <w:proofErr w:type="gramEnd"/>
      <w:r>
        <w:rPr>
          <w:rFonts w:hint="eastAsia"/>
        </w:rPr>
        <w:t>量化组</w:t>
      </w:r>
    </w:p>
    <w:p w14:paraId="3CBC4A9A" w14:textId="77777777" w:rsidR="00417D5E" w:rsidRDefault="00417D5E" w:rsidP="0013128D">
      <w:pPr>
        <w:rPr>
          <w:rFonts w:hint="eastAsia"/>
        </w:rPr>
      </w:pPr>
    </w:p>
    <w:p w14:paraId="1E86CC6A" w14:textId="345CC983" w:rsidR="00417D5E" w:rsidRDefault="00417D5E" w:rsidP="0013128D">
      <w:r w:rsidRPr="00435232">
        <w:rPr>
          <w:rFonts w:ascii="黑体" w:eastAsia="黑体" w:hAnsi="Calibri" w:hint="eastAsia"/>
          <w:sz w:val="18"/>
          <w:szCs w:val="18"/>
        </w:rPr>
        <w:t>风险提示：1、本报告中的信息均来源于我们认为可靠的已公开资料和合作客户的研究成果，但本公司及研</w:t>
      </w:r>
      <w:r w:rsidRPr="00435232">
        <w:rPr>
          <w:rFonts w:ascii="黑体" w:eastAsia="黑体" w:hAnsi="Calibri" w:hint="eastAsia"/>
          <w:sz w:val="18"/>
          <w:szCs w:val="18"/>
        </w:rPr>
        <w:lastRenderedPageBreak/>
        <w:t>究人员对这些信息的准确性和完整性不作任何保证，也不保证本报告所包含的信息或建议在本报告发出后不会发生任何变更，且本报告仅反映发布时的资料、观点和预测，可能在随后会</w:t>
      </w:r>
      <w:proofErr w:type="gramStart"/>
      <w:r w:rsidRPr="00435232">
        <w:rPr>
          <w:rFonts w:ascii="黑体" w:eastAsia="黑体" w:hAnsi="Calibri" w:hint="eastAsia"/>
          <w:sz w:val="18"/>
          <w:szCs w:val="18"/>
        </w:rPr>
        <w:t>作出</w:t>
      </w:r>
      <w:proofErr w:type="gramEnd"/>
      <w:r w:rsidRPr="00435232">
        <w:rPr>
          <w:rFonts w:ascii="黑体" w:eastAsia="黑体" w:hAnsi="Calibri" w:hint="eastAsia"/>
          <w:sz w:val="18"/>
          <w:szCs w:val="18"/>
        </w:rPr>
        <w:t>调整。2、本报告中的资料、观点和预测等仅供参考，在任何时候均不构成对任何人的个人推荐。市场有风险，投资需谨慎。</w:t>
      </w:r>
      <w:bookmarkStart w:id="0" w:name="_GoBack"/>
      <w:bookmarkEnd w:id="0"/>
    </w:p>
    <w:sectPr w:rsidR="00417D5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7F2BE65" w14:textId="77777777" w:rsidR="009758DC" w:rsidRDefault="009758DC" w:rsidP="002C4C07">
      <w:pPr>
        <w:spacing w:line="240" w:lineRule="auto"/>
      </w:pPr>
      <w:r>
        <w:separator/>
      </w:r>
    </w:p>
  </w:endnote>
  <w:endnote w:type="continuationSeparator" w:id="0">
    <w:p w14:paraId="01FE282B" w14:textId="77777777" w:rsidR="009758DC" w:rsidRDefault="009758DC" w:rsidP="002C4C0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楷体">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BB1A4EF" w14:textId="77777777" w:rsidR="009758DC" w:rsidRDefault="009758DC" w:rsidP="002C4C07">
      <w:pPr>
        <w:spacing w:line="240" w:lineRule="auto"/>
      </w:pPr>
      <w:r>
        <w:separator/>
      </w:r>
    </w:p>
  </w:footnote>
  <w:footnote w:type="continuationSeparator" w:id="0">
    <w:p w14:paraId="037BAA01" w14:textId="77777777" w:rsidR="009758DC" w:rsidRDefault="009758DC" w:rsidP="002C4C07">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6C8A"/>
    <w:rsid w:val="0000012D"/>
    <w:rsid w:val="00035595"/>
    <w:rsid w:val="00070AA2"/>
    <w:rsid w:val="0013128D"/>
    <w:rsid w:val="001867FC"/>
    <w:rsid w:val="001B42AC"/>
    <w:rsid w:val="001D19B6"/>
    <w:rsid w:val="001D6061"/>
    <w:rsid w:val="00200956"/>
    <w:rsid w:val="0020342A"/>
    <w:rsid w:val="002062DE"/>
    <w:rsid w:val="002129BA"/>
    <w:rsid w:val="002A093A"/>
    <w:rsid w:val="002B15CF"/>
    <w:rsid w:val="002C4C07"/>
    <w:rsid w:val="002C7EF7"/>
    <w:rsid w:val="002D7112"/>
    <w:rsid w:val="002E17CD"/>
    <w:rsid w:val="00314EC4"/>
    <w:rsid w:val="0034141F"/>
    <w:rsid w:val="00374124"/>
    <w:rsid w:val="00381B9A"/>
    <w:rsid w:val="00386DFB"/>
    <w:rsid w:val="003D637F"/>
    <w:rsid w:val="003F6050"/>
    <w:rsid w:val="00417D5E"/>
    <w:rsid w:val="00454A3A"/>
    <w:rsid w:val="004650FC"/>
    <w:rsid w:val="004E3614"/>
    <w:rsid w:val="00525A53"/>
    <w:rsid w:val="005A2D48"/>
    <w:rsid w:val="005C4905"/>
    <w:rsid w:val="00620469"/>
    <w:rsid w:val="006965D2"/>
    <w:rsid w:val="006B1D85"/>
    <w:rsid w:val="006C7CF6"/>
    <w:rsid w:val="006E639C"/>
    <w:rsid w:val="0073379B"/>
    <w:rsid w:val="007D5907"/>
    <w:rsid w:val="007F6A29"/>
    <w:rsid w:val="00830122"/>
    <w:rsid w:val="008540B7"/>
    <w:rsid w:val="008757E1"/>
    <w:rsid w:val="008916E0"/>
    <w:rsid w:val="00893C6A"/>
    <w:rsid w:val="008A74C1"/>
    <w:rsid w:val="008B1754"/>
    <w:rsid w:val="008B27E8"/>
    <w:rsid w:val="00907C93"/>
    <w:rsid w:val="00930F5D"/>
    <w:rsid w:val="009758DC"/>
    <w:rsid w:val="00987C63"/>
    <w:rsid w:val="009953B9"/>
    <w:rsid w:val="009A3A51"/>
    <w:rsid w:val="009D02A8"/>
    <w:rsid w:val="00A07990"/>
    <w:rsid w:val="00A51293"/>
    <w:rsid w:val="00A61347"/>
    <w:rsid w:val="00A72DA9"/>
    <w:rsid w:val="00A90927"/>
    <w:rsid w:val="00B236BA"/>
    <w:rsid w:val="00B82632"/>
    <w:rsid w:val="00B91093"/>
    <w:rsid w:val="00BA3587"/>
    <w:rsid w:val="00BA72C2"/>
    <w:rsid w:val="00BC61FC"/>
    <w:rsid w:val="00BD6BA1"/>
    <w:rsid w:val="00C1492E"/>
    <w:rsid w:val="00C24E54"/>
    <w:rsid w:val="00CD5494"/>
    <w:rsid w:val="00CD673E"/>
    <w:rsid w:val="00D055BF"/>
    <w:rsid w:val="00D458F1"/>
    <w:rsid w:val="00D46833"/>
    <w:rsid w:val="00D868FA"/>
    <w:rsid w:val="00DD21CB"/>
    <w:rsid w:val="00DD2E6A"/>
    <w:rsid w:val="00DF6F9A"/>
    <w:rsid w:val="00E86C8A"/>
    <w:rsid w:val="00E87750"/>
    <w:rsid w:val="00EF2A7A"/>
    <w:rsid w:val="00F13186"/>
    <w:rsid w:val="00F942BE"/>
    <w:rsid w:val="00FC4D42"/>
    <w:rsid w:val="00FC5D34"/>
    <w:rsid w:val="00FF64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08C63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A72C2"/>
    <w:pPr>
      <w:widowControl w:val="0"/>
      <w:spacing w:line="360" w:lineRule="auto"/>
      <w:jc w:val="both"/>
    </w:pPr>
    <w:rPr>
      <w:rFonts w:ascii="楷体" w:eastAsia="楷体" w:hAnsi="楷体"/>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C4C07"/>
    <w:pPr>
      <w:pBdr>
        <w:bottom w:val="single" w:sz="6" w:space="1" w:color="auto"/>
      </w:pBdr>
      <w:tabs>
        <w:tab w:val="center" w:pos="4153"/>
        <w:tab w:val="right" w:pos="8306"/>
      </w:tabs>
      <w:snapToGrid w:val="0"/>
      <w:spacing w:line="240" w:lineRule="auto"/>
      <w:jc w:val="center"/>
    </w:pPr>
    <w:rPr>
      <w:rFonts w:asciiTheme="minorHAnsi" w:eastAsiaTheme="minorEastAsia" w:hAnsiTheme="minorHAnsi"/>
      <w:sz w:val="18"/>
      <w:szCs w:val="18"/>
    </w:rPr>
  </w:style>
  <w:style w:type="character" w:customStyle="1" w:styleId="Char">
    <w:name w:val="页眉 Char"/>
    <w:basedOn w:val="a0"/>
    <w:link w:val="a3"/>
    <w:uiPriority w:val="99"/>
    <w:rsid w:val="002C4C07"/>
    <w:rPr>
      <w:sz w:val="18"/>
      <w:szCs w:val="18"/>
    </w:rPr>
  </w:style>
  <w:style w:type="paragraph" w:styleId="a4">
    <w:name w:val="footer"/>
    <w:basedOn w:val="a"/>
    <w:link w:val="Char0"/>
    <w:uiPriority w:val="99"/>
    <w:unhideWhenUsed/>
    <w:rsid w:val="002C4C07"/>
    <w:pPr>
      <w:tabs>
        <w:tab w:val="center" w:pos="4153"/>
        <w:tab w:val="right" w:pos="8306"/>
      </w:tabs>
      <w:snapToGrid w:val="0"/>
      <w:spacing w:line="240" w:lineRule="auto"/>
      <w:jc w:val="left"/>
    </w:pPr>
    <w:rPr>
      <w:rFonts w:asciiTheme="minorHAnsi" w:eastAsiaTheme="minorEastAsia" w:hAnsiTheme="minorHAnsi"/>
      <w:sz w:val="18"/>
      <w:szCs w:val="18"/>
    </w:rPr>
  </w:style>
  <w:style w:type="character" w:customStyle="1" w:styleId="Char0">
    <w:name w:val="页脚 Char"/>
    <w:basedOn w:val="a0"/>
    <w:link w:val="a4"/>
    <w:uiPriority w:val="99"/>
    <w:rsid w:val="002C4C07"/>
    <w:rPr>
      <w:sz w:val="18"/>
      <w:szCs w:val="18"/>
    </w:rPr>
  </w:style>
  <w:style w:type="paragraph" w:styleId="a5">
    <w:name w:val="Balloon Text"/>
    <w:basedOn w:val="a"/>
    <w:link w:val="Char1"/>
    <w:uiPriority w:val="99"/>
    <w:semiHidden/>
    <w:unhideWhenUsed/>
    <w:rsid w:val="002C4C07"/>
    <w:pPr>
      <w:spacing w:line="240" w:lineRule="auto"/>
    </w:pPr>
    <w:rPr>
      <w:sz w:val="18"/>
      <w:szCs w:val="18"/>
    </w:rPr>
  </w:style>
  <w:style w:type="character" w:customStyle="1" w:styleId="Char1">
    <w:name w:val="批注框文本 Char"/>
    <w:basedOn w:val="a0"/>
    <w:link w:val="a5"/>
    <w:uiPriority w:val="99"/>
    <w:semiHidden/>
    <w:rsid w:val="002C4C07"/>
    <w:rPr>
      <w:rFonts w:ascii="楷体" w:eastAsia="楷体" w:hAnsi="楷体"/>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A72C2"/>
    <w:pPr>
      <w:widowControl w:val="0"/>
      <w:spacing w:line="360" w:lineRule="auto"/>
      <w:jc w:val="both"/>
    </w:pPr>
    <w:rPr>
      <w:rFonts w:ascii="楷体" w:eastAsia="楷体" w:hAnsi="楷体"/>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C4C07"/>
    <w:pPr>
      <w:pBdr>
        <w:bottom w:val="single" w:sz="6" w:space="1" w:color="auto"/>
      </w:pBdr>
      <w:tabs>
        <w:tab w:val="center" w:pos="4153"/>
        <w:tab w:val="right" w:pos="8306"/>
      </w:tabs>
      <w:snapToGrid w:val="0"/>
      <w:spacing w:line="240" w:lineRule="auto"/>
      <w:jc w:val="center"/>
    </w:pPr>
    <w:rPr>
      <w:rFonts w:asciiTheme="minorHAnsi" w:eastAsiaTheme="minorEastAsia" w:hAnsiTheme="minorHAnsi"/>
      <w:sz w:val="18"/>
      <w:szCs w:val="18"/>
    </w:rPr>
  </w:style>
  <w:style w:type="character" w:customStyle="1" w:styleId="Char">
    <w:name w:val="页眉 Char"/>
    <w:basedOn w:val="a0"/>
    <w:link w:val="a3"/>
    <w:uiPriority w:val="99"/>
    <w:rsid w:val="002C4C07"/>
    <w:rPr>
      <w:sz w:val="18"/>
      <w:szCs w:val="18"/>
    </w:rPr>
  </w:style>
  <w:style w:type="paragraph" w:styleId="a4">
    <w:name w:val="footer"/>
    <w:basedOn w:val="a"/>
    <w:link w:val="Char0"/>
    <w:uiPriority w:val="99"/>
    <w:unhideWhenUsed/>
    <w:rsid w:val="002C4C07"/>
    <w:pPr>
      <w:tabs>
        <w:tab w:val="center" w:pos="4153"/>
        <w:tab w:val="right" w:pos="8306"/>
      </w:tabs>
      <w:snapToGrid w:val="0"/>
      <w:spacing w:line="240" w:lineRule="auto"/>
      <w:jc w:val="left"/>
    </w:pPr>
    <w:rPr>
      <w:rFonts w:asciiTheme="minorHAnsi" w:eastAsiaTheme="minorEastAsia" w:hAnsiTheme="minorHAnsi"/>
      <w:sz w:val="18"/>
      <w:szCs w:val="18"/>
    </w:rPr>
  </w:style>
  <w:style w:type="character" w:customStyle="1" w:styleId="Char0">
    <w:name w:val="页脚 Char"/>
    <w:basedOn w:val="a0"/>
    <w:link w:val="a4"/>
    <w:uiPriority w:val="99"/>
    <w:rsid w:val="002C4C07"/>
    <w:rPr>
      <w:sz w:val="18"/>
      <w:szCs w:val="18"/>
    </w:rPr>
  </w:style>
  <w:style w:type="paragraph" w:styleId="a5">
    <w:name w:val="Balloon Text"/>
    <w:basedOn w:val="a"/>
    <w:link w:val="Char1"/>
    <w:uiPriority w:val="99"/>
    <w:semiHidden/>
    <w:unhideWhenUsed/>
    <w:rsid w:val="002C4C07"/>
    <w:pPr>
      <w:spacing w:line="240" w:lineRule="auto"/>
    </w:pPr>
    <w:rPr>
      <w:sz w:val="18"/>
      <w:szCs w:val="18"/>
    </w:rPr>
  </w:style>
  <w:style w:type="character" w:customStyle="1" w:styleId="Char1">
    <w:name w:val="批注框文本 Char"/>
    <w:basedOn w:val="a0"/>
    <w:link w:val="a5"/>
    <w:uiPriority w:val="99"/>
    <w:semiHidden/>
    <w:rsid w:val="002C4C07"/>
    <w:rPr>
      <w:rFonts w:ascii="楷体" w:eastAsia="楷体" w:hAnsi="楷体"/>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574</TotalTime>
  <Pages>3</Pages>
  <Words>134</Words>
  <Characters>768</Characters>
  <Application>Microsoft Office Word</Application>
  <DocSecurity>0</DocSecurity>
  <Lines>6</Lines>
  <Paragraphs>1</Paragraphs>
  <ScaleCrop>false</ScaleCrop>
  <Company/>
  <LinksUpToDate>false</LinksUpToDate>
  <CharactersWithSpaces>901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邱紫华</dc:creator>
  <cp:keywords/>
  <dc:description/>
  <cp:lastModifiedBy>Administrator</cp:lastModifiedBy>
  <cp:revision>59</cp:revision>
  <dcterms:created xsi:type="dcterms:W3CDTF">2020-06-21T08:02:00Z</dcterms:created>
  <dcterms:modified xsi:type="dcterms:W3CDTF">2020-11-16T03:30:00Z</dcterms:modified>
</cp:coreProperties>
</file>