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7125A813" w:rsidR="002C4C07" w:rsidRDefault="002C4C07" w:rsidP="002C4C07">
      <w:pPr>
        <w:jc w:val="center"/>
        <w:rPr>
          <w:b/>
        </w:rPr>
      </w:pPr>
      <w:r w:rsidRPr="00EF6393">
        <w:rPr>
          <w:rFonts w:hint="eastAsia"/>
          <w:b/>
        </w:rPr>
        <w:t>富荣量化周观察——</w:t>
      </w:r>
      <w:r w:rsidR="00A229D9">
        <w:rPr>
          <w:rFonts w:hint="eastAsia"/>
          <w:b/>
        </w:rPr>
        <w:t>风格平衡中</w:t>
      </w:r>
    </w:p>
    <w:p w14:paraId="2E0A072D" w14:textId="77777777" w:rsidR="00930F5D" w:rsidRPr="00EF6393" w:rsidRDefault="00930F5D" w:rsidP="002C4C07">
      <w:pPr>
        <w:jc w:val="center"/>
        <w:rPr>
          <w:b/>
        </w:rPr>
      </w:pPr>
    </w:p>
    <w:p w14:paraId="4F8EF43D" w14:textId="1BA77A70" w:rsidR="00A229D9" w:rsidRDefault="00A229D9" w:rsidP="00B236BA">
      <w:pPr>
        <w:ind w:firstLineChars="200" w:firstLine="480"/>
      </w:pPr>
      <w:r>
        <w:rPr>
          <w:rFonts w:hint="eastAsia"/>
        </w:rPr>
        <w:t>上周市场冲高回落，我们自己从期权市场提取的波动</w:t>
      </w:r>
      <w:proofErr w:type="gramStart"/>
      <w:r>
        <w:rPr>
          <w:rFonts w:hint="eastAsia"/>
        </w:rPr>
        <w:t>率指数</w:t>
      </w:r>
      <w:proofErr w:type="gramEnd"/>
      <w:r>
        <w:rPr>
          <w:rFonts w:hint="eastAsia"/>
        </w:rPr>
        <w:t>也下降比较多，因此我们得出市场虽然在内外因素的影响下出现一定幅度的回撤，但是投资者并没有表现出紧张的情绪，本周市场果然在周期股的带领下有明显的回升。</w:t>
      </w:r>
    </w:p>
    <w:p w14:paraId="743C9228" w14:textId="4EB55B12" w:rsidR="00FA3876" w:rsidRDefault="00A229D9" w:rsidP="00B236BA">
      <w:pPr>
        <w:ind w:firstLineChars="200" w:firstLine="480"/>
      </w:pPr>
      <w:r>
        <w:rPr>
          <w:rFonts w:hint="eastAsia"/>
        </w:rPr>
        <w:t>1</w:t>
      </w:r>
      <w:r>
        <w:t>1</w:t>
      </w:r>
      <w:r>
        <w:rPr>
          <w:rFonts w:hint="eastAsia"/>
        </w:rPr>
        <w:t>月份进入收官环节，本周市场的行情比较分化，其中上证5</w:t>
      </w:r>
      <w:r>
        <w:t>0</w:t>
      </w:r>
      <w:r>
        <w:rPr>
          <w:rFonts w:hint="eastAsia"/>
        </w:rPr>
        <w:t>指数领涨，周涨幅为2</w:t>
      </w:r>
      <w:r>
        <w:t>.21</w:t>
      </w:r>
      <w:r>
        <w:rPr>
          <w:rFonts w:hint="eastAsia"/>
        </w:rPr>
        <w:t>%，上证指数上涨2.</w:t>
      </w:r>
      <w:r>
        <w:t>04</w:t>
      </w:r>
      <w:r>
        <w:rPr>
          <w:rFonts w:hint="eastAsia"/>
        </w:rPr>
        <w:t>%，深成指涨幅0</w:t>
      </w:r>
      <w:r>
        <w:t>.71</w:t>
      </w:r>
      <w:r>
        <w:rPr>
          <w:rFonts w:hint="eastAsia"/>
        </w:rPr>
        <w:t>%，创业</w:t>
      </w:r>
      <w:proofErr w:type="gramStart"/>
      <w:r>
        <w:rPr>
          <w:rFonts w:hint="eastAsia"/>
        </w:rPr>
        <w:t>板下跌</w:t>
      </w:r>
      <w:proofErr w:type="gramEnd"/>
      <w:r>
        <w:rPr>
          <w:rFonts w:hint="eastAsia"/>
        </w:rPr>
        <w:t>了1</w:t>
      </w:r>
      <w:r>
        <w:t>.47</w:t>
      </w:r>
      <w:r>
        <w:rPr>
          <w:rFonts w:hint="eastAsia"/>
        </w:rPr>
        <w:t>%，沪深3</w:t>
      </w:r>
      <w:r>
        <w:t>00</w:t>
      </w:r>
      <w:r>
        <w:rPr>
          <w:rFonts w:hint="eastAsia"/>
        </w:rPr>
        <w:t>指数</w:t>
      </w:r>
      <w:r w:rsidR="00E63B53">
        <w:rPr>
          <w:rFonts w:hint="eastAsia"/>
        </w:rPr>
        <w:t>上涨</w:t>
      </w:r>
      <w:r>
        <w:rPr>
          <w:rFonts w:hint="eastAsia"/>
        </w:rPr>
        <w:t>1</w:t>
      </w:r>
      <w:r>
        <w:t>.78</w:t>
      </w:r>
      <w:r>
        <w:rPr>
          <w:rFonts w:hint="eastAsia"/>
        </w:rPr>
        <w:t>%</w:t>
      </w:r>
      <w:r w:rsidR="009621F7">
        <w:rPr>
          <w:rFonts w:hint="eastAsia"/>
        </w:rPr>
        <w:t>，中证5</w:t>
      </w:r>
      <w:r w:rsidR="009621F7">
        <w:t>00</w:t>
      </w:r>
      <w:r w:rsidR="009621F7">
        <w:rPr>
          <w:rFonts w:hint="eastAsia"/>
        </w:rPr>
        <w:t>指数收涨1.</w:t>
      </w:r>
      <w:r w:rsidR="009621F7">
        <w:t>84</w:t>
      </w:r>
      <w:r w:rsidR="009621F7">
        <w:rPr>
          <w:rFonts w:hint="eastAsia"/>
        </w:rPr>
        <w:t>%，其中上证5</w:t>
      </w:r>
      <w:r w:rsidR="009621F7">
        <w:t>0</w:t>
      </w:r>
      <w:r w:rsidR="009621F7">
        <w:rPr>
          <w:rFonts w:hint="eastAsia"/>
        </w:rPr>
        <w:t>指数和沪深3</w:t>
      </w:r>
      <w:r w:rsidR="009621F7">
        <w:t>00</w:t>
      </w:r>
      <w:r w:rsidR="00E63B53">
        <w:rPr>
          <w:rFonts w:hint="eastAsia"/>
        </w:rPr>
        <w:t>指数周线皆</w:t>
      </w:r>
      <w:r w:rsidR="009621F7">
        <w:rPr>
          <w:rFonts w:hint="eastAsia"/>
        </w:rPr>
        <w:t>创出新高。</w:t>
      </w:r>
      <w:r w:rsidRPr="00A229D9">
        <w:rPr>
          <w:rFonts w:hint="eastAsia"/>
        </w:rPr>
        <w:t>行业方面，有色金属板块涨幅领先，</w:t>
      </w:r>
      <w:proofErr w:type="gramStart"/>
      <w:r w:rsidRPr="00A229D9">
        <w:rPr>
          <w:rFonts w:hint="eastAsia"/>
        </w:rPr>
        <w:t>周度涨幅</w:t>
      </w:r>
      <w:proofErr w:type="gramEnd"/>
      <w:r w:rsidRPr="00A229D9">
        <w:rPr>
          <w:rFonts w:hint="eastAsia"/>
        </w:rPr>
        <w:t>达</w:t>
      </w:r>
      <w:r w:rsidRPr="00A229D9">
        <w:t>6.04%，其次是采掘</w:t>
      </w:r>
      <w:r w:rsidR="009621F7">
        <w:rPr>
          <w:rFonts w:hint="eastAsia"/>
        </w:rPr>
        <w:t>收涨</w:t>
      </w:r>
      <w:r w:rsidRPr="00A229D9">
        <w:t>4.40%和</w:t>
      </w:r>
      <w:proofErr w:type="gramStart"/>
      <w:r w:rsidRPr="00A229D9">
        <w:t>国防军工</w:t>
      </w:r>
      <w:r w:rsidR="009621F7">
        <w:rPr>
          <w:rFonts w:hint="eastAsia"/>
        </w:rPr>
        <w:t>收涨</w:t>
      </w:r>
      <w:proofErr w:type="gramEnd"/>
      <w:r w:rsidRPr="00A229D9">
        <w:t>4.33%</w:t>
      </w:r>
      <w:r w:rsidR="009621F7">
        <w:rPr>
          <w:rFonts w:hint="eastAsia"/>
        </w:rPr>
        <w:t>，医药、电子元器件和餐饮旅游板块则有所回撤。美国大选落地后，疫苗开发进展顺利，RCEP顺利签署，市场对全球经济复苏的进展不断调整预期，顺周期的相关行业明显收益</w:t>
      </w:r>
      <w:r w:rsidR="00FA3876">
        <w:rPr>
          <w:rFonts w:hint="eastAsia"/>
        </w:rPr>
        <w:t>。</w:t>
      </w:r>
      <w:r w:rsidR="000631BE">
        <w:rPr>
          <w:rFonts w:hint="eastAsia"/>
        </w:rPr>
        <w:t>从因子表现来看，本周估值因子、流动性因子、</w:t>
      </w:r>
      <w:proofErr w:type="gramStart"/>
      <w:r w:rsidR="000631BE">
        <w:rPr>
          <w:rFonts w:hint="eastAsia"/>
        </w:rPr>
        <w:t>业绩超</w:t>
      </w:r>
      <w:proofErr w:type="gramEnd"/>
      <w:r w:rsidR="000631BE">
        <w:rPr>
          <w:rFonts w:hint="eastAsia"/>
        </w:rPr>
        <w:t>预期因子表现优异，前期表现强势的成长因子则</w:t>
      </w:r>
      <w:r w:rsidR="00FA3876">
        <w:rPr>
          <w:rFonts w:hint="eastAsia"/>
        </w:rPr>
        <w:t>开始</w:t>
      </w:r>
      <w:r w:rsidR="000631BE">
        <w:rPr>
          <w:rFonts w:hint="eastAsia"/>
        </w:rPr>
        <w:t>有所回撤</w:t>
      </w:r>
      <w:r w:rsidR="00FA3876">
        <w:rPr>
          <w:rFonts w:hint="eastAsia"/>
        </w:rPr>
        <w:t>。</w:t>
      </w:r>
    </w:p>
    <w:p w14:paraId="149EE32A" w14:textId="5CD50F49" w:rsidR="00A229D9" w:rsidRDefault="00FA3876" w:rsidP="00B236BA">
      <w:pPr>
        <w:ind w:firstLineChars="200" w:firstLine="480"/>
      </w:pPr>
      <w:r>
        <w:rPr>
          <w:rFonts w:hint="eastAsia"/>
        </w:rPr>
        <w:t>综上来看，市场本周在顺周期的板块带动下出现了明显的风格分化，</w:t>
      </w:r>
      <w:r w:rsidR="00B65208">
        <w:rPr>
          <w:rFonts w:hint="eastAsia"/>
        </w:rPr>
        <w:t>但是本周的周期脉冲是年底这个时点和事件结合导致的，最终市场是否切换需要进一步的观察。就目前来看，我们认为短期内市场方向并不明确，市场是否真的能突破需要进一步确定，而这个时点我们认为可以等待顺周期概念脉冲平稳后得到确定，这中间最大的关键在于经济复苏预期是否进一步确定。</w:t>
      </w:r>
    </w:p>
    <w:p w14:paraId="74B85AE1" w14:textId="07928097" w:rsidR="00B65208" w:rsidRDefault="00B65208" w:rsidP="00B236BA">
      <w:pPr>
        <w:ind w:firstLineChars="200" w:firstLine="480"/>
        <w:rPr>
          <w:rFonts w:hint="eastAsia"/>
        </w:rPr>
      </w:pPr>
      <w:r>
        <w:rPr>
          <w:rFonts w:hint="eastAsia"/>
        </w:rPr>
        <w:t>从波动率来看，本周市场波动率冲高回落，无论是上证5</w:t>
      </w:r>
      <w:r>
        <w:t>0</w:t>
      </w:r>
      <w:r>
        <w:rPr>
          <w:rFonts w:hint="eastAsia"/>
        </w:rPr>
        <w:t>期权波动</w:t>
      </w:r>
      <w:proofErr w:type="gramStart"/>
      <w:r>
        <w:rPr>
          <w:rFonts w:hint="eastAsia"/>
        </w:rPr>
        <w:t>率指数</w:t>
      </w:r>
      <w:proofErr w:type="gramEnd"/>
      <w:r>
        <w:rPr>
          <w:rFonts w:hint="eastAsia"/>
        </w:rPr>
        <w:t>还是沪深3</w:t>
      </w:r>
      <w:r>
        <w:t>00</w:t>
      </w:r>
      <w:r w:rsidR="00FA6E7E">
        <w:rPr>
          <w:rFonts w:hint="eastAsia"/>
        </w:rPr>
        <w:t>波动</w:t>
      </w:r>
      <w:proofErr w:type="gramStart"/>
      <w:r w:rsidR="00FA6E7E">
        <w:rPr>
          <w:rFonts w:hint="eastAsia"/>
        </w:rPr>
        <w:t>率指数</w:t>
      </w:r>
      <w:proofErr w:type="gramEnd"/>
      <w:r w:rsidR="00FA6E7E">
        <w:rPr>
          <w:rFonts w:hint="eastAsia"/>
        </w:rPr>
        <w:t>都下降到了历史相对低位，市场表现出对未来</w:t>
      </w:r>
      <w:r>
        <w:rPr>
          <w:rFonts w:hint="eastAsia"/>
        </w:rPr>
        <w:t>乐观的看法。</w:t>
      </w:r>
    </w:p>
    <w:p w14:paraId="1F78E886" w14:textId="77777777" w:rsidR="003D5FC1" w:rsidRDefault="003D5FC1" w:rsidP="003D5FC1">
      <w:pPr>
        <w:ind w:firstLineChars="200" w:firstLine="480"/>
        <w:jc w:val="center"/>
      </w:pPr>
      <w:r>
        <w:rPr>
          <w:rFonts w:hint="eastAsia"/>
        </w:rPr>
        <w:t xml:space="preserve">图 </w:t>
      </w:r>
      <w:r>
        <w:t xml:space="preserve">1 </w:t>
      </w:r>
      <w:r>
        <w:rPr>
          <w:rFonts w:hint="eastAsia"/>
        </w:rPr>
        <w:t>沪深3</w:t>
      </w:r>
      <w:r>
        <w:t>00</w:t>
      </w:r>
      <w:r>
        <w:rPr>
          <w:rFonts w:hint="eastAsia"/>
        </w:rPr>
        <w:t>指数期权波动率指数</w:t>
      </w:r>
    </w:p>
    <w:p w14:paraId="77B96C33" w14:textId="77777777" w:rsidR="003D5FC1" w:rsidRPr="003D5FC1" w:rsidRDefault="003D5FC1" w:rsidP="00B236BA">
      <w:pPr>
        <w:ind w:firstLineChars="200" w:firstLine="480"/>
      </w:pPr>
    </w:p>
    <w:p w14:paraId="05FA3EB8" w14:textId="0BF58418" w:rsidR="00A229D9" w:rsidRDefault="00FA6E7E" w:rsidP="00FA6E7E">
      <w:r>
        <w:rPr>
          <w:noProof/>
        </w:rPr>
        <w:lastRenderedPageBreak/>
        <w:drawing>
          <wp:inline distT="0" distB="0" distL="0" distR="0" wp14:anchorId="64D93B06" wp14:editId="160D12C1">
            <wp:extent cx="5274310" cy="3341007"/>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341007"/>
                    </a:xfrm>
                    <a:prstGeom prst="rect">
                      <a:avLst/>
                    </a:prstGeom>
                  </pic:spPr>
                </pic:pic>
              </a:graphicData>
            </a:graphic>
          </wp:inline>
        </w:drawing>
      </w:r>
    </w:p>
    <w:p w14:paraId="0E952279" w14:textId="70A2EBFB" w:rsidR="00FA6E7E" w:rsidRDefault="00FA6E7E" w:rsidP="00FA6E7E">
      <w:pPr>
        <w:jc w:val="left"/>
      </w:pPr>
      <w:r>
        <w:rPr>
          <w:rFonts w:hint="eastAsia"/>
        </w:rPr>
        <w:t>来源：富</w:t>
      </w:r>
      <w:proofErr w:type="gramStart"/>
      <w:r>
        <w:rPr>
          <w:rFonts w:hint="eastAsia"/>
        </w:rPr>
        <w:t>荣基金</w:t>
      </w:r>
      <w:proofErr w:type="gramEnd"/>
      <w:r>
        <w:rPr>
          <w:rFonts w:hint="eastAsia"/>
        </w:rPr>
        <w:t>量化组</w:t>
      </w:r>
    </w:p>
    <w:p w14:paraId="2A9422FC" w14:textId="2E862730" w:rsidR="009A3A51" w:rsidRDefault="009A3A51" w:rsidP="00B236BA">
      <w:pPr>
        <w:ind w:firstLineChars="200" w:firstLine="480"/>
        <w:rPr>
          <w:rFonts w:hint="eastAsia"/>
        </w:rPr>
      </w:pPr>
      <w:r>
        <w:rPr>
          <w:rFonts w:hint="eastAsia"/>
        </w:rPr>
        <w:t>从资金流动来看，本周北向资金</w:t>
      </w:r>
      <w:r w:rsidR="00AC2D4C">
        <w:rPr>
          <w:rFonts w:hint="eastAsia"/>
        </w:rPr>
        <w:t>合计流入5</w:t>
      </w:r>
      <w:r w:rsidR="00AC2D4C">
        <w:t>5.10</w:t>
      </w:r>
      <w:r w:rsidR="00AC2D4C">
        <w:rPr>
          <w:rFonts w:hint="eastAsia"/>
        </w:rPr>
        <w:t>亿</w:t>
      </w:r>
      <w:r>
        <w:rPr>
          <w:rFonts w:hint="eastAsia"/>
        </w:rPr>
        <w:t>，</w:t>
      </w:r>
      <w:r w:rsidR="00AC2D4C">
        <w:rPr>
          <w:rFonts w:hint="eastAsia"/>
        </w:rPr>
        <w:t>其中</w:t>
      </w:r>
      <w:r>
        <w:rPr>
          <w:rFonts w:hint="eastAsia"/>
        </w:rPr>
        <w:t>沪股通流</w:t>
      </w:r>
      <w:r w:rsidR="00AC2D4C">
        <w:rPr>
          <w:rFonts w:hint="eastAsia"/>
        </w:rPr>
        <w:t>入8</w:t>
      </w:r>
      <w:r w:rsidR="00AC2D4C">
        <w:t>4.40</w:t>
      </w:r>
      <w:r>
        <w:rPr>
          <w:rFonts w:hint="eastAsia"/>
        </w:rPr>
        <w:t>亿，深股通流出</w:t>
      </w:r>
      <w:r w:rsidR="00AC2D4C">
        <w:t>-29.29</w:t>
      </w:r>
      <w:r>
        <w:rPr>
          <w:rFonts w:hint="eastAsia"/>
        </w:rPr>
        <w:t>亿。如下图：</w:t>
      </w:r>
    </w:p>
    <w:p w14:paraId="2683B63C" w14:textId="77777777" w:rsidR="003D5FC1" w:rsidRDefault="003D5FC1" w:rsidP="003D5FC1">
      <w:pPr>
        <w:ind w:firstLineChars="200" w:firstLine="480"/>
        <w:jc w:val="center"/>
      </w:pPr>
      <w:r>
        <w:rPr>
          <w:rFonts w:hint="eastAsia"/>
        </w:rPr>
        <w:t xml:space="preserve">图 </w:t>
      </w:r>
      <w:r>
        <w:t xml:space="preserve">2 </w:t>
      </w:r>
      <w:r>
        <w:rPr>
          <w:rFonts w:hint="eastAsia"/>
        </w:rPr>
        <w:t>北向资金流动</w:t>
      </w:r>
    </w:p>
    <w:p w14:paraId="4D2EFB72" w14:textId="32CD7FB1" w:rsidR="00B65208" w:rsidRDefault="00FA6E7E" w:rsidP="00FA6E7E">
      <w:r>
        <w:rPr>
          <w:noProof/>
        </w:rPr>
        <w:drawing>
          <wp:inline distT="0" distB="0" distL="0" distR="0" wp14:anchorId="10A87728" wp14:editId="1039FC4E">
            <wp:extent cx="5274310" cy="1716593"/>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716593"/>
                    </a:xfrm>
                    <a:prstGeom prst="rect">
                      <a:avLst/>
                    </a:prstGeom>
                  </pic:spPr>
                </pic:pic>
              </a:graphicData>
            </a:graphic>
          </wp:inline>
        </w:drawing>
      </w:r>
    </w:p>
    <w:p w14:paraId="2416CF2D" w14:textId="453A912F" w:rsidR="00FA6E7E" w:rsidRDefault="00FA6E7E" w:rsidP="00FA6E7E">
      <w:pPr>
        <w:rPr>
          <w:rFonts w:hint="eastAsia"/>
        </w:rPr>
      </w:pPr>
      <w:r>
        <w:rPr>
          <w:rFonts w:hint="eastAsia"/>
        </w:rPr>
        <w:t>数据：Wind；图：富</w:t>
      </w:r>
      <w:proofErr w:type="gramStart"/>
      <w:r>
        <w:rPr>
          <w:rFonts w:hint="eastAsia"/>
        </w:rPr>
        <w:t>荣基金</w:t>
      </w:r>
      <w:proofErr w:type="gramEnd"/>
      <w:r>
        <w:rPr>
          <w:rFonts w:hint="eastAsia"/>
        </w:rPr>
        <w:t>量化组</w:t>
      </w:r>
    </w:p>
    <w:p w14:paraId="03343D7B" w14:textId="77777777" w:rsidR="003D5FC1" w:rsidRDefault="003D5FC1" w:rsidP="003D5FC1">
      <w:pPr>
        <w:jc w:val="center"/>
      </w:pPr>
      <w:r>
        <w:rPr>
          <w:rFonts w:hint="eastAsia"/>
        </w:rPr>
        <w:t>图 3 新增融资余额</w:t>
      </w:r>
    </w:p>
    <w:p w14:paraId="6F935BC3" w14:textId="77777777" w:rsidR="003D5FC1" w:rsidRDefault="003D5FC1" w:rsidP="00FA6E7E"/>
    <w:p w14:paraId="3FD0F67F" w14:textId="32BDCAC0" w:rsidR="009A3A51" w:rsidRDefault="00FA6E7E" w:rsidP="00B65208">
      <w:r>
        <w:rPr>
          <w:noProof/>
        </w:rPr>
        <w:lastRenderedPageBreak/>
        <w:drawing>
          <wp:inline distT="0" distB="0" distL="0" distR="0" wp14:anchorId="3617F407" wp14:editId="4E1503BB">
            <wp:extent cx="5274310" cy="1715372"/>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715372"/>
                    </a:xfrm>
                    <a:prstGeom prst="rect">
                      <a:avLst/>
                    </a:prstGeom>
                  </pic:spPr>
                </pic:pic>
              </a:graphicData>
            </a:graphic>
          </wp:inline>
        </w:drawing>
      </w:r>
    </w:p>
    <w:p w14:paraId="72687B71" w14:textId="637D3F7E" w:rsidR="00FA6E7E" w:rsidRDefault="00FA6E7E" w:rsidP="00B65208">
      <w:r>
        <w:rPr>
          <w:rFonts w:hint="eastAsia"/>
        </w:rPr>
        <w:t>数据：Wind；图：富</w:t>
      </w:r>
      <w:proofErr w:type="gramStart"/>
      <w:r>
        <w:rPr>
          <w:rFonts w:hint="eastAsia"/>
        </w:rPr>
        <w:t>荣基金</w:t>
      </w:r>
      <w:proofErr w:type="gramEnd"/>
      <w:r>
        <w:rPr>
          <w:rFonts w:hint="eastAsia"/>
        </w:rPr>
        <w:t>量化组</w:t>
      </w:r>
    </w:p>
    <w:p w14:paraId="762E8E4A" w14:textId="18BF9743" w:rsidR="009A3A51" w:rsidRDefault="009A3A51" w:rsidP="00B236BA">
      <w:pPr>
        <w:ind w:firstLineChars="200" w:firstLine="480"/>
        <w:rPr>
          <w:rFonts w:hint="eastAsia"/>
        </w:rPr>
      </w:pPr>
    </w:p>
    <w:p w14:paraId="2D7DE9EE" w14:textId="77777777" w:rsidR="003D5FC1" w:rsidRDefault="003D5FC1" w:rsidP="00B236BA">
      <w:pPr>
        <w:ind w:firstLineChars="200" w:firstLine="480"/>
        <w:rPr>
          <w:rFonts w:hint="eastAsia"/>
        </w:rPr>
      </w:pPr>
    </w:p>
    <w:p w14:paraId="52842639" w14:textId="32BB37F1" w:rsidR="003D5FC1" w:rsidRPr="00B65208" w:rsidRDefault="003D5FC1" w:rsidP="003D5FC1">
      <w:pPr>
        <w:ind w:firstLineChars="200" w:firstLine="440"/>
      </w:pPr>
      <w:r w:rsidRPr="007D7291">
        <w:rPr>
          <w:rFonts w:ascii="Times New Roman" w:hAnsi="Times New Roman" w:cs="Times New Roman" w:hint="eastAsia"/>
          <w:sz w:val="22"/>
        </w:rPr>
        <w:t>风险提示：</w:t>
      </w:r>
      <w:r w:rsidRPr="007D7291">
        <w:rPr>
          <w:rFonts w:ascii="Times New Roman" w:hAnsi="Times New Roman" w:cs="Times New Roman" w:hint="eastAsia"/>
          <w:sz w:val="22"/>
        </w:rPr>
        <w:t>1</w:t>
      </w:r>
      <w:r w:rsidRPr="007D7291">
        <w:rPr>
          <w:rFonts w:ascii="Times New Roman" w:hAnsi="Times New Roman" w:cs="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7D7291">
        <w:rPr>
          <w:rFonts w:ascii="Times New Roman" w:hAnsi="Times New Roman" w:cs="Times New Roman" w:hint="eastAsia"/>
          <w:sz w:val="22"/>
        </w:rPr>
        <w:t>作出</w:t>
      </w:r>
      <w:proofErr w:type="gramEnd"/>
      <w:r w:rsidRPr="007D7291">
        <w:rPr>
          <w:rFonts w:ascii="Times New Roman" w:hAnsi="Times New Roman" w:cs="Times New Roman" w:hint="eastAsia"/>
          <w:sz w:val="22"/>
        </w:rPr>
        <w:t>调整。</w:t>
      </w:r>
      <w:r w:rsidRPr="007D7291">
        <w:rPr>
          <w:rFonts w:ascii="Times New Roman" w:hAnsi="Times New Roman" w:cs="Times New Roman" w:hint="eastAsia"/>
          <w:sz w:val="22"/>
        </w:rPr>
        <w:t>2</w:t>
      </w:r>
      <w:r w:rsidRPr="007D7291">
        <w:rPr>
          <w:rFonts w:ascii="Times New Roman" w:hAnsi="Times New Roman" w:cs="Times New Roman" w:hint="eastAsia"/>
          <w:sz w:val="22"/>
        </w:rPr>
        <w:t>、本报告中的资料、观点和预测等仅供参考，在任何时候均不构成对任何人的个人推荐。市场有风险，投资需谨慎。</w:t>
      </w:r>
      <w:bookmarkStart w:id="0" w:name="_GoBack"/>
      <w:bookmarkEnd w:id="0"/>
    </w:p>
    <w:sectPr w:rsidR="003D5FC1" w:rsidRPr="00B652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C9A482" w14:textId="77777777" w:rsidR="00B329BE" w:rsidRDefault="00B329BE" w:rsidP="002C4C07">
      <w:pPr>
        <w:spacing w:line="240" w:lineRule="auto"/>
      </w:pPr>
      <w:r>
        <w:separator/>
      </w:r>
    </w:p>
  </w:endnote>
  <w:endnote w:type="continuationSeparator" w:id="0">
    <w:p w14:paraId="6D320F26" w14:textId="77777777" w:rsidR="00B329BE" w:rsidRDefault="00B329BE"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4D295B" w14:textId="77777777" w:rsidR="00B329BE" w:rsidRDefault="00B329BE" w:rsidP="002C4C07">
      <w:pPr>
        <w:spacing w:line="240" w:lineRule="auto"/>
      </w:pPr>
      <w:r>
        <w:separator/>
      </w:r>
    </w:p>
  </w:footnote>
  <w:footnote w:type="continuationSeparator" w:id="0">
    <w:p w14:paraId="705EA543" w14:textId="77777777" w:rsidR="00B329BE" w:rsidRDefault="00B329BE"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631BE"/>
    <w:rsid w:val="00070AA2"/>
    <w:rsid w:val="001867FC"/>
    <w:rsid w:val="001D19B6"/>
    <w:rsid w:val="001D6061"/>
    <w:rsid w:val="0020342A"/>
    <w:rsid w:val="002062DE"/>
    <w:rsid w:val="002129BA"/>
    <w:rsid w:val="002A093A"/>
    <w:rsid w:val="002B15CF"/>
    <w:rsid w:val="002B2D6A"/>
    <w:rsid w:val="002C4C07"/>
    <w:rsid w:val="002C7EF7"/>
    <w:rsid w:val="002E17CD"/>
    <w:rsid w:val="0031747C"/>
    <w:rsid w:val="00374124"/>
    <w:rsid w:val="00386DFB"/>
    <w:rsid w:val="003D5FC1"/>
    <w:rsid w:val="003D637F"/>
    <w:rsid w:val="003F6050"/>
    <w:rsid w:val="00454A3A"/>
    <w:rsid w:val="004E3614"/>
    <w:rsid w:val="00525A53"/>
    <w:rsid w:val="005A2D48"/>
    <w:rsid w:val="005C4905"/>
    <w:rsid w:val="006965D2"/>
    <w:rsid w:val="006B1D85"/>
    <w:rsid w:val="006C7CF6"/>
    <w:rsid w:val="006E639C"/>
    <w:rsid w:val="0073379B"/>
    <w:rsid w:val="007D5907"/>
    <w:rsid w:val="007F6A29"/>
    <w:rsid w:val="00830122"/>
    <w:rsid w:val="008540B7"/>
    <w:rsid w:val="008916E0"/>
    <w:rsid w:val="00893C6A"/>
    <w:rsid w:val="008A74C1"/>
    <w:rsid w:val="008B1754"/>
    <w:rsid w:val="008B27E8"/>
    <w:rsid w:val="00907C93"/>
    <w:rsid w:val="00930F5D"/>
    <w:rsid w:val="009621F7"/>
    <w:rsid w:val="00987C63"/>
    <w:rsid w:val="009953B9"/>
    <w:rsid w:val="009A3A51"/>
    <w:rsid w:val="009D02A8"/>
    <w:rsid w:val="00A07990"/>
    <w:rsid w:val="00A229D9"/>
    <w:rsid w:val="00A51293"/>
    <w:rsid w:val="00A61347"/>
    <w:rsid w:val="00A72DA9"/>
    <w:rsid w:val="00A90927"/>
    <w:rsid w:val="00AC2D4C"/>
    <w:rsid w:val="00B236BA"/>
    <w:rsid w:val="00B329BE"/>
    <w:rsid w:val="00B65208"/>
    <w:rsid w:val="00B82632"/>
    <w:rsid w:val="00B91093"/>
    <w:rsid w:val="00BA3587"/>
    <w:rsid w:val="00BA72C2"/>
    <w:rsid w:val="00BC61FC"/>
    <w:rsid w:val="00BD6BA1"/>
    <w:rsid w:val="00C24E54"/>
    <w:rsid w:val="00CD5494"/>
    <w:rsid w:val="00CD673E"/>
    <w:rsid w:val="00D055BF"/>
    <w:rsid w:val="00D458F1"/>
    <w:rsid w:val="00D46833"/>
    <w:rsid w:val="00D868FA"/>
    <w:rsid w:val="00DD21CB"/>
    <w:rsid w:val="00DD2E6A"/>
    <w:rsid w:val="00DF6F9A"/>
    <w:rsid w:val="00E63B53"/>
    <w:rsid w:val="00E86C8A"/>
    <w:rsid w:val="00E87750"/>
    <w:rsid w:val="00EF2A7A"/>
    <w:rsid w:val="00F13186"/>
    <w:rsid w:val="00F96BB2"/>
    <w:rsid w:val="00FA3876"/>
    <w:rsid w:val="00FA6E7E"/>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606</TotalTime>
  <Pages>3</Pages>
  <Words>150</Words>
  <Characters>861</Characters>
  <Application>Microsoft Office Word</Application>
  <DocSecurity>0</DocSecurity>
  <Lines>7</Lines>
  <Paragraphs>2</Paragraphs>
  <ScaleCrop>false</ScaleCrop>
  <Company/>
  <LinksUpToDate>false</LinksUpToDate>
  <CharactersWithSpaces>1009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56</cp:revision>
  <dcterms:created xsi:type="dcterms:W3CDTF">2020-06-21T08:02:00Z</dcterms:created>
  <dcterms:modified xsi:type="dcterms:W3CDTF">2020-11-23T06:52:00Z</dcterms:modified>
</cp:coreProperties>
</file>