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5A3DF7F9"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BE251E">
        <w:rPr>
          <w:rFonts w:ascii="楷体" w:eastAsia="楷体" w:hAnsi="楷体" w:hint="eastAsia"/>
          <w:sz w:val="28"/>
          <w:szCs w:val="28"/>
        </w:rPr>
        <w:t>市场情绪适度修复</w:t>
      </w:r>
      <w:r w:rsidR="00237DAF">
        <w:rPr>
          <w:rFonts w:ascii="楷体" w:eastAsia="楷体" w:hAnsi="楷体" w:hint="eastAsia"/>
          <w:sz w:val="28"/>
          <w:szCs w:val="28"/>
        </w:rPr>
        <w:t>，关注年末</w:t>
      </w:r>
      <w:r w:rsidR="00BE251E">
        <w:rPr>
          <w:rFonts w:ascii="楷体" w:eastAsia="楷体" w:hAnsi="楷体" w:hint="eastAsia"/>
          <w:sz w:val="28"/>
          <w:szCs w:val="28"/>
        </w:rPr>
        <w:t>配置机会</w:t>
      </w:r>
    </w:p>
    <w:p w14:paraId="0A7A9383" w14:textId="327F9B6C"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E23AF9">
        <w:rPr>
          <w:rFonts w:ascii="楷体" w:eastAsia="楷体" w:hAnsi="楷体" w:hint="eastAsia"/>
          <w:sz w:val="28"/>
          <w:szCs w:val="28"/>
        </w:rPr>
        <w:t>1</w:t>
      </w:r>
      <w:r w:rsidR="00EB67A5">
        <w:rPr>
          <w:rFonts w:ascii="楷体" w:eastAsia="楷体" w:hAnsi="楷体" w:hint="eastAsia"/>
          <w:sz w:val="28"/>
          <w:szCs w:val="28"/>
        </w:rPr>
        <w:t>1</w:t>
      </w:r>
      <w:r w:rsidR="009C30E2" w:rsidRPr="00FA6C01">
        <w:rPr>
          <w:rFonts w:ascii="楷体" w:eastAsia="楷体" w:hAnsi="楷体"/>
          <w:sz w:val="28"/>
          <w:szCs w:val="28"/>
        </w:rPr>
        <w:t>月</w:t>
      </w:r>
      <w:r w:rsidR="00237DAF">
        <w:rPr>
          <w:rFonts w:ascii="楷体" w:eastAsia="楷体" w:hAnsi="楷体"/>
          <w:sz w:val="28"/>
          <w:szCs w:val="28"/>
        </w:rPr>
        <w:t>2</w:t>
      </w:r>
      <w:r w:rsidR="00BE251E">
        <w:rPr>
          <w:rFonts w:ascii="楷体" w:eastAsia="楷体" w:hAnsi="楷体"/>
          <w:sz w:val="28"/>
          <w:szCs w:val="28"/>
        </w:rPr>
        <w:t>7</w:t>
      </w:r>
      <w:r w:rsidR="00F82A54">
        <w:rPr>
          <w:rFonts w:ascii="楷体" w:eastAsia="楷体" w:hAnsi="楷体" w:hint="eastAsia"/>
          <w:sz w:val="28"/>
          <w:szCs w:val="28"/>
        </w:rPr>
        <w:t>日</w:t>
      </w:r>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023EA8B0" w14:textId="1241FF8E" w:rsidR="004048B4" w:rsidRDefault="0007685C" w:rsidP="002F2E55">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本周央行公布三季度货币政策执行报告，</w:t>
      </w:r>
      <w:r w:rsidR="004048B4">
        <w:rPr>
          <w:rFonts w:ascii="华文楷体" w:hAnsi="华文楷体" w:hint="eastAsia"/>
          <w:b w:val="0"/>
          <w:smallCaps w:val="0"/>
          <w:color w:val="auto"/>
          <w:sz w:val="24"/>
          <w:szCs w:val="24"/>
        </w:rPr>
        <w:t>整体来看仍坚持</w:t>
      </w:r>
      <w:r w:rsidR="004048B4" w:rsidRPr="004048B4">
        <w:rPr>
          <w:rFonts w:ascii="华文楷体" w:hAnsi="华文楷体" w:hint="eastAsia"/>
          <w:b w:val="0"/>
          <w:smallCaps w:val="0"/>
          <w:color w:val="auto"/>
          <w:sz w:val="24"/>
          <w:szCs w:val="24"/>
        </w:rPr>
        <w:t>稳健的货币政策</w:t>
      </w:r>
      <w:r w:rsidR="00265EE2">
        <w:rPr>
          <w:rFonts w:ascii="华文楷体" w:hAnsi="华文楷体" w:hint="eastAsia"/>
          <w:b w:val="0"/>
          <w:smallCaps w:val="0"/>
          <w:color w:val="auto"/>
          <w:sz w:val="24"/>
          <w:szCs w:val="24"/>
        </w:rPr>
        <w:t>，</w:t>
      </w:r>
      <w:r w:rsidR="004048B4" w:rsidRPr="004048B4">
        <w:rPr>
          <w:rFonts w:ascii="华文楷体" w:hAnsi="华文楷体" w:hint="eastAsia"/>
          <w:b w:val="0"/>
          <w:smallCaps w:val="0"/>
          <w:color w:val="auto"/>
          <w:sz w:val="24"/>
          <w:szCs w:val="24"/>
        </w:rPr>
        <w:t>要更加灵活适度、精准导向，更好适应经济高质量发展需要，更加注重金融服务实体经济的质量和效益。完善货币供应调控机制，把好货币</w:t>
      </w:r>
      <w:proofErr w:type="gramStart"/>
      <w:r w:rsidR="004048B4" w:rsidRPr="004048B4">
        <w:rPr>
          <w:rFonts w:ascii="华文楷体" w:hAnsi="华文楷体" w:hint="eastAsia"/>
          <w:b w:val="0"/>
          <w:smallCaps w:val="0"/>
          <w:color w:val="auto"/>
          <w:sz w:val="24"/>
          <w:szCs w:val="24"/>
        </w:rPr>
        <w:t>供应总</w:t>
      </w:r>
      <w:proofErr w:type="gramEnd"/>
      <w:r w:rsidR="004048B4" w:rsidRPr="004048B4">
        <w:rPr>
          <w:rFonts w:ascii="华文楷体" w:hAnsi="华文楷体" w:hint="eastAsia"/>
          <w:b w:val="0"/>
          <w:smallCaps w:val="0"/>
          <w:color w:val="auto"/>
          <w:sz w:val="24"/>
          <w:szCs w:val="24"/>
        </w:rPr>
        <w:t>闸门，根据宏观形势和市场需要，科学把握货币政策操作的力度、节奏和重点， 保持流动性合理充裕，保持广义货币供应量和社会融资规模增速同反映潜在产出的名义国内生产总值增速基本匹配。健全市场化利率形成和传导机制，深化贷款市场报价利率改革，继续释放改革促进降低</w:t>
      </w:r>
      <w:r w:rsidR="004048B4">
        <w:rPr>
          <w:rFonts w:ascii="华文楷体" w:hAnsi="华文楷体" w:hint="eastAsia"/>
          <w:b w:val="0"/>
          <w:smallCaps w:val="0"/>
          <w:color w:val="auto"/>
          <w:sz w:val="24"/>
          <w:szCs w:val="24"/>
        </w:rPr>
        <w:t>贷</w:t>
      </w:r>
      <w:r w:rsidR="004048B4" w:rsidRPr="004048B4">
        <w:rPr>
          <w:rFonts w:ascii="华文楷体" w:hAnsi="华文楷体" w:hint="eastAsia"/>
          <w:b w:val="0"/>
          <w:smallCaps w:val="0"/>
          <w:color w:val="auto"/>
          <w:sz w:val="24"/>
          <w:szCs w:val="24"/>
        </w:rPr>
        <w:t>款利率的潜力，综合施策推动社会融资成本明显下降，发挥市场在人民币汇率形成中的决定性作用。增强结构性货币政策工具的精准滴灌作用，提高政策直达性。重视预期管理，保持物价水平稳定。处理好内外部均衡和长短期关系，尽可能长时间实施正常货币政策，保持宏观杠杆率基本稳定。打好防范化解重大金融风险攻坚战，健全金融风险预防、</w:t>
      </w:r>
      <w:r w:rsidR="00FC2F92">
        <w:rPr>
          <w:rFonts w:ascii="华文楷体" w:hAnsi="华文楷体" w:hint="eastAsia"/>
          <w:b w:val="0"/>
          <w:smallCaps w:val="0"/>
          <w:color w:val="auto"/>
          <w:sz w:val="24"/>
          <w:szCs w:val="24"/>
        </w:rPr>
        <w:t>预</w:t>
      </w:r>
      <w:r w:rsidR="004048B4" w:rsidRPr="004048B4">
        <w:rPr>
          <w:rFonts w:ascii="华文楷体" w:hAnsi="华文楷体" w:hint="eastAsia"/>
          <w:b w:val="0"/>
          <w:smallCaps w:val="0"/>
          <w:color w:val="auto"/>
          <w:sz w:val="24"/>
          <w:szCs w:val="24"/>
        </w:rPr>
        <w:t>警</w:t>
      </w:r>
      <w:r w:rsidR="00FC2F92">
        <w:rPr>
          <w:rFonts w:ascii="华文楷体" w:hAnsi="华文楷体" w:hint="eastAsia"/>
          <w:b w:val="0"/>
          <w:smallCaps w:val="0"/>
          <w:color w:val="auto"/>
          <w:sz w:val="24"/>
          <w:szCs w:val="24"/>
        </w:rPr>
        <w:t>、</w:t>
      </w:r>
      <w:r w:rsidR="004048B4" w:rsidRPr="004048B4">
        <w:rPr>
          <w:rFonts w:ascii="华文楷体" w:hAnsi="华文楷体" w:hint="eastAsia"/>
          <w:b w:val="0"/>
          <w:smallCaps w:val="0"/>
          <w:color w:val="auto"/>
          <w:sz w:val="24"/>
          <w:szCs w:val="24"/>
        </w:rPr>
        <w:t>处置</w:t>
      </w:r>
      <w:r w:rsidR="00FC2F92">
        <w:rPr>
          <w:rFonts w:ascii="华文楷体" w:hAnsi="华文楷体" w:hint="eastAsia"/>
          <w:b w:val="0"/>
          <w:smallCaps w:val="0"/>
          <w:color w:val="auto"/>
          <w:sz w:val="24"/>
          <w:szCs w:val="24"/>
        </w:rPr>
        <w:t>、</w:t>
      </w:r>
      <w:r w:rsidR="004048B4" w:rsidRPr="004048B4">
        <w:rPr>
          <w:rFonts w:ascii="华文楷体" w:hAnsi="华文楷体" w:hint="eastAsia"/>
          <w:b w:val="0"/>
          <w:smallCaps w:val="0"/>
          <w:color w:val="auto"/>
          <w:sz w:val="24"/>
          <w:szCs w:val="24"/>
        </w:rPr>
        <w:t>问</w:t>
      </w:r>
      <w:proofErr w:type="gramStart"/>
      <w:r w:rsidR="004048B4" w:rsidRPr="004048B4">
        <w:rPr>
          <w:rFonts w:ascii="华文楷体" w:hAnsi="华文楷体" w:hint="eastAsia"/>
          <w:b w:val="0"/>
          <w:smallCaps w:val="0"/>
          <w:color w:val="auto"/>
          <w:sz w:val="24"/>
          <w:szCs w:val="24"/>
        </w:rPr>
        <w:t>责制度</w:t>
      </w:r>
      <w:proofErr w:type="gramEnd"/>
      <w:r w:rsidR="004048B4" w:rsidRPr="004048B4">
        <w:rPr>
          <w:rFonts w:ascii="华文楷体" w:hAnsi="华文楷体" w:hint="eastAsia"/>
          <w:b w:val="0"/>
          <w:smallCaps w:val="0"/>
          <w:color w:val="auto"/>
          <w:sz w:val="24"/>
          <w:szCs w:val="24"/>
        </w:rPr>
        <w:t>体系，维护金融安全</w:t>
      </w:r>
      <w:r w:rsidR="00FC2F92">
        <w:rPr>
          <w:rFonts w:ascii="华文楷体" w:hAnsi="华文楷体" w:hint="eastAsia"/>
          <w:b w:val="0"/>
          <w:smallCaps w:val="0"/>
          <w:color w:val="auto"/>
          <w:sz w:val="24"/>
          <w:szCs w:val="24"/>
        </w:rPr>
        <w:t>，牢</w:t>
      </w:r>
      <w:r w:rsidR="004048B4" w:rsidRPr="004048B4">
        <w:rPr>
          <w:rFonts w:ascii="华文楷体" w:hAnsi="华文楷体" w:hint="eastAsia"/>
          <w:b w:val="0"/>
          <w:smallCaps w:val="0"/>
          <w:color w:val="auto"/>
          <w:sz w:val="24"/>
          <w:szCs w:val="24"/>
        </w:rPr>
        <w:t>牢守住不发生系统性金融风险的底线。以创新驱动、高质量供给引领和</w:t>
      </w:r>
      <w:r w:rsidR="00FC2F92">
        <w:rPr>
          <w:rFonts w:ascii="华文楷体" w:hAnsi="华文楷体" w:hint="eastAsia"/>
          <w:b w:val="0"/>
          <w:smallCaps w:val="0"/>
          <w:color w:val="auto"/>
          <w:sz w:val="24"/>
          <w:szCs w:val="24"/>
        </w:rPr>
        <w:t>创造新</w:t>
      </w:r>
      <w:r w:rsidR="004048B4" w:rsidRPr="004048B4">
        <w:rPr>
          <w:rFonts w:ascii="华文楷体" w:hAnsi="华文楷体" w:hint="eastAsia"/>
          <w:b w:val="0"/>
          <w:smallCaps w:val="0"/>
          <w:color w:val="auto"/>
          <w:sz w:val="24"/>
          <w:szCs w:val="24"/>
        </w:rPr>
        <w:t>需求</w:t>
      </w:r>
      <w:r w:rsidR="00FC2F92">
        <w:rPr>
          <w:rFonts w:ascii="华文楷体" w:hAnsi="华文楷体" w:hint="eastAsia"/>
          <w:b w:val="0"/>
          <w:smallCaps w:val="0"/>
          <w:color w:val="auto"/>
          <w:sz w:val="24"/>
          <w:szCs w:val="24"/>
        </w:rPr>
        <w:t>，</w:t>
      </w:r>
      <w:r w:rsidR="004048B4" w:rsidRPr="004048B4">
        <w:rPr>
          <w:rFonts w:ascii="华文楷体" w:hAnsi="华文楷体" w:hint="eastAsia"/>
          <w:b w:val="0"/>
          <w:smallCaps w:val="0"/>
          <w:color w:val="auto"/>
          <w:sz w:val="24"/>
          <w:szCs w:val="24"/>
        </w:rPr>
        <w:t>加快形成以国内大循环为主体、国内</w:t>
      </w:r>
      <w:r w:rsidR="00265EE2">
        <w:rPr>
          <w:rFonts w:ascii="华文楷体" w:hAnsi="华文楷体" w:hint="eastAsia"/>
          <w:b w:val="0"/>
          <w:smallCaps w:val="0"/>
          <w:color w:val="auto"/>
          <w:sz w:val="24"/>
          <w:szCs w:val="24"/>
        </w:rPr>
        <w:t>国</w:t>
      </w:r>
      <w:r w:rsidR="004048B4" w:rsidRPr="004048B4">
        <w:rPr>
          <w:rFonts w:ascii="华文楷体" w:hAnsi="华文楷体" w:hint="eastAsia"/>
          <w:b w:val="0"/>
          <w:smallCaps w:val="0"/>
          <w:color w:val="auto"/>
          <w:sz w:val="24"/>
          <w:szCs w:val="24"/>
        </w:rPr>
        <w:t>际双循环相互促进的新发展格局。</w:t>
      </w:r>
    </w:p>
    <w:p w14:paraId="0DEE9BA5" w14:textId="3B5F0A79" w:rsidR="004048B4" w:rsidRDefault="004048B4" w:rsidP="002F2E55">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具体内容</w:t>
      </w:r>
      <w:r w:rsidR="0027094F">
        <w:rPr>
          <w:rFonts w:ascii="华文楷体" w:hAnsi="华文楷体" w:hint="eastAsia"/>
          <w:b w:val="0"/>
          <w:smallCaps w:val="0"/>
          <w:color w:val="auto"/>
          <w:sz w:val="24"/>
          <w:szCs w:val="24"/>
        </w:rPr>
        <w:t>主要包括</w:t>
      </w:r>
      <w:r w:rsidR="00FC2F92">
        <w:rPr>
          <w:rFonts w:ascii="华文楷体" w:hAnsi="华文楷体" w:hint="eastAsia"/>
          <w:b w:val="0"/>
          <w:smallCaps w:val="0"/>
          <w:color w:val="auto"/>
          <w:sz w:val="24"/>
          <w:szCs w:val="24"/>
        </w:rPr>
        <w:t>如下几方面要点</w:t>
      </w:r>
      <w:r w:rsidR="0027094F">
        <w:rPr>
          <w:rFonts w:ascii="华文楷体" w:hAnsi="华文楷体" w:hint="eastAsia"/>
          <w:b w:val="0"/>
          <w:smallCaps w:val="0"/>
          <w:color w:val="auto"/>
          <w:sz w:val="24"/>
          <w:szCs w:val="24"/>
        </w:rPr>
        <w:t>：</w:t>
      </w:r>
    </w:p>
    <w:p w14:paraId="61FA46C8" w14:textId="77777777" w:rsidR="00FC2F92" w:rsidRDefault="0027094F" w:rsidP="004048B4">
      <w:pPr>
        <w:pStyle w:val="Header1"/>
        <w:numPr>
          <w:ilvl w:val="0"/>
          <w:numId w:val="24"/>
        </w:numPr>
        <w:spacing w:before="240"/>
        <w:rPr>
          <w:rFonts w:ascii="华文楷体" w:hAnsi="华文楷体"/>
          <w:b w:val="0"/>
          <w:smallCaps w:val="0"/>
          <w:color w:val="auto"/>
          <w:sz w:val="24"/>
          <w:szCs w:val="24"/>
        </w:rPr>
      </w:pPr>
      <w:r>
        <w:rPr>
          <w:rFonts w:ascii="华文楷体" w:hAnsi="华文楷体" w:hint="eastAsia"/>
          <w:b w:val="0"/>
          <w:smallCaps w:val="0"/>
          <w:color w:val="auto"/>
          <w:sz w:val="24"/>
          <w:szCs w:val="24"/>
        </w:rPr>
        <w:t>经济基本面，</w:t>
      </w:r>
      <w:r w:rsidRPr="0027094F">
        <w:rPr>
          <w:rFonts w:ascii="华文楷体" w:hAnsi="华文楷体"/>
          <w:b w:val="0"/>
          <w:smallCaps w:val="0"/>
          <w:color w:val="auto"/>
          <w:sz w:val="24"/>
          <w:szCs w:val="24"/>
        </w:rPr>
        <w:t>我国经济增长好于预期，供需关系逐步改善，市场活力动力增强。前三季度经济增长由负转正，第三季度国内生产总值（GDP）同比增长4.9%，前三季度居民消费价格指数（CPI）同比上涨3.3%，就业形势总体稳定，进出口贸易稳中向好。</w:t>
      </w:r>
    </w:p>
    <w:p w14:paraId="465647C3" w14:textId="3D863DB6" w:rsidR="004048B4" w:rsidRDefault="00FC2F92" w:rsidP="00FC2F92">
      <w:pPr>
        <w:pStyle w:val="Header1"/>
        <w:spacing w:before="240"/>
        <w:ind w:left="900"/>
        <w:rPr>
          <w:rFonts w:ascii="华文楷体" w:hAnsi="华文楷体"/>
          <w:b w:val="0"/>
          <w:smallCaps w:val="0"/>
          <w:color w:val="auto"/>
          <w:sz w:val="24"/>
          <w:szCs w:val="24"/>
        </w:rPr>
      </w:pPr>
      <w:r>
        <w:rPr>
          <w:rFonts w:ascii="华文楷体" w:hAnsi="华文楷体" w:hint="eastAsia"/>
          <w:b w:val="0"/>
          <w:smallCaps w:val="0"/>
          <w:color w:val="auto"/>
          <w:sz w:val="24"/>
          <w:szCs w:val="24"/>
        </w:rPr>
        <w:t>三季度货币政策报告对当前的经济修复情况表述持续相对积极，对后续展望目前看也相对乐观。</w:t>
      </w:r>
    </w:p>
    <w:p w14:paraId="0E727833" w14:textId="52C61196" w:rsidR="00F85A94" w:rsidRDefault="0027094F" w:rsidP="004048B4">
      <w:pPr>
        <w:pStyle w:val="Header1"/>
        <w:numPr>
          <w:ilvl w:val="0"/>
          <w:numId w:val="24"/>
        </w:numPr>
        <w:spacing w:before="240"/>
        <w:rPr>
          <w:rFonts w:ascii="华文楷体" w:hAnsi="华文楷体"/>
          <w:b w:val="0"/>
          <w:smallCaps w:val="0"/>
          <w:color w:val="auto"/>
          <w:sz w:val="24"/>
          <w:szCs w:val="24"/>
        </w:rPr>
      </w:pPr>
      <w:r>
        <w:rPr>
          <w:rFonts w:ascii="华文楷体" w:hAnsi="华文楷体" w:hint="eastAsia"/>
          <w:b w:val="0"/>
          <w:smallCaps w:val="0"/>
          <w:color w:val="auto"/>
          <w:sz w:val="24"/>
          <w:szCs w:val="24"/>
        </w:rPr>
        <w:t>货币政策方面</w:t>
      </w:r>
      <w:r w:rsidR="00265EE2">
        <w:rPr>
          <w:rFonts w:ascii="华文楷体" w:hAnsi="华文楷体" w:hint="eastAsia"/>
          <w:b w:val="0"/>
          <w:smallCaps w:val="0"/>
          <w:color w:val="auto"/>
          <w:sz w:val="24"/>
          <w:szCs w:val="24"/>
        </w:rPr>
        <w:t>，</w:t>
      </w:r>
      <w:r w:rsidRPr="0027094F">
        <w:rPr>
          <w:rFonts w:ascii="华文楷体" w:hAnsi="华文楷体"/>
          <w:b w:val="0"/>
          <w:smallCaps w:val="0"/>
          <w:color w:val="auto"/>
          <w:sz w:val="24"/>
          <w:szCs w:val="24"/>
        </w:rPr>
        <w:t>一是保持流动性合理充裕。合理把握中期借贷便利、公开市场操作等货币政策工具的力度和节奏，保持短、中、长期流动性供给和需求均衡，有效稳定市场预期，引导市场利率围绕政策利率平稳运行。二是持续深化贷款市场报价利率改革。按期完成存量浮动利率贷款的定价基准集中转换工作，贷款利率隐性下限被完全打破。三是完善结构性货币政策工具体系，突出分层次、有梯度的内在逻辑，增强</w:t>
      </w:r>
      <w:r w:rsidRPr="0027094F">
        <w:rPr>
          <w:rFonts w:ascii="华文楷体" w:hAnsi="华文楷体" w:hint="eastAsia"/>
          <w:b w:val="0"/>
          <w:smallCaps w:val="0"/>
          <w:color w:val="auto"/>
          <w:sz w:val="24"/>
          <w:szCs w:val="24"/>
        </w:rPr>
        <w:t>直达</w:t>
      </w:r>
      <w:r w:rsidRPr="0027094F">
        <w:rPr>
          <w:rFonts w:ascii="华文楷体" w:hAnsi="华文楷体"/>
          <w:b w:val="0"/>
          <w:smallCaps w:val="0"/>
          <w:color w:val="auto"/>
          <w:sz w:val="24"/>
          <w:szCs w:val="24"/>
        </w:rPr>
        <w:t>性、精准性。四是以我为主，兼顾对外均衡。人民币汇率以市场供求为基础双向浮动，弹性增强，市场预期平稳，跨境资本流动有序，市场供求平衡。五是牢牢守住不发生系统性风险的底线，有效防控金融风险。</w:t>
      </w:r>
    </w:p>
    <w:p w14:paraId="21EC0C05" w14:textId="32B070A1" w:rsidR="00FC2F92" w:rsidRDefault="00FC2F92" w:rsidP="00FC2F92">
      <w:pPr>
        <w:pStyle w:val="Header1"/>
        <w:spacing w:before="240"/>
        <w:ind w:left="900"/>
        <w:rPr>
          <w:rFonts w:ascii="华文楷体" w:hAnsi="华文楷体"/>
          <w:b w:val="0"/>
          <w:smallCaps w:val="0"/>
          <w:color w:val="auto"/>
          <w:sz w:val="24"/>
          <w:szCs w:val="24"/>
        </w:rPr>
      </w:pPr>
      <w:r>
        <w:rPr>
          <w:rFonts w:ascii="华文楷体" w:hAnsi="华文楷体" w:hint="eastAsia"/>
          <w:b w:val="0"/>
          <w:smallCaps w:val="0"/>
          <w:color w:val="auto"/>
          <w:sz w:val="24"/>
          <w:szCs w:val="24"/>
        </w:rPr>
        <w:t>政策操作方面，仍坚持一贯以来的“保持流动性合理充裕，</w:t>
      </w:r>
      <w:r w:rsidRPr="00FC2F92">
        <w:rPr>
          <w:rFonts w:ascii="华文楷体" w:hAnsi="华文楷体"/>
          <w:b w:val="0"/>
          <w:smallCaps w:val="0"/>
          <w:color w:val="auto"/>
          <w:sz w:val="24"/>
          <w:szCs w:val="24"/>
        </w:rPr>
        <w:t>把好货币供应总闸门</w:t>
      </w:r>
      <w:r>
        <w:rPr>
          <w:rFonts w:ascii="华文楷体" w:hAnsi="华文楷体" w:hint="eastAsia"/>
          <w:b w:val="0"/>
          <w:smallCaps w:val="0"/>
          <w:color w:val="auto"/>
          <w:sz w:val="24"/>
          <w:szCs w:val="24"/>
        </w:rPr>
        <w:t>”，更突出结构性货币政策工具体系的建立和实施，贷款利率保持前期表述“</w:t>
      </w:r>
      <w:r w:rsidRPr="0027094F">
        <w:rPr>
          <w:rFonts w:ascii="华文楷体" w:hAnsi="华文楷体"/>
          <w:b w:val="0"/>
          <w:smallCaps w:val="0"/>
          <w:color w:val="auto"/>
          <w:sz w:val="24"/>
          <w:szCs w:val="24"/>
        </w:rPr>
        <w:t>持续深化贷款市场报价利率改革</w:t>
      </w:r>
      <w:r>
        <w:rPr>
          <w:rFonts w:ascii="华文楷体" w:hAnsi="华文楷体" w:hint="eastAsia"/>
          <w:b w:val="0"/>
          <w:smallCaps w:val="0"/>
          <w:color w:val="auto"/>
          <w:sz w:val="24"/>
          <w:szCs w:val="24"/>
        </w:rPr>
        <w:t>”。流动性操作思路上，仍维持“</w:t>
      </w:r>
      <w:r w:rsidRPr="0027094F">
        <w:rPr>
          <w:rFonts w:ascii="华文楷体" w:hAnsi="华文楷体"/>
          <w:b w:val="0"/>
          <w:smallCaps w:val="0"/>
          <w:color w:val="auto"/>
          <w:sz w:val="24"/>
          <w:szCs w:val="24"/>
        </w:rPr>
        <w:t>引导市场利率围绕政策利率平</w:t>
      </w:r>
      <w:r w:rsidRPr="0027094F">
        <w:rPr>
          <w:rFonts w:ascii="华文楷体" w:hAnsi="华文楷体"/>
          <w:b w:val="0"/>
          <w:smallCaps w:val="0"/>
          <w:color w:val="auto"/>
          <w:sz w:val="24"/>
          <w:szCs w:val="24"/>
        </w:rPr>
        <w:lastRenderedPageBreak/>
        <w:t>稳运行</w:t>
      </w:r>
      <w:r>
        <w:rPr>
          <w:rFonts w:ascii="华文楷体" w:hAnsi="华文楷体" w:hint="eastAsia"/>
          <w:b w:val="0"/>
          <w:smallCaps w:val="0"/>
          <w:color w:val="auto"/>
          <w:sz w:val="24"/>
          <w:szCs w:val="24"/>
        </w:rPr>
        <w:t>”。</w:t>
      </w:r>
    </w:p>
    <w:p w14:paraId="02A23154" w14:textId="30C70188" w:rsidR="002F2E55" w:rsidRDefault="00FC2F92" w:rsidP="00FC2F92">
      <w:pPr>
        <w:pStyle w:val="Header1"/>
        <w:numPr>
          <w:ilvl w:val="0"/>
          <w:numId w:val="24"/>
        </w:numPr>
        <w:spacing w:before="240"/>
        <w:rPr>
          <w:rFonts w:ascii="华文楷体" w:hAnsi="华文楷体"/>
          <w:b w:val="0"/>
          <w:smallCaps w:val="0"/>
          <w:color w:val="auto"/>
          <w:sz w:val="24"/>
          <w:szCs w:val="24"/>
        </w:rPr>
      </w:pPr>
      <w:r>
        <w:rPr>
          <w:rFonts w:ascii="华文楷体" w:hAnsi="华文楷体" w:hint="eastAsia"/>
          <w:b w:val="0"/>
          <w:smallCaps w:val="0"/>
          <w:color w:val="auto"/>
          <w:sz w:val="24"/>
          <w:szCs w:val="24"/>
        </w:rPr>
        <w:t>下一阶段主要政策思路：</w:t>
      </w:r>
      <w:r w:rsidRPr="00FC2F92">
        <w:rPr>
          <w:rFonts w:ascii="华文楷体" w:hAnsi="华文楷体" w:hint="eastAsia"/>
          <w:b w:val="0"/>
          <w:smallCaps w:val="0"/>
          <w:color w:val="auto"/>
          <w:sz w:val="24"/>
          <w:szCs w:val="24"/>
        </w:rPr>
        <w:t>全力做好</w:t>
      </w:r>
      <w:r w:rsidRPr="00FC2F92">
        <w:rPr>
          <w:rFonts w:ascii="华文楷体" w:hAnsi="华文楷体"/>
          <w:b w:val="0"/>
          <w:smallCaps w:val="0"/>
          <w:color w:val="auto"/>
          <w:sz w:val="24"/>
          <w:szCs w:val="24"/>
        </w:rPr>
        <w:t>“</w:t>
      </w:r>
      <w:r w:rsidRPr="00FC2F92">
        <w:rPr>
          <w:rFonts w:ascii="华文楷体" w:hAnsi="华文楷体" w:hint="eastAsia"/>
          <w:b w:val="0"/>
          <w:smallCaps w:val="0"/>
          <w:color w:val="auto"/>
          <w:sz w:val="24"/>
          <w:szCs w:val="24"/>
        </w:rPr>
        <w:t>六稳</w:t>
      </w:r>
      <w:r w:rsidRPr="00FC2F92">
        <w:rPr>
          <w:rFonts w:ascii="华文楷体" w:hAnsi="华文楷体"/>
          <w:b w:val="0"/>
          <w:smallCaps w:val="0"/>
          <w:color w:val="auto"/>
          <w:sz w:val="24"/>
          <w:szCs w:val="24"/>
        </w:rPr>
        <w:t>”“</w:t>
      </w:r>
      <w:r w:rsidRPr="00FC2F92">
        <w:rPr>
          <w:rFonts w:ascii="华文楷体" w:hAnsi="华文楷体" w:hint="eastAsia"/>
          <w:b w:val="0"/>
          <w:smallCaps w:val="0"/>
          <w:color w:val="auto"/>
          <w:sz w:val="24"/>
          <w:szCs w:val="24"/>
        </w:rPr>
        <w:t>六保</w:t>
      </w:r>
      <w:r w:rsidRPr="00FC2F92">
        <w:rPr>
          <w:rFonts w:ascii="华文楷体" w:hAnsi="华文楷体"/>
          <w:b w:val="0"/>
          <w:smallCaps w:val="0"/>
          <w:color w:val="auto"/>
          <w:sz w:val="24"/>
          <w:szCs w:val="24"/>
        </w:rPr>
        <w:t>”</w:t>
      </w:r>
      <w:r w:rsidRPr="00FC2F92">
        <w:rPr>
          <w:rFonts w:ascii="华文楷体" w:hAnsi="华文楷体" w:hint="eastAsia"/>
          <w:b w:val="0"/>
          <w:smallCaps w:val="0"/>
          <w:color w:val="auto"/>
          <w:sz w:val="24"/>
          <w:szCs w:val="24"/>
        </w:rPr>
        <w:t>和</w:t>
      </w:r>
      <w:r w:rsidRPr="00FC2F92">
        <w:rPr>
          <w:rFonts w:ascii="华文楷体" w:hAnsi="华文楷体"/>
          <w:b w:val="0"/>
          <w:smallCaps w:val="0"/>
          <w:color w:val="auto"/>
          <w:sz w:val="24"/>
          <w:szCs w:val="24"/>
        </w:rPr>
        <w:t>“</w:t>
      </w:r>
      <w:r w:rsidRPr="00FC2F92">
        <w:rPr>
          <w:rFonts w:ascii="华文楷体" w:hAnsi="华文楷体" w:hint="eastAsia"/>
          <w:b w:val="0"/>
          <w:smallCaps w:val="0"/>
          <w:color w:val="auto"/>
          <w:sz w:val="24"/>
          <w:szCs w:val="24"/>
        </w:rPr>
        <w:t>十三五</w:t>
      </w:r>
      <w:r w:rsidRPr="00FC2F92">
        <w:rPr>
          <w:rFonts w:ascii="华文楷体" w:hAnsi="华文楷体"/>
          <w:b w:val="0"/>
          <w:smallCaps w:val="0"/>
          <w:color w:val="auto"/>
          <w:sz w:val="24"/>
          <w:szCs w:val="24"/>
        </w:rPr>
        <w:t>”</w:t>
      </w:r>
      <w:r w:rsidRPr="00FC2F92">
        <w:rPr>
          <w:rFonts w:ascii="华文楷体" w:hAnsi="华文楷体" w:hint="eastAsia"/>
          <w:b w:val="0"/>
          <w:smallCaps w:val="0"/>
          <w:color w:val="auto"/>
          <w:sz w:val="24"/>
          <w:szCs w:val="24"/>
        </w:rPr>
        <w:t>规划收官工作，确保实现全面建成小康社会奋斗目标</w:t>
      </w:r>
      <w:r>
        <w:rPr>
          <w:rFonts w:ascii="华文楷体" w:hAnsi="华文楷体" w:hint="eastAsia"/>
          <w:b w:val="0"/>
          <w:smallCaps w:val="0"/>
          <w:color w:val="auto"/>
          <w:sz w:val="24"/>
          <w:szCs w:val="24"/>
        </w:rPr>
        <w:t>。</w:t>
      </w:r>
      <w:r w:rsidRPr="00FC2F92">
        <w:rPr>
          <w:rFonts w:ascii="华文楷体" w:hAnsi="华文楷体" w:hint="eastAsia"/>
          <w:b w:val="0"/>
          <w:smallCaps w:val="0"/>
          <w:color w:val="auto"/>
          <w:sz w:val="24"/>
          <w:szCs w:val="24"/>
        </w:rPr>
        <w:t>搞好跨周期政策设计，促进经济总量平衡、结构优化、内外均衡。建设现代中央银行制度，完善货币供应调控机制，健全市场化利率形成和传导机制，构建金融有效支持实体经济的体制机制。</w:t>
      </w:r>
    </w:p>
    <w:p w14:paraId="392CDAAC" w14:textId="57B34FA6" w:rsidR="00FF04EE" w:rsidRDefault="00FC2F92" w:rsidP="00880D8B">
      <w:pPr>
        <w:pStyle w:val="Header1"/>
        <w:spacing w:before="240"/>
        <w:ind w:left="900"/>
        <w:rPr>
          <w:rFonts w:ascii="华文楷体" w:hAnsi="华文楷体"/>
          <w:b w:val="0"/>
          <w:smallCaps w:val="0"/>
          <w:color w:val="auto"/>
          <w:sz w:val="24"/>
          <w:szCs w:val="24"/>
        </w:rPr>
      </w:pPr>
      <w:r>
        <w:rPr>
          <w:rFonts w:ascii="华文楷体" w:hAnsi="华文楷体" w:hint="eastAsia"/>
          <w:b w:val="0"/>
          <w:smallCaps w:val="0"/>
          <w:color w:val="auto"/>
          <w:sz w:val="24"/>
          <w:szCs w:val="24"/>
        </w:rPr>
        <w:t>经济基本面仍是政策思路优先考虑的要素，在这一基础上，文件的货币政策更加灵活适度、精准导向；</w:t>
      </w:r>
      <w:r w:rsidRPr="00FC2F92">
        <w:rPr>
          <w:rFonts w:ascii="华文楷体" w:hAnsi="华文楷体" w:hint="eastAsia"/>
          <w:b w:val="0"/>
          <w:smallCaps w:val="0"/>
          <w:color w:val="auto"/>
          <w:sz w:val="24"/>
          <w:szCs w:val="24"/>
        </w:rPr>
        <w:t>进一步落实和发挥好再贷款、再贴现和直达实体经济的货币政策工具的牵引带动作用，强化对稳企业保就业的金融支持。构建金融有效支持实体经济的体制机制。</w:t>
      </w:r>
      <w:r>
        <w:rPr>
          <w:rFonts w:ascii="华文楷体" w:hAnsi="华文楷体" w:hint="eastAsia"/>
          <w:b w:val="0"/>
          <w:smallCaps w:val="0"/>
          <w:color w:val="auto"/>
          <w:sz w:val="24"/>
          <w:szCs w:val="24"/>
        </w:rPr>
        <w:t>继续深化利率、汇率市场化改革，</w:t>
      </w:r>
      <w:r w:rsidRPr="00880D8B">
        <w:rPr>
          <w:rFonts w:ascii="华文楷体" w:hAnsi="华文楷体"/>
          <w:b w:val="0"/>
          <w:smallCaps w:val="0"/>
          <w:color w:val="auto"/>
          <w:sz w:val="24"/>
          <w:szCs w:val="24"/>
        </w:rPr>
        <w:t>提高金融资源配置效率</w:t>
      </w:r>
      <w:r w:rsidRPr="00880D8B">
        <w:rPr>
          <w:rFonts w:ascii="华文楷体" w:hAnsi="华文楷体" w:hint="eastAsia"/>
          <w:b w:val="0"/>
          <w:smallCaps w:val="0"/>
          <w:color w:val="auto"/>
          <w:sz w:val="24"/>
          <w:szCs w:val="24"/>
        </w:rPr>
        <w:t>；</w:t>
      </w:r>
      <w:r w:rsidR="00880D8B" w:rsidRPr="00880D8B">
        <w:rPr>
          <w:rFonts w:ascii="华文楷体" w:hAnsi="华文楷体" w:hint="eastAsia"/>
          <w:b w:val="0"/>
          <w:smallCaps w:val="0"/>
          <w:color w:val="auto"/>
          <w:sz w:val="24"/>
          <w:szCs w:val="24"/>
        </w:rPr>
        <w:t>同时此次报告也提到了金融市场基础制度建设和金融机构改革，健全金融风险</w:t>
      </w:r>
      <w:r w:rsidR="00880D8B">
        <w:rPr>
          <w:rFonts w:ascii="华文楷体" w:hAnsi="华文楷体" w:hint="eastAsia"/>
          <w:b w:val="0"/>
          <w:smallCaps w:val="0"/>
          <w:color w:val="auto"/>
          <w:sz w:val="24"/>
          <w:szCs w:val="24"/>
        </w:rPr>
        <w:t>制度</w:t>
      </w:r>
      <w:r w:rsidR="00880D8B" w:rsidRPr="00880D8B">
        <w:rPr>
          <w:rFonts w:ascii="华文楷体" w:hAnsi="华文楷体" w:hint="eastAsia"/>
          <w:b w:val="0"/>
          <w:smallCaps w:val="0"/>
          <w:color w:val="auto"/>
          <w:sz w:val="24"/>
          <w:szCs w:val="24"/>
        </w:rPr>
        <w:t>体系。</w:t>
      </w:r>
    </w:p>
    <w:p w14:paraId="59A9F75A" w14:textId="3CEBDED3" w:rsidR="00326FB6" w:rsidRPr="00373413" w:rsidRDefault="0032768B" w:rsidP="00373413">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综上，</w:t>
      </w:r>
      <w:r w:rsidR="00880D8B">
        <w:rPr>
          <w:rFonts w:ascii="华文楷体" w:hAnsi="华文楷体" w:hint="eastAsia"/>
          <w:b w:val="0"/>
          <w:smallCaps w:val="0"/>
          <w:color w:val="auto"/>
          <w:sz w:val="24"/>
          <w:szCs w:val="24"/>
        </w:rPr>
        <w:t>从此次三季度央行货币政策报告来看，整体政策思路</w:t>
      </w:r>
      <w:r w:rsidR="006837F4">
        <w:rPr>
          <w:rFonts w:ascii="华文楷体" w:hAnsi="华文楷体" w:hint="eastAsia"/>
          <w:b w:val="0"/>
          <w:smallCaps w:val="0"/>
          <w:color w:val="auto"/>
          <w:sz w:val="24"/>
          <w:szCs w:val="24"/>
        </w:rPr>
        <w:t>具有一定延续性，总量政策预计短期仍维持当前水平，央行更多通过结构性货币政策进行调控，稳定市场预期的同时，也强调防范风险，政策具有一定相机决策的空间，关注宏观杠杆率，明年信用扩张增速预计维持平稳为主。</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1FB95DD3" w:rsidR="00EA1459" w:rsidRPr="00EA1459" w:rsidRDefault="008628FA"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EC3415">
        <w:rPr>
          <w:rFonts w:ascii="华文楷体" w:hAnsi="华文楷体" w:hint="eastAsia"/>
          <w:sz w:val="24"/>
          <w:szCs w:val="24"/>
          <w:lang w:eastAsia="zh-CN"/>
        </w:rPr>
        <w:t>央行公开市场</w:t>
      </w:r>
      <w:r w:rsidR="00D9413F">
        <w:rPr>
          <w:rFonts w:ascii="华文楷体" w:hAnsi="华文楷体" w:hint="eastAsia"/>
          <w:sz w:val="24"/>
          <w:szCs w:val="24"/>
          <w:lang w:eastAsia="zh-CN"/>
        </w:rPr>
        <w:t>操作</w:t>
      </w:r>
      <w:r w:rsidR="003C6AC1">
        <w:rPr>
          <w:rFonts w:ascii="华文楷体" w:hAnsi="华文楷体" w:hint="eastAsia"/>
          <w:sz w:val="24"/>
          <w:szCs w:val="24"/>
          <w:lang w:eastAsia="zh-CN"/>
        </w:rPr>
        <w:t>净</w:t>
      </w:r>
      <w:r w:rsidR="00794DBA">
        <w:rPr>
          <w:rFonts w:ascii="华文楷体" w:hAnsi="华文楷体" w:hint="eastAsia"/>
          <w:sz w:val="24"/>
          <w:szCs w:val="24"/>
          <w:lang w:eastAsia="zh-CN"/>
        </w:rPr>
        <w:t>投放1</w:t>
      </w:r>
      <w:r w:rsidR="00794DBA">
        <w:rPr>
          <w:rFonts w:ascii="华文楷体" w:hAnsi="华文楷体"/>
          <w:sz w:val="24"/>
          <w:szCs w:val="24"/>
          <w:lang w:eastAsia="zh-CN"/>
        </w:rPr>
        <w:t>3</w:t>
      </w:r>
      <w:r w:rsidR="003C6AC1">
        <w:rPr>
          <w:rFonts w:ascii="华文楷体" w:hAnsi="华文楷体" w:hint="eastAsia"/>
          <w:sz w:val="24"/>
          <w:szCs w:val="24"/>
          <w:lang w:eastAsia="zh-CN"/>
        </w:rPr>
        <w:t>00</w:t>
      </w:r>
      <w:r w:rsidR="00DC4A12">
        <w:rPr>
          <w:rFonts w:ascii="华文楷体" w:hAnsi="华文楷体" w:hint="eastAsia"/>
          <w:sz w:val="24"/>
          <w:szCs w:val="24"/>
          <w:lang w:eastAsia="zh-CN"/>
        </w:rPr>
        <w:t>亿</w:t>
      </w:r>
      <w:r w:rsidR="002C4ACD">
        <w:rPr>
          <w:rFonts w:ascii="华文楷体" w:hAnsi="华文楷体" w:hint="eastAsia"/>
          <w:sz w:val="24"/>
          <w:szCs w:val="24"/>
          <w:lang w:eastAsia="zh-CN"/>
        </w:rPr>
        <w:t>，</w:t>
      </w:r>
      <w:r w:rsidR="005952B7">
        <w:rPr>
          <w:rFonts w:ascii="华文楷体" w:hAnsi="华文楷体" w:hint="eastAsia"/>
          <w:sz w:val="24"/>
          <w:szCs w:val="24"/>
          <w:lang w:eastAsia="zh-CN"/>
        </w:rPr>
        <w:t>其中到期</w:t>
      </w:r>
      <w:r w:rsidR="00794DBA">
        <w:rPr>
          <w:rFonts w:ascii="华文楷体" w:hAnsi="华文楷体"/>
          <w:sz w:val="24"/>
          <w:szCs w:val="24"/>
          <w:lang w:eastAsia="zh-CN"/>
        </w:rPr>
        <w:t>305</w:t>
      </w:r>
      <w:r w:rsidR="001969E7">
        <w:rPr>
          <w:rFonts w:ascii="华文楷体" w:hAnsi="华文楷体" w:hint="eastAsia"/>
          <w:sz w:val="24"/>
          <w:szCs w:val="24"/>
          <w:lang w:eastAsia="zh-CN"/>
        </w:rPr>
        <w:t>0</w:t>
      </w:r>
      <w:r w:rsidR="005952B7">
        <w:rPr>
          <w:rFonts w:ascii="华文楷体" w:hAnsi="华文楷体" w:hint="eastAsia"/>
          <w:sz w:val="24"/>
          <w:szCs w:val="24"/>
          <w:lang w:eastAsia="zh-CN"/>
        </w:rPr>
        <w:t>亿，投放</w:t>
      </w:r>
      <w:r w:rsidR="00794DBA">
        <w:rPr>
          <w:rFonts w:ascii="华文楷体" w:hAnsi="华文楷体"/>
          <w:sz w:val="24"/>
          <w:szCs w:val="24"/>
          <w:lang w:eastAsia="zh-CN"/>
        </w:rPr>
        <w:t>435</w:t>
      </w:r>
      <w:r w:rsidR="001969E7">
        <w:rPr>
          <w:rFonts w:ascii="华文楷体" w:hAnsi="华文楷体" w:hint="eastAsia"/>
          <w:sz w:val="24"/>
          <w:szCs w:val="24"/>
          <w:lang w:eastAsia="zh-CN"/>
        </w:rPr>
        <w:t>0</w:t>
      </w:r>
      <w:r w:rsidR="005952B7">
        <w:rPr>
          <w:rFonts w:ascii="华文楷体" w:hAnsi="华文楷体" w:hint="eastAsia"/>
          <w:sz w:val="24"/>
          <w:szCs w:val="24"/>
          <w:lang w:eastAsia="zh-CN"/>
        </w:rPr>
        <w:t>亿</w:t>
      </w:r>
      <w:r w:rsidR="005671F6">
        <w:rPr>
          <w:rFonts w:ascii="华文楷体" w:hAnsi="华文楷体" w:hint="eastAsia"/>
          <w:sz w:val="24"/>
          <w:szCs w:val="24"/>
          <w:lang w:eastAsia="zh-CN"/>
        </w:rPr>
        <w:t>。</w:t>
      </w:r>
      <w:r w:rsidR="00794DBA">
        <w:rPr>
          <w:rFonts w:ascii="华文楷体" w:hAnsi="华文楷体" w:hint="eastAsia"/>
          <w:sz w:val="24"/>
          <w:szCs w:val="24"/>
          <w:lang w:eastAsia="zh-CN"/>
        </w:rPr>
        <w:t>值得关注的是交易所资金价格持续较低</w:t>
      </w:r>
      <w:r w:rsidR="001E00E3">
        <w:rPr>
          <w:rFonts w:ascii="华文楷体" w:hAnsi="华文楷体" w:hint="eastAsia"/>
          <w:sz w:val="24"/>
          <w:szCs w:val="24"/>
          <w:lang w:eastAsia="zh-CN"/>
        </w:rPr>
        <w:t>，</w:t>
      </w:r>
      <w:r w:rsidR="00794DBA">
        <w:rPr>
          <w:rFonts w:ascii="华文楷体" w:hAnsi="华文楷体" w:hint="eastAsia"/>
          <w:sz w:val="24"/>
          <w:szCs w:val="24"/>
          <w:lang w:eastAsia="zh-CN"/>
        </w:rPr>
        <w:t>带动整体资金利率适度下行</w:t>
      </w:r>
      <w:r w:rsidR="00D9413F">
        <w:rPr>
          <w:rFonts w:ascii="华文楷体" w:hAnsi="华文楷体" w:hint="eastAsia"/>
          <w:sz w:val="24"/>
          <w:szCs w:val="24"/>
          <w:lang w:eastAsia="zh-CN"/>
        </w:rPr>
        <w:t>。</w:t>
      </w:r>
      <w:r w:rsidR="00854190">
        <w:rPr>
          <w:rFonts w:ascii="华文楷体" w:hAnsi="华文楷体" w:hint="eastAsia"/>
          <w:sz w:val="24"/>
          <w:szCs w:val="24"/>
          <w:lang w:eastAsia="zh-CN"/>
        </w:rPr>
        <w:t>周五</w:t>
      </w:r>
      <w:r w:rsidR="00EC3415">
        <w:rPr>
          <w:rFonts w:ascii="华文楷体" w:hAnsi="华文楷体" w:hint="eastAsia"/>
          <w:sz w:val="24"/>
          <w:szCs w:val="24"/>
          <w:lang w:eastAsia="zh-CN"/>
        </w:rPr>
        <w:t>隔夜</w:t>
      </w:r>
      <w:r w:rsidR="00D9413F">
        <w:rPr>
          <w:rFonts w:ascii="华文楷体" w:hAnsi="华文楷体" w:hint="eastAsia"/>
          <w:sz w:val="24"/>
          <w:szCs w:val="24"/>
          <w:lang w:eastAsia="zh-CN"/>
        </w:rPr>
        <w:t>较上周</w:t>
      </w:r>
      <w:r w:rsidR="00854190">
        <w:rPr>
          <w:rFonts w:ascii="华文楷体" w:hAnsi="华文楷体" w:hint="eastAsia"/>
          <w:sz w:val="24"/>
          <w:szCs w:val="24"/>
          <w:lang w:eastAsia="zh-CN"/>
        </w:rPr>
        <w:t>五</w:t>
      </w:r>
      <w:r w:rsidR="00E73151">
        <w:rPr>
          <w:rFonts w:ascii="华文楷体" w:hAnsi="华文楷体" w:hint="eastAsia"/>
          <w:sz w:val="24"/>
          <w:szCs w:val="24"/>
          <w:lang w:eastAsia="zh-CN"/>
        </w:rPr>
        <w:t>下行</w:t>
      </w:r>
      <w:r w:rsidR="00794DBA">
        <w:rPr>
          <w:rFonts w:ascii="华文楷体" w:hAnsi="华文楷体"/>
          <w:sz w:val="24"/>
          <w:szCs w:val="24"/>
          <w:lang w:eastAsia="zh-CN"/>
        </w:rPr>
        <w:t>109</w:t>
      </w:r>
      <w:r w:rsidR="00D9413F">
        <w:rPr>
          <w:rFonts w:ascii="华文楷体" w:hAnsi="华文楷体" w:hint="eastAsia"/>
          <w:sz w:val="24"/>
          <w:szCs w:val="24"/>
          <w:lang w:eastAsia="zh-CN"/>
        </w:rPr>
        <w:t>BP至</w:t>
      </w:r>
      <w:r w:rsidR="00794DBA">
        <w:rPr>
          <w:rFonts w:ascii="华文楷体" w:hAnsi="华文楷体"/>
          <w:sz w:val="24"/>
          <w:szCs w:val="24"/>
          <w:lang w:eastAsia="zh-CN"/>
        </w:rPr>
        <w:t>0.89</w:t>
      </w:r>
      <w:r w:rsidR="00D9413F">
        <w:rPr>
          <w:rFonts w:ascii="华文楷体" w:hAnsi="华文楷体" w:hint="eastAsia"/>
          <w:sz w:val="24"/>
          <w:szCs w:val="24"/>
          <w:lang w:eastAsia="zh-CN"/>
        </w:rPr>
        <w:t>%，</w:t>
      </w:r>
      <w:r w:rsidR="00EC3415">
        <w:rPr>
          <w:rFonts w:ascii="华文楷体" w:hAnsi="华文楷体" w:hint="eastAsia"/>
          <w:sz w:val="24"/>
          <w:szCs w:val="24"/>
          <w:lang w:eastAsia="zh-CN"/>
        </w:rPr>
        <w:t>7天</w:t>
      </w:r>
      <w:r w:rsidR="00D9413F">
        <w:rPr>
          <w:rFonts w:ascii="华文楷体" w:hAnsi="华文楷体" w:hint="eastAsia"/>
          <w:sz w:val="24"/>
          <w:szCs w:val="24"/>
          <w:lang w:eastAsia="zh-CN"/>
        </w:rPr>
        <w:t>较上周</w:t>
      </w:r>
      <w:r w:rsidR="00794DBA">
        <w:rPr>
          <w:rFonts w:ascii="华文楷体" w:hAnsi="华文楷体" w:hint="eastAsia"/>
          <w:sz w:val="24"/>
          <w:szCs w:val="24"/>
          <w:lang w:eastAsia="zh-CN"/>
        </w:rPr>
        <w:t>上</w:t>
      </w:r>
      <w:r w:rsidR="00D9413F">
        <w:rPr>
          <w:rFonts w:ascii="华文楷体" w:hAnsi="华文楷体" w:hint="eastAsia"/>
          <w:sz w:val="24"/>
          <w:szCs w:val="24"/>
          <w:lang w:eastAsia="zh-CN"/>
        </w:rPr>
        <w:t>行</w:t>
      </w:r>
      <w:r w:rsidR="00794DBA">
        <w:rPr>
          <w:rFonts w:ascii="华文楷体" w:hAnsi="华文楷体"/>
          <w:sz w:val="24"/>
          <w:szCs w:val="24"/>
          <w:lang w:eastAsia="zh-CN"/>
        </w:rPr>
        <w:t>22</w:t>
      </w:r>
      <w:r w:rsidR="00D9413F">
        <w:rPr>
          <w:rFonts w:ascii="华文楷体" w:hAnsi="华文楷体" w:hint="eastAsia"/>
          <w:sz w:val="24"/>
          <w:szCs w:val="24"/>
          <w:lang w:eastAsia="zh-CN"/>
        </w:rPr>
        <w:t>BP至</w:t>
      </w:r>
      <w:r w:rsidR="00E73151">
        <w:rPr>
          <w:rFonts w:ascii="华文楷体" w:hAnsi="华文楷体"/>
          <w:sz w:val="24"/>
          <w:szCs w:val="24"/>
          <w:lang w:eastAsia="zh-CN"/>
        </w:rPr>
        <w:t>2</w:t>
      </w:r>
      <w:r w:rsidR="00F4221A">
        <w:rPr>
          <w:rFonts w:ascii="华文楷体" w:hAnsi="华文楷体" w:hint="eastAsia"/>
          <w:sz w:val="24"/>
          <w:szCs w:val="24"/>
          <w:lang w:eastAsia="zh-CN"/>
        </w:rPr>
        <w:t>.</w:t>
      </w:r>
      <w:r w:rsidR="00794DBA">
        <w:rPr>
          <w:rFonts w:ascii="华文楷体" w:hAnsi="华文楷体"/>
          <w:sz w:val="24"/>
          <w:szCs w:val="24"/>
          <w:lang w:eastAsia="zh-CN"/>
        </w:rPr>
        <w:t>58</w:t>
      </w:r>
      <w:r w:rsidR="00EC3415">
        <w:rPr>
          <w:rFonts w:ascii="华文楷体" w:hAnsi="华文楷体" w:hint="eastAsia"/>
          <w:sz w:val="24"/>
          <w:szCs w:val="24"/>
          <w:lang w:eastAsia="zh-CN"/>
        </w:rPr>
        <w:t>%</w:t>
      </w:r>
      <w:r w:rsidR="0037137A">
        <w:rPr>
          <w:rFonts w:ascii="华文楷体" w:hAnsi="华文楷体" w:hint="eastAsia"/>
          <w:sz w:val="24"/>
          <w:szCs w:val="24"/>
          <w:lang w:eastAsia="zh-CN"/>
        </w:rPr>
        <w:t>，</w:t>
      </w:r>
      <w:r w:rsidR="005671F6">
        <w:rPr>
          <w:rFonts w:ascii="华文楷体" w:hAnsi="华文楷体" w:hint="eastAsia"/>
          <w:sz w:val="24"/>
          <w:szCs w:val="24"/>
          <w:lang w:eastAsia="zh-CN"/>
        </w:rPr>
        <w:t>下周公开市场</w:t>
      </w:r>
      <w:r w:rsidR="00854190">
        <w:rPr>
          <w:rFonts w:ascii="华文楷体" w:hAnsi="华文楷体" w:hint="eastAsia"/>
          <w:sz w:val="24"/>
          <w:szCs w:val="24"/>
          <w:lang w:eastAsia="zh-CN"/>
        </w:rPr>
        <w:t>操作</w:t>
      </w:r>
      <w:r w:rsidR="00794DBA">
        <w:rPr>
          <w:rFonts w:ascii="华文楷体" w:hAnsi="华文楷体" w:hint="eastAsia"/>
          <w:sz w:val="24"/>
          <w:szCs w:val="24"/>
          <w:lang w:eastAsia="zh-CN"/>
        </w:rPr>
        <w:t>、M</w:t>
      </w:r>
      <w:r w:rsidR="00794DBA">
        <w:rPr>
          <w:rFonts w:ascii="华文楷体" w:hAnsi="华文楷体"/>
          <w:sz w:val="24"/>
          <w:szCs w:val="24"/>
          <w:lang w:eastAsia="zh-CN"/>
        </w:rPr>
        <w:t>LF</w:t>
      </w:r>
      <w:r w:rsidR="00854190">
        <w:rPr>
          <w:rFonts w:ascii="华文楷体" w:hAnsi="华文楷体" w:hint="eastAsia"/>
          <w:sz w:val="24"/>
          <w:szCs w:val="24"/>
          <w:lang w:eastAsia="zh-CN"/>
        </w:rPr>
        <w:t>合计到期</w:t>
      </w:r>
      <w:r w:rsidR="00794DBA">
        <w:rPr>
          <w:rFonts w:ascii="华文楷体" w:hAnsi="华文楷体"/>
          <w:sz w:val="24"/>
          <w:szCs w:val="24"/>
          <w:lang w:eastAsia="zh-CN"/>
        </w:rPr>
        <w:t>73</w:t>
      </w:r>
      <w:r w:rsidR="00222198">
        <w:rPr>
          <w:rFonts w:ascii="华文楷体" w:hAnsi="华文楷体" w:hint="eastAsia"/>
          <w:sz w:val="24"/>
          <w:szCs w:val="24"/>
          <w:lang w:eastAsia="zh-CN"/>
        </w:rPr>
        <w:t>00</w:t>
      </w:r>
      <w:r w:rsidR="00854190">
        <w:rPr>
          <w:rFonts w:ascii="华文楷体" w:hAnsi="华文楷体" w:hint="eastAsia"/>
          <w:sz w:val="24"/>
          <w:szCs w:val="24"/>
          <w:lang w:eastAsia="zh-CN"/>
        </w:rPr>
        <w:t>亿</w:t>
      </w:r>
      <w:r w:rsidR="009D5B8D">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794DBA">
        <w:tblPrEx>
          <w:tblCellMar>
            <w:left w:w="108" w:type="dxa"/>
            <w:right w:w="108" w:type="dxa"/>
          </w:tblCellMar>
        </w:tblPrEx>
        <w:trPr>
          <w:jc w:val="center"/>
        </w:trPr>
        <w:tc>
          <w:tcPr>
            <w:tcW w:w="4939" w:type="dxa"/>
            <w:vAlign w:val="center"/>
          </w:tcPr>
          <w:p w14:paraId="60AEAEDC" w14:textId="415544F5" w:rsidR="00E0626C" w:rsidRPr="003C6AC1" w:rsidRDefault="00794DBA" w:rsidP="009A2BA0">
            <w:pPr>
              <w:jc w:val="center"/>
              <w:rPr>
                <w:noProof/>
                <w:sz w:val="20"/>
              </w:rPr>
            </w:pPr>
            <w:r>
              <w:rPr>
                <w:noProof/>
              </w:rPr>
              <w:drawing>
                <wp:inline distT="0" distB="0" distL="0" distR="0" wp14:anchorId="7F434C08" wp14:editId="3C48B9F9">
                  <wp:extent cx="2999105" cy="1755941"/>
                  <wp:effectExtent l="0" t="0" r="0" b="0"/>
                  <wp:docPr id="1" name="图表 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5B591861" w:rsidR="00E0626C" w:rsidRPr="00F62F43" w:rsidRDefault="00794DBA" w:rsidP="009A2BA0">
            <w:pPr>
              <w:jc w:val="center"/>
              <w:rPr>
                <w:noProof/>
                <w:sz w:val="16"/>
                <w:szCs w:val="18"/>
              </w:rPr>
            </w:pPr>
            <w:r>
              <w:rPr>
                <w:noProof/>
              </w:rPr>
              <w:drawing>
                <wp:inline distT="0" distB="0" distL="0" distR="0" wp14:anchorId="04091ADB" wp14:editId="05C453CE">
                  <wp:extent cx="3085106" cy="1735455"/>
                  <wp:effectExtent l="0" t="0" r="1270" b="0"/>
                  <wp:docPr id="6" name="图表 6">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20518ECB" w:rsidR="00D948D7" w:rsidRDefault="00882FA5" w:rsidP="006C183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proofErr w:type="gramStart"/>
      <w:r w:rsidR="005A2EBC">
        <w:rPr>
          <w:rFonts w:ascii="华文楷体" w:hAnsi="华文楷体" w:hint="eastAsia"/>
          <w:sz w:val="24"/>
          <w:szCs w:val="24"/>
          <w:lang w:eastAsia="zh-CN"/>
        </w:rPr>
        <w:t>利率</w:t>
      </w:r>
      <w:r w:rsidR="005A2EBC">
        <w:rPr>
          <w:rFonts w:ascii="华文楷体" w:hAnsi="华文楷体"/>
          <w:sz w:val="24"/>
          <w:szCs w:val="24"/>
          <w:lang w:eastAsia="zh-CN"/>
        </w:rPr>
        <w:t>债</w:t>
      </w:r>
      <w:r w:rsidR="00176815">
        <w:rPr>
          <w:rFonts w:ascii="华文楷体" w:hAnsi="华文楷体" w:hint="eastAsia"/>
          <w:sz w:val="24"/>
          <w:szCs w:val="24"/>
          <w:lang w:eastAsia="zh-CN"/>
        </w:rPr>
        <w:t>各</w:t>
      </w:r>
      <w:r w:rsidR="000544C9">
        <w:rPr>
          <w:rFonts w:ascii="华文楷体" w:hAnsi="华文楷体" w:hint="eastAsia"/>
          <w:sz w:val="24"/>
          <w:szCs w:val="24"/>
          <w:lang w:eastAsia="zh-CN"/>
        </w:rPr>
        <w:t>主要</w:t>
      </w:r>
      <w:proofErr w:type="gramEnd"/>
      <w:r w:rsidR="000544C9">
        <w:rPr>
          <w:rFonts w:ascii="华文楷体" w:hAnsi="华文楷体" w:hint="eastAsia"/>
          <w:sz w:val="24"/>
          <w:szCs w:val="24"/>
          <w:lang w:eastAsia="zh-CN"/>
        </w:rPr>
        <w:t>期限利率</w:t>
      </w:r>
      <w:r w:rsidR="00176815">
        <w:rPr>
          <w:rFonts w:ascii="华文楷体" w:hAnsi="华文楷体" w:hint="eastAsia"/>
          <w:sz w:val="24"/>
          <w:szCs w:val="24"/>
          <w:lang w:eastAsia="zh-CN"/>
        </w:rPr>
        <w:t>小幅下行为主</w:t>
      </w:r>
      <w:r w:rsidR="00A327C0">
        <w:rPr>
          <w:rFonts w:ascii="华文楷体" w:hAnsi="华文楷体" w:hint="eastAsia"/>
          <w:sz w:val="24"/>
          <w:szCs w:val="24"/>
          <w:lang w:eastAsia="zh-CN"/>
        </w:rPr>
        <w:t>，</w:t>
      </w:r>
      <w:r w:rsidR="000544C9">
        <w:rPr>
          <w:rFonts w:ascii="华文楷体" w:hAnsi="华文楷体" w:hint="eastAsia"/>
          <w:sz w:val="24"/>
          <w:szCs w:val="24"/>
          <w:lang w:eastAsia="zh-CN"/>
        </w:rPr>
        <w:t>3Y</w:t>
      </w:r>
      <w:r w:rsidR="00176815">
        <w:rPr>
          <w:rFonts w:ascii="华文楷体" w:hAnsi="华文楷体" w:hint="eastAsia"/>
          <w:sz w:val="24"/>
          <w:szCs w:val="24"/>
          <w:lang w:eastAsia="zh-CN"/>
        </w:rPr>
        <w:t>国</w:t>
      </w:r>
      <w:proofErr w:type="gramStart"/>
      <w:r w:rsidR="00176815">
        <w:rPr>
          <w:rFonts w:ascii="华文楷体" w:hAnsi="华文楷体" w:hint="eastAsia"/>
          <w:sz w:val="24"/>
          <w:szCs w:val="24"/>
          <w:lang w:eastAsia="zh-CN"/>
        </w:rPr>
        <w:t>开调整</w:t>
      </w:r>
      <w:proofErr w:type="gramEnd"/>
      <w:r w:rsidR="00176815">
        <w:rPr>
          <w:rFonts w:ascii="华文楷体" w:hAnsi="华文楷体" w:hint="eastAsia"/>
          <w:sz w:val="24"/>
          <w:szCs w:val="24"/>
          <w:lang w:eastAsia="zh-CN"/>
        </w:rPr>
        <w:t>幅度相对较大</w:t>
      </w:r>
      <w:r w:rsidR="00807490">
        <w:rPr>
          <w:rFonts w:ascii="华文楷体" w:hAnsi="华文楷体" w:hint="eastAsia"/>
          <w:sz w:val="24"/>
          <w:szCs w:val="24"/>
          <w:lang w:eastAsia="zh-CN"/>
        </w:rPr>
        <w:t>。</w:t>
      </w:r>
      <w:r w:rsidR="00A327C0">
        <w:rPr>
          <w:rFonts w:ascii="华文楷体" w:hAnsi="华文楷体" w:hint="eastAsia"/>
          <w:sz w:val="24"/>
          <w:szCs w:val="24"/>
          <w:lang w:eastAsia="zh-CN"/>
        </w:rPr>
        <w:t>期限利差</w:t>
      </w:r>
      <w:r w:rsidR="00176815">
        <w:rPr>
          <w:rFonts w:ascii="华文楷体" w:hAnsi="华文楷体" w:hint="eastAsia"/>
          <w:sz w:val="24"/>
          <w:szCs w:val="24"/>
          <w:lang w:eastAsia="zh-CN"/>
        </w:rPr>
        <w:t>基本维持近期低位震荡为主</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E73151">
        <w:rPr>
          <w:rFonts w:ascii="华文楷体" w:hAnsi="华文楷体"/>
          <w:sz w:val="24"/>
          <w:szCs w:val="24"/>
          <w:lang w:eastAsia="zh-CN"/>
        </w:rPr>
        <w:t>3</w:t>
      </w:r>
      <w:r w:rsidR="00176815">
        <w:rPr>
          <w:rFonts w:ascii="华文楷体" w:hAnsi="华文楷体"/>
          <w:sz w:val="24"/>
          <w:szCs w:val="24"/>
          <w:lang w:eastAsia="zh-CN"/>
        </w:rPr>
        <w:t>9</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E73151">
        <w:rPr>
          <w:rFonts w:ascii="华文楷体" w:hAnsi="华文楷体"/>
          <w:sz w:val="24"/>
          <w:szCs w:val="24"/>
          <w:lang w:eastAsia="zh-CN"/>
        </w:rPr>
        <w:t>68</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最终，本</w:t>
      </w:r>
      <w:r>
        <w:rPr>
          <w:rFonts w:ascii="华文楷体" w:hAnsi="华文楷体" w:hint="eastAsia"/>
          <w:sz w:val="24"/>
          <w:szCs w:val="24"/>
          <w:lang w:eastAsia="zh-CN"/>
        </w:rPr>
        <w:t>周</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176815">
        <w:rPr>
          <w:rFonts w:ascii="华文楷体" w:hAnsi="华文楷体" w:hint="eastAsia"/>
          <w:sz w:val="24"/>
          <w:szCs w:val="24"/>
          <w:lang w:eastAsia="zh-CN"/>
        </w:rPr>
        <w:t>下行1</w:t>
      </w:r>
      <w:r w:rsidR="00176815">
        <w:rPr>
          <w:rFonts w:ascii="华文楷体" w:hAnsi="华文楷体"/>
          <w:sz w:val="24"/>
          <w:szCs w:val="24"/>
          <w:lang w:eastAsia="zh-CN"/>
        </w:rPr>
        <w:t>.0</w:t>
      </w:r>
      <w:r w:rsidR="0092340D">
        <w:rPr>
          <w:rFonts w:ascii="华文楷体" w:hAnsi="华文楷体" w:hint="eastAsia"/>
          <w:sz w:val="24"/>
          <w:szCs w:val="24"/>
          <w:lang w:eastAsia="zh-CN"/>
        </w:rPr>
        <w:t>BP，10Y</w:t>
      </w:r>
      <w:r w:rsidR="00202D86">
        <w:rPr>
          <w:rFonts w:ascii="华文楷体" w:hAnsi="华文楷体" w:hint="eastAsia"/>
          <w:sz w:val="24"/>
          <w:szCs w:val="24"/>
          <w:lang w:eastAsia="zh-CN"/>
        </w:rPr>
        <w:t>国开</w:t>
      </w:r>
      <w:r w:rsidR="00176815">
        <w:rPr>
          <w:rFonts w:ascii="华文楷体" w:hAnsi="华文楷体" w:hint="eastAsia"/>
          <w:sz w:val="24"/>
          <w:szCs w:val="24"/>
          <w:lang w:eastAsia="zh-CN"/>
        </w:rPr>
        <w:t>下行3</w:t>
      </w:r>
      <w:r w:rsidR="00176815">
        <w:rPr>
          <w:rFonts w:ascii="华文楷体" w:hAnsi="华文楷体"/>
          <w:sz w:val="24"/>
          <w:szCs w:val="24"/>
          <w:lang w:eastAsia="zh-CN"/>
        </w:rPr>
        <w:t>.0</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w:t>
      </w:r>
      <w:proofErr w:type="gramStart"/>
      <w:r w:rsidR="003848B1">
        <w:rPr>
          <w:rFonts w:ascii="华文楷体" w:hAnsi="华文楷体" w:hint="eastAsia"/>
          <w:sz w:val="24"/>
          <w:szCs w:val="24"/>
          <w:lang w:eastAsia="zh-CN"/>
        </w:rPr>
        <w:t>债利差至</w:t>
      </w:r>
      <w:proofErr w:type="gramEnd"/>
      <w:r w:rsidR="00E73151">
        <w:rPr>
          <w:rFonts w:ascii="华文楷体" w:hAnsi="华文楷体"/>
          <w:sz w:val="24"/>
          <w:szCs w:val="24"/>
          <w:lang w:eastAsia="zh-CN"/>
        </w:rPr>
        <w:t>4</w:t>
      </w:r>
      <w:r w:rsidR="00176815">
        <w:rPr>
          <w:rFonts w:ascii="华文楷体" w:hAnsi="华文楷体"/>
          <w:sz w:val="24"/>
          <w:szCs w:val="24"/>
          <w:lang w:eastAsia="zh-CN"/>
        </w:rPr>
        <w:t>5B</w:t>
      </w:r>
      <w:r w:rsidR="003848B1">
        <w:rPr>
          <w:rFonts w:ascii="华文楷体" w:hAnsi="华文楷体" w:hint="eastAsia"/>
          <w:sz w:val="24"/>
          <w:szCs w:val="24"/>
          <w:lang w:eastAsia="zh-CN"/>
        </w:rPr>
        <w:t>P</w:t>
      </w:r>
      <w:r w:rsidR="00202D86">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lastRenderedPageBreak/>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177B50">
        <w:tblPrEx>
          <w:tblCellMar>
            <w:left w:w="108" w:type="dxa"/>
            <w:right w:w="108" w:type="dxa"/>
          </w:tblCellMar>
        </w:tblPrEx>
        <w:trPr>
          <w:jc w:val="center"/>
        </w:trPr>
        <w:tc>
          <w:tcPr>
            <w:tcW w:w="4939" w:type="dxa"/>
            <w:vAlign w:val="center"/>
          </w:tcPr>
          <w:p w14:paraId="678C97B0" w14:textId="0636F1BC" w:rsidR="00E0626C" w:rsidRPr="007E0340" w:rsidRDefault="00177B50" w:rsidP="002104B2">
            <w:pPr>
              <w:rPr>
                <w:noProof/>
              </w:rPr>
            </w:pPr>
            <w:r>
              <w:rPr>
                <w:noProof/>
              </w:rPr>
              <w:drawing>
                <wp:inline distT="0" distB="0" distL="0" distR="0" wp14:anchorId="04E4619D" wp14:editId="4FD47C6C">
                  <wp:extent cx="2999105" cy="1781092"/>
                  <wp:effectExtent l="0" t="0" r="0" b="0"/>
                  <wp:docPr id="7" name="图表 7">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7C03E4C9" w:rsidR="00E0626C" w:rsidRPr="007E0340" w:rsidRDefault="00177B50" w:rsidP="009A2BA0">
            <w:pPr>
              <w:jc w:val="center"/>
              <w:rPr>
                <w:noProof/>
                <w:szCs w:val="18"/>
              </w:rPr>
            </w:pPr>
            <w:r>
              <w:rPr>
                <w:noProof/>
              </w:rPr>
              <w:drawing>
                <wp:inline distT="0" distB="0" distL="0" distR="0" wp14:anchorId="3C6CF59F" wp14:editId="17CE1E96">
                  <wp:extent cx="2998470" cy="1717040"/>
                  <wp:effectExtent l="0" t="0" r="0" b="0"/>
                  <wp:docPr id="8" name="图表 8">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081F0502"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4C6CBF">
        <w:rPr>
          <w:rFonts w:ascii="华文楷体" w:hAnsi="华文楷体" w:hint="eastAsia"/>
          <w:sz w:val="24"/>
          <w:szCs w:val="24"/>
          <w:lang w:eastAsia="zh-CN"/>
        </w:rPr>
        <w:t>表现</w:t>
      </w:r>
      <w:r w:rsidR="003F59A9">
        <w:rPr>
          <w:rFonts w:ascii="华文楷体" w:hAnsi="华文楷体" w:hint="eastAsia"/>
          <w:sz w:val="24"/>
          <w:szCs w:val="24"/>
          <w:lang w:eastAsia="zh-CN"/>
        </w:rPr>
        <w:t>，</w:t>
      </w:r>
      <w:proofErr w:type="gramStart"/>
      <w:r w:rsidR="003F59A9">
        <w:rPr>
          <w:rFonts w:ascii="华文楷体" w:hAnsi="华文楷体" w:hint="eastAsia"/>
          <w:sz w:val="24"/>
          <w:szCs w:val="24"/>
          <w:lang w:eastAsia="zh-CN"/>
        </w:rPr>
        <w:t>永煤信用</w:t>
      </w:r>
      <w:proofErr w:type="gramEnd"/>
      <w:r w:rsidR="003F59A9">
        <w:rPr>
          <w:rFonts w:ascii="华文楷体" w:hAnsi="华文楷体" w:hint="eastAsia"/>
          <w:sz w:val="24"/>
          <w:szCs w:val="24"/>
          <w:lang w:eastAsia="zh-CN"/>
        </w:rPr>
        <w:t>风险事件引发监管高度关注，本周监管</w:t>
      </w:r>
      <w:proofErr w:type="gramStart"/>
      <w:r w:rsidR="003F59A9">
        <w:rPr>
          <w:rFonts w:ascii="华文楷体" w:hAnsi="华文楷体" w:hint="eastAsia"/>
          <w:sz w:val="24"/>
          <w:szCs w:val="24"/>
          <w:lang w:eastAsia="zh-CN"/>
        </w:rPr>
        <w:t>层同时</w:t>
      </w:r>
      <w:proofErr w:type="gramEnd"/>
      <w:r w:rsidR="003F59A9">
        <w:rPr>
          <w:rFonts w:ascii="华文楷体" w:hAnsi="华文楷体" w:hint="eastAsia"/>
          <w:sz w:val="24"/>
          <w:szCs w:val="24"/>
          <w:lang w:eastAsia="zh-CN"/>
        </w:rPr>
        <w:t>强调了“市场化”和“不发生系统</w:t>
      </w:r>
      <w:r w:rsidR="0093749D">
        <w:rPr>
          <w:rFonts w:ascii="华文楷体" w:hAnsi="华文楷体" w:hint="eastAsia"/>
          <w:sz w:val="24"/>
          <w:szCs w:val="24"/>
          <w:lang w:eastAsia="zh-CN"/>
        </w:rPr>
        <w:t>性金融风险”，并</w:t>
      </w:r>
      <w:proofErr w:type="gramStart"/>
      <w:r w:rsidR="0093749D">
        <w:rPr>
          <w:rFonts w:ascii="华文楷体" w:hAnsi="华文楷体" w:hint="eastAsia"/>
          <w:sz w:val="24"/>
          <w:szCs w:val="24"/>
          <w:lang w:eastAsia="zh-CN"/>
        </w:rPr>
        <w:t>适度维护</w:t>
      </w:r>
      <w:proofErr w:type="gramEnd"/>
      <w:r w:rsidR="0093749D">
        <w:rPr>
          <w:rFonts w:ascii="华文楷体" w:hAnsi="华文楷体" w:hint="eastAsia"/>
          <w:sz w:val="24"/>
          <w:szCs w:val="24"/>
          <w:lang w:eastAsia="zh-CN"/>
        </w:rPr>
        <w:t>市场情绪稳定，收益率实际表现</w:t>
      </w:r>
      <w:proofErr w:type="gramStart"/>
      <w:r w:rsidR="0093749D">
        <w:rPr>
          <w:rFonts w:ascii="华文楷体" w:hAnsi="华文楷体" w:hint="eastAsia"/>
          <w:sz w:val="24"/>
          <w:szCs w:val="24"/>
          <w:lang w:eastAsia="zh-CN"/>
        </w:rPr>
        <w:t>来看较</w:t>
      </w:r>
      <w:proofErr w:type="gramEnd"/>
      <w:r w:rsidR="0093749D">
        <w:rPr>
          <w:rFonts w:ascii="华文楷体" w:hAnsi="华文楷体" w:hint="eastAsia"/>
          <w:sz w:val="24"/>
          <w:szCs w:val="24"/>
          <w:lang w:eastAsia="zh-CN"/>
        </w:rPr>
        <w:t>前期有</w:t>
      </w:r>
      <w:r w:rsidR="003F59A9">
        <w:rPr>
          <w:rFonts w:ascii="华文楷体" w:hAnsi="华文楷体" w:hint="eastAsia"/>
          <w:sz w:val="24"/>
          <w:szCs w:val="24"/>
          <w:lang w:eastAsia="zh-CN"/>
        </w:rPr>
        <w:t>适度修复</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市场表现</w:t>
      </w:r>
      <w:r w:rsidR="00E817DF">
        <w:rPr>
          <w:rFonts w:ascii="华文楷体" w:hAnsi="华文楷体"/>
          <w:sz w:val="24"/>
          <w:szCs w:val="24"/>
          <w:lang w:eastAsia="zh-CN"/>
        </w:rPr>
        <w:t>，</w:t>
      </w:r>
      <w:r w:rsidR="003F59A9">
        <w:rPr>
          <w:rFonts w:ascii="华文楷体" w:hAnsi="华文楷体" w:hint="eastAsia"/>
          <w:sz w:val="24"/>
          <w:szCs w:val="24"/>
          <w:lang w:eastAsia="zh-CN"/>
        </w:rPr>
        <w:t>1</w:t>
      </w:r>
      <w:r w:rsidR="003F59A9">
        <w:rPr>
          <w:rFonts w:ascii="华文楷体" w:hAnsi="华文楷体"/>
          <w:sz w:val="24"/>
          <w:szCs w:val="24"/>
          <w:lang w:eastAsia="zh-CN"/>
        </w:rPr>
        <w:t>Y</w:t>
      </w:r>
      <w:r w:rsidRPr="00305223">
        <w:rPr>
          <w:rFonts w:ascii="华文楷体" w:hAnsi="华文楷体" w:hint="eastAsia"/>
          <w:sz w:val="24"/>
          <w:szCs w:val="24"/>
          <w:lang w:eastAsia="zh-CN"/>
        </w:rPr>
        <w:t>中</w:t>
      </w:r>
      <w:r w:rsidR="00851C6B">
        <w:rPr>
          <w:rFonts w:ascii="华文楷体" w:hAnsi="华文楷体" w:hint="eastAsia"/>
          <w:sz w:val="24"/>
          <w:szCs w:val="24"/>
          <w:lang w:eastAsia="zh-CN"/>
        </w:rPr>
        <w:t>短期票据品种</w:t>
      </w:r>
      <w:r w:rsidR="003F59A9">
        <w:rPr>
          <w:rFonts w:ascii="华文楷体" w:hAnsi="华文楷体" w:hint="eastAsia"/>
          <w:sz w:val="24"/>
          <w:szCs w:val="24"/>
          <w:lang w:eastAsia="zh-CN"/>
        </w:rPr>
        <w:t>、</w:t>
      </w:r>
      <w:r w:rsidR="00DA6CA4">
        <w:rPr>
          <w:rFonts w:ascii="华文楷体" w:hAnsi="华文楷体" w:hint="eastAsia"/>
          <w:sz w:val="24"/>
          <w:szCs w:val="24"/>
          <w:lang w:eastAsia="zh-CN"/>
        </w:rPr>
        <w:t>3</w:t>
      </w:r>
      <w:r w:rsidR="00DA6CA4">
        <w:rPr>
          <w:rFonts w:ascii="华文楷体" w:hAnsi="华文楷体"/>
          <w:sz w:val="24"/>
          <w:szCs w:val="24"/>
          <w:lang w:eastAsia="zh-CN"/>
        </w:rPr>
        <w:t>Y</w:t>
      </w:r>
      <w:r w:rsidR="00DA6CA4">
        <w:rPr>
          <w:rFonts w:ascii="华文楷体" w:hAnsi="华文楷体" w:hint="eastAsia"/>
          <w:sz w:val="24"/>
          <w:szCs w:val="24"/>
          <w:lang w:eastAsia="zh-CN"/>
        </w:rPr>
        <w:t>中票企业债和7</w:t>
      </w:r>
      <w:r w:rsidR="00DA6CA4">
        <w:rPr>
          <w:rFonts w:ascii="华文楷体" w:hAnsi="华文楷体"/>
          <w:sz w:val="24"/>
          <w:szCs w:val="24"/>
          <w:lang w:eastAsia="zh-CN"/>
        </w:rPr>
        <w:t>Y</w:t>
      </w:r>
      <w:proofErr w:type="gramStart"/>
      <w:r w:rsidR="00DA6CA4">
        <w:rPr>
          <w:rFonts w:ascii="华文楷体" w:hAnsi="华文楷体" w:hint="eastAsia"/>
          <w:sz w:val="24"/>
          <w:szCs w:val="24"/>
          <w:lang w:eastAsia="zh-CN"/>
        </w:rPr>
        <w:t>城投债修复</w:t>
      </w:r>
      <w:proofErr w:type="gramEnd"/>
      <w:r w:rsidR="00DA6CA4">
        <w:rPr>
          <w:rFonts w:ascii="华文楷体" w:hAnsi="华文楷体" w:hint="eastAsia"/>
          <w:sz w:val="24"/>
          <w:szCs w:val="24"/>
          <w:lang w:eastAsia="zh-CN"/>
        </w:rPr>
        <w:t>都相对明显</w:t>
      </w:r>
      <w:r w:rsidR="00305C7B">
        <w:rPr>
          <w:rFonts w:ascii="华文楷体" w:hAnsi="华文楷体" w:hint="eastAsia"/>
          <w:sz w:val="24"/>
          <w:szCs w:val="24"/>
          <w:lang w:eastAsia="zh-CN"/>
        </w:rPr>
        <w:t>，</w:t>
      </w:r>
      <w:r w:rsidR="00DA6CA4">
        <w:rPr>
          <w:rFonts w:ascii="华文楷体" w:hAnsi="华文楷体" w:hint="eastAsia"/>
          <w:sz w:val="24"/>
          <w:szCs w:val="24"/>
          <w:lang w:eastAsia="zh-CN"/>
        </w:rPr>
        <w:t>具体来看</w:t>
      </w:r>
      <w:r w:rsidR="00305C7B">
        <w:rPr>
          <w:rFonts w:ascii="华文楷体" w:hAnsi="华文楷体" w:hint="eastAsia"/>
          <w:sz w:val="24"/>
          <w:szCs w:val="24"/>
          <w:lang w:eastAsia="zh-CN"/>
        </w:rPr>
        <w:t>1Y品种</w:t>
      </w:r>
      <w:r w:rsidR="00DA6CA4">
        <w:rPr>
          <w:rFonts w:ascii="华文楷体" w:hAnsi="华文楷体" w:hint="eastAsia"/>
          <w:sz w:val="24"/>
          <w:szCs w:val="24"/>
          <w:lang w:eastAsia="zh-CN"/>
        </w:rPr>
        <w:t>下行3-</w:t>
      </w:r>
      <w:r w:rsidR="00DA6CA4">
        <w:rPr>
          <w:rFonts w:ascii="华文楷体" w:hAnsi="华文楷体"/>
          <w:sz w:val="24"/>
          <w:szCs w:val="24"/>
          <w:lang w:eastAsia="zh-CN"/>
        </w:rPr>
        <w:t>6</w:t>
      </w:r>
      <w:r w:rsidR="00305C7B">
        <w:rPr>
          <w:rFonts w:ascii="华文楷体" w:hAnsi="华文楷体" w:hint="eastAsia"/>
          <w:sz w:val="24"/>
          <w:szCs w:val="24"/>
          <w:lang w:eastAsia="zh-CN"/>
        </w:rPr>
        <w:t>BP，</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在4</w:t>
      </w:r>
      <w:r w:rsidR="00DA6CA4">
        <w:rPr>
          <w:rFonts w:ascii="华文楷体" w:hAnsi="华文楷体"/>
          <w:sz w:val="24"/>
          <w:szCs w:val="24"/>
          <w:lang w:eastAsia="zh-CN"/>
        </w:rPr>
        <w:t>5</w:t>
      </w:r>
      <w:r w:rsidR="00DA6CA4">
        <w:rPr>
          <w:rFonts w:ascii="华文楷体" w:hAnsi="华文楷体" w:hint="eastAsia"/>
          <w:sz w:val="24"/>
          <w:szCs w:val="24"/>
          <w:lang w:eastAsia="zh-CN"/>
        </w:rPr>
        <w:t>%</w:t>
      </w:r>
      <w:r w:rsidR="009929B6">
        <w:rPr>
          <w:rFonts w:ascii="华文楷体" w:hAnsi="华文楷体" w:hint="eastAsia"/>
          <w:sz w:val="24"/>
          <w:szCs w:val="24"/>
          <w:lang w:eastAsia="zh-CN"/>
        </w:rPr>
        <w:t>水平；</w:t>
      </w:r>
      <w:r w:rsidR="00305C7B">
        <w:rPr>
          <w:rFonts w:ascii="华文楷体" w:hAnsi="华文楷体" w:hint="eastAsia"/>
          <w:sz w:val="24"/>
          <w:szCs w:val="24"/>
          <w:lang w:eastAsia="zh-CN"/>
        </w:rPr>
        <w:t>3Y品种</w:t>
      </w:r>
      <w:r w:rsidR="00DA6CA4">
        <w:rPr>
          <w:rFonts w:ascii="华文楷体" w:hAnsi="华文楷体" w:hint="eastAsia"/>
          <w:sz w:val="24"/>
          <w:szCs w:val="24"/>
          <w:lang w:eastAsia="zh-CN"/>
        </w:rPr>
        <w:t>下</w:t>
      </w:r>
      <w:r w:rsidR="00305C7B">
        <w:rPr>
          <w:rFonts w:ascii="华文楷体" w:hAnsi="华文楷体" w:hint="eastAsia"/>
          <w:sz w:val="24"/>
          <w:szCs w:val="24"/>
          <w:lang w:eastAsia="zh-CN"/>
        </w:rPr>
        <w:t>行</w:t>
      </w:r>
      <w:r w:rsidR="00DA6CA4">
        <w:rPr>
          <w:rFonts w:ascii="华文楷体" w:hAnsi="华文楷体"/>
          <w:sz w:val="24"/>
          <w:szCs w:val="24"/>
          <w:lang w:eastAsia="zh-CN"/>
        </w:rPr>
        <w:t>3</w:t>
      </w:r>
      <w:r w:rsidR="00DA6CA4">
        <w:rPr>
          <w:rFonts w:ascii="华文楷体" w:hAnsi="华文楷体" w:hint="eastAsia"/>
          <w:sz w:val="24"/>
          <w:szCs w:val="24"/>
          <w:lang w:eastAsia="zh-CN"/>
        </w:rPr>
        <w:t>-</w:t>
      </w:r>
      <w:r w:rsidR="00DA6CA4">
        <w:rPr>
          <w:rFonts w:ascii="华文楷体" w:hAnsi="华文楷体"/>
          <w:sz w:val="24"/>
          <w:szCs w:val="24"/>
          <w:lang w:eastAsia="zh-CN"/>
        </w:rPr>
        <w:t>8</w:t>
      </w:r>
      <w:r w:rsidR="00305C7B">
        <w:rPr>
          <w:rFonts w:ascii="华文楷体" w:hAnsi="华文楷体" w:hint="eastAsia"/>
          <w:sz w:val="24"/>
          <w:szCs w:val="24"/>
          <w:lang w:eastAsia="zh-CN"/>
        </w:rPr>
        <w:t>BP</w:t>
      </w:r>
      <w:r w:rsidR="00DA6CA4">
        <w:rPr>
          <w:rFonts w:ascii="华文楷体" w:hAnsi="华文楷体" w:hint="eastAsia"/>
          <w:sz w:val="24"/>
          <w:szCs w:val="24"/>
          <w:lang w:eastAsia="zh-CN"/>
        </w:rPr>
        <w:t>为主</w:t>
      </w:r>
      <w:r w:rsidR="009929B6">
        <w:rPr>
          <w:rFonts w:ascii="华文楷体" w:hAnsi="华文楷体" w:hint="eastAsia"/>
          <w:sz w:val="24"/>
          <w:szCs w:val="24"/>
          <w:lang w:eastAsia="zh-CN"/>
        </w:rPr>
        <w:t>，收益率分位数在</w:t>
      </w:r>
      <w:r w:rsidR="00DA6CA4">
        <w:rPr>
          <w:rFonts w:ascii="华文楷体" w:hAnsi="华文楷体" w:hint="eastAsia"/>
          <w:sz w:val="24"/>
          <w:szCs w:val="24"/>
          <w:lang w:eastAsia="zh-CN"/>
        </w:rPr>
        <w:t>3</w:t>
      </w:r>
      <w:r w:rsidR="00DA6CA4">
        <w:rPr>
          <w:rFonts w:ascii="华文楷体" w:hAnsi="华文楷体"/>
          <w:sz w:val="24"/>
          <w:szCs w:val="24"/>
          <w:lang w:eastAsia="zh-CN"/>
        </w:rPr>
        <w:t>0</w:t>
      </w:r>
      <w:r w:rsidR="00DA6CA4">
        <w:rPr>
          <w:rFonts w:ascii="华文楷体" w:hAnsi="华文楷体" w:hint="eastAsia"/>
          <w:sz w:val="24"/>
          <w:szCs w:val="24"/>
          <w:lang w:eastAsia="zh-CN"/>
        </w:rPr>
        <w:t>-</w:t>
      </w:r>
      <w:r w:rsidR="009929B6">
        <w:rPr>
          <w:rFonts w:ascii="华文楷体" w:hAnsi="华文楷体" w:hint="eastAsia"/>
          <w:sz w:val="24"/>
          <w:szCs w:val="24"/>
          <w:lang w:eastAsia="zh-CN"/>
        </w:rPr>
        <w:t>4</w:t>
      </w:r>
      <w:r w:rsidR="009929B6">
        <w:rPr>
          <w:rFonts w:ascii="华文楷体" w:hAnsi="华文楷体"/>
          <w:sz w:val="24"/>
          <w:szCs w:val="24"/>
          <w:lang w:eastAsia="zh-CN"/>
        </w:rPr>
        <w:t>0</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DA6CA4">
        <w:rPr>
          <w:rFonts w:ascii="华文楷体" w:hAnsi="华文楷体" w:hint="eastAsia"/>
          <w:sz w:val="24"/>
          <w:szCs w:val="24"/>
          <w:lang w:eastAsia="zh-CN"/>
        </w:rPr>
        <w:t>下行3-</w:t>
      </w:r>
      <w:r w:rsidR="00DA6CA4">
        <w:rPr>
          <w:rFonts w:ascii="华文楷体" w:hAnsi="华文楷体"/>
          <w:sz w:val="24"/>
          <w:szCs w:val="24"/>
          <w:lang w:eastAsia="zh-CN"/>
        </w:rPr>
        <w:t>6</w:t>
      </w:r>
      <w:r w:rsidR="00B344C0">
        <w:rPr>
          <w:rFonts w:ascii="华文楷体" w:hAnsi="华文楷体"/>
          <w:sz w:val="24"/>
          <w:szCs w:val="24"/>
          <w:lang w:eastAsia="zh-CN"/>
        </w:rPr>
        <w:t>BP</w:t>
      </w:r>
      <w:r w:rsidR="00B344C0">
        <w:rPr>
          <w:rFonts w:ascii="华文楷体" w:hAnsi="华文楷体" w:hint="eastAsia"/>
          <w:sz w:val="24"/>
          <w:szCs w:val="24"/>
          <w:lang w:eastAsia="zh-CN"/>
        </w:rPr>
        <w:t>，处于2</w:t>
      </w:r>
      <w:r w:rsidR="00B344C0">
        <w:rPr>
          <w:rFonts w:ascii="华文楷体" w:hAnsi="华文楷体"/>
          <w:sz w:val="24"/>
          <w:szCs w:val="24"/>
          <w:lang w:eastAsia="zh-CN"/>
        </w:rPr>
        <w:t>0</w:t>
      </w:r>
      <w:r w:rsidR="00B344C0">
        <w:rPr>
          <w:rFonts w:ascii="华文楷体" w:hAnsi="华文楷体" w:hint="eastAsia"/>
          <w:sz w:val="24"/>
          <w:szCs w:val="24"/>
          <w:lang w:eastAsia="zh-CN"/>
        </w:rPr>
        <w:t>-</w:t>
      </w:r>
      <w:r w:rsidR="00B344C0">
        <w:rPr>
          <w:rFonts w:ascii="华文楷体" w:hAnsi="华文楷体"/>
          <w:sz w:val="24"/>
          <w:szCs w:val="24"/>
          <w:lang w:eastAsia="zh-CN"/>
        </w:rPr>
        <w:t>40</w:t>
      </w:r>
      <w:r w:rsidR="00B344C0">
        <w:rPr>
          <w:rFonts w:ascii="华文楷体" w:hAnsi="华文楷体" w:hint="eastAsia"/>
          <w:sz w:val="24"/>
          <w:szCs w:val="24"/>
          <w:lang w:eastAsia="zh-CN"/>
        </w:rPr>
        <w:t>%分位数</w:t>
      </w:r>
      <w:r w:rsidR="00DA6CA4">
        <w:rPr>
          <w:rFonts w:ascii="华文楷体" w:hAnsi="华文楷体" w:hint="eastAsia"/>
          <w:sz w:val="24"/>
          <w:szCs w:val="24"/>
          <w:lang w:eastAsia="zh-CN"/>
        </w:rPr>
        <w:t>，相对来说A</w:t>
      </w:r>
      <w:r w:rsidR="00DA6CA4">
        <w:rPr>
          <w:rFonts w:ascii="华文楷体" w:hAnsi="华文楷体"/>
          <w:sz w:val="24"/>
          <w:szCs w:val="24"/>
          <w:lang w:eastAsia="zh-CN"/>
        </w:rPr>
        <w:t>AA</w:t>
      </w:r>
      <w:r w:rsidR="00DA6CA4">
        <w:rPr>
          <w:rFonts w:ascii="华文楷体" w:hAnsi="华文楷体" w:hint="eastAsia"/>
          <w:sz w:val="24"/>
          <w:szCs w:val="24"/>
          <w:lang w:eastAsia="zh-CN"/>
        </w:rPr>
        <w:t>评级本周下行修复好于A</w:t>
      </w:r>
      <w:r w:rsidR="00DA6CA4">
        <w:rPr>
          <w:rFonts w:ascii="华文楷体" w:hAnsi="华文楷体"/>
          <w:sz w:val="24"/>
          <w:szCs w:val="24"/>
          <w:lang w:eastAsia="zh-CN"/>
        </w:rPr>
        <w:t>A</w:t>
      </w:r>
      <w:r w:rsidR="00DA6CA4">
        <w:rPr>
          <w:rFonts w:ascii="华文楷体" w:hAnsi="华文楷体" w:hint="eastAsia"/>
          <w:sz w:val="24"/>
          <w:szCs w:val="24"/>
          <w:lang w:eastAsia="zh-CN"/>
        </w:rPr>
        <w:t>+及以下品种</w:t>
      </w:r>
      <w:r w:rsidR="00B344C0">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20" w:type="dxa"/>
              <w:tblLook w:val="04A0" w:firstRow="1" w:lastRow="0" w:firstColumn="1" w:lastColumn="0" w:noHBand="0" w:noVBand="1"/>
            </w:tblPr>
            <w:tblGrid>
              <w:gridCol w:w="1323"/>
              <w:gridCol w:w="901"/>
              <w:gridCol w:w="901"/>
              <w:gridCol w:w="899"/>
              <w:gridCol w:w="898"/>
              <w:gridCol w:w="1124"/>
              <w:gridCol w:w="898"/>
              <w:gridCol w:w="898"/>
              <w:gridCol w:w="898"/>
              <w:gridCol w:w="898"/>
            </w:tblGrid>
            <w:tr w:rsidR="00225070" w:rsidRPr="00225070" w14:paraId="06BC0BBC" w14:textId="77777777" w:rsidTr="00225070">
              <w:trPr>
                <w:trHeight w:val="452"/>
              </w:trPr>
              <w:tc>
                <w:tcPr>
                  <w:tcW w:w="1349" w:type="dxa"/>
                  <w:tcBorders>
                    <w:top w:val="nil"/>
                    <w:left w:val="nil"/>
                    <w:bottom w:val="single" w:sz="12" w:space="0" w:color="FFFFFF"/>
                    <w:right w:val="single" w:sz="8" w:space="0" w:color="FFFFFF"/>
                  </w:tcBorders>
                  <w:shd w:val="clear" w:color="000000" w:fill="F79646"/>
                  <w:noWrap/>
                  <w:vAlign w:val="center"/>
                  <w:hideMark/>
                </w:tcPr>
                <w:p w14:paraId="0985B09C"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收益率(%)</w:t>
                  </w:r>
                </w:p>
              </w:tc>
              <w:tc>
                <w:tcPr>
                  <w:tcW w:w="917" w:type="dxa"/>
                  <w:tcBorders>
                    <w:top w:val="nil"/>
                    <w:left w:val="nil"/>
                    <w:bottom w:val="single" w:sz="12" w:space="0" w:color="FFFFFF"/>
                    <w:right w:val="single" w:sz="8" w:space="0" w:color="FFFFFF"/>
                  </w:tcBorders>
                  <w:shd w:val="clear" w:color="000000" w:fill="F79646"/>
                  <w:noWrap/>
                  <w:vAlign w:val="center"/>
                  <w:hideMark/>
                </w:tcPr>
                <w:p w14:paraId="68D50126"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AAA</w:t>
                  </w:r>
                </w:p>
              </w:tc>
              <w:tc>
                <w:tcPr>
                  <w:tcW w:w="917" w:type="dxa"/>
                  <w:tcBorders>
                    <w:top w:val="nil"/>
                    <w:left w:val="nil"/>
                    <w:bottom w:val="single" w:sz="12" w:space="0" w:color="FFFFFF"/>
                    <w:right w:val="single" w:sz="8" w:space="0" w:color="FFFFFF"/>
                  </w:tcBorders>
                  <w:shd w:val="clear" w:color="000000" w:fill="F79646"/>
                  <w:noWrap/>
                  <w:vAlign w:val="center"/>
                  <w:hideMark/>
                </w:tcPr>
                <w:p w14:paraId="4E99FCA6"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c>
                <w:tcPr>
                  <w:tcW w:w="916" w:type="dxa"/>
                  <w:tcBorders>
                    <w:top w:val="nil"/>
                    <w:left w:val="nil"/>
                    <w:bottom w:val="single" w:sz="12" w:space="0" w:color="FFFFFF"/>
                    <w:right w:val="single" w:sz="8" w:space="0" w:color="FFFFFF"/>
                  </w:tcBorders>
                  <w:shd w:val="clear" w:color="000000" w:fill="F79646"/>
                  <w:noWrap/>
                  <w:vAlign w:val="center"/>
                  <w:hideMark/>
                </w:tcPr>
                <w:p w14:paraId="047E5116"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c>
                <w:tcPr>
                  <w:tcW w:w="915" w:type="dxa"/>
                  <w:tcBorders>
                    <w:top w:val="nil"/>
                    <w:left w:val="nil"/>
                    <w:bottom w:val="single" w:sz="12" w:space="0" w:color="FFFFFF"/>
                    <w:right w:val="single" w:sz="8" w:space="0" w:color="FFFFFF"/>
                  </w:tcBorders>
                  <w:shd w:val="clear" w:color="000000" w:fill="F79646"/>
                  <w:noWrap/>
                  <w:vAlign w:val="center"/>
                  <w:hideMark/>
                </w:tcPr>
                <w:p w14:paraId="7CF9783A"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c>
                <w:tcPr>
                  <w:tcW w:w="1146" w:type="dxa"/>
                  <w:tcBorders>
                    <w:top w:val="nil"/>
                    <w:left w:val="nil"/>
                    <w:bottom w:val="single" w:sz="12" w:space="0" w:color="FFFFFF"/>
                    <w:right w:val="single" w:sz="8" w:space="0" w:color="FFFFFF"/>
                  </w:tcBorders>
                  <w:shd w:val="clear" w:color="000000" w:fill="F79646"/>
                  <w:noWrap/>
                  <w:vAlign w:val="center"/>
                  <w:hideMark/>
                </w:tcPr>
                <w:p w14:paraId="098654F7"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息差</w:t>
                  </w:r>
                </w:p>
              </w:tc>
              <w:tc>
                <w:tcPr>
                  <w:tcW w:w="915" w:type="dxa"/>
                  <w:tcBorders>
                    <w:top w:val="nil"/>
                    <w:left w:val="nil"/>
                    <w:bottom w:val="single" w:sz="12" w:space="0" w:color="FFFFFF"/>
                    <w:right w:val="single" w:sz="8" w:space="0" w:color="FFFFFF"/>
                  </w:tcBorders>
                  <w:shd w:val="clear" w:color="000000" w:fill="F79646"/>
                  <w:noWrap/>
                  <w:vAlign w:val="center"/>
                  <w:hideMark/>
                </w:tcPr>
                <w:p w14:paraId="01764001"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AAA</w:t>
                  </w:r>
                </w:p>
              </w:tc>
              <w:tc>
                <w:tcPr>
                  <w:tcW w:w="915" w:type="dxa"/>
                  <w:tcBorders>
                    <w:top w:val="nil"/>
                    <w:left w:val="nil"/>
                    <w:bottom w:val="single" w:sz="12" w:space="0" w:color="FFFFFF"/>
                    <w:right w:val="single" w:sz="8" w:space="0" w:color="FFFFFF"/>
                  </w:tcBorders>
                  <w:shd w:val="clear" w:color="000000" w:fill="F79646"/>
                  <w:noWrap/>
                  <w:vAlign w:val="center"/>
                  <w:hideMark/>
                </w:tcPr>
                <w:p w14:paraId="308229A6"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c>
                <w:tcPr>
                  <w:tcW w:w="915" w:type="dxa"/>
                  <w:tcBorders>
                    <w:top w:val="nil"/>
                    <w:left w:val="nil"/>
                    <w:bottom w:val="single" w:sz="12" w:space="0" w:color="FFFFFF"/>
                    <w:right w:val="single" w:sz="8" w:space="0" w:color="FFFFFF"/>
                  </w:tcBorders>
                  <w:shd w:val="clear" w:color="000000" w:fill="F79646"/>
                  <w:noWrap/>
                  <w:vAlign w:val="center"/>
                  <w:hideMark/>
                </w:tcPr>
                <w:p w14:paraId="0C84A37F"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c>
                <w:tcPr>
                  <w:tcW w:w="915" w:type="dxa"/>
                  <w:tcBorders>
                    <w:top w:val="nil"/>
                    <w:left w:val="nil"/>
                    <w:bottom w:val="single" w:sz="12" w:space="0" w:color="FFFFFF"/>
                    <w:right w:val="single" w:sz="8" w:space="0" w:color="FFFFFF"/>
                  </w:tcBorders>
                  <w:shd w:val="clear" w:color="000000" w:fill="F79646"/>
                  <w:noWrap/>
                  <w:vAlign w:val="center"/>
                  <w:hideMark/>
                </w:tcPr>
                <w:p w14:paraId="5780E41D"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r>
            <w:tr w:rsidR="00225070" w:rsidRPr="00225070" w14:paraId="6AB7EE49" w14:textId="77777777" w:rsidTr="00225070">
              <w:trPr>
                <w:trHeight w:val="467"/>
              </w:trPr>
              <w:tc>
                <w:tcPr>
                  <w:tcW w:w="1349" w:type="dxa"/>
                  <w:tcBorders>
                    <w:top w:val="nil"/>
                    <w:left w:val="nil"/>
                    <w:bottom w:val="single" w:sz="8" w:space="0" w:color="FFFFFF"/>
                    <w:right w:val="single" w:sz="8" w:space="0" w:color="FFFFFF"/>
                  </w:tcBorders>
                  <w:shd w:val="clear" w:color="000000" w:fill="FCD5B4"/>
                  <w:noWrap/>
                  <w:vAlign w:val="center"/>
                  <w:hideMark/>
                </w:tcPr>
                <w:p w14:paraId="771AE956"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CP</w:t>
                  </w:r>
                </w:p>
              </w:tc>
              <w:tc>
                <w:tcPr>
                  <w:tcW w:w="917" w:type="dxa"/>
                  <w:tcBorders>
                    <w:top w:val="nil"/>
                    <w:left w:val="nil"/>
                    <w:bottom w:val="single" w:sz="8" w:space="0" w:color="FFFFFF"/>
                    <w:right w:val="single" w:sz="8" w:space="0" w:color="FFFFFF"/>
                  </w:tcBorders>
                  <w:shd w:val="clear" w:color="000000" w:fill="FCD5B4"/>
                  <w:noWrap/>
                  <w:vAlign w:val="center"/>
                  <w:hideMark/>
                </w:tcPr>
                <w:p w14:paraId="5E76715D"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3.54 </w:t>
                  </w:r>
                </w:p>
              </w:tc>
              <w:tc>
                <w:tcPr>
                  <w:tcW w:w="917" w:type="dxa"/>
                  <w:tcBorders>
                    <w:top w:val="nil"/>
                    <w:left w:val="nil"/>
                    <w:bottom w:val="single" w:sz="8" w:space="0" w:color="FFFFFF"/>
                    <w:right w:val="single" w:sz="8" w:space="0" w:color="FFFFFF"/>
                  </w:tcBorders>
                  <w:shd w:val="clear" w:color="000000" w:fill="FCD5B4"/>
                  <w:noWrap/>
                  <w:vAlign w:val="center"/>
                  <w:hideMark/>
                </w:tcPr>
                <w:p w14:paraId="00E7F6FF"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3.82 </w:t>
                  </w:r>
                </w:p>
              </w:tc>
              <w:tc>
                <w:tcPr>
                  <w:tcW w:w="916" w:type="dxa"/>
                  <w:tcBorders>
                    <w:top w:val="nil"/>
                    <w:left w:val="nil"/>
                    <w:bottom w:val="single" w:sz="8" w:space="0" w:color="FFFFFF"/>
                    <w:right w:val="single" w:sz="8" w:space="0" w:color="FFFFFF"/>
                  </w:tcBorders>
                  <w:shd w:val="clear" w:color="000000" w:fill="FCD5B4"/>
                  <w:noWrap/>
                  <w:vAlign w:val="center"/>
                  <w:hideMark/>
                </w:tcPr>
                <w:p w14:paraId="5DFB51ED"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4.07 </w:t>
                  </w:r>
                </w:p>
              </w:tc>
              <w:tc>
                <w:tcPr>
                  <w:tcW w:w="915" w:type="dxa"/>
                  <w:tcBorders>
                    <w:top w:val="nil"/>
                    <w:left w:val="nil"/>
                    <w:bottom w:val="single" w:sz="8" w:space="0" w:color="FFFFFF"/>
                    <w:right w:val="single" w:sz="8" w:space="0" w:color="FFFFFF"/>
                  </w:tcBorders>
                  <w:shd w:val="clear" w:color="000000" w:fill="FCD5B4"/>
                  <w:noWrap/>
                  <w:vAlign w:val="center"/>
                  <w:hideMark/>
                </w:tcPr>
                <w:p w14:paraId="0D82E145"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6.12 </w:t>
                  </w:r>
                </w:p>
              </w:tc>
              <w:tc>
                <w:tcPr>
                  <w:tcW w:w="1146" w:type="dxa"/>
                  <w:tcBorders>
                    <w:top w:val="nil"/>
                    <w:left w:val="nil"/>
                    <w:bottom w:val="single" w:sz="8" w:space="0" w:color="FFFFFF"/>
                    <w:right w:val="single" w:sz="8" w:space="0" w:color="FFFFFF"/>
                  </w:tcBorders>
                  <w:shd w:val="clear" w:color="000000" w:fill="FCD5B4"/>
                  <w:noWrap/>
                  <w:vAlign w:val="center"/>
                  <w:hideMark/>
                </w:tcPr>
                <w:p w14:paraId="7108CFC8"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CP</w:t>
                  </w:r>
                </w:p>
              </w:tc>
              <w:tc>
                <w:tcPr>
                  <w:tcW w:w="915" w:type="dxa"/>
                  <w:tcBorders>
                    <w:top w:val="nil"/>
                    <w:left w:val="nil"/>
                    <w:bottom w:val="single" w:sz="8" w:space="0" w:color="FFFFFF"/>
                    <w:right w:val="single" w:sz="8" w:space="0" w:color="FFFFFF"/>
                  </w:tcBorders>
                  <w:shd w:val="clear" w:color="000000" w:fill="FCD5B4"/>
                  <w:noWrap/>
                  <w:vAlign w:val="center"/>
                  <w:hideMark/>
                </w:tcPr>
                <w:p w14:paraId="7A1822F0"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0.63 </w:t>
                  </w:r>
                </w:p>
              </w:tc>
              <w:tc>
                <w:tcPr>
                  <w:tcW w:w="915" w:type="dxa"/>
                  <w:tcBorders>
                    <w:top w:val="nil"/>
                    <w:left w:val="nil"/>
                    <w:bottom w:val="single" w:sz="8" w:space="0" w:color="FFFFFF"/>
                    <w:right w:val="single" w:sz="8" w:space="0" w:color="FFFFFF"/>
                  </w:tcBorders>
                  <w:shd w:val="clear" w:color="000000" w:fill="FCD5B4"/>
                  <w:noWrap/>
                  <w:vAlign w:val="center"/>
                  <w:hideMark/>
                </w:tcPr>
                <w:p w14:paraId="0B0157FD"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0.91 </w:t>
                  </w:r>
                </w:p>
              </w:tc>
              <w:tc>
                <w:tcPr>
                  <w:tcW w:w="915" w:type="dxa"/>
                  <w:tcBorders>
                    <w:top w:val="nil"/>
                    <w:left w:val="nil"/>
                    <w:bottom w:val="single" w:sz="8" w:space="0" w:color="FFFFFF"/>
                    <w:right w:val="single" w:sz="8" w:space="0" w:color="FFFFFF"/>
                  </w:tcBorders>
                  <w:shd w:val="clear" w:color="000000" w:fill="FCD5B4"/>
                  <w:noWrap/>
                  <w:vAlign w:val="center"/>
                  <w:hideMark/>
                </w:tcPr>
                <w:p w14:paraId="4D992FB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1.16 </w:t>
                  </w:r>
                </w:p>
              </w:tc>
              <w:tc>
                <w:tcPr>
                  <w:tcW w:w="915" w:type="dxa"/>
                  <w:tcBorders>
                    <w:top w:val="nil"/>
                    <w:left w:val="nil"/>
                    <w:bottom w:val="single" w:sz="8" w:space="0" w:color="FFFFFF"/>
                    <w:right w:val="single" w:sz="8" w:space="0" w:color="FFFFFF"/>
                  </w:tcBorders>
                  <w:shd w:val="clear" w:color="000000" w:fill="FCD5B4"/>
                  <w:noWrap/>
                  <w:vAlign w:val="center"/>
                  <w:hideMark/>
                </w:tcPr>
                <w:p w14:paraId="08C78EA4"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3.21 </w:t>
                  </w:r>
                </w:p>
              </w:tc>
            </w:tr>
            <w:tr w:rsidR="00225070" w:rsidRPr="00225070" w14:paraId="4A717F58" w14:textId="77777777" w:rsidTr="00225070">
              <w:trPr>
                <w:trHeight w:val="452"/>
              </w:trPr>
              <w:tc>
                <w:tcPr>
                  <w:tcW w:w="1349" w:type="dxa"/>
                  <w:tcBorders>
                    <w:top w:val="nil"/>
                    <w:left w:val="nil"/>
                    <w:bottom w:val="single" w:sz="8" w:space="0" w:color="FFFFFF"/>
                    <w:right w:val="single" w:sz="8" w:space="0" w:color="FFFFFF"/>
                  </w:tcBorders>
                  <w:shd w:val="clear" w:color="000000" w:fill="FDE9D9"/>
                  <w:noWrap/>
                  <w:vAlign w:val="center"/>
                  <w:hideMark/>
                </w:tcPr>
                <w:p w14:paraId="2D3D5604"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MTN3Y</w:t>
                  </w:r>
                </w:p>
              </w:tc>
              <w:tc>
                <w:tcPr>
                  <w:tcW w:w="917" w:type="dxa"/>
                  <w:tcBorders>
                    <w:top w:val="nil"/>
                    <w:left w:val="nil"/>
                    <w:bottom w:val="single" w:sz="8" w:space="0" w:color="FFFFFF"/>
                    <w:right w:val="single" w:sz="8" w:space="0" w:color="FFFFFF"/>
                  </w:tcBorders>
                  <w:shd w:val="clear" w:color="000000" w:fill="FDE9D9"/>
                  <w:noWrap/>
                  <w:vAlign w:val="center"/>
                  <w:hideMark/>
                </w:tcPr>
                <w:p w14:paraId="251995B8"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3.84 </w:t>
                  </w:r>
                </w:p>
              </w:tc>
              <w:tc>
                <w:tcPr>
                  <w:tcW w:w="917" w:type="dxa"/>
                  <w:tcBorders>
                    <w:top w:val="nil"/>
                    <w:left w:val="nil"/>
                    <w:bottom w:val="single" w:sz="8" w:space="0" w:color="FFFFFF"/>
                    <w:right w:val="single" w:sz="8" w:space="0" w:color="FFFFFF"/>
                  </w:tcBorders>
                  <w:shd w:val="clear" w:color="000000" w:fill="FDE9D9"/>
                  <w:noWrap/>
                  <w:vAlign w:val="center"/>
                  <w:hideMark/>
                </w:tcPr>
                <w:p w14:paraId="61918B8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4.17 </w:t>
                  </w:r>
                </w:p>
              </w:tc>
              <w:tc>
                <w:tcPr>
                  <w:tcW w:w="916" w:type="dxa"/>
                  <w:tcBorders>
                    <w:top w:val="nil"/>
                    <w:left w:val="nil"/>
                    <w:bottom w:val="single" w:sz="8" w:space="0" w:color="FFFFFF"/>
                    <w:right w:val="single" w:sz="8" w:space="0" w:color="FFFFFF"/>
                  </w:tcBorders>
                  <w:shd w:val="clear" w:color="000000" w:fill="FDE9D9"/>
                  <w:noWrap/>
                  <w:vAlign w:val="center"/>
                  <w:hideMark/>
                </w:tcPr>
                <w:p w14:paraId="27A1E800"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4.46 </w:t>
                  </w:r>
                </w:p>
              </w:tc>
              <w:tc>
                <w:tcPr>
                  <w:tcW w:w="915" w:type="dxa"/>
                  <w:tcBorders>
                    <w:top w:val="nil"/>
                    <w:left w:val="nil"/>
                    <w:bottom w:val="single" w:sz="8" w:space="0" w:color="FFFFFF"/>
                    <w:right w:val="single" w:sz="8" w:space="0" w:color="FFFFFF"/>
                  </w:tcBorders>
                  <w:shd w:val="clear" w:color="000000" w:fill="FDE9D9"/>
                  <w:noWrap/>
                  <w:vAlign w:val="center"/>
                  <w:hideMark/>
                </w:tcPr>
                <w:p w14:paraId="094DFF73"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6.56 </w:t>
                  </w:r>
                </w:p>
              </w:tc>
              <w:tc>
                <w:tcPr>
                  <w:tcW w:w="1146" w:type="dxa"/>
                  <w:tcBorders>
                    <w:top w:val="nil"/>
                    <w:left w:val="nil"/>
                    <w:bottom w:val="single" w:sz="8" w:space="0" w:color="FFFFFF"/>
                    <w:right w:val="single" w:sz="8" w:space="0" w:color="FFFFFF"/>
                  </w:tcBorders>
                  <w:shd w:val="clear" w:color="000000" w:fill="FDE9D9"/>
                  <w:noWrap/>
                  <w:vAlign w:val="center"/>
                  <w:hideMark/>
                </w:tcPr>
                <w:p w14:paraId="104DA224"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MTN3Y</w:t>
                  </w:r>
                </w:p>
              </w:tc>
              <w:tc>
                <w:tcPr>
                  <w:tcW w:w="915" w:type="dxa"/>
                  <w:tcBorders>
                    <w:top w:val="nil"/>
                    <w:left w:val="nil"/>
                    <w:bottom w:val="single" w:sz="8" w:space="0" w:color="FFFFFF"/>
                    <w:right w:val="single" w:sz="8" w:space="0" w:color="FFFFFF"/>
                  </w:tcBorders>
                  <w:shd w:val="clear" w:color="000000" w:fill="FDE9D9"/>
                  <w:noWrap/>
                  <w:vAlign w:val="center"/>
                  <w:hideMark/>
                </w:tcPr>
                <w:p w14:paraId="0D51FDDF"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0.76 </w:t>
                  </w:r>
                </w:p>
              </w:tc>
              <w:tc>
                <w:tcPr>
                  <w:tcW w:w="915" w:type="dxa"/>
                  <w:tcBorders>
                    <w:top w:val="nil"/>
                    <w:left w:val="nil"/>
                    <w:bottom w:val="single" w:sz="8" w:space="0" w:color="FFFFFF"/>
                    <w:right w:val="single" w:sz="8" w:space="0" w:color="FFFFFF"/>
                  </w:tcBorders>
                  <w:shd w:val="clear" w:color="000000" w:fill="FDE9D9"/>
                  <w:noWrap/>
                  <w:vAlign w:val="center"/>
                  <w:hideMark/>
                </w:tcPr>
                <w:p w14:paraId="1D850FBB"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1.09 </w:t>
                  </w:r>
                </w:p>
              </w:tc>
              <w:tc>
                <w:tcPr>
                  <w:tcW w:w="915" w:type="dxa"/>
                  <w:tcBorders>
                    <w:top w:val="nil"/>
                    <w:left w:val="nil"/>
                    <w:bottom w:val="single" w:sz="8" w:space="0" w:color="FFFFFF"/>
                    <w:right w:val="single" w:sz="8" w:space="0" w:color="FFFFFF"/>
                  </w:tcBorders>
                  <w:shd w:val="clear" w:color="000000" w:fill="FDE9D9"/>
                  <w:noWrap/>
                  <w:vAlign w:val="center"/>
                  <w:hideMark/>
                </w:tcPr>
                <w:p w14:paraId="14B949DC"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1.38 </w:t>
                  </w:r>
                </w:p>
              </w:tc>
              <w:tc>
                <w:tcPr>
                  <w:tcW w:w="915" w:type="dxa"/>
                  <w:tcBorders>
                    <w:top w:val="nil"/>
                    <w:left w:val="nil"/>
                    <w:bottom w:val="single" w:sz="8" w:space="0" w:color="FFFFFF"/>
                    <w:right w:val="single" w:sz="8" w:space="0" w:color="FFFFFF"/>
                  </w:tcBorders>
                  <w:shd w:val="clear" w:color="000000" w:fill="FDE9D9"/>
                  <w:noWrap/>
                  <w:vAlign w:val="center"/>
                  <w:hideMark/>
                </w:tcPr>
                <w:p w14:paraId="235336FE"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3.48 </w:t>
                  </w:r>
                </w:p>
              </w:tc>
            </w:tr>
            <w:tr w:rsidR="00225070" w:rsidRPr="00225070" w14:paraId="57626C6C" w14:textId="77777777" w:rsidTr="00225070">
              <w:trPr>
                <w:trHeight w:val="452"/>
              </w:trPr>
              <w:tc>
                <w:tcPr>
                  <w:tcW w:w="1349" w:type="dxa"/>
                  <w:tcBorders>
                    <w:top w:val="nil"/>
                    <w:left w:val="nil"/>
                    <w:bottom w:val="single" w:sz="8" w:space="0" w:color="FFFFFF"/>
                    <w:right w:val="single" w:sz="8" w:space="0" w:color="FFFFFF"/>
                  </w:tcBorders>
                  <w:shd w:val="clear" w:color="000000" w:fill="FCD5B4"/>
                  <w:noWrap/>
                  <w:vAlign w:val="center"/>
                  <w:hideMark/>
                </w:tcPr>
                <w:p w14:paraId="7F2F4156"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MTN5Y</w:t>
                  </w:r>
                </w:p>
              </w:tc>
              <w:tc>
                <w:tcPr>
                  <w:tcW w:w="917" w:type="dxa"/>
                  <w:tcBorders>
                    <w:top w:val="nil"/>
                    <w:left w:val="nil"/>
                    <w:bottom w:val="single" w:sz="8" w:space="0" w:color="FFFFFF"/>
                    <w:right w:val="single" w:sz="8" w:space="0" w:color="FFFFFF"/>
                  </w:tcBorders>
                  <w:shd w:val="clear" w:color="000000" w:fill="FCD5B4"/>
                  <w:noWrap/>
                  <w:vAlign w:val="center"/>
                  <w:hideMark/>
                </w:tcPr>
                <w:p w14:paraId="52EA6F6F"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4.05 </w:t>
                  </w:r>
                </w:p>
              </w:tc>
              <w:tc>
                <w:tcPr>
                  <w:tcW w:w="917" w:type="dxa"/>
                  <w:tcBorders>
                    <w:top w:val="nil"/>
                    <w:left w:val="nil"/>
                    <w:bottom w:val="single" w:sz="8" w:space="0" w:color="FFFFFF"/>
                    <w:right w:val="single" w:sz="8" w:space="0" w:color="FFFFFF"/>
                  </w:tcBorders>
                  <w:shd w:val="clear" w:color="000000" w:fill="FCD5B4"/>
                  <w:noWrap/>
                  <w:vAlign w:val="center"/>
                  <w:hideMark/>
                </w:tcPr>
                <w:p w14:paraId="06C1E47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4.32 </w:t>
                  </w:r>
                </w:p>
              </w:tc>
              <w:tc>
                <w:tcPr>
                  <w:tcW w:w="916" w:type="dxa"/>
                  <w:tcBorders>
                    <w:top w:val="nil"/>
                    <w:left w:val="nil"/>
                    <w:bottom w:val="single" w:sz="8" w:space="0" w:color="FFFFFF"/>
                    <w:right w:val="single" w:sz="8" w:space="0" w:color="FFFFFF"/>
                  </w:tcBorders>
                  <w:shd w:val="clear" w:color="000000" w:fill="FCD5B4"/>
                  <w:noWrap/>
                  <w:vAlign w:val="center"/>
                  <w:hideMark/>
                </w:tcPr>
                <w:p w14:paraId="5765AB33"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4.73 </w:t>
                  </w:r>
                </w:p>
              </w:tc>
              <w:tc>
                <w:tcPr>
                  <w:tcW w:w="915" w:type="dxa"/>
                  <w:tcBorders>
                    <w:top w:val="nil"/>
                    <w:left w:val="nil"/>
                    <w:bottom w:val="single" w:sz="8" w:space="0" w:color="FFFFFF"/>
                    <w:right w:val="single" w:sz="8" w:space="0" w:color="FFFFFF"/>
                  </w:tcBorders>
                  <w:shd w:val="clear" w:color="000000" w:fill="FCD5B4"/>
                  <w:noWrap/>
                  <w:vAlign w:val="center"/>
                  <w:hideMark/>
                </w:tcPr>
                <w:p w14:paraId="7265AFCC"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6.90 </w:t>
                  </w:r>
                </w:p>
              </w:tc>
              <w:tc>
                <w:tcPr>
                  <w:tcW w:w="1146" w:type="dxa"/>
                  <w:tcBorders>
                    <w:top w:val="nil"/>
                    <w:left w:val="nil"/>
                    <w:bottom w:val="single" w:sz="8" w:space="0" w:color="FFFFFF"/>
                    <w:right w:val="single" w:sz="8" w:space="0" w:color="FFFFFF"/>
                  </w:tcBorders>
                  <w:shd w:val="clear" w:color="000000" w:fill="FCD5B4"/>
                  <w:noWrap/>
                  <w:vAlign w:val="center"/>
                  <w:hideMark/>
                </w:tcPr>
                <w:p w14:paraId="42161102"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MTN5Y</w:t>
                  </w:r>
                </w:p>
              </w:tc>
              <w:tc>
                <w:tcPr>
                  <w:tcW w:w="915" w:type="dxa"/>
                  <w:tcBorders>
                    <w:top w:val="nil"/>
                    <w:left w:val="nil"/>
                    <w:bottom w:val="single" w:sz="8" w:space="0" w:color="FFFFFF"/>
                    <w:right w:val="single" w:sz="8" w:space="0" w:color="FFFFFF"/>
                  </w:tcBorders>
                  <w:shd w:val="clear" w:color="000000" w:fill="FCD5B4"/>
                  <w:noWrap/>
                  <w:vAlign w:val="center"/>
                  <w:hideMark/>
                </w:tcPr>
                <w:p w14:paraId="639742C8"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0.90 </w:t>
                  </w:r>
                </w:p>
              </w:tc>
              <w:tc>
                <w:tcPr>
                  <w:tcW w:w="915" w:type="dxa"/>
                  <w:tcBorders>
                    <w:top w:val="nil"/>
                    <w:left w:val="nil"/>
                    <w:bottom w:val="single" w:sz="8" w:space="0" w:color="FFFFFF"/>
                    <w:right w:val="single" w:sz="8" w:space="0" w:color="FFFFFF"/>
                  </w:tcBorders>
                  <w:shd w:val="clear" w:color="000000" w:fill="FCD5B4"/>
                  <w:noWrap/>
                  <w:vAlign w:val="center"/>
                  <w:hideMark/>
                </w:tcPr>
                <w:p w14:paraId="3CE9D051"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1.17 </w:t>
                  </w:r>
                </w:p>
              </w:tc>
              <w:tc>
                <w:tcPr>
                  <w:tcW w:w="915" w:type="dxa"/>
                  <w:tcBorders>
                    <w:top w:val="nil"/>
                    <w:left w:val="nil"/>
                    <w:bottom w:val="single" w:sz="8" w:space="0" w:color="FFFFFF"/>
                    <w:right w:val="single" w:sz="8" w:space="0" w:color="FFFFFF"/>
                  </w:tcBorders>
                  <w:shd w:val="clear" w:color="000000" w:fill="FCD5B4"/>
                  <w:noWrap/>
                  <w:vAlign w:val="center"/>
                  <w:hideMark/>
                </w:tcPr>
                <w:p w14:paraId="70E98F36"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1.58 </w:t>
                  </w:r>
                </w:p>
              </w:tc>
              <w:tc>
                <w:tcPr>
                  <w:tcW w:w="915" w:type="dxa"/>
                  <w:tcBorders>
                    <w:top w:val="nil"/>
                    <w:left w:val="nil"/>
                    <w:bottom w:val="single" w:sz="8" w:space="0" w:color="FFFFFF"/>
                    <w:right w:val="single" w:sz="8" w:space="0" w:color="FFFFFF"/>
                  </w:tcBorders>
                  <w:shd w:val="clear" w:color="000000" w:fill="FCD5B4"/>
                  <w:noWrap/>
                  <w:vAlign w:val="center"/>
                  <w:hideMark/>
                </w:tcPr>
                <w:p w14:paraId="4B27F803"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3.75 </w:t>
                  </w:r>
                </w:p>
              </w:tc>
            </w:tr>
            <w:tr w:rsidR="00225070" w:rsidRPr="00225070" w14:paraId="2847DD47" w14:textId="77777777" w:rsidTr="00225070">
              <w:trPr>
                <w:trHeight w:val="452"/>
              </w:trPr>
              <w:tc>
                <w:tcPr>
                  <w:tcW w:w="1349" w:type="dxa"/>
                  <w:tcBorders>
                    <w:top w:val="nil"/>
                    <w:left w:val="nil"/>
                    <w:bottom w:val="single" w:sz="8" w:space="0" w:color="FFFFFF"/>
                    <w:right w:val="single" w:sz="8" w:space="0" w:color="FFFFFF"/>
                  </w:tcBorders>
                  <w:shd w:val="clear" w:color="000000" w:fill="FDE9D9"/>
                  <w:noWrap/>
                  <w:vAlign w:val="center"/>
                  <w:hideMark/>
                </w:tcPr>
                <w:p w14:paraId="75E64332"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企业债3Y</w:t>
                  </w:r>
                </w:p>
              </w:tc>
              <w:tc>
                <w:tcPr>
                  <w:tcW w:w="917" w:type="dxa"/>
                  <w:tcBorders>
                    <w:top w:val="nil"/>
                    <w:left w:val="nil"/>
                    <w:bottom w:val="single" w:sz="8" w:space="0" w:color="FFFFFF"/>
                    <w:right w:val="single" w:sz="8" w:space="0" w:color="FFFFFF"/>
                  </w:tcBorders>
                  <w:shd w:val="clear" w:color="000000" w:fill="FDE9D9"/>
                  <w:noWrap/>
                  <w:vAlign w:val="center"/>
                  <w:hideMark/>
                </w:tcPr>
                <w:p w14:paraId="1DACDECF"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3.82 </w:t>
                  </w:r>
                </w:p>
              </w:tc>
              <w:tc>
                <w:tcPr>
                  <w:tcW w:w="917" w:type="dxa"/>
                  <w:tcBorders>
                    <w:top w:val="nil"/>
                    <w:left w:val="nil"/>
                    <w:bottom w:val="single" w:sz="8" w:space="0" w:color="FFFFFF"/>
                    <w:right w:val="single" w:sz="8" w:space="0" w:color="FFFFFF"/>
                  </w:tcBorders>
                  <w:shd w:val="clear" w:color="000000" w:fill="FDE9D9"/>
                  <w:noWrap/>
                  <w:vAlign w:val="center"/>
                  <w:hideMark/>
                </w:tcPr>
                <w:p w14:paraId="0BEC789B"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4.15 </w:t>
                  </w:r>
                </w:p>
              </w:tc>
              <w:tc>
                <w:tcPr>
                  <w:tcW w:w="916" w:type="dxa"/>
                  <w:tcBorders>
                    <w:top w:val="nil"/>
                    <w:left w:val="nil"/>
                    <w:bottom w:val="single" w:sz="8" w:space="0" w:color="FFFFFF"/>
                    <w:right w:val="single" w:sz="8" w:space="0" w:color="FFFFFF"/>
                  </w:tcBorders>
                  <w:shd w:val="clear" w:color="000000" w:fill="FDE9D9"/>
                  <w:noWrap/>
                  <w:vAlign w:val="center"/>
                  <w:hideMark/>
                </w:tcPr>
                <w:p w14:paraId="09DB77C7"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4.44 </w:t>
                  </w:r>
                </w:p>
              </w:tc>
              <w:tc>
                <w:tcPr>
                  <w:tcW w:w="915" w:type="dxa"/>
                  <w:tcBorders>
                    <w:top w:val="nil"/>
                    <w:left w:val="nil"/>
                    <w:bottom w:val="single" w:sz="8" w:space="0" w:color="FFFFFF"/>
                    <w:right w:val="single" w:sz="8" w:space="0" w:color="FFFFFF"/>
                  </w:tcBorders>
                  <w:shd w:val="clear" w:color="000000" w:fill="FDE9D9"/>
                  <w:noWrap/>
                  <w:vAlign w:val="center"/>
                  <w:hideMark/>
                </w:tcPr>
                <w:p w14:paraId="438EB9E0"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6.54 </w:t>
                  </w:r>
                </w:p>
              </w:tc>
              <w:tc>
                <w:tcPr>
                  <w:tcW w:w="1146" w:type="dxa"/>
                  <w:tcBorders>
                    <w:top w:val="nil"/>
                    <w:left w:val="nil"/>
                    <w:bottom w:val="single" w:sz="8" w:space="0" w:color="FFFFFF"/>
                    <w:right w:val="single" w:sz="8" w:space="0" w:color="FFFFFF"/>
                  </w:tcBorders>
                  <w:shd w:val="clear" w:color="000000" w:fill="FDE9D9"/>
                  <w:noWrap/>
                  <w:vAlign w:val="center"/>
                  <w:hideMark/>
                </w:tcPr>
                <w:p w14:paraId="557DA323"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企业债3Y</w:t>
                  </w:r>
                </w:p>
              </w:tc>
              <w:tc>
                <w:tcPr>
                  <w:tcW w:w="915" w:type="dxa"/>
                  <w:tcBorders>
                    <w:top w:val="nil"/>
                    <w:left w:val="nil"/>
                    <w:bottom w:val="single" w:sz="8" w:space="0" w:color="FFFFFF"/>
                    <w:right w:val="single" w:sz="8" w:space="0" w:color="FFFFFF"/>
                  </w:tcBorders>
                  <w:shd w:val="clear" w:color="000000" w:fill="FDE9D9"/>
                  <w:noWrap/>
                  <w:vAlign w:val="center"/>
                  <w:hideMark/>
                </w:tcPr>
                <w:p w14:paraId="4FE84A9C"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0.74 </w:t>
                  </w:r>
                </w:p>
              </w:tc>
              <w:tc>
                <w:tcPr>
                  <w:tcW w:w="915" w:type="dxa"/>
                  <w:tcBorders>
                    <w:top w:val="nil"/>
                    <w:left w:val="nil"/>
                    <w:bottom w:val="single" w:sz="8" w:space="0" w:color="FFFFFF"/>
                    <w:right w:val="single" w:sz="8" w:space="0" w:color="FFFFFF"/>
                  </w:tcBorders>
                  <w:shd w:val="clear" w:color="000000" w:fill="FDE9D9"/>
                  <w:noWrap/>
                  <w:vAlign w:val="center"/>
                  <w:hideMark/>
                </w:tcPr>
                <w:p w14:paraId="1D8314CC"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1.07 </w:t>
                  </w:r>
                </w:p>
              </w:tc>
              <w:tc>
                <w:tcPr>
                  <w:tcW w:w="915" w:type="dxa"/>
                  <w:tcBorders>
                    <w:top w:val="nil"/>
                    <w:left w:val="nil"/>
                    <w:bottom w:val="single" w:sz="8" w:space="0" w:color="FFFFFF"/>
                    <w:right w:val="single" w:sz="8" w:space="0" w:color="FFFFFF"/>
                  </w:tcBorders>
                  <w:shd w:val="clear" w:color="000000" w:fill="FDE9D9"/>
                  <w:noWrap/>
                  <w:vAlign w:val="center"/>
                  <w:hideMark/>
                </w:tcPr>
                <w:p w14:paraId="48C18C95"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1.36 </w:t>
                  </w:r>
                </w:p>
              </w:tc>
              <w:tc>
                <w:tcPr>
                  <w:tcW w:w="915" w:type="dxa"/>
                  <w:tcBorders>
                    <w:top w:val="nil"/>
                    <w:left w:val="nil"/>
                    <w:bottom w:val="single" w:sz="8" w:space="0" w:color="FFFFFF"/>
                    <w:right w:val="single" w:sz="8" w:space="0" w:color="FFFFFF"/>
                  </w:tcBorders>
                  <w:shd w:val="clear" w:color="000000" w:fill="FDE9D9"/>
                  <w:noWrap/>
                  <w:vAlign w:val="center"/>
                  <w:hideMark/>
                </w:tcPr>
                <w:p w14:paraId="443B0BFE"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3.46 </w:t>
                  </w:r>
                </w:p>
              </w:tc>
            </w:tr>
            <w:tr w:rsidR="00225070" w:rsidRPr="00225070" w14:paraId="13249C44" w14:textId="77777777" w:rsidTr="00225070">
              <w:trPr>
                <w:trHeight w:val="452"/>
              </w:trPr>
              <w:tc>
                <w:tcPr>
                  <w:tcW w:w="1349" w:type="dxa"/>
                  <w:tcBorders>
                    <w:top w:val="nil"/>
                    <w:left w:val="nil"/>
                    <w:bottom w:val="single" w:sz="8" w:space="0" w:color="FFFFFF"/>
                    <w:right w:val="single" w:sz="8" w:space="0" w:color="FFFFFF"/>
                  </w:tcBorders>
                  <w:shd w:val="clear" w:color="000000" w:fill="FCD5B4"/>
                  <w:noWrap/>
                  <w:vAlign w:val="center"/>
                  <w:hideMark/>
                </w:tcPr>
                <w:p w14:paraId="6800A3A3"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企业债5Y</w:t>
                  </w:r>
                </w:p>
              </w:tc>
              <w:tc>
                <w:tcPr>
                  <w:tcW w:w="917" w:type="dxa"/>
                  <w:tcBorders>
                    <w:top w:val="nil"/>
                    <w:left w:val="nil"/>
                    <w:bottom w:val="single" w:sz="8" w:space="0" w:color="FFFFFF"/>
                    <w:right w:val="single" w:sz="8" w:space="0" w:color="FFFFFF"/>
                  </w:tcBorders>
                  <w:shd w:val="clear" w:color="000000" w:fill="FCD5B4"/>
                  <w:noWrap/>
                  <w:vAlign w:val="center"/>
                  <w:hideMark/>
                </w:tcPr>
                <w:p w14:paraId="7B92A2EA"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4.05 </w:t>
                  </w:r>
                </w:p>
              </w:tc>
              <w:tc>
                <w:tcPr>
                  <w:tcW w:w="917" w:type="dxa"/>
                  <w:tcBorders>
                    <w:top w:val="nil"/>
                    <w:left w:val="nil"/>
                    <w:bottom w:val="single" w:sz="8" w:space="0" w:color="FFFFFF"/>
                    <w:right w:val="single" w:sz="8" w:space="0" w:color="FFFFFF"/>
                  </w:tcBorders>
                  <w:shd w:val="clear" w:color="000000" w:fill="FCD5B4"/>
                  <w:noWrap/>
                  <w:vAlign w:val="center"/>
                  <w:hideMark/>
                </w:tcPr>
                <w:p w14:paraId="4380F121"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4.30 </w:t>
                  </w:r>
                </w:p>
              </w:tc>
              <w:tc>
                <w:tcPr>
                  <w:tcW w:w="916" w:type="dxa"/>
                  <w:tcBorders>
                    <w:top w:val="nil"/>
                    <w:left w:val="nil"/>
                    <w:bottom w:val="single" w:sz="8" w:space="0" w:color="FFFFFF"/>
                    <w:right w:val="single" w:sz="8" w:space="0" w:color="FFFFFF"/>
                  </w:tcBorders>
                  <w:shd w:val="clear" w:color="000000" w:fill="FCD5B4"/>
                  <w:noWrap/>
                  <w:vAlign w:val="center"/>
                  <w:hideMark/>
                </w:tcPr>
                <w:p w14:paraId="44AF5E39"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4.71 </w:t>
                  </w:r>
                </w:p>
              </w:tc>
              <w:tc>
                <w:tcPr>
                  <w:tcW w:w="915" w:type="dxa"/>
                  <w:tcBorders>
                    <w:top w:val="nil"/>
                    <w:left w:val="nil"/>
                    <w:bottom w:val="single" w:sz="8" w:space="0" w:color="FFFFFF"/>
                    <w:right w:val="single" w:sz="8" w:space="0" w:color="FFFFFF"/>
                  </w:tcBorders>
                  <w:shd w:val="clear" w:color="000000" w:fill="FCD5B4"/>
                  <w:noWrap/>
                  <w:vAlign w:val="center"/>
                  <w:hideMark/>
                </w:tcPr>
                <w:p w14:paraId="16BE8561"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6.88 </w:t>
                  </w:r>
                </w:p>
              </w:tc>
              <w:tc>
                <w:tcPr>
                  <w:tcW w:w="1146" w:type="dxa"/>
                  <w:tcBorders>
                    <w:top w:val="nil"/>
                    <w:left w:val="nil"/>
                    <w:bottom w:val="single" w:sz="8" w:space="0" w:color="FFFFFF"/>
                    <w:right w:val="single" w:sz="8" w:space="0" w:color="FFFFFF"/>
                  </w:tcBorders>
                  <w:shd w:val="clear" w:color="000000" w:fill="FCD5B4"/>
                  <w:noWrap/>
                  <w:vAlign w:val="center"/>
                  <w:hideMark/>
                </w:tcPr>
                <w:p w14:paraId="260F9775"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企业债5Y</w:t>
                  </w:r>
                </w:p>
              </w:tc>
              <w:tc>
                <w:tcPr>
                  <w:tcW w:w="915" w:type="dxa"/>
                  <w:tcBorders>
                    <w:top w:val="nil"/>
                    <w:left w:val="nil"/>
                    <w:bottom w:val="single" w:sz="8" w:space="0" w:color="FFFFFF"/>
                    <w:right w:val="single" w:sz="8" w:space="0" w:color="FFFFFF"/>
                  </w:tcBorders>
                  <w:shd w:val="clear" w:color="000000" w:fill="FCD5B4"/>
                  <w:noWrap/>
                  <w:vAlign w:val="center"/>
                  <w:hideMark/>
                </w:tcPr>
                <w:p w14:paraId="3F322657"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0.89 </w:t>
                  </w:r>
                </w:p>
              </w:tc>
              <w:tc>
                <w:tcPr>
                  <w:tcW w:w="915" w:type="dxa"/>
                  <w:tcBorders>
                    <w:top w:val="nil"/>
                    <w:left w:val="nil"/>
                    <w:bottom w:val="single" w:sz="8" w:space="0" w:color="FFFFFF"/>
                    <w:right w:val="single" w:sz="8" w:space="0" w:color="FFFFFF"/>
                  </w:tcBorders>
                  <w:shd w:val="clear" w:color="000000" w:fill="FCD5B4"/>
                  <w:noWrap/>
                  <w:vAlign w:val="center"/>
                  <w:hideMark/>
                </w:tcPr>
                <w:p w14:paraId="01F5B259"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1.14 </w:t>
                  </w:r>
                </w:p>
              </w:tc>
              <w:tc>
                <w:tcPr>
                  <w:tcW w:w="915" w:type="dxa"/>
                  <w:tcBorders>
                    <w:top w:val="nil"/>
                    <w:left w:val="nil"/>
                    <w:bottom w:val="single" w:sz="8" w:space="0" w:color="FFFFFF"/>
                    <w:right w:val="single" w:sz="8" w:space="0" w:color="FFFFFF"/>
                  </w:tcBorders>
                  <w:shd w:val="clear" w:color="000000" w:fill="FCD5B4"/>
                  <w:noWrap/>
                  <w:vAlign w:val="center"/>
                  <w:hideMark/>
                </w:tcPr>
                <w:p w14:paraId="49C7B289"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1.55 </w:t>
                  </w:r>
                </w:p>
              </w:tc>
              <w:tc>
                <w:tcPr>
                  <w:tcW w:w="915" w:type="dxa"/>
                  <w:tcBorders>
                    <w:top w:val="nil"/>
                    <w:left w:val="nil"/>
                    <w:bottom w:val="single" w:sz="8" w:space="0" w:color="FFFFFF"/>
                    <w:right w:val="single" w:sz="8" w:space="0" w:color="FFFFFF"/>
                  </w:tcBorders>
                  <w:shd w:val="clear" w:color="000000" w:fill="FCD5B4"/>
                  <w:noWrap/>
                  <w:vAlign w:val="center"/>
                  <w:hideMark/>
                </w:tcPr>
                <w:p w14:paraId="0D190013"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3.72 </w:t>
                  </w:r>
                </w:p>
              </w:tc>
            </w:tr>
            <w:tr w:rsidR="00225070" w:rsidRPr="00225070" w14:paraId="72B37D6D" w14:textId="77777777" w:rsidTr="00225070">
              <w:trPr>
                <w:trHeight w:val="452"/>
              </w:trPr>
              <w:tc>
                <w:tcPr>
                  <w:tcW w:w="1349" w:type="dxa"/>
                  <w:tcBorders>
                    <w:top w:val="nil"/>
                    <w:left w:val="nil"/>
                    <w:bottom w:val="single" w:sz="8" w:space="0" w:color="FFFFFF"/>
                    <w:right w:val="single" w:sz="8" w:space="0" w:color="FFFFFF"/>
                  </w:tcBorders>
                  <w:shd w:val="clear" w:color="000000" w:fill="FDE9D9"/>
                  <w:noWrap/>
                  <w:vAlign w:val="center"/>
                  <w:hideMark/>
                </w:tcPr>
                <w:p w14:paraId="7E8B9B7D"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企业债7Y</w:t>
                  </w:r>
                </w:p>
              </w:tc>
              <w:tc>
                <w:tcPr>
                  <w:tcW w:w="917" w:type="dxa"/>
                  <w:tcBorders>
                    <w:top w:val="nil"/>
                    <w:left w:val="nil"/>
                    <w:bottom w:val="single" w:sz="8" w:space="0" w:color="FFFFFF"/>
                    <w:right w:val="single" w:sz="8" w:space="0" w:color="FFFFFF"/>
                  </w:tcBorders>
                  <w:shd w:val="clear" w:color="000000" w:fill="FDE9D9"/>
                  <w:noWrap/>
                  <w:vAlign w:val="center"/>
                  <w:hideMark/>
                </w:tcPr>
                <w:p w14:paraId="4CD912DB"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4.23 </w:t>
                  </w:r>
                </w:p>
              </w:tc>
              <w:tc>
                <w:tcPr>
                  <w:tcW w:w="917" w:type="dxa"/>
                  <w:tcBorders>
                    <w:top w:val="nil"/>
                    <w:left w:val="nil"/>
                    <w:bottom w:val="single" w:sz="8" w:space="0" w:color="FFFFFF"/>
                    <w:right w:val="single" w:sz="8" w:space="0" w:color="FFFFFF"/>
                  </w:tcBorders>
                  <w:shd w:val="clear" w:color="000000" w:fill="FDE9D9"/>
                  <w:noWrap/>
                  <w:vAlign w:val="center"/>
                  <w:hideMark/>
                </w:tcPr>
                <w:p w14:paraId="3EB52C8E"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4.53 </w:t>
                  </w:r>
                </w:p>
              </w:tc>
              <w:tc>
                <w:tcPr>
                  <w:tcW w:w="916" w:type="dxa"/>
                  <w:tcBorders>
                    <w:top w:val="nil"/>
                    <w:left w:val="nil"/>
                    <w:bottom w:val="single" w:sz="8" w:space="0" w:color="FFFFFF"/>
                    <w:right w:val="single" w:sz="8" w:space="0" w:color="FFFFFF"/>
                  </w:tcBorders>
                  <w:shd w:val="clear" w:color="000000" w:fill="FDE9D9"/>
                  <w:noWrap/>
                  <w:vAlign w:val="center"/>
                  <w:hideMark/>
                </w:tcPr>
                <w:p w14:paraId="477B2AFD"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4.97 </w:t>
                  </w:r>
                </w:p>
              </w:tc>
              <w:tc>
                <w:tcPr>
                  <w:tcW w:w="915" w:type="dxa"/>
                  <w:tcBorders>
                    <w:top w:val="nil"/>
                    <w:left w:val="nil"/>
                    <w:bottom w:val="single" w:sz="8" w:space="0" w:color="FFFFFF"/>
                    <w:right w:val="single" w:sz="8" w:space="0" w:color="FFFFFF"/>
                  </w:tcBorders>
                  <w:shd w:val="clear" w:color="000000" w:fill="FDE9D9"/>
                  <w:noWrap/>
                  <w:vAlign w:val="center"/>
                  <w:hideMark/>
                </w:tcPr>
                <w:p w14:paraId="5B2CF8DC"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7.15 </w:t>
                  </w:r>
                </w:p>
              </w:tc>
              <w:tc>
                <w:tcPr>
                  <w:tcW w:w="1146" w:type="dxa"/>
                  <w:tcBorders>
                    <w:top w:val="nil"/>
                    <w:left w:val="nil"/>
                    <w:bottom w:val="single" w:sz="8" w:space="0" w:color="FFFFFF"/>
                    <w:right w:val="single" w:sz="8" w:space="0" w:color="FFFFFF"/>
                  </w:tcBorders>
                  <w:shd w:val="clear" w:color="000000" w:fill="FDE9D9"/>
                  <w:noWrap/>
                  <w:vAlign w:val="center"/>
                  <w:hideMark/>
                </w:tcPr>
                <w:p w14:paraId="6753FEAA"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企业债7Y</w:t>
                  </w:r>
                </w:p>
              </w:tc>
              <w:tc>
                <w:tcPr>
                  <w:tcW w:w="915" w:type="dxa"/>
                  <w:tcBorders>
                    <w:top w:val="nil"/>
                    <w:left w:val="nil"/>
                    <w:bottom w:val="single" w:sz="8" w:space="0" w:color="FFFFFF"/>
                    <w:right w:val="single" w:sz="8" w:space="0" w:color="FFFFFF"/>
                  </w:tcBorders>
                  <w:shd w:val="clear" w:color="000000" w:fill="FDE9D9"/>
                  <w:noWrap/>
                  <w:vAlign w:val="center"/>
                  <w:hideMark/>
                </w:tcPr>
                <w:p w14:paraId="1C5DAB6F"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0.91 </w:t>
                  </w:r>
                </w:p>
              </w:tc>
              <w:tc>
                <w:tcPr>
                  <w:tcW w:w="915" w:type="dxa"/>
                  <w:tcBorders>
                    <w:top w:val="nil"/>
                    <w:left w:val="nil"/>
                    <w:bottom w:val="single" w:sz="8" w:space="0" w:color="FFFFFF"/>
                    <w:right w:val="single" w:sz="8" w:space="0" w:color="FFFFFF"/>
                  </w:tcBorders>
                  <w:shd w:val="clear" w:color="000000" w:fill="FDE9D9"/>
                  <w:noWrap/>
                  <w:vAlign w:val="center"/>
                  <w:hideMark/>
                </w:tcPr>
                <w:p w14:paraId="50867579"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1.21 </w:t>
                  </w:r>
                </w:p>
              </w:tc>
              <w:tc>
                <w:tcPr>
                  <w:tcW w:w="915" w:type="dxa"/>
                  <w:tcBorders>
                    <w:top w:val="nil"/>
                    <w:left w:val="nil"/>
                    <w:bottom w:val="single" w:sz="8" w:space="0" w:color="FFFFFF"/>
                    <w:right w:val="single" w:sz="8" w:space="0" w:color="FFFFFF"/>
                  </w:tcBorders>
                  <w:shd w:val="clear" w:color="000000" w:fill="FDE9D9"/>
                  <w:noWrap/>
                  <w:vAlign w:val="center"/>
                  <w:hideMark/>
                </w:tcPr>
                <w:p w14:paraId="51558CFB"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1.65 </w:t>
                  </w:r>
                </w:p>
              </w:tc>
              <w:tc>
                <w:tcPr>
                  <w:tcW w:w="915" w:type="dxa"/>
                  <w:tcBorders>
                    <w:top w:val="nil"/>
                    <w:left w:val="nil"/>
                    <w:bottom w:val="single" w:sz="8" w:space="0" w:color="FFFFFF"/>
                    <w:right w:val="single" w:sz="8" w:space="0" w:color="FFFFFF"/>
                  </w:tcBorders>
                  <w:shd w:val="clear" w:color="000000" w:fill="FDE9D9"/>
                  <w:noWrap/>
                  <w:vAlign w:val="center"/>
                  <w:hideMark/>
                </w:tcPr>
                <w:p w14:paraId="5A0E53D8"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3.83 </w:t>
                  </w:r>
                </w:p>
              </w:tc>
            </w:tr>
            <w:tr w:rsidR="00225070" w:rsidRPr="00225070" w14:paraId="58BE9E1B" w14:textId="77777777" w:rsidTr="00225070">
              <w:trPr>
                <w:trHeight w:val="452"/>
              </w:trPr>
              <w:tc>
                <w:tcPr>
                  <w:tcW w:w="1349" w:type="dxa"/>
                  <w:tcBorders>
                    <w:top w:val="nil"/>
                    <w:left w:val="nil"/>
                    <w:bottom w:val="single" w:sz="8" w:space="0" w:color="FFFFFF"/>
                    <w:right w:val="single" w:sz="8" w:space="0" w:color="FFFFFF"/>
                  </w:tcBorders>
                  <w:shd w:val="clear" w:color="000000" w:fill="FCD5B4"/>
                  <w:noWrap/>
                  <w:vAlign w:val="center"/>
                  <w:hideMark/>
                </w:tcPr>
                <w:p w14:paraId="6ADFB761"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3Y</w:t>
                  </w:r>
                </w:p>
              </w:tc>
              <w:tc>
                <w:tcPr>
                  <w:tcW w:w="917" w:type="dxa"/>
                  <w:tcBorders>
                    <w:top w:val="nil"/>
                    <w:left w:val="nil"/>
                    <w:bottom w:val="single" w:sz="8" w:space="0" w:color="FFFFFF"/>
                    <w:right w:val="single" w:sz="8" w:space="0" w:color="FFFFFF"/>
                  </w:tcBorders>
                  <w:shd w:val="clear" w:color="000000" w:fill="FCD5B4"/>
                  <w:noWrap/>
                  <w:vAlign w:val="center"/>
                  <w:hideMark/>
                </w:tcPr>
                <w:p w14:paraId="238AFCF3"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3.85 </w:t>
                  </w:r>
                </w:p>
              </w:tc>
              <w:tc>
                <w:tcPr>
                  <w:tcW w:w="917" w:type="dxa"/>
                  <w:tcBorders>
                    <w:top w:val="nil"/>
                    <w:left w:val="nil"/>
                    <w:bottom w:val="single" w:sz="8" w:space="0" w:color="FFFFFF"/>
                    <w:right w:val="single" w:sz="8" w:space="0" w:color="FFFFFF"/>
                  </w:tcBorders>
                  <w:shd w:val="clear" w:color="000000" w:fill="FCD5B4"/>
                  <w:noWrap/>
                  <w:vAlign w:val="center"/>
                  <w:hideMark/>
                </w:tcPr>
                <w:p w14:paraId="2616C1BB"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4.08 </w:t>
                  </w:r>
                </w:p>
              </w:tc>
              <w:tc>
                <w:tcPr>
                  <w:tcW w:w="916" w:type="dxa"/>
                  <w:tcBorders>
                    <w:top w:val="nil"/>
                    <w:left w:val="nil"/>
                    <w:bottom w:val="single" w:sz="8" w:space="0" w:color="FFFFFF"/>
                    <w:right w:val="single" w:sz="8" w:space="0" w:color="FFFFFF"/>
                  </w:tcBorders>
                  <w:shd w:val="clear" w:color="000000" w:fill="FCD5B4"/>
                  <w:noWrap/>
                  <w:vAlign w:val="center"/>
                  <w:hideMark/>
                </w:tcPr>
                <w:p w14:paraId="5212F966"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4.32 </w:t>
                  </w:r>
                </w:p>
              </w:tc>
              <w:tc>
                <w:tcPr>
                  <w:tcW w:w="915" w:type="dxa"/>
                  <w:tcBorders>
                    <w:top w:val="nil"/>
                    <w:left w:val="nil"/>
                    <w:bottom w:val="single" w:sz="8" w:space="0" w:color="FFFFFF"/>
                    <w:right w:val="single" w:sz="8" w:space="0" w:color="FFFFFF"/>
                  </w:tcBorders>
                  <w:shd w:val="clear" w:color="000000" w:fill="FCD5B4"/>
                  <w:noWrap/>
                  <w:vAlign w:val="center"/>
                  <w:hideMark/>
                </w:tcPr>
                <w:p w14:paraId="3CF6AF6C"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5.93 </w:t>
                  </w:r>
                </w:p>
              </w:tc>
              <w:tc>
                <w:tcPr>
                  <w:tcW w:w="1146" w:type="dxa"/>
                  <w:tcBorders>
                    <w:top w:val="nil"/>
                    <w:left w:val="nil"/>
                    <w:bottom w:val="single" w:sz="8" w:space="0" w:color="FFFFFF"/>
                    <w:right w:val="single" w:sz="8" w:space="0" w:color="FFFFFF"/>
                  </w:tcBorders>
                  <w:shd w:val="clear" w:color="000000" w:fill="FCD5B4"/>
                  <w:noWrap/>
                  <w:vAlign w:val="center"/>
                  <w:hideMark/>
                </w:tcPr>
                <w:p w14:paraId="5EB49541"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3Y</w:t>
                  </w:r>
                </w:p>
              </w:tc>
              <w:tc>
                <w:tcPr>
                  <w:tcW w:w="915" w:type="dxa"/>
                  <w:tcBorders>
                    <w:top w:val="nil"/>
                    <w:left w:val="nil"/>
                    <w:bottom w:val="single" w:sz="8" w:space="0" w:color="FFFFFF"/>
                    <w:right w:val="single" w:sz="8" w:space="0" w:color="FFFFFF"/>
                  </w:tcBorders>
                  <w:shd w:val="clear" w:color="000000" w:fill="FCD5B4"/>
                  <w:noWrap/>
                  <w:vAlign w:val="center"/>
                  <w:hideMark/>
                </w:tcPr>
                <w:p w14:paraId="50CEC258"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0.77 </w:t>
                  </w:r>
                </w:p>
              </w:tc>
              <w:tc>
                <w:tcPr>
                  <w:tcW w:w="915" w:type="dxa"/>
                  <w:tcBorders>
                    <w:top w:val="nil"/>
                    <w:left w:val="nil"/>
                    <w:bottom w:val="single" w:sz="8" w:space="0" w:color="FFFFFF"/>
                    <w:right w:val="single" w:sz="8" w:space="0" w:color="FFFFFF"/>
                  </w:tcBorders>
                  <w:shd w:val="clear" w:color="000000" w:fill="FCD5B4"/>
                  <w:noWrap/>
                  <w:vAlign w:val="center"/>
                  <w:hideMark/>
                </w:tcPr>
                <w:p w14:paraId="27027ABE"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1.00 </w:t>
                  </w:r>
                </w:p>
              </w:tc>
              <w:tc>
                <w:tcPr>
                  <w:tcW w:w="915" w:type="dxa"/>
                  <w:tcBorders>
                    <w:top w:val="nil"/>
                    <w:left w:val="nil"/>
                    <w:bottom w:val="single" w:sz="8" w:space="0" w:color="FFFFFF"/>
                    <w:right w:val="single" w:sz="8" w:space="0" w:color="FFFFFF"/>
                  </w:tcBorders>
                  <w:shd w:val="clear" w:color="000000" w:fill="FCD5B4"/>
                  <w:noWrap/>
                  <w:vAlign w:val="center"/>
                  <w:hideMark/>
                </w:tcPr>
                <w:p w14:paraId="252B9D85"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1.24 </w:t>
                  </w:r>
                </w:p>
              </w:tc>
              <w:tc>
                <w:tcPr>
                  <w:tcW w:w="915" w:type="dxa"/>
                  <w:tcBorders>
                    <w:top w:val="nil"/>
                    <w:left w:val="nil"/>
                    <w:bottom w:val="single" w:sz="8" w:space="0" w:color="FFFFFF"/>
                    <w:right w:val="single" w:sz="8" w:space="0" w:color="FFFFFF"/>
                  </w:tcBorders>
                  <w:shd w:val="clear" w:color="000000" w:fill="FCD5B4"/>
                  <w:noWrap/>
                  <w:vAlign w:val="center"/>
                  <w:hideMark/>
                </w:tcPr>
                <w:p w14:paraId="1546D0A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2.85 </w:t>
                  </w:r>
                </w:p>
              </w:tc>
            </w:tr>
            <w:tr w:rsidR="00225070" w:rsidRPr="00225070" w14:paraId="002A80C6" w14:textId="77777777" w:rsidTr="00225070">
              <w:trPr>
                <w:trHeight w:val="452"/>
              </w:trPr>
              <w:tc>
                <w:tcPr>
                  <w:tcW w:w="1349" w:type="dxa"/>
                  <w:tcBorders>
                    <w:top w:val="nil"/>
                    <w:left w:val="nil"/>
                    <w:bottom w:val="single" w:sz="8" w:space="0" w:color="FFFFFF"/>
                    <w:right w:val="single" w:sz="8" w:space="0" w:color="FFFFFF"/>
                  </w:tcBorders>
                  <w:shd w:val="clear" w:color="000000" w:fill="FDE9D9"/>
                  <w:noWrap/>
                  <w:vAlign w:val="center"/>
                  <w:hideMark/>
                </w:tcPr>
                <w:p w14:paraId="23C4680C"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5Y</w:t>
                  </w:r>
                </w:p>
              </w:tc>
              <w:tc>
                <w:tcPr>
                  <w:tcW w:w="917" w:type="dxa"/>
                  <w:tcBorders>
                    <w:top w:val="nil"/>
                    <w:left w:val="nil"/>
                    <w:bottom w:val="single" w:sz="8" w:space="0" w:color="FFFFFF"/>
                    <w:right w:val="single" w:sz="8" w:space="0" w:color="FFFFFF"/>
                  </w:tcBorders>
                  <w:shd w:val="clear" w:color="000000" w:fill="FDE9D9"/>
                  <w:noWrap/>
                  <w:vAlign w:val="center"/>
                  <w:hideMark/>
                </w:tcPr>
                <w:p w14:paraId="40D85FF6"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4.02 </w:t>
                  </w:r>
                </w:p>
              </w:tc>
              <w:tc>
                <w:tcPr>
                  <w:tcW w:w="917" w:type="dxa"/>
                  <w:tcBorders>
                    <w:top w:val="nil"/>
                    <w:left w:val="nil"/>
                    <w:bottom w:val="single" w:sz="8" w:space="0" w:color="FFFFFF"/>
                    <w:right w:val="single" w:sz="8" w:space="0" w:color="FFFFFF"/>
                  </w:tcBorders>
                  <w:shd w:val="clear" w:color="000000" w:fill="FDE9D9"/>
                  <w:noWrap/>
                  <w:vAlign w:val="center"/>
                  <w:hideMark/>
                </w:tcPr>
                <w:p w14:paraId="47E644C5"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4.24 </w:t>
                  </w:r>
                </w:p>
              </w:tc>
              <w:tc>
                <w:tcPr>
                  <w:tcW w:w="916" w:type="dxa"/>
                  <w:tcBorders>
                    <w:top w:val="nil"/>
                    <w:left w:val="nil"/>
                    <w:bottom w:val="single" w:sz="8" w:space="0" w:color="FFFFFF"/>
                    <w:right w:val="single" w:sz="8" w:space="0" w:color="FFFFFF"/>
                  </w:tcBorders>
                  <w:shd w:val="clear" w:color="000000" w:fill="FDE9D9"/>
                  <w:noWrap/>
                  <w:vAlign w:val="center"/>
                  <w:hideMark/>
                </w:tcPr>
                <w:p w14:paraId="67E922B0"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4.48 </w:t>
                  </w:r>
                </w:p>
              </w:tc>
              <w:tc>
                <w:tcPr>
                  <w:tcW w:w="915" w:type="dxa"/>
                  <w:tcBorders>
                    <w:top w:val="nil"/>
                    <w:left w:val="nil"/>
                    <w:bottom w:val="single" w:sz="8" w:space="0" w:color="FFFFFF"/>
                    <w:right w:val="single" w:sz="8" w:space="0" w:color="FFFFFF"/>
                  </w:tcBorders>
                  <w:shd w:val="clear" w:color="000000" w:fill="FDE9D9"/>
                  <w:noWrap/>
                  <w:vAlign w:val="center"/>
                  <w:hideMark/>
                </w:tcPr>
                <w:p w14:paraId="75E4B411"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6.70 </w:t>
                  </w:r>
                </w:p>
              </w:tc>
              <w:tc>
                <w:tcPr>
                  <w:tcW w:w="1146" w:type="dxa"/>
                  <w:tcBorders>
                    <w:top w:val="nil"/>
                    <w:left w:val="nil"/>
                    <w:bottom w:val="single" w:sz="8" w:space="0" w:color="FFFFFF"/>
                    <w:right w:val="single" w:sz="8" w:space="0" w:color="FFFFFF"/>
                  </w:tcBorders>
                  <w:shd w:val="clear" w:color="000000" w:fill="FDE9D9"/>
                  <w:noWrap/>
                  <w:vAlign w:val="center"/>
                  <w:hideMark/>
                </w:tcPr>
                <w:p w14:paraId="61DCF339"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5Y</w:t>
                  </w:r>
                </w:p>
              </w:tc>
              <w:tc>
                <w:tcPr>
                  <w:tcW w:w="915" w:type="dxa"/>
                  <w:tcBorders>
                    <w:top w:val="nil"/>
                    <w:left w:val="nil"/>
                    <w:bottom w:val="single" w:sz="8" w:space="0" w:color="FFFFFF"/>
                    <w:right w:val="single" w:sz="8" w:space="0" w:color="FFFFFF"/>
                  </w:tcBorders>
                  <w:shd w:val="clear" w:color="000000" w:fill="FDE9D9"/>
                  <w:noWrap/>
                  <w:vAlign w:val="center"/>
                  <w:hideMark/>
                </w:tcPr>
                <w:p w14:paraId="746BC611"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0.87 </w:t>
                  </w:r>
                </w:p>
              </w:tc>
              <w:tc>
                <w:tcPr>
                  <w:tcW w:w="915" w:type="dxa"/>
                  <w:tcBorders>
                    <w:top w:val="nil"/>
                    <w:left w:val="nil"/>
                    <w:bottom w:val="single" w:sz="8" w:space="0" w:color="FFFFFF"/>
                    <w:right w:val="single" w:sz="8" w:space="0" w:color="FFFFFF"/>
                  </w:tcBorders>
                  <w:shd w:val="clear" w:color="000000" w:fill="FDE9D9"/>
                  <w:noWrap/>
                  <w:vAlign w:val="center"/>
                  <w:hideMark/>
                </w:tcPr>
                <w:p w14:paraId="659A7DBF"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1.09 </w:t>
                  </w:r>
                </w:p>
              </w:tc>
              <w:tc>
                <w:tcPr>
                  <w:tcW w:w="915" w:type="dxa"/>
                  <w:tcBorders>
                    <w:top w:val="nil"/>
                    <w:left w:val="nil"/>
                    <w:bottom w:val="single" w:sz="8" w:space="0" w:color="FFFFFF"/>
                    <w:right w:val="single" w:sz="8" w:space="0" w:color="FFFFFF"/>
                  </w:tcBorders>
                  <w:shd w:val="clear" w:color="000000" w:fill="FDE9D9"/>
                  <w:noWrap/>
                  <w:vAlign w:val="center"/>
                  <w:hideMark/>
                </w:tcPr>
                <w:p w14:paraId="72D70716"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1.32 </w:t>
                  </w:r>
                </w:p>
              </w:tc>
              <w:tc>
                <w:tcPr>
                  <w:tcW w:w="915" w:type="dxa"/>
                  <w:tcBorders>
                    <w:top w:val="nil"/>
                    <w:left w:val="nil"/>
                    <w:bottom w:val="single" w:sz="8" w:space="0" w:color="FFFFFF"/>
                    <w:right w:val="single" w:sz="8" w:space="0" w:color="FFFFFF"/>
                  </w:tcBorders>
                  <w:shd w:val="clear" w:color="000000" w:fill="FDE9D9"/>
                  <w:noWrap/>
                  <w:vAlign w:val="center"/>
                  <w:hideMark/>
                </w:tcPr>
                <w:p w14:paraId="3E37DD1D"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3.54 </w:t>
                  </w:r>
                </w:p>
              </w:tc>
            </w:tr>
            <w:tr w:rsidR="00225070" w:rsidRPr="00225070" w14:paraId="176C94CA" w14:textId="77777777" w:rsidTr="00225070">
              <w:trPr>
                <w:trHeight w:val="452"/>
              </w:trPr>
              <w:tc>
                <w:tcPr>
                  <w:tcW w:w="1349" w:type="dxa"/>
                  <w:tcBorders>
                    <w:top w:val="nil"/>
                    <w:left w:val="nil"/>
                    <w:bottom w:val="nil"/>
                    <w:right w:val="nil"/>
                  </w:tcBorders>
                  <w:shd w:val="clear" w:color="000000" w:fill="FCD5B4"/>
                  <w:noWrap/>
                  <w:vAlign w:val="center"/>
                  <w:hideMark/>
                </w:tcPr>
                <w:p w14:paraId="799ADA3B"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7Y</w:t>
                  </w:r>
                </w:p>
              </w:tc>
              <w:tc>
                <w:tcPr>
                  <w:tcW w:w="917" w:type="dxa"/>
                  <w:tcBorders>
                    <w:top w:val="nil"/>
                    <w:left w:val="nil"/>
                    <w:bottom w:val="single" w:sz="8" w:space="0" w:color="FFFFFF"/>
                    <w:right w:val="single" w:sz="8" w:space="0" w:color="FFFFFF"/>
                  </w:tcBorders>
                  <w:shd w:val="clear" w:color="000000" w:fill="FCD5B4"/>
                  <w:noWrap/>
                  <w:vAlign w:val="center"/>
                  <w:hideMark/>
                </w:tcPr>
                <w:p w14:paraId="44B31361"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4.25 </w:t>
                  </w:r>
                </w:p>
              </w:tc>
              <w:tc>
                <w:tcPr>
                  <w:tcW w:w="917" w:type="dxa"/>
                  <w:tcBorders>
                    <w:top w:val="nil"/>
                    <w:left w:val="nil"/>
                    <w:bottom w:val="single" w:sz="8" w:space="0" w:color="FFFFFF"/>
                    <w:right w:val="single" w:sz="8" w:space="0" w:color="FFFFFF"/>
                  </w:tcBorders>
                  <w:shd w:val="clear" w:color="000000" w:fill="FCD5B4"/>
                  <w:noWrap/>
                  <w:vAlign w:val="center"/>
                  <w:hideMark/>
                </w:tcPr>
                <w:p w14:paraId="24FB418A"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4.47 </w:t>
                  </w:r>
                </w:p>
              </w:tc>
              <w:tc>
                <w:tcPr>
                  <w:tcW w:w="916" w:type="dxa"/>
                  <w:tcBorders>
                    <w:top w:val="nil"/>
                    <w:left w:val="nil"/>
                    <w:bottom w:val="single" w:sz="8" w:space="0" w:color="FFFFFF"/>
                    <w:right w:val="single" w:sz="8" w:space="0" w:color="FFFFFF"/>
                  </w:tcBorders>
                  <w:shd w:val="clear" w:color="000000" w:fill="FCD5B4"/>
                  <w:noWrap/>
                  <w:vAlign w:val="center"/>
                  <w:hideMark/>
                </w:tcPr>
                <w:p w14:paraId="560E01AE"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4.80 </w:t>
                  </w:r>
                </w:p>
              </w:tc>
              <w:tc>
                <w:tcPr>
                  <w:tcW w:w="915" w:type="dxa"/>
                  <w:tcBorders>
                    <w:top w:val="nil"/>
                    <w:left w:val="nil"/>
                    <w:bottom w:val="single" w:sz="8" w:space="0" w:color="FFFFFF"/>
                    <w:right w:val="single" w:sz="8" w:space="0" w:color="FFFFFF"/>
                  </w:tcBorders>
                  <w:shd w:val="clear" w:color="000000" w:fill="FCD5B4"/>
                  <w:noWrap/>
                  <w:vAlign w:val="center"/>
                  <w:hideMark/>
                </w:tcPr>
                <w:p w14:paraId="7263530A"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7.16 </w:t>
                  </w:r>
                </w:p>
              </w:tc>
              <w:tc>
                <w:tcPr>
                  <w:tcW w:w="1146" w:type="dxa"/>
                  <w:tcBorders>
                    <w:top w:val="nil"/>
                    <w:left w:val="nil"/>
                    <w:bottom w:val="nil"/>
                    <w:right w:val="nil"/>
                  </w:tcBorders>
                  <w:shd w:val="clear" w:color="000000" w:fill="FCD5B4"/>
                  <w:noWrap/>
                  <w:vAlign w:val="center"/>
                  <w:hideMark/>
                </w:tcPr>
                <w:p w14:paraId="677596E0"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7Y</w:t>
                  </w:r>
                </w:p>
              </w:tc>
              <w:tc>
                <w:tcPr>
                  <w:tcW w:w="915" w:type="dxa"/>
                  <w:tcBorders>
                    <w:top w:val="nil"/>
                    <w:left w:val="nil"/>
                    <w:bottom w:val="single" w:sz="8" w:space="0" w:color="FFFFFF"/>
                    <w:right w:val="single" w:sz="8" w:space="0" w:color="FFFFFF"/>
                  </w:tcBorders>
                  <w:shd w:val="clear" w:color="000000" w:fill="FCD5B4"/>
                  <w:noWrap/>
                  <w:vAlign w:val="center"/>
                  <w:hideMark/>
                </w:tcPr>
                <w:p w14:paraId="2529ED1D"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0.94 </w:t>
                  </w:r>
                </w:p>
              </w:tc>
              <w:tc>
                <w:tcPr>
                  <w:tcW w:w="915" w:type="dxa"/>
                  <w:tcBorders>
                    <w:top w:val="nil"/>
                    <w:left w:val="nil"/>
                    <w:bottom w:val="single" w:sz="8" w:space="0" w:color="FFFFFF"/>
                    <w:right w:val="single" w:sz="8" w:space="0" w:color="FFFFFF"/>
                  </w:tcBorders>
                  <w:shd w:val="clear" w:color="000000" w:fill="FCD5B4"/>
                  <w:noWrap/>
                  <w:vAlign w:val="center"/>
                  <w:hideMark/>
                </w:tcPr>
                <w:p w14:paraId="547A2DED"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1.16 </w:t>
                  </w:r>
                </w:p>
              </w:tc>
              <w:tc>
                <w:tcPr>
                  <w:tcW w:w="915" w:type="dxa"/>
                  <w:tcBorders>
                    <w:top w:val="nil"/>
                    <w:left w:val="nil"/>
                    <w:bottom w:val="single" w:sz="8" w:space="0" w:color="FFFFFF"/>
                    <w:right w:val="single" w:sz="8" w:space="0" w:color="FFFFFF"/>
                  </w:tcBorders>
                  <w:shd w:val="clear" w:color="000000" w:fill="FCD5B4"/>
                  <w:noWrap/>
                  <w:vAlign w:val="center"/>
                  <w:hideMark/>
                </w:tcPr>
                <w:p w14:paraId="6E40C65F"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1.49 </w:t>
                  </w:r>
                </w:p>
              </w:tc>
              <w:tc>
                <w:tcPr>
                  <w:tcW w:w="915" w:type="dxa"/>
                  <w:tcBorders>
                    <w:top w:val="nil"/>
                    <w:left w:val="nil"/>
                    <w:bottom w:val="single" w:sz="8" w:space="0" w:color="FFFFFF"/>
                    <w:right w:val="single" w:sz="8" w:space="0" w:color="FFFFFF"/>
                  </w:tcBorders>
                  <w:shd w:val="clear" w:color="000000" w:fill="FCD5B4"/>
                  <w:noWrap/>
                  <w:vAlign w:val="center"/>
                  <w:hideMark/>
                </w:tcPr>
                <w:p w14:paraId="46070C38"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3.85 </w:t>
                  </w:r>
                </w:p>
              </w:tc>
            </w:tr>
            <w:tr w:rsidR="00225070" w:rsidRPr="00225070" w14:paraId="291C9F4E" w14:textId="77777777" w:rsidTr="00225070">
              <w:trPr>
                <w:trHeight w:val="452"/>
              </w:trPr>
              <w:tc>
                <w:tcPr>
                  <w:tcW w:w="1349" w:type="dxa"/>
                  <w:tcBorders>
                    <w:top w:val="nil"/>
                    <w:left w:val="nil"/>
                    <w:bottom w:val="single" w:sz="12" w:space="0" w:color="FFFFFF"/>
                    <w:right w:val="single" w:sz="8" w:space="0" w:color="FFFFFF"/>
                  </w:tcBorders>
                  <w:shd w:val="clear" w:color="000000" w:fill="F79646"/>
                  <w:noWrap/>
                  <w:vAlign w:val="center"/>
                  <w:hideMark/>
                </w:tcPr>
                <w:p w14:paraId="4C656E50" w14:textId="77777777" w:rsidR="00225070" w:rsidRPr="00225070" w:rsidRDefault="00225070" w:rsidP="00225070">
                  <w:pPr>
                    <w:widowControl/>
                    <w:jc w:val="center"/>
                    <w:rPr>
                      <w:rFonts w:ascii="楷体" w:eastAsia="楷体" w:hAnsi="楷体" w:cs="宋体"/>
                      <w:b/>
                      <w:bCs/>
                      <w:color w:val="FFFFFF"/>
                      <w:kern w:val="0"/>
                      <w:sz w:val="20"/>
                      <w:szCs w:val="20"/>
                    </w:rPr>
                  </w:pPr>
                  <w:proofErr w:type="gramStart"/>
                  <w:r w:rsidRPr="00225070">
                    <w:rPr>
                      <w:rFonts w:ascii="楷体" w:eastAsia="楷体" w:hAnsi="楷体" w:cs="宋体" w:hint="eastAsia"/>
                      <w:b/>
                      <w:bCs/>
                      <w:color w:val="FFFFFF"/>
                      <w:kern w:val="0"/>
                      <w:sz w:val="20"/>
                      <w:szCs w:val="20"/>
                    </w:rPr>
                    <w:t>周变化</w:t>
                  </w:r>
                  <w:proofErr w:type="gramEnd"/>
                  <w:r w:rsidRPr="00225070">
                    <w:rPr>
                      <w:rFonts w:ascii="楷体" w:eastAsia="楷体" w:hAnsi="楷体" w:cs="宋体" w:hint="eastAsia"/>
                      <w:b/>
                      <w:bCs/>
                      <w:color w:val="FFFFFF"/>
                      <w:kern w:val="0"/>
                      <w:sz w:val="20"/>
                      <w:szCs w:val="20"/>
                    </w:rPr>
                    <w:t>(BP)</w:t>
                  </w:r>
                </w:p>
              </w:tc>
              <w:tc>
                <w:tcPr>
                  <w:tcW w:w="917" w:type="dxa"/>
                  <w:tcBorders>
                    <w:top w:val="nil"/>
                    <w:left w:val="nil"/>
                    <w:bottom w:val="single" w:sz="12" w:space="0" w:color="FFFFFF"/>
                    <w:right w:val="single" w:sz="8" w:space="0" w:color="FFFFFF"/>
                  </w:tcBorders>
                  <w:shd w:val="clear" w:color="000000" w:fill="F79646"/>
                  <w:noWrap/>
                  <w:vAlign w:val="center"/>
                  <w:hideMark/>
                </w:tcPr>
                <w:p w14:paraId="6A45DBBC"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AAA</w:t>
                  </w:r>
                </w:p>
              </w:tc>
              <w:tc>
                <w:tcPr>
                  <w:tcW w:w="917" w:type="dxa"/>
                  <w:tcBorders>
                    <w:top w:val="nil"/>
                    <w:left w:val="nil"/>
                    <w:bottom w:val="single" w:sz="12" w:space="0" w:color="FFFFFF"/>
                    <w:right w:val="single" w:sz="8" w:space="0" w:color="FFFFFF"/>
                  </w:tcBorders>
                  <w:shd w:val="clear" w:color="000000" w:fill="F79646"/>
                  <w:noWrap/>
                  <w:vAlign w:val="center"/>
                  <w:hideMark/>
                </w:tcPr>
                <w:p w14:paraId="150BB1FC"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c>
                <w:tcPr>
                  <w:tcW w:w="916" w:type="dxa"/>
                  <w:tcBorders>
                    <w:top w:val="nil"/>
                    <w:left w:val="nil"/>
                    <w:bottom w:val="single" w:sz="12" w:space="0" w:color="FFFFFF"/>
                    <w:right w:val="single" w:sz="8" w:space="0" w:color="FFFFFF"/>
                  </w:tcBorders>
                  <w:shd w:val="clear" w:color="000000" w:fill="F79646"/>
                  <w:noWrap/>
                  <w:vAlign w:val="center"/>
                  <w:hideMark/>
                </w:tcPr>
                <w:p w14:paraId="7CB7DF98"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c>
                <w:tcPr>
                  <w:tcW w:w="915" w:type="dxa"/>
                  <w:tcBorders>
                    <w:top w:val="nil"/>
                    <w:left w:val="nil"/>
                    <w:bottom w:val="single" w:sz="12" w:space="0" w:color="FFFFFF"/>
                    <w:right w:val="single" w:sz="8" w:space="0" w:color="FFFFFF"/>
                  </w:tcBorders>
                  <w:shd w:val="clear" w:color="000000" w:fill="F79646"/>
                  <w:noWrap/>
                  <w:vAlign w:val="center"/>
                  <w:hideMark/>
                </w:tcPr>
                <w:p w14:paraId="3509BC43"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c>
                <w:tcPr>
                  <w:tcW w:w="1146" w:type="dxa"/>
                  <w:tcBorders>
                    <w:top w:val="nil"/>
                    <w:left w:val="nil"/>
                    <w:bottom w:val="single" w:sz="12" w:space="0" w:color="FFFFFF"/>
                    <w:right w:val="single" w:sz="8" w:space="0" w:color="FFFFFF"/>
                  </w:tcBorders>
                  <w:shd w:val="clear" w:color="000000" w:fill="F79646"/>
                  <w:noWrap/>
                  <w:vAlign w:val="center"/>
                  <w:hideMark/>
                </w:tcPr>
                <w:p w14:paraId="51881B7F"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息差</w:t>
                  </w:r>
                </w:p>
              </w:tc>
              <w:tc>
                <w:tcPr>
                  <w:tcW w:w="915" w:type="dxa"/>
                  <w:tcBorders>
                    <w:top w:val="nil"/>
                    <w:left w:val="nil"/>
                    <w:bottom w:val="single" w:sz="12" w:space="0" w:color="FFFFFF"/>
                    <w:right w:val="single" w:sz="8" w:space="0" w:color="FFFFFF"/>
                  </w:tcBorders>
                  <w:shd w:val="clear" w:color="000000" w:fill="F79646"/>
                  <w:noWrap/>
                  <w:vAlign w:val="center"/>
                  <w:hideMark/>
                </w:tcPr>
                <w:p w14:paraId="6D93CA13"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AAA</w:t>
                  </w:r>
                </w:p>
              </w:tc>
              <w:tc>
                <w:tcPr>
                  <w:tcW w:w="915" w:type="dxa"/>
                  <w:tcBorders>
                    <w:top w:val="nil"/>
                    <w:left w:val="nil"/>
                    <w:bottom w:val="single" w:sz="12" w:space="0" w:color="FFFFFF"/>
                    <w:right w:val="single" w:sz="8" w:space="0" w:color="FFFFFF"/>
                  </w:tcBorders>
                  <w:shd w:val="clear" w:color="000000" w:fill="F79646"/>
                  <w:noWrap/>
                  <w:vAlign w:val="center"/>
                  <w:hideMark/>
                </w:tcPr>
                <w:p w14:paraId="59BC2D2B"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c>
                <w:tcPr>
                  <w:tcW w:w="915" w:type="dxa"/>
                  <w:tcBorders>
                    <w:top w:val="nil"/>
                    <w:left w:val="nil"/>
                    <w:bottom w:val="single" w:sz="12" w:space="0" w:color="FFFFFF"/>
                    <w:right w:val="single" w:sz="8" w:space="0" w:color="FFFFFF"/>
                  </w:tcBorders>
                  <w:shd w:val="clear" w:color="000000" w:fill="F79646"/>
                  <w:noWrap/>
                  <w:vAlign w:val="center"/>
                  <w:hideMark/>
                </w:tcPr>
                <w:p w14:paraId="231DA49D"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c>
                <w:tcPr>
                  <w:tcW w:w="915" w:type="dxa"/>
                  <w:tcBorders>
                    <w:top w:val="nil"/>
                    <w:left w:val="nil"/>
                    <w:bottom w:val="single" w:sz="12" w:space="0" w:color="FFFFFF"/>
                    <w:right w:val="single" w:sz="8" w:space="0" w:color="FFFFFF"/>
                  </w:tcBorders>
                  <w:shd w:val="clear" w:color="000000" w:fill="F79646"/>
                  <w:noWrap/>
                  <w:vAlign w:val="center"/>
                  <w:hideMark/>
                </w:tcPr>
                <w:p w14:paraId="4340D448"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r>
            <w:tr w:rsidR="00225070" w:rsidRPr="00225070" w14:paraId="1693FF8F" w14:textId="77777777" w:rsidTr="00225070">
              <w:trPr>
                <w:trHeight w:val="467"/>
              </w:trPr>
              <w:tc>
                <w:tcPr>
                  <w:tcW w:w="1349" w:type="dxa"/>
                  <w:tcBorders>
                    <w:top w:val="nil"/>
                    <w:left w:val="nil"/>
                    <w:bottom w:val="single" w:sz="8" w:space="0" w:color="FFFFFF"/>
                    <w:right w:val="single" w:sz="8" w:space="0" w:color="FFFFFF"/>
                  </w:tcBorders>
                  <w:shd w:val="clear" w:color="000000" w:fill="FCD5B4"/>
                  <w:noWrap/>
                  <w:vAlign w:val="center"/>
                  <w:hideMark/>
                </w:tcPr>
                <w:p w14:paraId="4A18424F"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CP</w:t>
                  </w:r>
                </w:p>
              </w:tc>
              <w:tc>
                <w:tcPr>
                  <w:tcW w:w="917" w:type="dxa"/>
                  <w:tcBorders>
                    <w:top w:val="nil"/>
                    <w:left w:val="nil"/>
                    <w:bottom w:val="single" w:sz="8" w:space="0" w:color="FFFFFF"/>
                    <w:right w:val="single" w:sz="8" w:space="0" w:color="FFFFFF"/>
                  </w:tcBorders>
                  <w:shd w:val="clear" w:color="000000" w:fill="FCD5B4"/>
                  <w:noWrap/>
                  <w:vAlign w:val="center"/>
                  <w:hideMark/>
                </w:tcPr>
                <w:p w14:paraId="1FB4BBC6"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-5.2 </w:t>
                  </w:r>
                </w:p>
              </w:tc>
              <w:tc>
                <w:tcPr>
                  <w:tcW w:w="917" w:type="dxa"/>
                  <w:tcBorders>
                    <w:top w:val="nil"/>
                    <w:left w:val="nil"/>
                    <w:bottom w:val="single" w:sz="8" w:space="0" w:color="FFFFFF"/>
                    <w:right w:val="single" w:sz="8" w:space="0" w:color="FFFFFF"/>
                  </w:tcBorders>
                  <w:shd w:val="clear" w:color="000000" w:fill="FCD5B4"/>
                  <w:noWrap/>
                  <w:vAlign w:val="center"/>
                  <w:hideMark/>
                </w:tcPr>
                <w:p w14:paraId="7394640F"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-3.2 </w:t>
                  </w:r>
                </w:p>
              </w:tc>
              <w:tc>
                <w:tcPr>
                  <w:tcW w:w="916" w:type="dxa"/>
                  <w:tcBorders>
                    <w:top w:val="nil"/>
                    <w:left w:val="nil"/>
                    <w:bottom w:val="single" w:sz="8" w:space="0" w:color="FFFFFF"/>
                    <w:right w:val="single" w:sz="8" w:space="0" w:color="FFFFFF"/>
                  </w:tcBorders>
                  <w:shd w:val="clear" w:color="000000" w:fill="FCD5B4"/>
                  <w:noWrap/>
                  <w:vAlign w:val="center"/>
                  <w:hideMark/>
                </w:tcPr>
                <w:p w14:paraId="1ECF7815"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0.8 </w:t>
                  </w:r>
                </w:p>
              </w:tc>
              <w:tc>
                <w:tcPr>
                  <w:tcW w:w="915" w:type="dxa"/>
                  <w:tcBorders>
                    <w:top w:val="nil"/>
                    <w:left w:val="nil"/>
                    <w:bottom w:val="single" w:sz="8" w:space="0" w:color="FFFFFF"/>
                    <w:right w:val="single" w:sz="8" w:space="0" w:color="FFFFFF"/>
                  </w:tcBorders>
                  <w:shd w:val="clear" w:color="000000" w:fill="FCD5B4"/>
                  <w:noWrap/>
                  <w:vAlign w:val="center"/>
                  <w:hideMark/>
                </w:tcPr>
                <w:p w14:paraId="183E6F0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0.8 </w:t>
                  </w:r>
                </w:p>
              </w:tc>
              <w:tc>
                <w:tcPr>
                  <w:tcW w:w="1146" w:type="dxa"/>
                  <w:tcBorders>
                    <w:top w:val="nil"/>
                    <w:left w:val="nil"/>
                    <w:bottom w:val="single" w:sz="8" w:space="0" w:color="FFFFFF"/>
                    <w:right w:val="single" w:sz="8" w:space="0" w:color="FFFFFF"/>
                  </w:tcBorders>
                  <w:shd w:val="clear" w:color="000000" w:fill="FCD5B4"/>
                  <w:noWrap/>
                  <w:vAlign w:val="center"/>
                  <w:hideMark/>
                </w:tcPr>
                <w:p w14:paraId="2E356E1A"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CP</w:t>
                  </w:r>
                </w:p>
              </w:tc>
              <w:tc>
                <w:tcPr>
                  <w:tcW w:w="915" w:type="dxa"/>
                  <w:tcBorders>
                    <w:top w:val="nil"/>
                    <w:left w:val="nil"/>
                    <w:bottom w:val="single" w:sz="8" w:space="0" w:color="FFFFFF"/>
                    <w:right w:val="single" w:sz="8" w:space="0" w:color="FFFFFF"/>
                  </w:tcBorders>
                  <w:shd w:val="clear" w:color="000000" w:fill="FCD5B4"/>
                  <w:noWrap/>
                  <w:vAlign w:val="center"/>
                  <w:hideMark/>
                </w:tcPr>
                <w:p w14:paraId="52CDB52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-1.2 </w:t>
                  </w:r>
                </w:p>
              </w:tc>
              <w:tc>
                <w:tcPr>
                  <w:tcW w:w="915" w:type="dxa"/>
                  <w:tcBorders>
                    <w:top w:val="nil"/>
                    <w:left w:val="nil"/>
                    <w:bottom w:val="single" w:sz="8" w:space="0" w:color="FFFFFF"/>
                    <w:right w:val="single" w:sz="8" w:space="0" w:color="FFFFFF"/>
                  </w:tcBorders>
                  <w:shd w:val="clear" w:color="000000" w:fill="FCD5B4"/>
                  <w:noWrap/>
                  <w:vAlign w:val="center"/>
                  <w:hideMark/>
                </w:tcPr>
                <w:p w14:paraId="38AAC373"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0.7 </w:t>
                  </w:r>
                </w:p>
              </w:tc>
              <w:tc>
                <w:tcPr>
                  <w:tcW w:w="915" w:type="dxa"/>
                  <w:tcBorders>
                    <w:top w:val="nil"/>
                    <w:left w:val="nil"/>
                    <w:bottom w:val="single" w:sz="8" w:space="0" w:color="FFFFFF"/>
                    <w:right w:val="single" w:sz="8" w:space="0" w:color="FFFFFF"/>
                  </w:tcBorders>
                  <w:shd w:val="clear" w:color="000000" w:fill="FCD5B4"/>
                  <w:noWrap/>
                  <w:vAlign w:val="center"/>
                  <w:hideMark/>
                </w:tcPr>
                <w:p w14:paraId="0A18F46A"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4.7 </w:t>
                  </w:r>
                </w:p>
              </w:tc>
              <w:tc>
                <w:tcPr>
                  <w:tcW w:w="915" w:type="dxa"/>
                  <w:tcBorders>
                    <w:top w:val="nil"/>
                    <w:left w:val="nil"/>
                    <w:bottom w:val="single" w:sz="8" w:space="0" w:color="FFFFFF"/>
                    <w:right w:val="single" w:sz="8" w:space="0" w:color="FFFFFF"/>
                  </w:tcBorders>
                  <w:shd w:val="clear" w:color="000000" w:fill="FCD5B4"/>
                  <w:noWrap/>
                  <w:vAlign w:val="center"/>
                  <w:hideMark/>
                </w:tcPr>
                <w:p w14:paraId="7A652D9E"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4.7 </w:t>
                  </w:r>
                </w:p>
              </w:tc>
            </w:tr>
            <w:tr w:rsidR="00225070" w:rsidRPr="00225070" w14:paraId="787B81D0" w14:textId="77777777" w:rsidTr="00225070">
              <w:trPr>
                <w:trHeight w:val="452"/>
              </w:trPr>
              <w:tc>
                <w:tcPr>
                  <w:tcW w:w="1349" w:type="dxa"/>
                  <w:tcBorders>
                    <w:top w:val="nil"/>
                    <w:left w:val="nil"/>
                    <w:bottom w:val="single" w:sz="8" w:space="0" w:color="FFFFFF"/>
                    <w:right w:val="single" w:sz="8" w:space="0" w:color="FFFFFF"/>
                  </w:tcBorders>
                  <w:shd w:val="clear" w:color="000000" w:fill="FDE9D9"/>
                  <w:noWrap/>
                  <w:vAlign w:val="center"/>
                  <w:hideMark/>
                </w:tcPr>
                <w:p w14:paraId="46BFDFD9"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MTN3Y</w:t>
                  </w:r>
                </w:p>
              </w:tc>
              <w:tc>
                <w:tcPr>
                  <w:tcW w:w="917" w:type="dxa"/>
                  <w:tcBorders>
                    <w:top w:val="nil"/>
                    <w:left w:val="nil"/>
                    <w:bottom w:val="single" w:sz="8" w:space="0" w:color="FFFFFF"/>
                    <w:right w:val="single" w:sz="8" w:space="0" w:color="FFFFFF"/>
                  </w:tcBorders>
                  <w:shd w:val="clear" w:color="000000" w:fill="FDE9D9"/>
                  <w:noWrap/>
                  <w:vAlign w:val="center"/>
                  <w:hideMark/>
                </w:tcPr>
                <w:p w14:paraId="49FB6BF0"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-6.6 </w:t>
                  </w:r>
                </w:p>
              </w:tc>
              <w:tc>
                <w:tcPr>
                  <w:tcW w:w="917" w:type="dxa"/>
                  <w:tcBorders>
                    <w:top w:val="nil"/>
                    <w:left w:val="nil"/>
                    <w:bottom w:val="single" w:sz="8" w:space="0" w:color="FFFFFF"/>
                    <w:right w:val="single" w:sz="8" w:space="0" w:color="FFFFFF"/>
                  </w:tcBorders>
                  <w:shd w:val="clear" w:color="000000" w:fill="FDE9D9"/>
                  <w:noWrap/>
                  <w:vAlign w:val="center"/>
                  <w:hideMark/>
                </w:tcPr>
                <w:p w14:paraId="4D68A370"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-2.6 </w:t>
                  </w:r>
                </w:p>
              </w:tc>
              <w:tc>
                <w:tcPr>
                  <w:tcW w:w="916" w:type="dxa"/>
                  <w:tcBorders>
                    <w:top w:val="nil"/>
                    <w:left w:val="nil"/>
                    <w:bottom w:val="single" w:sz="8" w:space="0" w:color="FFFFFF"/>
                    <w:right w:val="single" w:sz="8" w:space="0" w:color="FFFFFF"/>
                  </w:tcBorders>
                  <w:shd w:val="clear" w:color="000000" w:fill="FDE9D9"/>
                  <w:noWrap/>
                  <w:vAlign w:val="center"/>
                  <w:hideMark/>
                </w:tcPr>
                <w:p w14:paraId="4252E3F1"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-0.7 </w:t>
                  </w:r>
                </w:p>
              </w:tc>
              <w:tc>
                <w:tcPr>
                  <w:tcW w:w="915" w:type="dxa"/>
                  <w:tcBorders>
                    <w:top w:val="nil"/>
                    <w:left w:val="nil"/>
                    <w:bottom w:val="single" w:sz="8" w:space="0" w:color="FFFFFF"/>
                    <w:right w:val="single" w:sz="8" w:space="0" w:color="FFFFFF"/>
                  </w:tcBorders>
                  <w:shd w:val="clear" w:color="000000" w:fill="FDE9D9"/>
                  <w:noWrap/>
                  <w:vAlign w:val="center"/>
                  <w:hideMark/>
                </w:tcPr>
                <w:p w14:paraId="00FF6FBE"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-0.6 </w:t>
                  </w:r>
                </w:p>
              </w:tc>
              <w:tc>
                <w:tcPr>
                  <w:tcW w:w="1146" w:type="dxa"/>
                  <w:tcBorders>
                    <w:top w:val="nil"/>
                    <w:left w:val="nil"/>
                    <w:bottom w:val="single" w:sz="8" w:space="0" w:color="FFFFFF"/>
                    <w:right w:val="single" w:sz="8" w:space="0" w:color="FFFFFF"/>
                  </w:tcBorders>
                  <w:shd w:val="clear" w:color="000000" w:fill="FDE9D9"/>
                  <w:noWrap/>
                  <w:vAlign w:val="center"/>
                  <w:hideMark/>
                </w:tcPr>
                <w:p w14:paraId="626E81AC"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MTN3Y</w:t>
                  </w:r>
                </w:p>
              </w:tc>
              <w:tc>
                <w:tcPr>
                  <w:tcW w:w="915" w:type="dxa"/>
                  <w:tcBorders>
                    <w:top w:val="nil"/>
                    <w:left w:val="nil"/>
                    <w:bottom w:val="single" w:sz="8" w:space="0" w:color="FFFFFF"/>
                    <w:right w:val="single" w:sz="8" w:space="0" w:color="FFFFFF"/>
                  </w:tcBorders>
                  <w:shd w:val="clear" w:color="000000" w:fill="FDE9D9"/>
                  <w:noWrap/>
                  <w:vAlign w:val="center"/>
                  <w:hideMark/>
                </w:tcPr>
                <w:p w14:paraId="44717F6C"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-3.0 </w:t>
                  </w:r>
                </w:p>
              </w:tc>
              <w:tc>
                <w:tcPr>
                  <w:tcW w:w="915" w:type="dxa"/>
                  <w:tcBorders>
                    <w:top w:val="nil"/>
                    <w:left w:val="nil"/>
                    <w:bottom w:val="single" w:sz="8" w:space="0" w:color="FFFFFF"/>
                    <w:right w:val="single" w:sz="8" w:space="0" w:color="FFFFFF"/>
                  </w:tcBorders>
                  <w:shd w:val="clear" w:color="000000" w:fill="FDE9D9"/>
                  <w:noWrap/>
                  <w:vAlign w:val="center"/>
                  <w:hideMark/>
                </w:tcPr>
                <w:p w14:paraId="513232AB"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1.0 </w:t>
                  </w:r>
                </w:p>
              </w:tc>
              <w:tc>
                <w:tcPr>
                  <w:tcW w:w="915" w:type="dxa"/>
                  <w:tcBorders>
                    <w:top w:val="nil"/>
                    <w:left w:val="nil"/>
                    <w:bottom w:val="single" w:sz="8" w:space="0" w:color="FFFFFF"/>
                    <w:right w:val="single" w:sz="8" w:space="0" w:color="FFFFFF"/>
                  </w:tcBorders>
                  <w:shd w:val="clear" w:color="000000" w:fill="FDE9D9"/>
                  <w:noWrap/>
                  <w:vAlign w:val="center"/>
                  <w:hideMark/>
                </w:tcPr>
                <w:p w14:paraId="0DCE9B3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3.0 </w:t>
                  </w:r>
                </w:p>
              </w:tc>
              <w:tc>
                <w:tcPr>
                  <w:tcW w:w="915" w:type="dxa"/>
                  <w:tcBorders>
                    <w:top w:val="nil"/>
                    <w:left w:val="nil"/>
                    <w:bottom w:val="single" w:sz="8" w:space="0" w:color="FFFFFF"/>
                    <w:right w:val="single" w:sz="8" w:space="0" w:color="FFFFFF"/>
                  </w:tcBorders>
                  <w:shd w:val="clear" w:color="000000" w:fill="FDE9D9"/>
                  <w:noWrap/>
                  <w:vAlign w:val="center"/>
                  <w:hideMark/>
                </w:tcPr>
                <w:p w14:paraId="4A24952B"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3.0 </w:t>
                  </w:r>
                </w:p>
              </w:tc>
            </w:tr>
            <w:tr w:rsidR="00225070" w:rsidRPr="00225070" w14:paraId="5029764D" w14:textId="77777777" w:rsidTr="00225070">
              <w:trPr>
                <w:trHeight w:val="452"/>
              </w:trPr>
              <w:tc>
                <w:tcPr>
                  <w:tcW w:w="1349" w:type="dxa"/>
                  <w:tcBorders>
                    <w:top w:val="nil"/>
                    <w:left w:val="nil"/>
                    <w:bottom w:val="single" w:sz="8" w:space="0" w:color="FFFFFF"/>
                    <w:right w:val="single" w:sz="8" w:space="0" w:color="FFFFFF"/>
                  </w:tcBorders>
                  <w:shd w:val="clear" w:color="000000" w:fill="FCD5B4"/>
                  <w:noWrap/>
                  <w:vAlign w:val="center"/>
                  <w:hideMark/>
                </w:tcPr>
                <w:p w14:paraId="352FF7AF"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MTN5Y</w:t>
                  </w:r>
                </w:p>
              </w:tc>
              <w:tc>
                <w:tcPr>
                  <w:tcW w:w="917" w:type="dxa"/>
                  <w:tcBorders>
                    <w:top w:val="nil"/>
                    <w:left w:val="nil"/>
                    <w:bottom w:val="single" w:sz="8" w:space="0" w:color="FFFFFF"/>
                    <w:right w:val="single" w:sz="8" w:space="0" w:color="FFFFFF"/>
                  </w:tcBorders>
                  <w:shd w:val="clear" w:color="000000" w:fill="FCD5B4"/>
                  <w:noWrap/>
                  <w:vAlign w:val="center"/>
                  <w:hideMark/>
                </w:tcPr>
                <w:p w14:paraId="0C3DB671"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-0.8 </w:t>
                  </w:r>
                </w:p>
              </w:tc>
              <w:tc>
                <w:tcPr>
                  <w:tcW w:w="917" w:type="dxa"/>
                  <w:tcBorders>
                    <w:top w:val="nil"/>
                    <w:left w:val="nil"/>
                    <w:bottom w:val="single" w:sz="8" w:space="0" w:color="FFFFFF"/>
                    <w:right w:val="single" w:sz="8" w:space="0" w:color="FFFFFF"/>
                  </w:tcBorders>
                  <w:shd w:val="clear" w:color="000000" w:fill="FCD5B4"/>
                  <w:noWrap/>
                  <w:vAlign w:val="center"/>
                  <w:hideMark/>
                </w:tcPr>
                <w:p w14:paraId="368CB391"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0.2 </w:t>
                  </w:r>
                </w:p>
              </w:tc>
              <w:tc>
                <w:tcPr>
                  <w:tcW w:w="916" w:type="dxa"/>
                  <w:tcBorders>
                    <w:top w:val="nil"/>
                    <w:left w:val="nil"/>
                    <w:bottom w:val="single" w:sz="8" w:space="0" w:color="FFFFFF"/>
                    <w:right w:val="single" w:sz="8" w:space="0" w:color="FFFFFF"/>
                  </w:tcBorders>
                  <w:shd w:val="clear" w:color="000000" w:fill="FCD5B4"/>
                  <w:noWrap/>
                  <w:vAlign w:val="center"/>
                  <w:hideMark/>
                </w:tcPr>
                <w:p w14:paraId="4ED18316"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0.2 </w:t>
                  </w:r>
                </w:p>
              </w:tc>
              <w:tc>
                <w:tcPr>
                  <w:tcW w:w="915" w:type="dxa"/>
                  <w:tcBorders>
                    <w:top w:val="nil"/>
                    <w:left w:val="nil"/>
                    <w:bottom w:val="single" w:sz="8" w:space="0" w:color="FFFFFF"/>
                    <w:right w:val="single" w:sz="8" w:space="0" w:color="FFFFFF"/>
                  </w:tcBorders>
                  <w:shd w:val="clear" w:color="000000" w:fill="FCD5B4"/>
                  <w:noWrap/>
                  <w:vAlign w:val="center"/>
                  <w:hideMark/>
                </w:tcPr>
                <w:p w14:paraId="569ED2C9"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0.2 </w:t>
                  </w:r>
                </w:p>
              </w:tc>
              <w:tc>
                <w:tcPr>
                  <w:tcW w:w="1146" w:type="dxa"/>
                  <w:tcBorders>
                    <w:top w:val="nil"/>
                    <w:left w:val="nil"/>
                    <w:bottom w:val="single" w:sz="8" w:space="0" w:color="FFFFFF"/>
                    <w:right w:val="single" w:sz="8" w:space="0" w:color="FFFFFF"/>
                  </w:tcBorders>
                  <w:shd w:val="clear" w:color="000000" w:fill="FCD5B4"/>
                  <w:noWrap/>
                  <w:vAlign w:val="center"/>
                  <w:hideMark/>
                </w:tcPr>
                <w:p w14:paraId="26094329"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MTN5Y</w:t>
                  </w:r>
                </w:p>
              </w:tc>
              <w:tc>
                <w:tcPr>
                  <w:tcW w:w="915" w:type="dxa"/>
                  <w:tcBorders>
                    <w:top w:val="nil"/>
                    <w:left w:val="nil"/>
                    <w:bottom w:val="single" w:sz="8" w:space="0" w:color="FFFFFF"/>
                    <w:right w:val="single" w:sz="8" w:space="0" w:color="FFFFFF"/>
                  </w:tcBorders>
                  <w:shd w:val="clear" w:color="000000" w:fill="FCD5B4"/>
                  <w:noWrap/>
                  <w:vAlign w:val="center"/>
                  <w:hideMark/>
                </w:tcPr>
                <w:p w14:paraId="4C624313"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3.1 </w:t>
                  </w:r>
                </w:p>
              </w:tc>
              <w:tc>
                <w:tcPr>
                  <w:tcW w:w="915" w:type="dxa"/>
                  <w:tcBorders>
                    <w:top w:val="nil"/>
                    <w:left w:val="nil"/>
                    <w:bottom w:val="single" w:sz="8" w:space="0" w:color="FFFFFF"/>
                    <w:right w:val="single" w:sz="8" w:space="0" w:color="FFFFFF"/>
                  </w:tcBorders>
                  <w:shd w:val="clear" w:color="000000" w:fill="FCD5B4"/>
                  <w:noWrap/>
                  <w:vAlign w:val="center"/>
                  <w:hideMark/>
                </w:tcPr>
                <w:p w14:paraId="70B41F2B"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4.1 </w:t>
                  </w:r>
                </w:p>
              </w:tc>
              <w:tc>
                <w:tcPr>
                  <w:tcW w:w="915" w:type="dxa"/>
                  <w:tcBorders>
                    <w:top w:val="nil"/>
                    <w:left w:val="nil"/>
                    <w:bottom w:val="single" w:sz="8" w:space="0" w:color="FFFFFF"/>
                    <w:right w:val="single" w:sz="8" w:space="0" w:color="FFFFFF"/>
                  </w:tcBorders>
                  <w:shd w:val="clear" w:color="000000" w:fill="FCD5B4"/>
                  <w:noWrap/>
                  <w:vAlign w:val="center"/>
                  <w:hideMark/>
                </w:tcPr>
                <w:p w14:paraId="491CAAB5"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4.1 </w:t>
                  </w:r>
                </w:p>
              </w:tc>
              <w:tc>
                <w:tcPr>
                  <w:tcW w:w="915" w:type="dxa"/>
                  <w:tcBorders>
                    <w:top w:val="nil"/>
                    <w:left w:val="nil"/>
                    <w:bottom w:val="single" w:sz="8" w:space="0" w:color="FFFFFF"/>
                    <w:right w:val="single" w:sz="8" w:space="0" w:color="FFFFFF"/>
                  </w:tcBorders>
                  <w:shd w:val="clear" w:color="000000" w:fill="FCD5B4"/>
                  <w:noWrap/>
                  <w:vAlign w:val="center"/>
                  <w:hideMark/>
                </w:tcPr>
                <w:p w14:paraId="6BCDC5C8"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4.1 </w:t>
                  </w:r>
                </w:p>
              </w:tc>
            </w:tr>
            <w:tr w:rsidR="00225070" w:rsidRPr="00225070" w14:paraId="3592DE81" w14:textId="77777777" w:rsidTr="00225070">
              <w:trPr>
                <w:trHeight w:val="452"/>
              </w:trPr>
              <w:tc>
                <w:tcPr>
                  <w:tcW w:w="1349" w:type="dxa"/>
                  <w:tcBorders>
                    <w:top w:val="nil"/>
                    <w:left w:val="nil"/>
                    <w:bottom w:val="single" w:sz="8" w:space="0" w:color="FFFFFF"/>
                    <w:right w:val="single" w:sz="8" w:space="0" w:color="FFFFFF"/>
                  </w:tcBorders>
                  <w:shd w:val="clear" w:color="000000" w:fill="FDE9D9"/>
                  <w:noWrap/>
                  <w:vAlign w:val="center"/>
                  <w:hideMark/>
                </w:tcPr>
                <w:p w14:paraId="61AC507F"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企业债3Y</w:t>
                  </w:r>
                </w:p>
              </w:tc>
              <w:tc>
                <w:tcPr>
                  <w:tcW w:w="917" w:type="dxa"/>
                  <w:tcBorders>
                    <w:top w:val="nil"/>
                    <w:left w:val="nil"/>
                    <w:bottom w:val="single" w:sz="8" w:space="0" w:color="FFFFFF"/>
                    <w:right w:val="single" w:sz="8" w:space="0" w:color="FFFFFF"/>
                  </w:tcBorders>
                  <w:shd w:val="clear" w:color="000000" w:fill="FDE9D9"/>
                  <w:noWrap/>
                  <w:vAlign w:val="center"/>
                  <w:hideMark/>
                </w:tcPr>
                <w:p w14:paraId="2A9900E3"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-8.0 </w:t>
                  </w:r>
                </w:p>
              </w:tc>
              <w:tc>
                <w:tcPr>
                  <w:tcW w:w="917" w:type="dxa"/>
                  <w:tcBorders>
                    <w:top w:val="nil"/>
                    <w:left w:val="nil"/>
                    <w:bottom w:val="single" w:sz="8" w:space="0" w:color="FFFFFF"/>
                    <w:right w:val="single" w:sz="8" w:space="0" w:color="FFFFFF"/>
                  </w:tcBorders>
                  <w:shd w:val="clear" w:color="000000" w:fill="FDE9D9"/>
                  <w:noWrap/>
                  <w:vAlign w:val="center"/>
                  <w:hideMark/>
                </w:tcPr>
                <w:p w14:paraId="4AC3DBC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-4.0 </w:t>
                  </w:r>
                </w:p>
              </w:tc>
              <w:tc>
                <w:tcPr>
                  <w:tcW w:w="916" w:type="dxa"/>
                  <w:tcBorders>
                    <w:top w:val="nil"/>
                    <w:left w:val="nil"/>
                    <w:bottom w:val="single" w:sz="8" w:space="0" w:color="FFFFFF"/>
                    <w:right w:val="single" w:sz="8" w:space="0" w:color="FFFFFF"/>
                  </w:tcBorders>
                  <w:shd w:val="clear" w:color="000000" w:fill="FDE9D9"/>
                  <w:noWrap/>
                  <w:vAlign w:val="center"/>
                  <w:hideMark/>
                </w:tcPr>
                <w:p w14:paraId="56D26C67"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-2.0 </w:t>
                  </w:r>
                </w:p>
              </w:tc>
              <w:tc>
                <w:tcPr>
                  <w:tcW w:w="915" w:type="dxa"/>
                  <w:tcBorders>
                    <w:top w:val="nil"/>
                    <w:left w:val="nil"/>
                    <w:bottom w:val="single" w:sz="8" w:space="0" w:color="FFFFFF"/>
                    <w:right w:val="single" w:sz="8" w:space="0" w:color="FFFFFF"/>
                  </w:tcBorders>
                  <w:shd w:val="clear" w:color="000000" w:fill="FDE9D9"/>
                  <w:noWrap/>
                  <w:vAlign w:val="center"/>
                  <w:hideMark/>
                </w:tcPr>
                <w:p w14:paraId="61959DD5"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-2.0 </w:t>
                  </w:r>
                </w:p>
              </w:tc>
              <w:tc>
                <w:tcPr>
                  <w:tcW w:w="1146" w:type="dxa"/>
                  <w:tcBorders>
                    <w:top w:val="nil"/>
                    <w:left w:val="nil"/>
                    <w:bottom w:val="single" w:sz="8" w:space="0" w:color="FFFFFF"/>
                    <w:right w:val="single" w:sz="8" w:space="0" w:color="FFFFFF"/>
                  </w:tcBorders>
                  <w:shd w:val="clear" w:color="000000" w:fill="FDE9D9"/>
                  <w:noWrap/>
                  <w:vAlign w:val="center"/>
                  <w:hideMark/>
                </w:tcPr>
                <w:p w14:paraId="43D4DC3B"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企业债3Y</w:t>
                  </w:r>
                </w:p>
              </w:tc>
              <w:tc>
                <w:tcPr>
                  <w:tcW w:w="915" w:type="dxa"/>
                  <w:tcBorders>
                    <w:top w:val="nil"/>
                    <w:left w:val="nil"/>
                    <w:bottom w:val="single" w:sz="8" w:space="0" w:color="FFFFFF"/>
                    <w:right w:val="single" w:sz="8" w:space="0" w:color="FFFFFF"/>
                  </w:tcBorders>
                  <w:shd w:val="clear" w:color="000000" w:fill="FDE9D9"/>
                  <w:noWrap/>
                  <w:vAlign w:val="center"/>
                  <w:hideMark/>
                </w:tcPr>
                <w:p w14:paraId="581193D5"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-4.3 </w:t>
                  </w:r>
                </w:p>
              </w:tc>
              <w:tc>
                <w:tcPr>
                  <w:tcW w:w="915" w:type="dxa"/>
                  <w:tcBorders>
                    <w:top w:val="nil"/>
                    <w:left w:val="nil"/>
                    <w:bottom w:val="single" w:sz="8" w:space="0" w:color="FFFFFF"/>
                    <w:right w:val="single" w:sz="8" w:space="0" w:color="FFFFFF"/>
                  </w:tcBorders>
                  <w:shd w:val="clear" w:color="000000" w:fill="FDE9D9"/>
                  <w:noWrap/>
                  <w:vAlign w:val="center"/>
                  <w:hideMark/>
                </w:tcPr>
                <w:p w14:paraId="35612866"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-0.3 </w:t>
                  </w:r>
                </w:p>
              </w:tc>
              <w:tc>
                <w:tcPr>
                  <w:tcW w:w="915" w:type="dxa"/>
                  <w:tcBorders>
                    <w:top w:val="nil"/>
                    <w:left w:val="nil"/>
                    <w:bottom w:val="single" w:sz="8" w:space="0" w:color="FFFFFF"/>
                    <w:right w:val="single" w:sz="8" w:space="0" w:color="FFFFFF"/>
                  </w:tcBorders>
                  <w:shd w:val="clear" w:color="000000" w:fill="FDE9D9"/>
                  <w:noWrap/>
                  <w:vAlign w:val="center"/>
                  <w:hideMark/>
                </w:tcPr>
                <w:p w14:paraId="6B57989C"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1.7 </w:t>
                  </w:r>
                </w:p>
              </w:tc>
              <w:tc>
                <w:tcPr>
                  <w:tcW w:w="915" w:type="dxa"/>
                  <w:tcBorders>
                    <w:top w:val="nil"/>
                    <w:left w:val="nil"/>
                    <w:bottom w:val="single" w:sz="8" w:space="0" w:color="FFFFFF"/>
                    <w:right w:val="single" w:sz="8" w:space="0" w:color="FFFFFF"/>
                  </w:tcBorders>
                  <w:shd w:val="clear" w:color="000000" w:fill="FDE9D9"/>
                  <w:noWrap/>
                  <w:vAlign w:val="center"/>
                  <w:hideMark/>
                </w:tcPr>
                <w:p w14:paraId="1A86846C"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1.7 </w:t>
                  </w:r>
                </w:p>
              </w:tc>
            </w:tr>
            <w:tr w:rsidR="00225070" w:rsidRPr="00225070" w14:paraId="79DBC6CD" w14:textId="77777777" w:rsidTr="00225070">
              <w:trPr>
                <w:trHeight w:val="452"/>
              </w:trPr>
              <w:tc>
                <w:tcPr>
                  <w:tcW w:w="1349" w:type="dxa"/>
                  <w:tcBorders>
                    <w:top w:val="nil"/>
                    <w:left w:val="nil"/>
                    <w:bottom w:val="single" w:sz="8" w:space="0" w:color="FFFFFF"/>
                    <w:right w:val="single" w:sz="8" w:space="0" w:color="FFFFFF"/>
                  </w:tcBorders>
                  <w:shd w:val="clear" w:color="000000" w:fill="FCD5B4"/>
                  <w:noWrap/>
                  <w:vAlign w:val="center"/>
                  <w:hideMark/>
                </w:tcPr>
                <w:p w14:paraId="5E6EC856"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lastRenderedPageBreak/>
                    <w:t>企业债5Y</w:t>
                  </w:r>
                </w:p>
              </w:tc>
              <w:tc>
                <w:tcPr>
                  <w:tcW w:w="917" w:type="dxa"/>
                  <w:tcBorders>
                    <w:top w:val="nil"/>
                    <w:left w:val="nil"/>
                    <w:bottom w:val="single" w:sz="8" w:space="0" w:color="FFFFFF"/>
                    <w:right w:val="single" w:sz="8" w:space="0" w:color="FFFFFF"/>
                  </w:tcBorders>
                  <w:shd w:val="clear" w:color="000000" w:fill="FCD5B4"/>
                  <w:noWrap/>
                  <w:vAlign w:val="center"/>
                  <w:hideMark/>
                </w:tcPr>
                <w:p w14:paraId="5B088466"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-3.9 </w:t>
                  </w:r>
                </w:p>
              </w:tc>
              <w:tc>
                <w:tcPr>
                  <w:tcW w:w="917" w:type="dxa"/>
                  <w:tcBorders>
                    <w:top w:val="nil"/>
                    <w:left w:val="nil"/>
                    <w:bottom w:val="single" w:sz="8" w:space="0" w:color="FFFFFF"/>
                    <w:right w:val="single" w:sz="8" w:space="0" w:color="FFFFFF"/>
                  </w:tcBorders>
                  <w:shd w:val="clear" w:color="000000" w:fill="FCD5B4"/>
                  <w:noWrap/>
                  <w:vAlign w:val="center"/>
                  <w:hideMark/>
                </w:tcPr>
                <w:p w14:paraId="70CC323D"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-2.9 </w:t>
                  </w:r>
                </w:p>
              </w:tc>
              <w:tc>
                <w:tcPr>
                  <w:tcW w:w="916" w:type="dxa"/>
                  <w:tcBorders>
                    <w:top w:val="nil"/>
                    <w:left w:val="nil"/>
                    <w:bottom w:val="single" w:sz="8" w:space="0" w:color="FFFFFF"/>
                    <w:right w:val="single" w:sz="8" w:space="0" w:color="FFFFFF"/>
                  </w:tcBorders>
                  <w:shd w:val="clear" w:color="000000" w:fill="FCD5B4"/>
                  <w:noWrap/>
                  <w:vAlign w:val="center"/>
                  <w:hideMark/>
                </w:tcPr>
                <w:p w14:paraId="64B051A8"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-2.9 </w:t>
                  </w:r>
                </w:p>
              </w:tc>
              <w:tc>
                <w:tcPr>
                  <w:tcW w:w="915" w:type="dxa"/>
                  <w:tcBorders>
                    <w:top w:val="nil"/>
                    <w:left w:val="nil"/>
                    <w:bottom w:val="single" w:sz="8" w:space="0" w:color="FFFFFF"/>
                    <w:right w:val="single" w:sz="8" w:space="0" w:color="FFFFFF"/>
                  </w:tcBorders>
                  <w:shd w:val="clear" w:color="000000" w:fill="FCD5B4"/>
                  <w:noWrap/>
                  <w:vAlign w:val="center"/>
                  <w:hideMark/>
                </w:tcPr>
                <w:p w14:paraId="5B3991D7"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-2.9 </w:t>
                  </w:r>
                </w:p>
              </w:tc>
              <w:tc>
                <w:tcPr>
                  <w:tcW w:w="1146" w:type="dxa"/>
                  <w:tcBorders>
                    <w:top w:val="nil"/>
                    <w:left w:val="nil"/>
                    <w:bottom w:val="single" w:sz="8" w:space="0" w:color="FFFFFF"/>
                    <w:right w:val="single" w:sz="8" w:space="0" w:color="FFFFFF"/>
                  </w:tcBorders>
                  <w:shd w:val="clear" w:color="000000" w:fill="FCD5B4"/>
                  <w:noWrap/>
                  <w:vAlign w:val="center"/>
                  <w:hideMark/>
                </w:tcPr>
                <w:p w14:paraId="4A9CCFF4"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企业债5Y</w:t>
                  </w:r>
                </w:p>
              </w:tc>
              <w:tc>
                <w:tcPr>
                  <w:tcW w:w="915" w:type="dxa"/>
                  <w:tcBorders>
                    <w:top w:val="nil"/>
                    <w:left w:val="nil"/>
                    <w:bottom w:val="single" w:sz="8" w:space="0" w:color="FFFFFF"/>
                    <w:right w:val="single" w:sz="8" w:space="0" w:color="FFFFFF"/>
                  </w:tcBorders>
                  <w:shd w:val="clear" w:color="000000" w:fill="FCD5B4"/>
                  <w:noWrap/>
                  <w:vAlign w:val="center"/>
                  <w:hideMark/>
                </w:tcPr>
                <w:p w14:paraId="7CE29E3A"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0.0 </w:t>
                  </w:r>
                </w:p>
              </w:tc>
              <w:tc>
                <w:tcPr>
                  <w:tcW w:w="915" w:type="dxa"/>
                  <w:tcBorders>
                    <w:top w:val="nil"/>
                    <w:left w:val="nil"/>
                    <w:bottom w:val="single" w:sz="8" w:space="0" w:color="FFFFFF"/>
                    <w:right w:val="single" w:sz="8" w:space="0" w:color="FFFFFF"/>
                  </w:tcBorders>
                  <w:shd w:val="clear" w:color="000000" w:fill="FCD5B4"/>
                  <w:noWrap/>
                  <w:vAlign w:val="center"/>
                  <w:hideMark/>
                </w:tcPr>
                <w:p w14:paraId="1CDD0811"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1.0 </w:t>
                  </w:r>
                </w:p>
              </w:tc>
              <w:tc>
                <w:tcPr>
                  <w:tcW w:w="915" w:type="dxa"/>
                  <w:tcBorders>
                    <w:top w:val="nil"/>
                    <w:left w:val="nil"/>
                    <w:bottom w:val="single" w:sz="8" w:space="0" w:color="FFFFFF"/>
                    <w:right w:val="single" w:sz="8" w:space="0" w:color="FFFFFF"/>
                  </w:tcBorders>
                  <w:shd w:val="clear" w:color="000000" w:fill="FCD5B4"/>
                  <w:noWrap/>
                  <w:vAlign w:val="center"/>
                  <w:hideMark/>
                </w:tcPr>
                <w:p w14:paraId="668B245A"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1.0 </w:t>
                  </w:r>
                </w:p>
              </w:tc>
              <w:tc>
                <w:tcPr>
                  <w:tcW w:w="915" w:type="dxa"/>
                  <w:tcBorders>
                    <w:top w:val="nil"/>
                    <w:left w:val="nil"/>
                    <w:bottom w:val="single" w:sz="8" w:space="0" w:color="FFFFFF"/>
                    <w:right w:val="single" w:sz="8" w:space="0" w:color="FFFFFF"/>
                  </w:tcBorders>
                  <w:shd w:val="clear" w:color="000000" w:fill="FCD5B4"/>
                  <w:noWrap/>
                  <w:vAlign w:val="center"/>
                  <w:hideMark/>
                </w:tcPr>
                <w:p w14:paraId="02FE8909"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1.0 </w:t>
                  </w:r>
                </w:p>
              </w:tc>
            </w:tr>
            <w:tr w:rsidR="00225070" w:rsidRPr="00225070" w14:paraId="1DA4F588" w14:textId="77777777" w:rsidTr="00225070">
              <w:trPr>
                <w:trHeight w:val="452"/>
              </w:trPr>
              <w:tc>
                <w:tcPr>
                  <w:tcW w:w="1349" w:type="dxa"/>
                  <w:tcBorders>
                    <w:top w:val="nil"/>
                    <w:left w:val="nil"/>
                    <w:bottom w:val="single" w:sz="8" w:space="0" w:color="FFFFFF"/>
                    <w:right w:val="single" w:sz="8" w:space="0" w:color="FFFFFF"/>
                  </w:tcBorders>
                  <w:shd w:val="clear" w:color="000000" w:fill="FDE9D9"/>
                  <w:noWrap/>
                  <w:vAlign w:val="center"/>
                  <w:hideMark/>
                </w:tcPr>
                <w:p w14:paraId="7F66B0F0"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企业债7Y</w:t>
                  </w:r>
                </w:p>
              </w:tc>
              <w:tc>
                <w:tcPr>
                  <w:tcW w:w="917" w:type="dxa"/>
                  <w:tcBorders>
                    <w:top w:val="nil"/>
                    <w:left w:val="nil"/>
                    <w:bottom w:val="single" w:sz="8" w:space="0" w:color="FFFFFF"/>
                    <w:right w:val="single" w:sz="8" w:space="0" w:color="FFFFFF"/>
                  </w:tcBorders>
                  <w:shd w:val="clear" w:color="000000" w:fill="FDE9D9"/>
                  <w:noWrap/>
                  <w:vAlign w:val="center"/>
                  <w:hideMark/>
                </w:tcPr>
                <w:p w14:paraId="219EF1E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-3.8 </w:t>
                  </w:r>
                </w:p>
              </w:tc>
              <w:tc>
                <w:tcPr>
                  <w:tcW w:w="917" w:type="dxa"/>
                  <w:tcBorders>
                    <w:top w:val="nil"/>
                    <w:left w:val="nil"/>
                    <w:bottom w:val="single" w:sz="8" w:space="0" w:color="FFFFFF"/>
                    <w:right w:val="single" w:sz="8" w:space="0" w:color="FFFFFF"/>
                  </w:tcBorders>
                  <w:shd w:val="clear" w:color="000000" w:fill="FDE9D9"/>
                  <w:noWrap/>
                  <w:vAlign w:val="center"/>
                  <w:hideMark/>
                </w:tcPr>
                <w:p w14:paraId="69B226F8"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-3.8 </w:t>
                  </w:r>
                </w:p>
              </w:tc>
              <w:tc>
                <w:tcPr>
                  <w:tcW w:w="916" w:type="dxa"/>
                  <w:tcBorders>
                    <w:top w:val="nil"/>
                    <w:left w:val="nil"/>
                    <w:bottom w:val="single" w:sz="8" w:space="0" w:color="FFFFFF"/>
                    <w:right w:val="single" w:sz="8" w:space="0" w:color="FFFFFF"/>
                  </w:tcBorders>
                  <w:shd w:val="clear" w:color="000000" w:fill="FDE9D9"/>
                  <w:noWrap/>
                  <w:vAlign w:val="center"/>
                  <w:hideMark/>
                </w:tcPr>
                <w:p w14:paraId="728DD6F3"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-3.8 </w:t>
                  </w:r>
                </w:p>
              </w:tc>
              <w:tc>
                <w:tcPr>
                  <w:tcW w:w="915" w:type="dxa"/>
                  <w:tcBorders>
                    <w:top w:val="nil"/>
                    <w:left w:val="nil"/>
                    <w:bottom w:val="single" w:sz="8" w:space="0" w:color="FFFFFF"/>
                    <w:right w:val="single" w:sz="8" w:space="0" w:color="FFFFFF"/>
                  </w:tcBorders>
                  <w:shd w:val="clear" w:color="000000" w:fill="FDE9D9"/>
                  <w:noWrap/>
                  <w:vAlign w:val="center"/>
                  <w:hideMark/>
                </w:tcPr>
                <w:p w14:paraId="467C26D5"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-3.8 </w:t>
                  </w:r>
                </w:p>
              </w:tc>
              <w:tc>
                <w:tcPr>
                  <w:tcW w:w="1146" w:type="dxa"/>
                  <w:tcBorders>
                    <w:top w:val="nil"/>
                    <w:left w:val="nil"/>
                    <w:bottom w:val="single" w:sz="8" w:space="0" w:color="FFFFFF"/>
                    <w:right w:val="single" w:sz="8" w:space="0" w:color="FFFFFF"/>
                  </w:tcBorders>
                  <w:shd w:val="clear" w:color="000000" w:fill="FDE9D9"/>
                  <w:noWrap/>
                  <w:vAlign w:val="center"/>
                  <w:hideMark/>
                </w:tcPr>
                <w:p w14:paraId="23EA8B47"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企业债7Y</w:t>
                  </w:r>
                </w:p>
              </w:tc>
              <w:tc>
                <w:tcPr>
                  <w:tcW w:w="915" w:type="dxa"/>
                  <w:tcBorders>
                    <w:top w:val="nil"/>
                    <w:left w:val="nil"/>
                    <w:bottom w:val="single" w:sz="8" w:space="0" w:color="FFFFFF"/>
                    <w:right w:val="single" w:sz="8" w:space="0" w:color="FFFFFF"/>
                  </w:tcBorders>
                  <w:shd w:val="clear" w:color="000000" w:fill="FDE9D9"/>
                  <w:noWrap/>
                  <w:vAlign w:val="center"/>
                  <w:hideMark/>
                </w:tcPr>
                <w:p w14:paraId="77EDEAB9"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-1.9 </w:t>
                  </w:r>
                </w:p>
              </w:tc>
              <w:tc>
                <w:tcPr>
                  <w:tcW w:w="915" w:type="dxa"/>
                  <w:tcBorders>
                    <w:top w:val="nil"/>
                    <w:left w:val="nil"/>
                    <w:bottom w:val="single" w:sz="8" w:space="0" w:color="FFFFFF"/>
                    <w:right w:val="single" w:sz="8" w:space="0" w:color="FFFFFF"/>
                  </w:tcBorders>
                  <w:shd w:val="clear" w:color="000000" w:fill="FDE9D9"/>
                  <w:noWrap/>
                  <w:vAlign w:val="center"/>
                  <w:hideMark/>
                </w:tcPr>
                <w:p w14:paraId="7D52A36E"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-1.9 </w:t>
                  </w:r>
                </w:p>
              </w:tc>
              <w:tc>
                <w:tcPr>
                  <w:tcW w:w="915" w:type="dxa"/>
                  <w:tcBorders>
                    <w:top w:val="nil"/>
                    <w:left w:val="nil"/>
                    <w:bottom w:val="single" w:sz="8" w:space="0" w:color="FFFFFF"/>
                    <w:right w:val="single" w:sz="8" w:space="0" w:color="FFFFFF"/>
                  </w:tcBorders>
                  <w:shd w:val="clear" w:color="000000" w:fill="FDE9D9"/>
                  <w:noWrap/>
                  <w:vAlign w:val="center"/>
                  <w:hideMark/>
                </w:tcPr>
                <w:p w14:paraId="6654A646"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-1.9 </w:t>
                  </w:r>
                </w:p>
              </w:tc>
              <w:tc>
                <w:tcPr>
                  <w:tcW w:w="915" w:type="dxa"/>
                  <w:tcBorders>
                    <w:top w:val="nil"/>
                    <w:left w:val="nil"/>
                    <w:bottom w:val="single" w:sz="8" w:space="0" w:color="FFFFFF"/>
                    <w:right w:val="single" w:sz="8" w:space="0" w:color="FFFFFF"/>
                  </w:tcBorders>
                  <w:shd w:val="clear" w:color="000000" w:fill="FDE9D9"/>
                  <w:noWrap/>
                  <w:vAlign w:val="center"/>
                  <w:hideMark/>
                </w:tcPr>
                <w:p w14:paraId="587BBA3F"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-1.9 </w:t>
                  </w:r>
                </w:p>
              </w:tc>
            </w:tr>
            <w:tr w:rsidR="00225070" w:rsidRPr="00225070" w14:paraId="5EB6AC1E" w14:textId="77777777" w:rsidTr="00225070">
              <w:trPr>
                <w:trHeight w:val="452"/>
              </w:trPr>
              <w:tc>
                <w:tcPr>
                  <w:tcW w:w="1349" w:type="dxa"/>
                  <w:tcBorders>
                    <w:top w:val="nil"/>
                    <w:left w:val="nil"/>
                    <w:bottom w:val="single" w:sz="8" w:space="0" w:color="FFFFFF"/>
                    <w:right w:val="single" w:sz="8" w:space="0" w:color="FFFFFF"/>
                  </w:tcBorders>
                  <w:shd w:val="clear" w:color="000000" w:fill="FCD5B4"/>
                  <w:noWrap/>
                  <w:vAlign w:val="center"/>
                  <w:hideMark/>
                </w:tcPr>
                <w:p w14:paraId="5C6C126F"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3Y</w:t>
                  </w:r>
                </w:p>
              </w:tc>
              <w:tc>
                <w:tcPr>
                  <w:tcW w:w="917" w:type="dxa"/>
                  <w:tcBorders>
                    <w:top w:val="nil"/>
                    <w:left w:val="nil"/>
                    <w:bottom w:val="single" w:sz="8" w:space="0" w:color="FFFFFF"/>
                    <w:right w:val="single" w:sz="8" w:space="0" w:color="FFFFFF"/>
                  </w:tcBorders>
                  <w:shd w:val="clear" w:color="000000" w:fill="FCD5B4"/>
                  <w:noWrap/>
                  <w:vAlign w:val="center"/>
                  <w:hideMark/>
                </w:tcPr>
                <w:p w14:paraId="390C16B9"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-8.3 </w:t>
                  </w:r>
                </w:p>
              </w:tc>
              <w:tc>
                <w:tcPr>
                  <w:tcW w:w="917" w:type="dxa"/>
                  <w:tcBorders>
                    <w:top w:val="nil"/>
                    <w:left w:val="nil"/>
                    <w:bottom w:val="single" w:sz="8" w:space="0" w:color="FFFFFF"/>
                    <w:right w:val="single" w:sz="8" w:space="0" w:color="FFFFFF"/>
                  </w:tcBorders>
                  <w:shd w:val="clear" w:color="000000" w:fill="FCD5B4"/>
                  <w:noWrap/>
                  <w:vAlign w:val="center"/>
                  <w:hideMark/>
                </w:tcPr>
                <w:p w14:paraId="1FD08E5A"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-6.3 </w:t>
                  </w:r>
                </w:p>
              </w:tc>
              <w:tc>
                <w:tcPr>
                  <w:tcW w:w="916" w:type="dxa"/>
                  <w:tcBorders>
                    <w:top w:val="nil"/>
                    <w:left w:val="nil"/>
                    <w:bottom w:val="single" w:sz="8" w:space="0" w:color="FFFFFF"/>
                    <w:right w:val="single" w:sz="8" w:space="0" w:color="FFFFFF"/>
                  </w:tcBorders>
                  <w:shd w:val="clear" w:color="000000" w:fill="FCD5B4"/>
                  <w:noWrap/>
                  <w:vAlign w:val="center"/>
                  <w:hideMark/>
                </w:tcPr>
                <w:p w14:paraId="1EF1CFB0"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-3.3 </w:t>
                  </w:r>
                </w:p>
              </w:tc>
              <w:tc>
                <w:tcPr>
                  <w:tcW w:w="915" w:type="dxa"/>
                  <w:tcBorders>
                    <w:top w:val="nil"/>
                    <w:left w:val="nil"/>
                    <w:bottom w:val="single" w:sz="8" w:space="0" w:color="FFFFFF"/>
                    <w:right w:val="single" w:sz="8" w:space="0" w:color="FFFFFF"/>
                  </w:tcBorders>
                  <w:shd w:val="clear" w:color="000000" w:fill="FCD5B4"/>
                  <w:noWrap/>
                  <w:vAlign w:val="center"/>
                  <w:hideMark/>
                </w:tcPr>
                <w:p w14:paraId="3DB9673B"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3.7 </w:t>
                  </w:r>
                </w:p>
              </w:tc>
              <w:tc>
                <w:tcPr>
                  <w:tcW w:w="1146" w:type="dxa"/>
                  <w:tcBorders>
                    <w:top w:val="nil"/>
                    <w:left w:val="nil"/>
                    <w:bottom w:val="single" w:sz="8" w:space="0" w:color="FFFFFF"/>
                    <w:right w:val="single" w:sz="8" w:space="0" w:color="FFFFFF"/>
                  </w:tcBorders>
                  <w:shd w:val="clear" w:color="000000" w:fill="FCD5B4"/>
                  <w:noWrap/>
                  <w:vAlign w:val="center"/>
                  <w:hideMark/>
                </w:tcPr>
                <w:p w14:paraId="0CBA298A"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3Y</w:t>
                  </w:r>
                </w:p>
              </w:tc>
              <w:tc>
                <w:tcPr>
                  <w:tcW w:w="915" w:type="dxa"/>
                  <w:tcBorders>
                    <w:top w:val="nil"/>
                    <w:left w:val="nil"/>
                    <w:bottom w:val="single" w:sz="8" w:space="0" w:color="FFFFFF"/>
                    <w:right w:val="single" w:sz="8" w:space="0" w:color="FFFFFF"/>
                  </w:tcBorders>
                  <w:shd w:val="clear" w:color="000000" w:fill="FCD5B4"/>
                  <w:noWrap/>
                  <w:vAlign w:val="center"/>
                  <w:hideMark/>
                </w:tcPr>
                <w:p w14:paraId="5CD84436"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-4.7 </w:t>
                  </w:r>
                </w:p>
              </w:tc>
              <w:tc>
                <w:tcPr>
                  <w:tcW w:w="915" w:type="dxa"/>
                  <w:tcBorders>
                    <w:top w:val="nil"/>
                    <w:left w:val="nil"/>
                    <w:bottom w:val="single" w:sz="8" w:space="0" w:color="FFFFFF"/>
                    <w:right w:val="single" w:sz="8" w:space="0" w:color="FFFFFF"/>
                  </w:tcBorders>
                  <w:shd w:val="clear" w:color="000000" w:fill="FCD5B4"/>
                  <w:noWrap/>
                  <w:vAlign w:val="center"/>
                  <w:hideMark/>
                </w:tcPr>
                <w:p w14:paraId="6FBDA47B"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-2.7 </w:t>
                  </w:r>
                </w:p>
              </w:tc>
              <w:tc>
                <w:tcPr>
                  <w:tcW w:w="915" w:type="dxa"/>
                  <w:tcBorders>
                    <w:top w:val="nil"/>
                    <w:left w:val="nil"/>
                    <w:bottom w:val="single" w:sz="8" w:space="0" w:color="FFFFFF"/>
                    <w:right w:val="single" w:sz="8" w:space="0" w:color="FFFFFF"/>
                  </w:tcBorders>
                  <w:shd w:val="clear" w:color="000000" w:fill="FCD5B4"/>
                  <w:noWrap/>
                  <w:vAlign w:val="center"/>
                  <w:hideMark/>
                </w:tcPr>
                <w:p w14:paraId="595BECDB"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0.3 </w:t>
                  </w:r>
                </w:p>
              </w:tc>
              <w:tc>
                <w:tcPr>
                  <w:tcW w:w="915" w:type="dxa"/>
                  <w:tcBorders>
                    <w:top w:val="nil"/>
                    <w:left w:val="nil"/>
                    <w:bottom w:val="single" w:sz="8" w:space="0" w:color="FFFFFF"/>
                    <w:right w:val="single" w:sz="8" w:space="0" w:color="FFFFFF"/>
                  </w:tcBorders>
                  <w:shd w:val="clear" w:color="000000" w:fill="FCD5B4"/>
                  <w:noWrap/>
                  <w:vAlign w:val="center"/>
                  <w:hideMark/>
                </w:tcPr>
                <w:p w14:paraId="369A763C"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7.3 </w:t>
                  </w:r>
                </w:p>
              </w:tc>
            </w:tr>
            <w:tr w:rsidR="00225070" w:rsidRPr="00225070" w14:paraId="47D52899" w14:textId="77777777" w:rsidTr="00225070">
              <w:trPr>
                <w:trHeight w:val="452"/>
              </w:trPr>
              <w:tc>
                <w:tcPr>
                  <w:tcW w:w="1349" w:type="dxa"/>
                  <w:tcBorders>
                    <w:top w:val="nil"/>
                    <w:left w:val="nil"/>
                    <w:bottom w:val="single" w:sz="8" w:space="0" w:color="FFFFFF"/>
                    <w:right w:val="single" w:sz="8" w:space="0" w:color="FFFFFF"/>
                  </w:tcBorders>
                  <w:shd w:val="clear" w:color="000000" w:fill="FDE9D9"/>
                  <w:noWrap/>
                  <w:vAlign w:val="center"/>
                  <w:hideMark/>
                </w:tcPr>
                <w:p w14:paraId="20F5F050"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5Y</w:t>
                  </w:r>
                </w:p>
              </w:tc>
              <w:tc>
                <w:tcPr>
                  <w:tcW w:w="917" w:type="dxa"/>
                  <w:tcBorders>
                    <w:top w:val="nil"/>
                    <w:left w:val="nil"/>
                    <w:bottom w:val="single" w:sz="8" w:space="0" w:color="FFFFFF"/>
                    <w:right w:val="single" w:sz="8" w:space="0" w:color="FFFFFF"/>
                  </w:tcBorders>
                  <w:shd w:val="clear" w:color="000000" w:fill="FDE9D9"/>
                  <w:noWrap/>
                  <w:vAlign w:val="center"/>
                  <w:hideMark/>
                </w:tcPr>
                <w:p w14:paraId="1610F8BE"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-5.1 </w:t>
                  </w:r>
                </w:p>
              </w:tc>
              <w:tc>
                <w:tcPr>
                  <w:tcW w:w="917" w:type="dxa"/>
                  <w:tcBorders>
                    <w:top w:val="nil"/>
                    <w:left w:val="nil"/>
                    <w:bottom w:val="single" w:sz="8" w:space="0" w:color="FFFFFF"/>
                    <w:right w:val="single" w:sz="8" w:space="0" w:color="FFFFFF"/>
                  </w:tcBorders>
                  <w:shd w:val="clear" w:color="000000" w:fill="FDE9D9"/>
                  <w:noWrap/>
                  <w:vAlign w:val="center"/>
                  <w:hideMark/>
                </w:tcPr>
                <w:p w14:paraId="24235609"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-0.1 </w:t>
                  </w:r>
                </w:p>
              </w:tc>
              <w:tc>
                <w:tcPr>
                  <w:tcW w:w="916" w:type="dxa"/>
                  <w:tcBorders>
                    <w:top w:val="nil"/>
                    <w:left w:val="nil"/>
                    <w:bottom w:val="single" w:sz="8" w:space="0" w:color="FFFFFF"/>
                    <w:right w:val="single" w:sz="8" w:space="0" w:color="FFFFFF"/>
                  </w:tcBorders>
                  <w:shd w:val="clear" w:color="000000" w:fill="FDE9D9"/>
                  <w:noWrap/>
                  <w:vAlign w:val="center"/>
                  <w:hideMark/>
                </w:tcPr>
                <w:p w14:paraId="7AA855E8"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-1.1 </w:t>
                  </w:r>
                </w:p>
              </w:tc>
              <w:tc>
                <w:tcPr>
                  <w:tcW w:w="915" w:type="dxa"/>
                  <w:tcBorders>
                    <w:top w:val="nil"/>
                    <w:left w:val="nil"/>
                    <w:bottom w:val="single" w:sz="8" w:space="0" w:color="FFFFFF"/>
                    <w:right w:val="single" w:sz="8" w:space="0" w:color="FFFFFF"/>
                  </w:tcBorders>
                  <w:shd w:val="clear" w:color="000000" w:fill="FDE9D9"/>
                  <w:noWrap/>
                  <w:vAlign w:val="center"/>
                  <w:hideMark/>
                </w:tcPr>
                <w:p w14:paraId="26F49FCA"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-0.1 </w:t>
                  </w:r>
                </w:p>
              </w:tc>
              <w:tc>
                <w:tcPr>
                  <w:tcW w:w="1146" w:type="dxa"/>
                  <w:tcBorders>
                    <w:top w:val="nil"/>
                    <w:left w:val="nil"/>
                    <w:bottom w:val="single" w:sz="8" w:space="0" w:color="FFFFFF"/>
                    <w:right w:val="single" w:sz="8" w:space="0" w:color="FFFFFF"/>
                  </w:tcBorders>
                  <w:shd w:val="clear" w:color="000000" w:fill="FDE9D9"/>
                  <w:noWrap/>
                  <w:vAlign w:val="center"/>
                  <w:hideMark/>
                </w:tcPr>
                <w:p w14:paraId="11A2E1A0"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5Y</w:t>
                  </w:r>
                </w:p>
              </w:tc>
              <w:tc>
                <w:tcPr>
                  <w:tcW w:w="915" w:type="dxa"/>
                  <w:tcBorders>
                    <w:top w:val="nil"/>
                    <w:left w:val="nil"/>
                    <w:bottom w:val="single" w:sz="8" w:space="0" w:color="FFFFFF"/>
                    <w:right w:val="single" w:sz="8" w:space="0" w:color="FFFFFF"/>
                  </w:tcBorders>
                  <w:shd w:val="clear" w:color="000000" w:fill="FDE9D9"/>
                  <w:noWrap/>
                  <w:vAlign w:val="center"/>
                  <w:hideMark/>
                </w:tcPr>
                <w:p w14:paraId="30B6776A"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-1.2 </w:t>
                  </w:r>
                </w:p>
              </w:tc>
              <w:tc>
                <w:tcPr>
                  <w:tcW w:w="915" w:type="dxa"/>
                  <w:tcBorders>
                    <w:top w:val="nil"/>
                    <w:left w:val="nil"/>
                    <w:bottom w:val="single" w:sz="8" w:space="0" w:color="FFFFFF"/>
                    <w:right w:val="single" w:sz="8" w:space="0" w:color="FFFFFF"/>
                  </w:tcBorders>
                  <w:shd w:val="clear" w:color="000000" w:fill="FDE9D9"/>
                  <w:noWrap/>
                  <w:vAlign w:val="center"/>
                  <w:hideMark/>
                </w:tcPr>
                <w:p w14:paraId="630FF180"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3.8 </w:t>
                  </w:r>
                </w:p>
              </w:tc>
              <w:tc>
                <w:tcPr>
                  <w:tcW w:w="915" w:type="dxa"/>
                  <w:tcBorders>
                    <w:top w:val="nil"/>
                    <w:left w:val="nil"/>
                    <w:bottom w:val="single" w:sz="8" w:space="0" w:color="FFFFFF"/>
                    <w:right w:val="single" w:sz="8" w:space="0" w:color="FFFFFF"/>
                  </w:tcBorders>
                  <w:shd w:val="clear" w:color="000000" w:fill="FDE9D9"/>
                  <w:noWrap/>
                  <w:vAlign w:val="center"/>
                  <w:hideMark/>
                </w:tcPr>
                <w:p w14:paraId="75B0AD17"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2.8 </w:t>
                  </w:r>
                </w:p>
              </w:tc>
              <w:tc>
                <w:tcPr>
                  <w:tcW w:w="915" w:type="dxa"/>
                  <w:tcBorders>
                    <w:top w:val="nil"/>
                    <w:left w:val="nil"/>
                    <w:bottom w:val="single" w:sz="8" w:space="0" w:color="FFFFFF"/>
                    <w:right w:val="single" w:sz="8" w:space="0" w:color="FFFFFF"/>
                  </w:tcBorders>
                  <w:shd w:val="clear" w:color="000000" w:fill="FDE9D9"/>
                  <w:noWrap/>
                  <w:vAlign w:val="center"/>
                  <w:hideMark/>
                </w:tcPr>
                <w:p w14:paraId="15ED3349"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 xml:space="preserve">3.8 </w:t>
                  </w:r>
                </w:p>
              </w:tc>
            </w:tr>
            <w:tr w:rsidR="00225070" w:rsidRPr="00225070" w14:paraId="4379CCC2" w14:textId="77777777" w:rsidTr="00225070">
              <w:trPr>
                <w:trHeight w:val="452"/>
              </w:trPr>
              <w:tc>
                <w:tcPr>
                  <w:tcW w:w="1349" w:type="dxa"/>
                  <w:tcBorders>
                    <w:top w:val="nil"/>
                    <w:left w:val="nil"/>
                    <w:bottom w:val="nil"/>
                    <w:right w:val="nil"/>
                  </w:tcBorders>
                  <w:shd w:val="clear" w:color="000000" w:fill="FCD5B4"/>
                  <w:noWrap/>
                  <w:vAlign w:val="center"/>
                  <w:hideMark/>
                </w:tcPr>
                <w:p w14:paraId="57834E72"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7Y</w:t>
                  </w:r>
                </w:p>
              </w:tc>
              <w:tc>
                <w:tcPr>
                  <w:tcW w:w="917" w:type="dxa"/>
                  <w:tcBorders>
                    <w:top w:val="nil"/>
                    <w:left w:val="nil"/>
                    <w:bottom w:val="single" w:sz="8" w:space="0" w:color="FFFFFF"/>
                    <w:right w:val="single" w:sz="8" w:space="0" w:color="FFFFFF"/>
                  </w:tcBorders>
                  <w:shd w:val="clear" w:color="000000" w:fill="FCD5B4"/>
                  <w:noWrap/>
                  <w:vAlign w:val="center"/>
                  <w:hideMark/>
                </w:tcPr>
                <w:p w14:paraId="63655596"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-6.1 </w:t>
                  </w:r>
                </w:p>
              </w:tc>
              <w:tc>
                <w:tcPr>
                  <w:tcW w:w="917" w:type="dxa"/>
                  <w:tcBorders>
                    <w:top w:val="nil"/>
                    <w:left w:val="nil"/>
                    <w:bottom w:val="single" w:sz="8" w:space="0" w:color="FFFFFF"/>
                    <w:right w:val="single" w:sz="8" w:space="0" w:color="FFFFFF"/>
                  </w:tcBorders>
                  <w:shd w:val="clear" w:color="000000" w:fill="FCD5B4"/>
                  <w:noWrap/>
                  <w:vAlign w:val="center"/>
                  <w:hideMark/>
                </w:tcPr>
                <w:p w14:paraId="41914418"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-4.1 </w:t>
                  </w:r>
                </w:p>
              </w:tc>
              <w:tc>
                <w:tcPr>
                  <w:tcW w:w="916" w:type="dxa"/>
                  <w:tcBorders>
                    <w:top w:val="nil"/>
                    <w:left w:val="nil"/>
                    <w:bottom w:val="single" w:sz="8" w:space="0" w:color="FFFFFF"/>
                    <w:right w:val="single" w:sz="8" w:space="0" w:color="FFFFFF"/>
                  </w:tcBorders>
                  <w:shd w:val="clear" w:color="000000" w:fill="FCD5B4"/>
                  <w:noWrap/>
                  <w:vAlign w:val="center"/>
                  <w:hideMark/>
                </w:tcPr>
                <w:p w14:paraId="7CEE161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-4.1 </w:t>
                  </w:r>
                </w:p>
              </w:tc>
              <w:tc>
                <w:tcPr>
                  <w:tcW w:w="915" w:type="dxa"/>
                  <w:tcBorders>
                    <w:top w:val="nil"/>
                    <w:left w:val="nil"/>
                    <w:bottom w:val="single" w:sz="8" w:space="0" w:color="FFFFFF"/>
                    <w:right w:val="single" w:sz="8" w:space="0" w:color="FFFFFF"/>
                  </w:tcBorders>
                  <w:shd w:val="clear" w:color="000000" w:fill="FCD5B4"/>
                  <w:noWrap/>
                  <w:vAlign w:val="center"/>
                  <w:hideMark/>
                </w:tcPr>
                <w:p w14:paraId="54D1AA1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-3.1 </w:t>
                  </w:r>
                </w:p>
              </w:tc>
              <w:tc>
                <w:tcPr>
                  <w:tcW w:w="1146" w:type="dxa"/>
                  <w:tcBorders>
                    <w:top w:val="nil"/>
                    <w:left w:val="nil"/>
                    <w:bottom w:val="nil"/>
                    <w:right w:val="nil"/>
                  </w:tcBorders>
                  <w:shd w:val="clear" w:color="000000" w:fill="FCD5B4"/>
                  <w:noWrap/>
                  <w:vAlign w:val="center"/>
                  <w:hideMark/>
                </w:tcPr>
                <w:p w14:paraId="0A76665C"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7Y</w:t>
                  </w:r>
                </w:p>
              </w:tc>
              <w:tc>
                <w:tcPr>
                  <w:tcW w:w="915" w:type="dxa"/>
                  <w:tcBorders>
                    <w:top w:val="nil"/>
                    <w:left w:val="nil"/>
                    <w:bottom w:val="single" w:sz="8" w:space="0" w:color="FFFFFF"/>
                    <w:right w:val="single" w:sz="8" w:space="0" w:color="FFFFFF"/>
                  </w:tcBorders>
                  <w:shd w:val="clear" w:color="000000" w:fill="FCD5B4"/>
                  <w:noWrap/>
                  <w:vAlign w:val="center"/>
                  <w:hideMark/>
                </w:tcPr>
                <w:p w14:paraId="7B418786"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-4.2 </w:t>
                  </w:r>
                </w:p>
              </w:tc>
              <w:tc>
                <w:tcPr>
                  <w:tcW w:w="915" w:type="dxa"/>
                  <w:tcBorders>
                    <w:top w:val="nil"/>
                    <w:left w:val="nil"/>
                    <w:bottom w:val="single" w:sz="8" w:space="0" w:color="FFFFFF"/>
                    <w:right w:val="single" w:sz="8" w:space="0" w:color="FFFFFF"/>
                  </w:tcBorders>
                  <w:shd w:val="clear" w:color="000000" w:fill="FCD5B4"/>
                  <w:noWrap/>
                  <w:vAlign w:val="center"/>
                  <w:hideMark/>
                </w:tcPr>
                <w:p w14:paraId="1BF9110C"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-2.2 </w:t>
                  </w:r>
                </w:p>
              </w:tc>
              <w:tc>
                <w:tcPr>
                  <w:tcW w:w="915" w:type="dxa"/>
                  <w:tcBorders>
                    <w:top w:val="nil"/>
                    <w:left w:val="nil"/>
                    <w:bottom w:val="single" w:sz="8" w:space="0" w:color="FFFFFF"/>
                    <w:right w:val="single" w:sz="8" w:space="0" w:color="FFFFFF"/>
                  </w:tcBorders>
                  <w:shd w:val="clear" w:color="000000" w:fill="FCD5B4"/>
                  <w:noWrap/>
                  <w:vAlign w:val="center"/>
                  <w:hideMark/>
                </w:tcPr>
                <w:p w14:paraId="3D0FCC75"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-2.2 </w:t>
                  </w:r>
                </w:p>
              </w:tc>
              <w:tc>
                <w:tcPr>
                  <w:tcW w:w="915" w:type="dxa"/>
                  <w:tcBorders>
                    <w:top w:val="nil"/>
                    <w:left w:val="nil"/>
                    <w:bottom w:val="single" w:sz="8" w:space="0" w:color="FFFFFF"/>
                    <w:right w:val="single" w:sz="8" w:space="0" w:color="FFFFFF"/>
                  </w:tcBorders>
                  <w:shd w:val="clear" w:color="000000" w:fill="FCD5B4"/>
                  <w:noWrap/>
                  <w:vAlign w:val="center"/>
                  <w:hideMark/>
                </w:tcPr>
                <w:p w14:paraId="222368D7"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FF0000"/>
                      <w:kern w:val="0"/>
                      <w:szCs w:val="21"/>
                    </w:rPr>
                    <w:t xml:space="preserve">-1.2 </w:t>
                  </w:r>
                </w:p>
              </w:tc>
            </w:tr>
            <w:tr w:rsidR="00225070" w:rsidRPr="00225070" w14:paraId="67522B9C" w14:textId="77777777" w:rsidTr="00225070">
              <w:trPr>
                <w:trHeight w:val="452"/>
              </w:trPr>
              <w:tc>
                <w:tcPr>
                  <w:tcW w:w="1349" w:type="dxa"/>
                  <w:tcBorders>
                    <w:top w:val="nil"/>
                    <w:left w:val="nil"/>
                    <w:bottom w:val="single" w:sz="12" w:space="0" w:color="FFFFFF"/>
                    <w:right w:val="single" w:sz="8" w:space="0" w:color="FFFFFF"/>
                  </w:tcBorders>
                  <w:shd w:val="clear" w:color="000000" w:fill="F79646"/>
                  <w:noWrap/>
                  <w:vAlign w:val="center"/>
                  <w:hideMark/>
                </w:tcPr>
                <w:p w14:paraId="39B76BB3"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收益率分位</w:t>
                  </w:r>
                </w:p>
              </w:tc>
              <w:tc>
                <w:tcPr>
                  <w:tcW w:w="917" w:type="dxa"/>
                  <w:tcBorders>
                    <w:top w:val="nil"/>
                    <w:left w:val="nil"/>
                    <w:bottom w:val="single" w:sz="12" w:space="0" w:color="FFFFFF"/>
                    <w:right w:val="single" w:sz="8" w:space="0" w:color="FFFFFF"/>
                  </w:tcBorders>
                  <w:shd w:val="clear" w:color="000000" w:fill="F79646"/>
                  <w:noWrap/>
                  <w:vAlign w:val="center"/>
                  <w:hideMark/>
                </w:tcPr>
                <w:p w14:paraId="4CAB95D5"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AAA</w:t>
                  </w:r>
                </w:p>
              </w:tc>
              <w:tc>
                <w:tcPr>
                  <w:tcW w:w="917" w:type="dxa"/>
                  <w:tcBorders>
                    <w:top w:val="nil"/>
                    <w:left w:val="nil"/>
                    <w:bottom w:val="single" w:sz="12" w:space="0" w:color="FFFFFF"/>
                    <w:right w:val="single" w:sz="8" w:space="0" w:color="FFFFFF"/>
                  </w:tcBorders>
                  <w:shd w:val="clear" w:color="000000" w:fill="F79646"/>
                  <w:noWrap/>
                  <w:vAlign w:val="center"/>
                  <w:hideMark/>
                </w:tcPr>
                <w:p w14:paraId="6D9FE41E"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c>
                <w:tcPr>
                  <w:tcW w:w="916" w:type="dxa"/>
                  <w:tcBorders>
                    <w:top w:val="nil"/>
                    <w:left w:val="nil"/>
                    <w:bottom w:val="single" w:sz="12" w:space="0" w:color="FFFFFF"/>
                    <w:right w:val="single" w:sz="8" w:space="0" w:color="FFFFFF"/>
                  </w:tcBorders>
                  <w:shd w:val="clear" w:color="000000" w:fill="F79646"/>
                  <w:noWrap/>
                  <w:vAlign w:val="center"/>
                  <w:hideMark/>
                </w:tcPr>
                <w:p w14:paraId="29FF47A3"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c>
                <w:tcPr>
                  <w:tcW w:w="915" w:type="dxa"/>
                  <w:tcBorders>
                    <w:top w:val="nil"/>
                    <w:left w:val="nil"/>
                    <w:bottom w:val="single" w:sz="12" w:space="0" w:color="FFFFFF"/>
                    <w:right w:val="single" w:sz="8" w:space="0" w:color="FFFFFF"/>
                  </w:tcBorders>
                  <w:shd w:val="clear" w:color="000000" w:fill="F79646"/>
                  <w:noWrap/>
                  <w:vAlign w:val="center"/>
                  <w:hideMark/>
                </w:tcPr>
                <w:p w14:paraId="416C120E"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c>
                <w:tcPr>
                  <w:tcW w:w="1146" w:type="dxa"/>
                  <w:tcBorders>
                    <w:top w:val="nil"/>
                    <w:left w:val="nil"/>
                    <w:bottom w:val="single" w:sz="12" w:space="0" w:color="FFFFFF"/>
                    <w:right w:val="single" w:sz="8" w:space="0" w:color="FFFFFF"/>
                  </w:tcBorders>
                  <w:shd w:val="clear" w:color="000000" w:fill="F79646"/>
                  <w:noWrap/>
                  <w:vAlign w:val="center"/>
                  <w:hideMark/>
                </w:tcPr>
                <w:p w14:paraId="69FD74C1"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息差</w:t>
                  </w:r>
                </w:p>
              </w:tc>
              <w:tc>
                <w:tcPr>
                  <w:tcW w:w="915" w:type="dxa"/>
                  <w:tcBorders>
                    <w:top w:val="nil"/>
                    <w:left w:val="nil"/>
                    <w:bottom w:val="single" w:sz="12" w:space="0" w:color="FFFFFF"/>
                    <w:right w:val="single" w:sz="8" w:space="0" w:color="FFFFFF"/>
                  </w:tcBorders>
                  <w:shd w:val="clear" w:color="000000" w:fill="F79646"/>
                  <w:noWrap/>
                  <w:vAlign w:val="center"/>
                  <w:hideMark/>
                </w:tcPr>
                <w:p w14:paraId="3B750FDE"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AAA</w:t>
                  </w:r>
                </w:p>
              </w:tc>
              <w:tc>
                <w:tcPr>
                  <w:tcW w:w="915" w:type="dxa"/>
                  <w:tcBorders>
                    <w:top w:val="nil"/>
                    <w:left w:val="nil"/>
                    <w:bottom w:val="single" w:sz="12" w:space="0" w:color="FFFFFF"/>
                    <w:right w:val="single" w:sz="8" w:space="0" w:color="FFFFFF"/>
                  </w:tcBorders>
                  <w:shd w:val="clear" w:color="000000" w:fill="F79646"/>
                  <w:noWrap/>
                  <w:vAlign w:val="center"/>
                  <w:hideMark/>
                </w:tcPr>
                <w:p w14:paraId="14EE85E0"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c>
                <w:tcPr>
                  <w:tcW w:w="915" w:type="dxa"/>
                  <w:tcBorders>
                    <w:top w:val="nil"/>
                    <w:left w:val="nil"/>
                    <w:bottom w:val="single" w:sz="12" w:space="0" w:color="FFFFFF"/>
                    <w:right w:val="single" w:sz="8" w:space="0" w:color="FFFFFF"/>
                  </w:tcBorders>
                  <w:shd w:val="clear" w:color="000000" w:fill="F79646"/>
                  <w:noWrap/>
                  <w:vAlign w:val="center"/>
                  <w:hideMark/>
                </w:tcPr>
                <w:p w14:paraId="1D92AE21"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c>
                <w:tcPr>
                  <w:tcW w:w="915" w:type="dxa"/>
                  <w:tcBorders>
                    <w:top w:val="nil"/>
                    <w:left w:val="nil"/>
                    <w:bottom w:val="single" w:sz="12" w:space="0" w:color="FFFFFF"/>
                    <w:right w:val="single" w:sz="8" w:space="0" w:color="FFFFFF"/>
                  </w:tcBorders>
                  <w:shd w:val="clear" w:color="000000" w:fill="F79646"/>
                  <w:noWrap/>
                  <w:vAlign w:val="center"/>
                  <w:hideMark/>
                </w:tcPr>
                <w:p w14:paraId="1F2EF3F8" w14:textId="77777777" w:rsidR="00225070" w:rsidRPr="00225070" w:rsidRDefault="00225070" w:rsidP="00225070">
                  <w:pPr>
                    <w:widowControl/>
                    <w:jc w:val="center"/>
                    <w:rPr>
                      <w:rFonts w:ascii="楷体" w:eastAsia="楷体" w:hAnsi="楷体" w:cs="宋体"/>
                      <w:b/>
                      <w:bCs/>
                      <w:color w:val="FFFFFF"/>
                      <w:kern w:val="0"/>
                      <w:sz w:val="20"/>
                      <w:szCs w:val="20"/>
                    </w:rPr>
                  </w:pPr>
                  <w:r w:rsidRPr="00225070">
                    <w:rPr>
                      <w:rFonts w:ascii="楷体" w:eastAsia="楷体" w:hAnsi="楷体" w:cs="宋体" w:hint="eastAsia"/>
                      <w:b/>
                      <w:bCs/>
                      <w:color w:val="FFFFFF"/>
                      <w:kern w:val="0"/>
                      <w:sz w:val="20"/>
                      <w:szCs w:val="20"/>
                    </w:rPr>
                    <w:t>AA-</w:t>
                  </w:r>
                </w:p>
              </w:tc>
            </w:tr>
            <w:tr w:rsidR="00225070" w:rsidRPr="00225070" w14:paraId="0DC7E5BC" w14:textId="77777777" w:rsidTr="00225070">
              <w:trPr>
                <w:trHeight w:val="467"/>
              </w:trPr>
              <w:tc>
                <w:tcPr>
                  <w:tcW w:w="1349" w:type="dxa"/>
                  <w:tcBorders>
                    <w:top w:val="nil"/>
                    <w:left w:val="nil"/>
                    <w:bottom w:val="single" w:sz="8" w:space="0" w:color="FFFFFF"/>
                    <w:right w:val="single" w:sz="8" w:space="0" w:color="FFFFFF"/>
                  </w:tcBorders>
                  <w:shd w:val="clear" w:color="000000" w:fill="FCD5B4"/>
                  <w:noWrap/>
                  <w:vAlign w:val="center"/>
                  <w:hideMark/>
                </w:tcPr>
                <w:p w14:paraId="565FFA8E"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CP</w:t>
                  </w:r>
                </w:p>
              </w:tc>
              <w:tc>
                <w:tcPr>
                  <w:tcW w:w="917" w:type="dxa"/>
                  <w:tcBorders>
                    <w:top w:val="nil"/>
                    <w:left w:val="nil"/>
                    <w:bottom w:val="single" w:sz="8" w:space="0" w:color="FFFFFF"/>
                    <w:right w:val="single" w:sz="8" w:space="0" w:color="FFFFFF"/>
                  </w:tcBorders>
                  <w:shd w:val="clear" w:color="000000" w:fill="FCD5B4"/>
                  <w:noWrap/>
                  <w:vAlign w:val="center"/>
                  <w:hideMark/>
                </w:tcPr>
                <w:p w14:paraId="3B1BEF3B"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45%</w:t>
                  </w:r>
                </w:p>
              </w:tc>
              <w:tc>
                <w:tcPr>
                  <w:tcW w:w="917" w:type="dxa"/>
                  <w:tcBorders>
                    <w:top w:val="nil"/>
                    <w:left w:val="nil"/>
                    <w:bottom w:val="single" w:sz="8" w:space="0" w:color="FFFFFF"/>
                    <w:right w:val="single" w:sz="8" w:space="0" w:color="FFFFFF"/>
                  </w:tcBorders>
                  <w:shd w:val="clear" w:color="000000" w:fill="FCD5B4"/>
                  <w:noWrap/>
                  <w:vAlign w:val="center"/>
                  <w:hideMark/>
                </w:tcPr>
                <w:p w14:paraId="39B57583"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46%</w:t>
                  </w:r>
                </w:p>
              </w:tc>
              <w:tc>
                <w:tcPr>
                  <w:tcW w:w="916" w:type="dxa"/>
                  <w:tcBorders>
                    <w:top w:val="nil"/>
                    <w:left w:val="nil"/>
                    <w:bottom w:val="single" w:sz="8" w:space="0" w:color="FFFFFF"/>
                    <w:right w:val="single" w:sz="8" w:space="0" w:color="FFFFFF"/>
                  </w:tcBorders>
                  <w:shd w:val="clear" w:color="000000" w:fill="FCD5B4"/>
                  <w:noWrap/>
                  <w:vAlign w:val="center"/>
                  <w:hideMark/>
                </w:tcPr>
                <w:p w14:paraId="0169FC95"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45%</w:t>
                  </w:r>
                </w:p>
              </w:tc>
              <w:tc>
                <w:tcPr>
                  <w:tcW w:w="915" w:type="dxa"/>
                  <w:tcBorders>
                    <w:top w:val="nil"/>
                    <w:left w:val="nil"/>
                    <w:bottom w:val="single" w:sz="8" w:space="0" w:color="FFFFFF"/>
                    <w:right w:val="single" w:sz="8" w:space="0" w:color="FFFFFF"/>
                  </w:tcBorders>
                  <w:shd w:val="clear" w:color="000000" w:fill="FCD5B4"/>
                  <w:noWrap/>
                  <w:vAlign w:val="center"/>
                  <w:hideMark/>
                </w:tcPr>
                <w:p w14:paraId="5A0B995F"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74%</w:t>
                  </w:r>
                </w:p>
              </w:tc>
              <w:tc>
                <w:tcPr>
                  <w:tcW w:w="1146" w:type="dxa"/>
                  <w:tcBorders>
                    <w:top w:val="nil"/>
                    <w:left w:val="nil"/>
                    <w:bottom w:val="single" w:sz="8" w:space="0" w:color="FFFFFF"/>
                    <w:right w:val="single" w:sz="8" w:space="0" w:color="FFFFFF"/>
                  </w:tcBorders>
                  <w:shd w:val="clear" w:color="000000" w:fill="FCD5B4"/>
                  <w:noWrap/>
                  <w:vAlign w:val="center"/>
                  <w:hideMark/>
                </w:tcPr>
                <w:p w14:paraId="0A07C907"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CP</w:t>
                  </w:r>
                </w:p>
              </w:tc>
              <w:tc>
                <w:tcPr>
                  <w:tcW w:w="915" w:type="dxa"/>
                  <w:tcBorders>
                    <w:top w:val="nil"/>
                    <w:left w:val="nil"/>
                    <w:bottom w:val="single" w:sz="8" w:space="0" w:color="FFFFFF"/>
                    <w:right w:val="single" w:sz="8" w:space="0" w:color="FFFFFF"/>
                  </w:tcBorders>
                  <w:shd w:val="clear" w:color="000000" w:fill="FCD5B4"/>
                  <w:noWrap/>
                  <w:vAlign w:val="center"/>
                  <w:hideMark/>
                </w:tcPr>
                <w:p w14:paraId="67B7C59E"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14%</w:t>
                  </w:r>
                </w:p>
              </w:tc>
              <w:tc>
                <w:tcPr>
                  <w:tcW w:w="915" w:type="dxa"/>
                  <w:tcBorders>
                    <w:top w:val="nil"/>
                    <w:left w:val="nil"/>
                    <w:bottom w:val="single" w:sz="8" w:space="0" w:color="FFFFFF"/>
                    <w:right w:val="single" w:sz="8" w:space="0" w:color="FFFFFF"/>
                  </w:tcBorders>
                  <w:shd w:val="clear" w:color="000000" w:fill="FCD5B4"/>
                  <w:noWrap/>
                  <w:vAlign w:val="center"/>
                  <w:hideMark/>
                </w:tcPr>
                <w:p w14:paraId="10252175"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20%</w:t>
                  </w:r>
                </w:p>
              </w:tc>
              <w:tc>
                <w:tcPr>
                  <w:tcW w:w="915" w:type="dxa"/>
                  <w:tcBorders>
                    <w:top w:val="nil"/>
                    <w:left w:val="nil"/>
                    <w:bottom w:val="single" w:sz="8" w:space="0" w:color="FFFFFF"/>
                    <w:right w:val="single" w:sz="8" w:space="0" w:color="FFFFFF"/>
                  </w:tcBorders>
                  <w:shd w:val="clear" w:color="000000" w:fill="FCD5B4"/>
                  <w:noWrap/>
                  <w:vAlign w:val="center"/>
                  <w:hideMark/>
                </w:tcPr>
                <w:p w14:paraId="7B813DEC"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21%</w:t>
                  </w:r>
                </w:p>
              </w:tc>
              <w:tc>
                <w:tcPr>
                  <w:tcW w:w="915" w:type="dxa"/>
                  <w:tcBorders>
                    <w:top w:val="nil"/>
                    <w:left w:val="nil"/>
                    <w:bottom w:val="single" w:sz="8" w:space="0" w:color="FFFFFF"/>
                    <w:right w:val="single" w:sz="8" w:space="0" w:color="FFFFFF"/>
                  </w:tcBorders>
                  <w:shd w:val="clear" w:color="000000" w:fill="FCD5B4"/>
                  <w:noWrap/>
                  <w:vAlign w:val="center"/>
                  <w:hideMark/>
                </w:tcPr>
                <w:p w14:paraId="28317E5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76%</w:t>
                  </w:r>
                </w:p>
              </w:tc>
            </w:tr>
            <w:tr w:rsidR="00225070" w:rsidRPr="00225070" w14:paraId="100CF633" w14:textId="77777777" w:rsidTr="00225070">
              <w:trPr>
                <w:trHeight w:val="452"/>
              </w:trPr>
              <w:tc>
                <w:tcPr>
                  <w:tcW w:w="1349" w:type="dxa"/>
                  <w:tcBorders>
                    <w:top w:val="nil"/>
                    <w:left w:val="nil"/>
                    <w:bottom w:val="single" w:sz="8" w:space="0" w:color="FFFFFF"/>
                    <w:right w:val="single" w:sz="8" w:space="0" w:color="FFFFFF"/>
                  </w:tcBorders>
                  <w:shd w:val="clear" w:color="000000" w:fill="FDE9D9"/>
                  <w:noWrap/>
                  <w:vAlign w:val="center"/>
                  <w:hideMark/>
                </w:tcPr>
                <w:p w14:paraId="48C51DE3"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MTN3Y</w:t>
                  </w:r>
                </w:p>
              </w:tc>
              <w:tc>
                <w:tcPr>
                  <w:tcW w:w="917" w:type="dxa"/>
                  <w:tcBorders>
                    <w:top w:val="nil"/>
                    <w:left w:val="nil"/>
                    <w:bottom w:val="single" w:sz="8" w:space="0" w:color="FFFFFF"/>
                    <w:right w:val="single" w:sz="8" w:space="0" w:color="FFFFFF"/>
                  </w:tcBorders>
                  <w:shd w:val="clear" w:color="000000" w:fill="FDE9D9"/>
                  <w:noWrap/>
                  <w:vAlign w:val="center"/>
                  <w:hideMark/>
                </w:tcPr>
                <w:p w14:paraId="4D1856F8"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39%</w:t>
                  </w:r>
                </w:p>
              </w:tc>
              <w:tc>
                <w:tcPr>
                  <w:tcW w:w="917" w:type="dxa"/>
                  <w:tcBorders>
                    <w:top w:val="nil"/>
                    <w:left w:val="nil"/>
                    <w:bottom w:val="single" w:sz="8" w:space="0" w:color="FFFFFF"/>
                    <w:right w:val="single" w:sz="8" w:space="0" w:color="FFFFFF"/>
                  </w:tcBorders>
                  <w:shd w:val="clear" w:color="000000" w:fill="FDE9D9"/>
                  <w:noWrap/>
                  <w:vAlign w:val="center"/>
                  <w:hideMark/>
                </w:tcPr>
                <w:p w14:paraId="39CD4934"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40%</w:t>
                  </w:r>
                </w:p>
              </w:tc>
              <w:tc>
                <w:tcPr>
                  <w:tcW w:w="916" w:type="dxa"/>
                  <w:tcBorders>
                    <w:top w:val="nil"/>
                    <w:left w:val="nil"/>
                    <w:bottom w:val="single" w:sz="8" w:space="0" w:color="FFFFFF"/>
                    <w:right w:val="single" w:sz="8" w:space="0" w:color="FFFFFF"/>
                  </w:tcBorders>
                  <w:shd w:val="clear" w:color="000000" w:fill="FDE9D9"/>
                  <w:noWrap/>
                  <w:vAlign w:val="center"/>
                  <w:hideMark/>
                </w:tcPr>
                <w:p w14:paraId="137E12F4"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38%</w:t>
                  </w:r>
                </w:p>
              </w:tc>
              <w:tc>
                <w:tcPr>
                  <w:tcW w:w="915" w:type="dxa"/>
                  <w:tcBorders>
                    <w:top w:val="nil"/>
                    <w:left w:val="nil"/>
                    <w:bottom w:val="single" w:sz="8" w:space="0" w:color="FFFFFF"/>
                    <w:right w:val="single" w:sz="8" w:space="0" w:color="FFFFFF"/>
                  </w:tcBorders>
                  <w:shd w:val="clear" w:color="000000" w:fill="FDE9D9"/>
                  <w:noWrap/>
                  <w:vAlign w:val="center"/>
                  <w:hideMark/>
                </w:tcPr>
                <w:p w14:paraId="66A9E3EB"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71%</w:t>
                  </w:r>
                </w:p>
              </w:tc>
              <w:tc>
                <w:tcPr>
                  <w:tcW w:w="1146" w:type="dxa"/>
                  <w:tcBorders>
                    <w:top w:val="nil"/>
                    <w:left w:val="nil"/>
                    <w:bottom w:val="single" w:sz="8" w:space="0" w:color="FFFFFF"/>
                    <w:right w:val="single" w:sz="8" w:space="0" w:color="FFFFFF"/>
                  </w:tcBorders>
                  <w:shd w:val="clear" w:color="000000" w:fill="FDE9D9"/>
                  <w:noWrap/>
                  <w:vAlign w:val="center"/>
                  <w:hideMark/>
                </w:tcPr>
                <w:p w14:paraId="1E99A0F0"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MTN3Y</w:t>
                  </w:r>
                </w:p>
              </w:tc>
              <w:tc>
                <w:tcPr>
                  <w:tcW w:w="915" w:type="dxa"/>
                  <w:tcBorders>
                    <w:top w:val="nil"/>
                    <w:left w:val="nil"/>
                    <w:bottom w:val="single" w:sz="8" w:space="0" w:color="FFFFFF"/>
                    <w:right w:val="single" w:sz="8" w:space="0" w:color="FFFFFF"/>
                  </w:tcBorders>
                  <w:shd w:val="clear" w:color="000000" w:fill="FDE9D9"/>
                  <w:noWrap/>
                  <w:vAlign w:val="center"/>
                  <w:hideMark/>
                </w:tcPr>
                <w:p w14:paraId="06BFE69E"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16%</w:t>
                  </w:r>
                </w:p>
              </w:tc>
              <w:tc>
                <w:tcPr>
                  <w:tcW w:w="915" w:type="dxa"/>
                  <w:tcBorders>
                    <w:top w:val="nil"/>
                    <w:left w:val="nil"/>
                    <w:bottom w:val="single" w:sz="8" w:space="0" w:color="FFFFFF"/>
                    <w:right w:val="single" w:sz="8" w:space="0" w:color="FFFFFF"/>
                  </w:tcBorders>
                  <w:shd w:val="clear" w:color="000000" w:fill="FDE9D9"/>
                  <w:noWrap/>
                  <w:vAlign w:val="center"/>
                  <w:hideMark/>
                </w:tcPr>
                <w:p w14:paraId="0AFEDD3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23%</w:t>
                  </w:r>
                </w:p>
              </w:tc>
              <w:tc>
                <w:tcPr>
                  <w:tcW w:w="915" w:type="dxa"/>
                  <w:tcBorders>
                    <w:top w:val="nil"/>
                    <w:left w:val="nil"/>
                    <w:bottom w:val="single" w:sz="8" w:space="0" w:color="FFFFFF"/>
                    <w:right w:val="single" w:sz="8" w:space="0" w:color="FFFFFF"/>
                  </w:tcBorders>
                  <w:shd w:val="clear" w:color="000000" w:fill="FDE9D9"/>
                  <w:noWrap/>
                  <w:vAlign w:val="center"/>
                  <w:hideMark/>
                </w:tcPr>
                <w:p w14:paraId="6E787791"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19%</w:t>
                  </w:r>
                </w:p>
              </w:tc>
              <w:tc>
                <w:tcPr>
                  <w:tcW w:w="915" w:type="dxa"/>
                  <w:tcBorders>
                    <w:top w:val="nil"/>
                    <w:left w:val="nil"/>
                    <w:bottom w:val="single" w:sz="8" w:space="0" w:color="FFFFFF"/>
                    <w:right w:val="single" w:sz="8" w:space="0" w:color="FFFFFF"/>
                  </w:tcBorders>
                  <w:shd w:val="clear" w:color="000000" w:fill="FDE9D9"/>
                  <w:noWrap/>
                  <w:vAlign w:val="center"/>
                  <w:hideMark/>
                </w:tcPr>
                <w:p w14:paraId="1E8FDC8E"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75%</w:t>
                  </w:r>
                </w:p>
              </w:tc>
            </w:tr>
            <w:tr w:rsidR="00225070" w:rsidRPr="00225070" w14:paraId="2B2FBDE7" w14:textId="77777777" w:rsidTr="00225070">
              <w:trPr>
                <w:trHeight w:val="452"/>
              </w:trPr>
              <w:tc>
                <w:tcPr>
                  <w:tcW w:w="1349" w:type="dxa"/>
                  <w:tcBorders>
                    <w:top w:val="nil"/>
                    <w:left w:val="nil"/>
                    <w:bottom w:val="single" w:sz="8" w:space="0" w:color="FFFFFF"/>
                    <w:right w:val="single" w:sz="8" w:space="0" w:color="FFFFFF"/>
                  </w:tcBorders>
                  <w:shd w:val="clear" w:color="000000" w:fill="FCD5B4"/>
                  <w:noWrap/>
                  <w:vAlign w:val="center"/>
                  <w:hideMark/>
                </w:tcPr>
                <w:p w14:paraId="5C4DC85C"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MTN5Y</w:t>
                  </w:r>
                </w:p>
              </w:tc>
              <w:tc>
                <w:tcPr>
                  <w:tcW w:w="917" w:type="dxa"/>
                  <w:tcBorders>
                    <w:top w:val="nil"/>
                    <w:left w:val="nil"/>
                    <w:bottom w:val="single" w:sz="8" w:space="0" w:color="FFFFFF"/>
                    <w:right w:val="single" w:sz="8" w:space="0" w:color="FFFFFF"/>
                  </w:tcBorders>
                  <w:shd w:val="clear" w:color="000000" w:fill="FCD5B4"/>
                  <w:noWrap/>
                  <w:vAlign w:val="center"/>
                  <w:hideMark/>
                </w:tcPr>
                <w:p w14:paraId="2F0C565A"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32%</w:t>
                  </w:r>
                </w:p>
              </w:tc>
              <w:tc>
                <w:tcPr>
                  <w:tcW w:w="917" w:type="dxa"/>
                  <w:tcBorders>
                    <w:top w:val="nil"/>
                    <w:left w:val="nil"/>
                    <w:bottom w:val="single" w:sz="8" w:space="0" w:color="FFFFFF"/>
                    <w:right w:val="single" w:sz="8" w:space="0" w:color="FFFFFF"/>
                  </w:tcBorders>
                  <w:shd w:val="clear" w:color="000000" w:fill="FCD5B4"/>
                  <w:noWrap/>
                  <w:vAlign w:val="center"/>
                  <w:hideMark/>
                </w:tcPr>
                <w:p w14:paraId="075987E0"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28%</w:t>
                  </w:r>
                </w:p>
              </w:tc>
              <w:tc>
                <w:tcPr>
                  <w:tcW w:w="916" w:type="dxa"/>
                  <w:tcBorders>
                    <w:top w:val="nil"/>
                    <w:left w:val="nil"/>
                    <w:bottom w:val="single" w:sz="8" w:space="0" w:color="FFFFFF"/>
                    <w:right w:val="single" w:sz="8" w:space="0" w:color="FFFFFF"/>
                  </w:tcBorders>
                  <w:shd w:val="clear" w:color="000000" w:fill="FCD5B4"/>
                  <w:noWrap/>
                  <w:vAlign w:val="center"/>
                  <w:hideMark/>
                </w:tcPr>
                <w:p w14:paraId="10BE534D"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27%</w:t>
                  </w:r>
                </w:p>
              </w:tc>
              <w:tc>
                <w:tcPr>
                  <w:tcW w:w="915" w:type="dxa"/>
                  <w:tcBorders>
                    <w:top w:val="nil"/>
                    <w:left w:val="nil"/>
                    <w:bottom w:val="single" w:sz="8" w:space="0" w:color="FFFFFF"/>
                    <w:right w:val="single" w:sz="8" w:space="0" w:color="FFFFFF"/>
                  </w:tcBorders>
                  <w:shd w:val="clear" w:color="000000" w:fill="FCD5B4"/>
                  <w:noWrap/>
                  <w:vAlign w:val="center"/>
                  <w:hideMark/>
                </w:tcPr>
                <w:p w14:paraId="708E69EA"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68%</w:t>
                  </w:r>
                </w:p>
              </w:tc>
              <w:tc>
                <w:tcPr>
                  <w:tcW w:w="1146" w:type="dxa"/>
                  <w:tcBorders>
                    <w:top w:val="nil"/>
                    <w:left w:val="nil"/>
                    <w:bottom w:val="single" w:sz="8" w:space="0" w:color="FFFFFF"/>
                    <w:right w:val="single" w:sz="8" w:space="0" w:color="FFFFFF"/>
                  </w:tcBorders>
                  <w:shd w:val="clear" w:color="000000" w:fill="FCD5B4"/>
                  <w:noWrap/>
                  <w:vAlign w:val="center"/>
                  <w:hideMark/>
                </w:tcPr>
                <w:p w14:paraId="22823803"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MTN5Y</w:t>
                  </w:r>
                </w:p>
              </w:tc>
              <w:tc>
                <w:tcPr>
                  <w:tcW w:w="915" w:type="dxa"/>
                  <w:tcBorders>
                    <w:top w:val="nil"/>
                    <w:left w:val="nil"/>
                    <w:bottom w:val="single" w:sz="8" w:space="0" w:color="FFFFFF"/>
                    <w:right w:val="single" w:sz="8" w:space="0" w:color="FFFFFF"/>
                  </w:tcBorders>
                  <w:shd w:val="clear" w:color="000000" w:fill="FCD5B4"/>
                  <w:noWrap/>
                  <w:vAlign w:val="center"/>
                  <w:hideMark/>
                </w:tcPr>
                <w:p w14:paraId="78AB844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16%</w:t>
                  </w:r>
                </w:p>
              </w:tc>
              <w:tc>
                <w:tcPr>
                  <w:tcW w:w="915" w:type="dxa"/>
                  <w:tcBorders>
                    <w:top w:val="nil"/>
                    <w:left w:val="nil"/>
                    <w:bottom w:val="single" w:sz="8" w:space="0" w:color="FFFFFF"/>
                    <w:right w:val="single" w:sz="8" w:space="0" w:color="FFFFFF"/>
                  </w:tcBorders>
                  <w:shd w:val="clear" w:color="000000" w:fill="FCD5B4"/>
                  <w:noWrap/>
                  <w:vAlign w:val="center"/>
                  <w:hideMark/>
                </w:tcPr>
                <w:p w14:paraId="66FDC884"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14%</w:t>
                  </w:r>
                </w:p>
              </w:tc>
              <w:tc>
                <w:tcPr>
                  <w:tcW w:w="915" w:type="dxa"/>
                  <w:tcBorders>
                    <w:top w:val="nil"/>
                    <w:left w:val="nil"/>
                    <w:bottom w:val="single" w:sz="8" w:space="0" w:color="FFFFFF"/>
                    <w:right w:val="single" w:sz="8" w:space="0" w:color="FFFFFF"/>
                  </w:tcBorders>
                  <w:shd w:val="clear" w:color="000000" w:fill="FCD5B4"/>
                  <w:noWrap/>
                  <w:vAlign w:val="center"/>
                  <w:hideMark/>
                </w:tcPr>
                <w:p w14:paraId="31026990"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12%</w:t>
                  </w:r>
                </w:p>
              </w:tc>
              <w:tc>
                <w:tcPr>
                  <w:tcW w:w="915" w:type="dxa"/>
                  <w:tcBorders>
                    <w:top w:val="nil"/>
                    <w:left w:val="nil"/>
                    <w:bottom w:val="single" w:sz="8" w:space="0" w:color="FFFFFF"/>
                    <w:right w:val="single" w:sz="8" w:space="0" w:color="FFFFFF"/>
                  </w:tcBorders>
                  <w:shd w:val="clear" w:color="000000" w:fill="FCD5B4"/>
                  <w:noWrap/>
                  <w:vAlign w:val="center"/>
                  <w:hideMark/>
                </w:tcPr>
                <w:p w14:paraId="44988B95"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70%</w:t>
                  </w:r>
                </w:p>
              </w:tc>
            </w:tr>
            <w:tr w:rsidR="00225070" w:rsidRPr="00225070" w14:paraId="5C7004E5" w14:textId="77777777" w:rsidTr="00225070">
              <w:trPr>
                <w:trHeight w:val="452"/>
              </w:trPr>
              <w:tc>
                <w:tcPr>
                  <w:tcW w:w="1349" w:type="dxa"/>
                  <w:tcBorders>
                    <w:top w:val="nil"/>
                    <w:left w:val="nil"/>
                    <w:bottom w:val="single" w:sz="8" w:space="0" w:color="FFFFFF"/>
                    <w:right w:val="single" w:sz="8" w:space="0" w:color="FFFFFF"/>
                  </w:tcBorders>
                  <w:shd w:val="clear" w:color="000000" w:fill="FDE9D9"/>
                  <w:noWrap/>
                  <w:vAlign w:val="center"/>
                  <w:hideMark/>
                </w:tcPr>
                <w:p w14:paraId="61951A89"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企业债3Y</w:t>
                  </w:r>
                </w:p>
              </w:tc>
              <w:tc>
                <w:tcPr>
                  <w:tcW w:w="917" w:type="dxa"/>
                  <w:tcBorders>
                    <w:top w:val="nil"/>
                    <w:left w:val="nil"/>
                    <w:bottom w:val="single" w:sz="8" w:space="0" w:color="FFFFFF"/>
                    <w:right w:val="single" w:sz="8" w:space="0" w:color="FFFFFF"/>
                  </w:tcBorders>
                  <w:shd w:val="clear" w:color="000000" w:fill="FDE9D9"/>
                  <w:noWrap/>
                  <w:vAlign w:val="center"/>
                  <w:hideMark/>
                </w:tcPr>
                <w:p w14:paraId="3027EEE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40%</w:t>
                  </w:r>
                </w:p>
              </w:tc>
              <w:tc>
                <w:tcPr>
                  <w:tcW w:w="917" w:type="dxa"/>
                  <w:tcBorders>
                    <w:top w:val="nil"/>
                    <w:left w:val="nil"/>
                    <w:bottom w:val="single" w:sz="8" w:space="0" w:color="FFFFFF"/>
                    <w:right w:val="single" w:sz="8" w:space="0" w:color="FFFFFF"/>
                  </w:tcBorders>
                  <w:shd w:val="clear" w:color="000000" w:fill="FDE9D9"/>
                  <w:noWrap/>
                  <w:vAlign w:val="center"/>
                  <w:hideMark/>
                </w:tcPr>
                <w:p w14:paraId="07042A46"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39%</w:t>
                  </w:r>
                </w:p>
              </w:tc>
              <w:tc>
                <w:tcPr>
                  <w:tcW w:w="916" w:type="dxa"/>
                  <w:tcBorders>
                    <w:top w:val="nil"/>
                    <w:left w:val="nil"/>
                    <w:bottom w:val="single" w:sz="8" w:space="0" w:color="FFFFFF"/>
                    <w:right w:val="single" w:sz="8" w:space="0" w:color="FFFFFF"/>
                  </w:tcBorders>
                  <w:shd w:val="clear" w:color="000000" w:fill="FDE9D9"/>
                  <w:noWrap/>
                  <w:vAlign w:val="center"/>
                  <w:hideMark/>
                </w:tcPr>
                <w:p w14:paraId="45D66E8F"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36%</w:t>
                  </w:r>
                </w:p>
              </w:tc>
              <w:tc>
                <w:tcPr>
                  <w:tcW w:w="915" w:type="dxa"/>
                  <w:tcBorders>
                    <w:top w:val="nil"/>
                    <w:left w:val="nil"/>
                    <w:bottom w:val="single" w:sz="8" w:space="0" w:color="FFFFFF"/>
                    <w:right w:val="single" w:sz="8" w:space="0" w:color="FFFFFF"/>
                  </w:tcBorders>
                  <w:shd w:val="clear" w:color="000000" w:fill="FDE9D9"/>
                  <w:noWrap/>
                  <w:vAlign w:val="center"/>
                  <w:hideMark/>
                </w:tcPr>
                <w:p w14:paraId="4E5C4774"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68%</w:t>
                  </w:r>
                </w:p>
              </w:tc>
              <w:tc>
                <w:tcPr>
                  <w:tcW w:w="1146" w:type="dxa"/>
                  <w:tcBorders>
                    <w:top w:val="nil"/>
                    <w:left w:val="nil"/>
                    <w:bottom w:val="single" w:sz="8" w:space="0" w:color="FFFFFF"/>
                    <w:right w:val="single" w:sz="8" w:space="0" w:color="FFFFFF"/>
                  </w:tcBorders>
                  <w:shd w:val="clear" w:color="000000" w:fill="FDE9D9"/>
                  <w:noWrap/>
                  <w:vAlign w:val="center"/>
                  <w:hideMark/>
                </w:tcPr>
                <w:p w14:paraId="452E0F5F"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企业债3Y</w:t>
                  </w:r>
                </w:p>
              </w:tc>
              <w:tc>
                <w:tcPr>
                  <w:tcW w:w="915" w:type="dxa"/>
                  <w:tcBorders>
                    <w:top w:val="nil"/>
                    <w:left w:val="nil"/>
                    <w:bottom w:val="single" w:sz="8" w:space="0" w:color="FFFFFF"/>
                    <w:right w:val="single" w:sz="8" w:space="0" w:color="FFFFFF"/>
                  </w:tcBorders>
                  <w:shd w:val="clear" w:color="000000" w:fill="FDE9D9"/>
                  <w:noWrap/>
                  <w:vAlign w:val="center"/>
                  <w:hideMark/>
                </w:tcPr>
                <w:p w14:paraId="13108E60"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16%</w:t>
                  </w:r>
                </w:p>
              </w:tc>
              <w:tc>
                <w:tcPr>
                  <w:tcW w:w="915" w:type="dxa"/>
                  <w:tcBorders>
                    <w:top w:val="nil"/>
                    <w:left w:val="nil"/>
                    <w:bottom w:val="single" w:sz="8" w:space="0" w:color="FFFFFF"/>
                    <w:right w:val="single" w:sz="8" w:space="0" w:color="FFFFFF"/>
                  </w:tcBorders>
                  <w:shd w:val="clear" w:color="000000" w:fill="FDE9D9"/>
                  <w:noWrap/>
                  <w:vAlign w:val="center"/>
                  <w:hideMark/>
                </w:tcPr>
                <w:p w14:paraId="7D32AAB3"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22%</w:t>
                  </w:r>
                </w:p>
              </w:tc>
              <w:tc>
                <w:tcPr>
                  <w:tcW w:w="915" w:type="dxa"/>
                  <w:tcBorders>
                    <w:top w:val="nil"/>
                    <w:left w:val="nil"/>
                    <w:bottom w:val="single" w:sz="8" w:space="0" w:color="FFFFFF"/>
                    <w:right w:val="single" w:sz="8" w:space="0" w:color="FFFFFF"/>
                  </w:tcBorders>
                  <w:shd w:val="clear" w:color="000000" w:fill="FDE9D9"/>
                  <w:noWrap/>
                  <w:vAlign w:val="center"/>
                  <w:hideMark/>
                </w:tcPr>
                <w:p w14:paraId="1BCB8D37"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17%</w:t>
                  </w:r>
                </w:p>
              </w:tc>
              <w:tc>
                <w:tcPr>
                  <w:tcW w:w="915" w:type="dxa"/>
                  <w:tcBorders>
                    <w:top w:val="nil"/>
                    <w:left w:val="nil"/>
                    <w:bottom w:val="single" w:sz="8" w:space="0" w:color="FFFFFF"/>
                    <w:right w:val="single" w:sz="8" w:space="0" w:color="FFFFFF"/>
                  </w:tcBorders>
                  <w:shd w:val="clear" w:color="000000" w:fill="FDE9D9"/>
                  <w:noWrap/>
                  <w:vAlign w:val="center"/>
                  <w:hideMark/>
                </w:tcPr>
                <w:p w14:paraId="6AF537F1"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71%</w:t>
                  </w:r>
                </w:p>
              </w:tc>
            </w:tr>
            <w:tr w:rsidR="00225070" w:rsidRPr="00225070" w14:paraId="3D9C3217" w14:textId="77777777" w:rsidTr="00225070">
              <w:trPr>
                <w:trHeight w:val="452"/>
              </w:trPr>
              <w:tc>
                <w:tcPr>
                  <w:tcW w:w="1349" w:type="dxa"/>
                  <w:tcBorders>
                    <w:top w:val="nil"/>
                    <w:left w:val="nil"/>
                    <w:bottom w:val="single" w:sz="8" w:space="0" w:color="FFFFFF"/>
                    <w:right w:val="single" w:sz="8" w:space="0" w:color="FFFFFF"/>
                  </w:tcBorders>
                  <w:shd w:val="clear" w:color="000000" w:fill="FCD5B4"/>
                  <w:noWrap/>
                  <w:vAlign w:val="center"/>
                  <w:hideMark/>
                </w:tcPr>
                <w:p w14:paraId="5078B835"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企业债5Y</w:t>
                  </w:r>
                </w:p>
              </w:tc>
              <w:tc>
                <w:tcPr>
                  <w:tcW w:w="917" w:type="dxa"/>
                  <w:tcBorders>
                    <w:top w:val="nil"/>
                    <w:left w:val="nil"/>
                    <w:bottom w:val="single" w:sz="8" w:space="0" w:color="FFFFFF"/>
                    <w:right w:val="single" w:sz="8" w:space="0" w:color="FFFFFF"/>
                  </w:tcBorders>
                  <w:shd w:val="clear" w:color="000000" w:fill="FCD5B4"/>
                  <w:noWrap/>
                  <w:vAlign w:val="center"/>
                  <w:hideMark/>
                </w:tcPr>
                <w:p w14:paraId="423F9C20"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34%</w:t>
                  </w:r>
                </w:p>
              </w:tc>
              <w:tc>
                <w:tcPr>
                  <w:tcW w:w="917" w:type="dxa"/>
                  <w:tcBorders>
                    <w:top w:val="nil"/>
                    <w:left w:val="nil"/>
                    <w:bottom w:val="single" w:sz="8" w:space="0" w:color="FFFFFF"/>
                    <w:right w:val="single" w:sz="8" w:space="0" w:color="FFFFFF"/>
                  </w:tcBorders>
                  <w:shd w:val="clear" w:color="000000" w:fill="FCD5B4"/>
                  <w:noWrap/>
                  <w:vAlign w:val="center"/>
                  <w:hideMark/>
                </w:tcPr>
                <w:p w14:paraId="1D554D6C"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28%</w:t>
                  </w:r>
                </w:p>
              </w:tc>
              <w:tc>
                <w:tcPr>
                  <w:tcW w:w="916" w:type="dxa"/>
                  <w:tcBorders>
                    <w:top w:val="nil"/>
                    <w:left w:val="nil"/>
                    <w:bottom w:val="single" w:sz="8" w:space="0" w:color="FFFFFF"/>
                    <w:right w:val="single" w:sz="8" w:space="0" w:color="FFFFFF"/>
                  </w:tcBorders>
                  <w:shd w:val="clear" w:color="000000" w:fill="FCD5B4"/>
                  <w:noWrap/>
                  <w:vAlign w:val="center"/>
                  <w:hideMark/>
                </w:tcPr>
                <w:p w14:paraId="6C87DAE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26%</w:t>
                  </w:r>
                </w:p>
              </w:tc>
              <w:tc>
                <w:tcPr>
                  <w:tcW w:w="915" w:type="dxa"/>
                  <w:tcBorders>
                    <w:top w:val="nil"/>
                    <w:left w:val="nil"/>
                    <w:bottom w:val="single" w:sz="8" w:space="0" w:color="FFFFFF"/>
                    <w:right w:val="single" w:sz="8" w:space="0" w:color="FFFFFF"/>
                  </w:tcBorders>
                  <w:shd w:val="clear" w:color="000000" w:fill="FCD5B4"/>
                  <w:noWrap/>
                  <w:vAlign w:val="center"/>
                  <w:hideMark/>
                </w:tcPr>
                <w:p w14:paraId="32E50836"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61%</w:t>
                  </w:r>
                </w:p>
              </w:tc>
              <w:tc>
                <w:tcPr>
                  <w:tcW w:w="1146" w:type="dxa"/>
                  <w:tcBorders>
                    <w:top w:val="nil"/>
                    <w:left w:val="nil"/>
                    <w:bottom w:val="single" w:sz="8" w:space="0" w:color="FFFFFF"/>
                    <w:right w:val="single" w:sz="8" w:space="0" w:color="FFFFFF"/>
                  </w:tcBorders>
                  <w:shd w:val="clear" w:color="000000" w:fill="FCD5B4"/>
                  <w:noWrap/>
                  <w:vAlign w:val="center"/>
                  <w:hideMark/>
                </w:tcPr>
                <w:p w14:paraId="1778E00D"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企业债5Y</w:t>
                  </w:r>
                </w:p>
              </w:tc>
              <w:tc>
                <w:tcPr>
                  <w:tcW w:w="915" w:type="dxa"/>
                  <w:tcBorders>
                    <w:top w:val="nil"/>
                    <w:left w:val="nil"/>
                    <w:bottom w:val="single" w:sz="8" w:space="0" w:color="FFFFFF"/>
                    <w:right w:val="single" w:sz="8" w:space="0" w:color="FFFFFF"/>
                  </w:tcBorders>
                  <w:shd w:val="clear" w:color="000000" w:fill="FCD5B4"/>
                  <w:noWrap/>
                  <w:vAlign w:val="center"/>
                  <w:hideMark/>
                </w:tcPr>
                <w:p w14:paraId="133823CC"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16%</w:t>
                  </w:r>
                </w:p>
              </w:tc>
              <w:tc>
                <w:tcPr>
                  <w:tcW w:w="915" w:type="dxa"/>
                  <w:tcBorders>
                    <w:top w:val="nil"/>
                    <w:left w:val="nil"/>
                    <w:bottom w:val="single" w:sz="8" w:space="0" w:color="FFFFFF"/>
                    <w:right w:val="single" w:sz="8" w:space="0" w:color="FFFFFF"/>
                  </w:tcBorders>
                  <w:shd w:val="clear" w:color="000000" w:fill="FCD5B4"/>
                  <w:noWrap/>
                  <w:vAlign w:val="center"/>
                  <w:hideMark/>
                </w:tcPr>
                <w:p w14:paraId="6BC2111D"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12%</w:t>
                  </w:r>
                </w:p>
              </w:tc>
              <w:tc>
                <w:tcPr>
                  <w:tcW w:w="915" w:type="dxa"/>
                  <w:tcBorders>
                    <w:top w:val="nil"/>
                    <w:left w:val="nil"/>
                    <w:bottom w:val="single" w:sz="8" w:space="0" w:color="FFFFFF"/>
                    <w:right w:val="single" w:sz="8" w:space="0" w:color="FFFFFF"/>
                  </w:tcBorders>
                  <w:shd w:val="clear" w:color="000000" w:fill="FCD5B4"/>
                  <w:noWrap/>
                  <w:vAlign w:val="center"/>
                  <w:hideMark/>
                </w:tcPr>
                <w:p w14:paraId="0F1774BB"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10%</w:t>
                  </w:r>
                </w:p>
              </w:tc>
              <w:tc>
                <w:tcPr>
                  <w:tcW w:w="915" w:type="dxa"/>
                  <w:tcBorders>
                    <w:top w:val="nil"/>
                    <w:left w:val="nil"/>
                    <w:bottom w:val="single" w:sz="8" w:space="0" w:color="FFFFFF"/>
                    <w:right w:val="single" w:sz="8" w:space="0" w:color="FFFFFF"/>
                  </w:tcBorders>
                  <w:shd w:val="clear" w:color="000000" w:fill="FCD5B4"/>
                  <w:noWrap/>
                  <w:vAlign w:val="center"/>
                  <w:hideMark/>
                </w:tcPr>
                <w:p w14:paraId="11E5F2B1"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66%</w:t>
                  </w:r>
                </w:p>
              </w:tc>
            </w:tr>
            <w:tr w:rsidR="00225070" w:rsidRPr="00225070" w14:paraId="2F24BFB6" w14:textId="77777777" w:rsidTr="00225070">
              <w:trPr>
                <w:trHeight w:val="452"/>
              </w:trPr>
              <w:tc>
                <w:tcPr>
                  <w:tcW w:w="1349" w:type="dxa"/>
                  <w:tcBorders>
                    <w:top w:val="nil"/>
                    <w:left w:val="nil"/>
                    <w:bottom w:val="single" w:sz="8" w:space="0" w:color="FFFFFF"/>
                    <w:right w:val="single" w:sz="8" w:space="0" w:color="FFFFFF"/>
                  </w:tcBorders>
                  <w:shd w:val="clear" w:color="000000" w:fill="FDE9D9"/>
                  <w:noWrap/>
                  <w:vAlign w:val="center"/>
                  <w:hideMark/>
                </w:tcPr>
                <w:p w14:paraId="2C3A6244"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企业债7Y</w:t>
                  </w:r>
                </w:p>
              </w:tc>
              <w:tc>
                <w:tcPr>
                  <w:tcW w:w="917" w:type="dxa"/>
                  <w:tcBorders>
                    <w:top w:val="nil"/>
                    <w:left w:val="nil"/>
                    <w:bottom w:val="single" w:sz="8" w:space="0" w:color="FFFFFF"/>
                    <w:right w:val="single" w:sz="8" w:space="0" w:color="FFFFFF"/>
                  </w:tcBorders>
                  <w:shd w:val="clear" w:color="000000" w:fill="FDE9D9"/>
                  <w:noWrap/>
                  <w:vAlign w:val="center"/>
                  <w:hideMark/>
                </w:tcPr>
                <w:p w14:paraId="56D8903C"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31%</w:t>
                  </w:r>
                </w:p>
              </w:tc>
              <w:tc>
                <w:tcPr>
                  <w:tcW w:w="917" w:type="dxa"/>
                  <w:tcBorders>
                    <w:top w:val="nil"/>
                    <w:left w:val="nil"/>
                    <w:bottom w:val="single" w:sz="8" w:space="0" w:color="FFFFFF"/>
                    <w:right w:val="single" w:sz="8" w:space="0" w:color="FFFFFF"/>
                  </w:tcBorders>
                  <w:shd w:val="clear" w:color="000000" w:fill="FDE9D9"/>
                  <w:noWrap/>
                  <w:vAlign w:val="center"/>
                  <w:hideMark/>
                </w:tcPr>
                <w:p w14:paraId="4D223D37"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24%</w:t>
                  </w:r>
                </w:p>
              </w:tc>
              <w:tc>
                <w:tcPr>
                  <w:tcW w:w="916" w:type="dxa"/>
                  <w:tcBorders>
                    <w:top w:val="nil"/>
                    <w:left w:val="nil"/>
                    <w:bottom w:val="single" w:sz="8" w:space="0" w:color="FFFFFF"/>
                    <w:right w:val="single" w:sz="8" w:space="0" w:color="FFFFFF"/>
                  </w:tcBorders>
                  <w:shd w:val="clear" w:color="000000" w:fill="FDE9D9"/>
                  <w:noWrap/>
                  <w:vAlign w:val="center"/>
                  <w:hideMark/>
                </w:tcPr>
                <w:p w14:paraId="359344A4"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21%</w:t>
                  </w:r>
                </w:p>
              </w:tc>
              <w:tc>
                <w:tcPr>
                  <w:tcW w:w="915" w:type="dxa"/>
                  <w:tcBorders>
                    <w:top w:val="nil"/>
                    <w:left w:val="nil"/>
                    <w:bottom w:val="single" w:sz="8" w:space="0" w:color="FFFFFF"/>
                    <w:right w:val="single" w:sz="8" w:space="0" w:color="FFFFFF"/>
                  </w:tcBorders>
                  <w:shd w:val="clear" w:color="000000" w:fill="FDE9D9"/>
                  <w:noWrap/>
                  <w:vAlign w:val="center"/>
                  <w:hideMark/>
                </w:tcPr>
                <w:p w14:paraId="6DBD235D"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57%</w:t>
                  </w:r>
                </w:p>
              </w:tc>
              <w:tc>
                <w:tcPr>
                  <w:tcW w:w="1146" w:type="dxa"/>
                  <w:tcBorders>
                    <w:top w:val="nil"/>
                    <w:left w:val="nil"/>
                    <w:bottom w:val="single" w:sz="8" w:space="0" w:color="FFFFFF"/>
                    <w:right w:val="single" w:sz="8" w:space="0" w:color="FFFFFF"/>
                  </w:tcBorders>
                  <w:shd w:val="clear" w:color="000000" w:fill="FDE9D9"/>
                  <w:noWrap/>
                  <w:vAlign w:val="center"/>
                  <w:hideMark/>
                </w:tcPr>
                <w:p w14:paraId="0C02942F" w14:textId="77777777" w:rsidR="00225070" w:rsidRPr="00225070" w:rsidRDefault="00225070" w:rsidP="00225070">
                  <w:pPr>
                    <w:widowControl/>
                    <w:jc w:val="center"/>
                    <w:rPr>
                      <w:rFonts w:ascii="楷体" w:eastAsia="楷体" w:hAnsi="楷体" w:cs="宋体"/>
                      <w:color w:val="000000"/>
                      <w:kern w:val="0"/>
                      <w:sz w:val="20"/>
                      <w:szCs w:val="20"/>
                    </w:rPr>
                  </w:pPr>
                  <w:r w:rsidRPr="00225070">
                    <w:rPr>
                      <w:rFonts w:ascii="楷体" w:eastAsia="楷体" w:hAnsi="楷体" w:cs="宋体" w:hint="eastAsia"/>
                      <w:color w:val="000000"/>
                      <w:kern w:val="0"/>
                      <w:sz w:val="20"/>
                      <w:szCs w:val="20"/>
                    </w:rPr>
                    <w:t>企业债7Y</w:t>
                  </w:r>
                </w:p>
              </w:tc>
              <w:tc>
                <w:tcPr>
                  <w:tcW w:w="915" w:type="dxa"/>
                  <w:tcBorders>
                    <w:top w:val="nil"/>
                    <w:left w:val="nil"/>
                    <w:bottom w:val="single" w:sz="8" w:space="0" w:color="FFFFFF"/>
                    <w:right w:val="single" w:sz="8" w:space="0" w:color="FFFFFF"/>
                  </w:tcBorders>
                  <w:shd w:val="clear" w:color="000000" w:fill="FDE9D9"/>
                  <w:noWrap/>
                  <w:vAlign w:val="center"/>
                  <w:hideMark/>
                </w:tcPr>
                <w:p w14:paraId="59FB8A0B"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17%</w:t>
                  </w:r>
                </w:p>
              </w:tc>
              <w:tc>
                <w:tcPr>
                  <w:tcW w:w="915" w:type="dxa"/>
                  <w:tcBorders>
                    <w:top w:val="nil"/>
                    <w:left w:val="nil"/>
                    <w:bottom w:val="single" w:sz="8" w:space="0" w:color="FFFFFF"/>
                    <w:right w:val="single" w:sz="8" w:space="0" w:color="FFFFFF"/>
                  </w:tcBorders>
                  <w:shd w:val="clear" w:color="000000" w:fill="FDE9D9"/>
                  <w:noWrap/>
                  <w:vAlign w:val="center"/>
                  <w:hideMark/>
                </w:tcPr>
                <w:p w14:paraId="21EB9FF7"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7%</w:t>
                  </w:r>
                </w:p>
              </w:tc>
              <w:tc>
                <w:tcPr>
                  <w:tcW w:w="915" w:type="dxa"/>
                  <w:tcBorders>
                    <w:top w:val="nil"/>
                    <w:left w:val="nil"/>
                    <w:bottom w:val="single" w:sz="8" w:space="0" w:color="FFFFFF"/>
                    <w:right w:val="single" w:sz="8" w:space="0" w:color="FFFFFF"/>
                  </w:tcBorders>
                  <w:shd w:val="clear" w:color="000000" w:fill="FDE9D9"/>
                  <w:noWrap/>
                  <w:vAlign w:val="center"/>
                  <w:hideMark/>
                </w:tcPr>
                <w:p w14:paraId="676483A5"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7%</w:t>
                  </w:r>
                </w:p>
              </w:tc>
              <w:tc>
                <w:tcPr>
                  <w:tcW w:w="915" w:type="dxa"/>
                  <w:tcBorders>
                    <w:top w:val="nil"/>
                    <w:left w:val="nil"/>
                    <w:bottom w:val="single" w:sz="8" w:space="0" w:color="FFFFFF"/>
                    <w:right w:val="single" w:sz="8" w:space="0" w:color="FFFFFF"/>
                  </w:tcBorders>
                  <w:shd w:val="clear" w:color="000000" w:fill="FDE9D9"/>
                  <w:noWrap/>
                  <w:vAlign w:val="center"/>
                  <w:hideMark/>
                </w:tcPr>
                <w:p w14:paraId="161B44A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58%</w:t>
                  </w:r>
                </w:p>
              </w:tc>
            </w:tr>
            <w:tr w:rsidR="00225070" w:rsidRPr="00225070" w14:paraId="1506B31A" w14:textId="77777777" w:rsidTr="00225070">
              <w:trPr>
                <w:trHeight w:val="452"/>
              </w:trPr>
              <w:tc>
                <w:tcPr>
                  <w:tcW w:w="1349" w:type="dxa"/>
                  <w:tcBorders>
                    <w:top w:val="nil"/>
                    <w:left w:val="nil"/>
                    <w:bottom w:val="single" w:sz="8" w:space="0" w:color="FFFFFF"/>
                    <w:right w:val="single" w:sz="8" w:space="0" w:color="FFFFFF"/>
                  </w:tcBorders>
                  <w:shd w:val="clear" w:color="000000" w:fill="FCD5B4"/>
                  <w:noWrap/>
                  <w:vAlign w:val="center"/>
                  <w:hideMark/>
                </w:tcPr>
                <w:p w14:paraId="2FDB802F"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3Y</w:t>
                  </w:r>
                </w:p>
              </w:tc>
              <w:tc>
                <w:tcPr>
                  <w:tcW w:w="917" w:type="dxa"/>
                  <w:tcBorders>
                    <w:top w:val="nil"/>
                    <w:left w:val="nil"/>
                    <w:bottom w:val="single" w:sz="8" w:space="0" w:color="FFFFFF"/>
                    <w:right w:val="single" w:sz="8" w:space="0" w:color="FFFFFF"/>
                  </w:tcBorders>
                  <w:shd w:val="clear" w:color="000000" w:fill="FCD5B4"/>
                  <w:noWrap/>
                  <w:vAlign w:val="center"/>
                  <w:hideMark/>
                </w:tcPr>
                <w:p w14:paraId="12D16777"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35%</w:t>
                  </w:r>
                </w:p>
              </w:tc>
              <w:tc>
                <w:tcPr>
                  <w:tcW w:w="917" w:type="dxa"/>
                  <w:tcBorders>
                    <w:top w:val="nil"/>
                    <w:left w:val="nil"/>
                    <w:bottom w:val="single" w:sz="8" w:space="0" w:color="FFFFFF"/>
                    <w:right w:val="single" w:sz="8" w:space="0" w:color="FFFFFF"/>
                  </w:tcBorders>
                  <w:shd w:val="clear" w:color="000000" w:fill="FCD5B4"/>
                  <w:noWrap/>
                  <w:vAlign w:val="center"/>
                  <w:hideMark/>
                </w:tcPr>
                <w:p w14:paraId="067AF249"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33%</w:t>
                  </w:r>
                </w:p>
              </w:tc>
              <w:tc>
                <w:tcPr>
                  <w:tcW w:w="916" w:type="dxa"/>
                  <w:tcBorders>
                    <w:top w:val="nil"/>
                    <w:left w:val="nil"/>
                    <w:bottom w:val="single" w:sz="8" w:space="0" w:color="FFFFFF"/>
                    <w:right w:val="single" w:sz="8" w:space="0" w:color="FFFFFF"/>
                  </w:tcBorders>
                  <w:shd w:val="clear" w:color="000000" w:fill="FCD5B4"/>
                  <w:noWrap/>
                  <w:vAlign w:val="center"/>
                  <w:hideMark/>
                </w:tcPr>
                <w:p w14:paraId="35AD9AE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29%</w:t>
                  </w:r>
                </w:p>
              </w:tc>
              <w:tc>
                <w:tcPr>
                  <w:tcW w:w="915" w:type="dxa"/>
                  <w:tcBorders>
                    <w:top w:val="nil"/>
                    <w:left w:val="nil"/>
                    <w:bottom w:val="single" w:sz="8" w:space="0" w:color="FFFFFF"/>
                    <w:right w:val="single" w:sz="8" w:space="0" w:color="FFFFFF"/>
                  </w:tcBorders>
                  <w:shd w:val="clear" w:color="000000" w:fill="FCD5B4"/>
                  <w:noWrap/>
                  <w:vAlign w:val="center"/>
                  <w:hideMark/>
                </w:tcPr>
                <w:p w14:paraId="601BAB10"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49%</w:t>
                  </w:r>
                </w:p>
              </w:tc>
              <w:tc>
                <w:tcPr>
                  <w:tcW w:w="1146" w:type="dxa"/>
                  <w:tcBorders>
                    <w:top w:val="nil"/>
                    <w:left w:val="nil"/>
                    <w:bottom w:val="single" w:sz="8" w:space="0" w:color="FFFFFF"/>
                    <w:right w:val="single" w:sz="8" w:space="0" w:color="FFFFFF"/>
                  </w:tcBorders>
                  <w:shd w:val="clear" w:color="000000" w:fill="FCD5B4"/>
                  <w:noWrap/>
                  <w:vAlign w:val="center"/>
                  <w:hideMark/>
                </w:tcPr>
                <w:p w14:paraId="207E7249"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3Y</w:t>
                  </w:r>
                </w:p>
              </w:tc>
              <w:tc>
                <w:tcPr>
                  <w:tcW w:w="915" w:type="dxa"/>
                  <w:tcBorders>
                    <w:top w:val="nil"/>
                    <w:left w:val="nil"/>
                    <w:bottom w:val="single" w:sz="8" w:space="0" w:color="FFFFFF"/>
                    <w:right w:val="single" w:sz="8" w:space="0" w:color="FFFFFF"/>
                  </w:tcBorders>
                  <w:shd w:val="clear" w:color="000000" w:fill="FCD5B4"/>
                  <w:noWrap/>
                  <w:vAlign w:val="center"/>
                  <w:hideMark/>
                </w:tcPr>
                <w:p w14:paraId="2DF31C75"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13%</w:t>
                  </w:r>
                </w:p>
              </w:tc>
              <w:tc>
                <w:tcPr>
                  <w:tcW w:w="915" w:type="dxa"/>
                  <w:tcBorders>
                    <w:top w:val="nil"/>
                    <w:left w:val="nil"/>
                    <w:bottom w:val="single" w:sz="8" w:space="0" w:color="FFFFFF"/>
                    <w:right w:val="single" w:sz="8" w:space="0" w:color="FFFFFF"/>
                  </w:tcBorders>
                  <w:shd w:val="clear" w:color="000000" w:fill="FCD5B4"/>
                  <w:noWrap/>
                  <w:vAlign w:val="center"/>
                  <w:hideMark/>
                </w:tcPr>
                <w:p w14:paraId="62978859"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21%</w:t>
                  </w:r>
                </w:p>
              </w:tc>
              <w:tc>
                <w:tcPr>
                  <w:tcW w:w="915" w:type="dxa"/>
                  <w:tcBorders>
                    <w:top w:val="nil"/>
                    <w:left w:val="nil"/>
                    <w:bottom w:val="single" w:sz="8" w:space="0" w:color="FFFFFF"/>
                    <w:right w:val="single" w:sz="8" w:space="0" w:color="FFFFFF"/>
                  </w:tcBorders>
                  <w:shd w:val="clear" w:color="000000" w:fill="FCD5B4"/>
                  <w:noWrap/>
                  <w:vAlign w:val="center"/>
                  <w:hideMark/>
                </w:tcPr>
                <w:p w14:paraId="6A56A1FC"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21%</w:t>
                  </w:r>
                </w:p>
              </w:tc>
              <w:tc>
                <w:tcPr>
                  <w:tcW w:w="915" w:type="dxa"/>
                  <w:tcBorders>
                    <w:top w:val="nil"/>
                    <w:left w:val="nil"/>
                    <w:bottom w:val="single" w:sz="8" w:space="0" w:color="FFFFFF"/>
                    <w:right w:val="single" w:sz="8" w:space="0" w:color="FFFFFF"/>
                  </w:tcBorders>
                  <w:shd w:val="clear" w:color="000000" w:fill="FCD5B4"/>
                  <w:noWrap/>
                  <w:vAlign w:val="center"/>
                  <w:hideMark/>
                </w:tcPr>
                <w:p w14:paraId="189130B8"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42%</w:t>
                  </w:r>
                </w:p>
              </w:tc>
            </w:tr>
            <w:tr w:rsidR="00225070" w:rsidRPr="00225070" w14:paraId="7562BA8F" w14:textId="77777777" w:rsidTr="00225070">
              <w:trPr>
                <w:trHeight w:val="452"/>
              </w:trPr>
              <w:tc>
                <w:tcPr>
                  <w:tcW w:w="1349" w:type="dxa"/>
                  <w:tcBorders>
                    <w:top w:val="nil"/>
                    <w:left w:val="nil"/>
                    <w:bottom w:val="single" w:sz="8" w:space="0" w:color="FFFFFF"/>
                    <w:right w:val="single" w:sz="8" w:space="0" w:color="FFFFFF"/>
                  </w:tcBorders>
                  <w:shd w:val="clear" w:color="000000" w:fill="FDE9D9"/>
                  <w:noWrap/>
                  <w:vAlign w:val="center"/>
                  <w:hideMark/>
                </w:tcPr>
                <w:p w14:paraId="3D119F06"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5Y</w:t>
                  </w:r>
                </w:p>
              </w:tc>
              <w:tc>
                <w:tcPr>
                  <w:tcW w:w="917" w:type="dxa"/>
                  <w:tcBorders>
                    <w:top w:val="nil"/>
                    <w:left w:val="nil"/>
                    <w:bottom w:val="single" w:sz="8" w:space="0" w:color="FFFFFF"/>
                    <w:right w:val="single" w:sz="8" w:space="0" w:color="FFFFFF"/>
                  </w:tcBorders>
                  <w:shd w:val="clear" w:color="000000" w:fill="FDE9D9"/>
                  <w:noWrap/>
                  <w:vAlign w:val="center"/>
                  <w:hideMark/>
                </w:tcPr>
                <w:p w14:paraId="680E73F5"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24%</w:t>
                  </w:r>
                </w:p>
              </w:tc>
              <w:tc>
                <w:tcPr>
                  <w:tcW w:w="917" w:type="dxa"/>
                  <w:tcBorders>
                    <w:top w:val="nil"/>
                    <w:left w:val="nil"/>
                    <w:bottom w:val="single" w:sz="8" w:space="0" w:color="FFFFFF"/>
                    <w:right w:val="single" w:sz="8" w:space="0" w:color="FFFFFF"/>
                  </w:tcBorders>
                  <w:shd w:val="clear" w:color="000000" w:fill="FDE9D9"/>
                  <w:noWrap/>
                  <w:vAlign w:val="center"/>
                  <w:hideMark/>
                </w:tcPr>
                <w:p w14:paraId="0D83627C"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22%</w:t>
                  </w:r>
                </w:p>
              </w:tc>
              <w:tc>
                <w:tcPr>
                  <w:tcW w:w="916" w:type="dxa"/>
                  <w:tcBorders>
                    <w:top w:val="nil"/>
                    <w:left w:val="nil"/>
                    <w:bottom w:val="single" w:sz="8" w:space="0" w:color="FFFFFF"/>
                    <w:right w:val="single" w:sz="8" w:space="0" w:color="FFFFFF"/>
                  </w:tcBorders>
                  <w:shd w:val="clear" w:color="000000" w:fill="FDE9D9"/>
                  <w:noWrap/>
                  <w:vAlign w:val="center"/>
                  <w:hideMark/>
                </w:tcPr>
                <w:p w14:paraId="0465F8C8"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21%</w:t>
                  </w:r>
                </w:p>
              </w:tc>
              <w:tc>
                <w:tcPr>
                  <w:tcW w:w="915" w:type="dxa"/>
                  <w:tcBorders>
                    <w:top w:val="nil"/>
                    <w:left w:val="nil"/>
                    <w:bottom w:val="single" w:sz="8" w:space="0" w:color="FFFFFF"/>
                    <w:right w:val="single" w:sz="8" w:space="0" w:color="FFFFFF"/>
                  </w:tcBorders>
                  <w:shd w:val="clear" w:color="000000" w:fill="FDE9D9"/>
                  <w:noWrap/>
                  <w:vAlign w:val="center"/>
                  <w:hideMark/>
                </w:tcPr>
                <w:p w14:paraId="5705B9F1"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53%</w:t>
                  </w:r>
                </w:p>
              </w:tc>
              <w:tc>
                <w:tcPr>
                  <w:tcW w:w="1146" w:type="dxa"/>
                  <w:tcBorders>
                    <w:top w:val="nil"/>
                    <w:left w:val="nil"/>
                    <w:bottom w:val="single" w:sz="8" w:space="0" w:color="FFFFFF"/>
                    <w:right w:val="single" w:sz="8" w:space="0" w:color="FFFFFF"/>
                  </w:tcBorders>
                  <w:shd w:val="clear" w:color="000000" w:fill="FDE9D9"/>
                  <w:noWrap/>
                  <w:vAlign w:val="center"/>
                  <w:hideMark/>
                </w:tcPr>
                <w:p w14:paraId="11BB2F9D"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5Y</w:t>
                  </w:r>
                </w:p>
              </w:tc>
              <w:tc>
                <w:tcPr>
                  <w:tcW w:w="915" w:type="dxa"/>
                  <w:tcBorders>
                    <w:top w:val="nil"/>
                    <w:left w:val="nil"/>
                    <w:bottom w:val="single" w:sz="8" w:space="0" w:color="FFFFFF"/>
                    <w:right w:val="single" w:sz="8" w:space="0" w:color="FFFFFF"/>
                  </w:tcBorders>
                  <w:shd w:val="clear" w:color="000000" w:fill="FDE9D9"/>
                  <w:noWrap/>
                  <w:vAlign w:val="center"/>
                  <w:hideMark/>
                </w:tcPr>
                <w:p w14:paraId="551E6470"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11%</w:t>
                  </w:r>
                </w:p>
              </w:tc>
              <w:tc>
                <w:tcPr>
                  <w:tcW w:w="915" w:type="dxa"/>
                  <w:tcBorders>
                    <w:top w:val="nil"/>
                    <w:left w:val="nil"/>
                    <w:bottom w:val="single" w:sz="8" w:space="0" w:color="FFFFFF"/>
                    <w:right w:val="single" w:sz="8" w:space="0" w:color="FFFFFF"/>
                  </w:tcBorders>
                  <w:shd w:val="clear" w:color="000000" w:fill="FDE9D9"/>
                  <w:noWrap/>
                  <w:vAlign w:val="center"/>
                  <w:hideMark/>
                </w:tcPr>
                <w:p w14:paraId="0A0004B1"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15%</w:t>
                  </w:r>
                </w:p>
              </w:tc>
              <w:tc>
                <w:tcPr>
                  <w:tcW w:w="915" w:type="dxa"/>
                  <w:tcBorders>
                    <w:top w:val="nil"/>
                    <w:left w:val="nil"/>
                    <w:bottom w:val="single" w:sz="8" w:space="0" w:color="FFFFFF"/>
                    <w:right w:val="single" w:sz="8" w:space="0" w:color="FFFFFF"/>
                  </w:tcBorders>
                  <w:shd w:val="clear" w:color="000000" w:fill="FDE9D9"/>
                  <w:noWrap/>
                  <w:vAlign w:val="center"/>
                  <w:hideMark/>
                </w:tcPr>
                <w:p w14:paraId="3DC0B246"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13%</w:t>
                  </w:r>
                </w:p>
              </w:tc>
              <w:tc>
                <w:tcPr>
                  <w:tcW w:w="915" w:type="dxa"/>
                  <w:tcBorders>
                    <w:top w:val="nil"/>
                    <w:left w:val="nil"/>
                    <w:bottom w:val="single" w:sz="8" w:space="0" w:color="FFFFFF"/>
                    <w:right w:val="single" w:sz="8" w:space="0" w:color="FFFFFF"/>
                  </w:tcBorders>
                  <w:shd w:val="clear" w:color="000000" w:fill="FDE9D9"/>
                  <w:noWrap/>
                  <w:vAlign w:val="center"/>
                  <w:hideMark/>
                </w:tcPr>
                <w:p w14:paraId="2483F535"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61%</w:t>
                  </w:r>
                </w:p>
              </w:tc>
            </w:tr>
            <w:tr w:rsidR="00225070" w:rsidRPr="00225070" w14:paraId="354FC694" w14:textId="77777777" w:rsidTr="00225070">
              <w:trPr>
                <w:trHeight w:val="452"/>
              </w:trPr>
              <w:tc>
                <w:tcPr>
                  <w:tcW w:w="1349" w:type="dxa"/>
                  <w:tcBorders>
                    <w:top w:val="nil"/>
                    <w:left w:val="nil"/>
                    <w:bottom w:val="nil"/>
                    <w:right w:val="nil"/>
                  </w:tcBorders>
                  <w:shd w:val="clear" w:color="000000" w:fill="FCD5B4"/>
                  <w:noWrap/>
                  <w:vAlign w:val="center"/>
                  <w:hideMark/>
                </w:tcPr>
                <w:p w14:paraId="679BE4A7"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7Y</w:t>
                  </w:r>
                </w:p>
              </w:tc>
              <w:tc>
                <w:tcPr>
                  <w:tcW w:w="917" w:type="dxa"/>
                  <w:tcBorders>
                    <w:top w:val="nil"/>
                    <w:left w:val="nil"/>
                    <w:bottom w:val="single" w:sz="8" w:space="0" w:color="FFFFFF"/>
                    <w:right w:val="single" w:sz="8" w:space="0" w:color="FFFFFF"/>
                  </w:tcBorders>
                  <w:shd w:val="clear" w:color="000000" w:fill="FCD5B4"/>
                  <w:noWrap/>
                  <w:vAlign w:val="center"/>
                  <w:hideMark/>
                </w:tcPr>
                <w:p w14:paraId="629FB94D"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22%</w:t>
                  </w:r>
                </w:p>
              </w:tc>
              <w:tc>
                <w:tcPr>
                  <w:tcW w:w="917" w:type="dxa"/>
                  <w:tcBorders>
                    <w:top w:val="nil"/>
                    <w:left w:val="nil"/>
                    <w:bottom w:val="single" w:sz="8" w:space="0" w:color="FFFFFF"/>
                    <w:right w:val="single" w:sz="8" w:space="0" w:color="FFFFFF"/>
                  </w:tcBorders>
                  <w:shd w:val="clear" w:color="000000" w:fill="FCD5B4"/>
                  <w:noWrap/>
                  <w:vAlign w:val="center"/>
                  <w:hideMark/>
                </w:tcPr>
                <w:p w14:paraId="2494A8A0"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20%</w:t>
                  </w:r>
                </w:p>
              </w:tc>
              <w:tc>
                <w:tcPr>
                  <w:tcW w:w="916" w:type="dxa"/>
                  <w:tcBorders>
                    <w:top w:val="nil"/>
                    <w:left w:val="nil"/>
                    <w:bottom w:val="single" w:sz="8" w:space="0" w:color="FFFFFF"/>
                    <w:right w:val="single" w:sz="8" w:space="0" w:color="FFFFFF"/>
                  </w:tcBorders>
                  <w:shd w:val="clear" w:color="000000" w:fill="FCD5B4"/>
                  <w:noWrap/>
                  <w:vAlign w:val="center"/>
                  <w:hideMark/>
                </w:tcPr>
                <w:p w14:paraId="7615B9F2"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19%</w:t>
                  </w:r>
                </w:p>
              </w:tc>
              <w:tc>
                <w:tcPr>
                  <w:tcW w:w="915" w:type="dxa"/>
                  <w:tcBorders>
                    <w:top w:val="nil"/>
                    <w:left w:val="nil"/>
                    <w:bottom w:val="single" w:sz="8" w:space="0" w:color="FFFFFF"/>
                    <w:right w:val="single" w:sz="8" w:space="0" w:color="FFFFFF"/>
                  </w:tcBorders>
                  <w:shd w:val="clear" w:color="000000" w:fill="FCD5B4"/>
                  <w:noWrap/>
                  <w:vAlign w:val="center"/>
                  <w:hideMark/>
                </w:tcPr>
                <w:p w14:paraId="3A8B5F1E"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58%</w:t>
                  </w:r>
                </w:p>
              </w:tc>
              <w:tc>
                <w:tcPr>
                  <w:tcW w:w="1146" w:type="dxa"/>
                  <w:tcBorders>
                    <w:top w:val="nil"/>
                    <w:left w:val="nil"/>
                    <w:bottom w:val="nil"/>
                    <w:right w:val="nil"/>
                  </w:tcBorders>
                  <w:shd w:val="clear" w:color="000000" w:fill="FCD5B4"/>
                  <w:noWrap/>
                  <w:vAlign w:val="center"/>
                  <w:hideMark/>
                </w:tcPr>
                <w:p w14:paraId="0FCCD273" w14:textId="77777777" w:rsidR="00225070" w:rsidRPr="00225070" w:rsidRDefault="00225070" w:rsidP="00225070">
                  <w:pPr>
                    <w:widowControl/>
                    <w:jc w:val="center"/>
                    <w:rPr>
                      <w:rFonts w:ascii="楷体" w:eastAsia="楷体" w:hAnsi="楷体" w:cs="宋体"/>
                      <w:color w:val="000000"/>
                      <w:kern w:val="0"/>
                      <w:sz w:val="20"/>
                      <w:szCs w:val="20"/>
                    </w:rPr>
                  </w:pPr>
                  <w:proofErr w:type="gramStart"/>
                  <w:r w:rsidRPr="00225070">
                    <w:rPr>
                      <w:rFonts w:ascii="楷体" w:eastAsia="楷体" w:hAnsi="楷体" w:cs="宋体" w:hint="eastAsia"/>
                      <w:color w:val="000000"/>
                      <w:kern w:val="0"/>
                      <w:sz w:val="20"/>
                      <w:szCs w:val="20"/>
                    </w:rPr>
                    <w:t>城投债</w:t>
                  </w:r>
                  <w:proofErr w:type="gramEnd"/>
                  <w:r w:rsidRPr="00225070">
                    <w:rPr>
                      <w:rFonts w:ascii="楷体" w:eastAsia="楷体" w:hAnsi="楷体" w:cs="宋体" w:hint="eastAsia"/>
                      <w:color w:val="000000"/>
                      <w:kern w:val="0"/>
                      <w:sz w:val="20"/>
                      <w:szCs w:val="20"/>
                    </w:rPr>
                    <w:t>7Y</w:t>
                  </w:r>
                </w:p>
              </w:tc>
              <w:tc>
                <w:tcPr>
                  <w:tcW w:w="915" w:type="dxa"/>
                  <w:tcBorders>
                    <w:top w:val="nil"/>
                    <w:left w:val="nil"/>
                    <w:bottom w:val="single" w:sz="8" w:space="0" w:color="FFFFFF"/>
                    <w:right w:val="single" w:sz="8" w:space="0" w:color="FFFFFF"/>
                  </w:tcBorders>
                  <w:shd w:val="clear" w:color="000000" w:fill="FCD5B4"/>
                  <w:noWrap/>
                  <w:vAlign w:val="center"/>
                  <w:hideMark/>
                </w:tcPr>
                <w:p w14:paraId="3FB2435E"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11%</w:t>
                  </w:r>
                </w:p>
              </w:tc>
              <w:tc>
                <w:tcPr>
                  <w:tcW w:w="915" w:type="dxa"/>
                  <w:tcBorders>
                    <w:top w:val="nil"/>
                    <w:left w:val="nil"/>
                    <w:bottom w:val="single" w:sz="8" w:space="0" w:color="FFFFFF"/>
                    <w:right w:val="single" w:sz="8" w:space="0" w:color="FFFFFF"/>
                  </w:tcBorders>
                  <w:shd w:val="clear" w:color="000000" w:fill="FCD5B4"/>
                  <w:noWrap/>
                  <w:vAlign w:val="center"/>
                  <w:hideMark/>
                </w:tcPr>
                <w:p w14:paraId="34CF52D4"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11%</w:t>
                  </w:r>
                </w:p>
              </w:tc>
              <w:tc>
                <w:tcPr>
                  <w:tcW w:w="915" w:type="dxa"/>
                  <w:tcBorders>
                    <w:top w:val="nil"/>
                    <w:left w:val="nil"/>
                    <w:bottom w:val="single" w:sz="8" w:space="0" w:color="FFFFFF"/>
                    <w:right w:val="single" w:sz="8" w:space="0" w:color="FFFFFF"/>
                  </w:tcBorders>
                  <w:shd w:val="clear" w:color="000000" w:fill="FCD5B4"/>
                  <w:noWrap/>
                  <w:vAlign w:val="center"/>
                  <w:hideMark/>
                </w:tcPr>
                <w:p w14:paraId="10A95527"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7%</w:t>
                  </w:r>
                </w:p>
              </w:tc>
              <w:tc>
                <w:tcPr>
                  <w:tcW w:w="915" w:type="dxa"/>
                  <w:tcBorders>
                    <w:top w:val="nil"/>
                    <w:left w:val="nil"/>
                    <w:bottom w:val="single" w:sz="8" w:space="0" w:color="FFFFFF"/>
                    <w:right w:val="single" w:sz="8" w:space="0" w:color="FFFFFF"/>
                  </w:tcBorders>
                  <w:shd w:val="clear" w:color="000000" w:fill="FCD5B4"/>
                  <w:noWrap/>
                  <w:vAlign w:val="center"/>
                  <w:hideMark/>
                </w:tcPr>
                <w:p w14:paraId="4B346D3E" w14:textId="77777777" w:rsidR="00225070" w:rsidRPr="00225070" w:rsidRDefault="00225070" w:rsidP="00225070">
                  <w:pPr>
                    <w:widowControl/>
                    <w:jc w:val="center"/>
                    <w:rPr>
                      <w:rFonts w:eastAsia="等线" w:cs="Calibri"/>
                      <w:color w:val="000000"/>
                      <w:kern w:val="0"/>
                      <w:szCs w:val="21"/>
                    </w:rPr>
                  </w:pPr>
                  <w:r w:rsidRPr="00225070">
                    <w:rPr>
                      <w:rFonts w:eastAsia="等线" w:cs="Calibri"/>
                      <w:color w:val="000000"/>
                      <w:kern w:val="0"/>
                      <w:szCs w:val="21"/>
                    </w:rPr>
                    <w:t>61%</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，富荣基金；利差基准为同期限国债</w:t>
            </w:r>
          </w:p>
        </w:tc>
      </w:tr>
    </w:tbl>
    <w:p w14:paraId="26A54476" w14:textId="77777777" w:rsidR="00E0626C" w:rsidRPr="00B8530C"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65AD5DA4" w:rsidR="00C37204" w:rsidRPr="00C16434" w:rsidRDefault="006050AB" w:rsidP="00416C5F">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3926C0" w:rsidRPr="003926C0">
        <w:rPr>
          <w:rFonts w:ascii="华文楷体" w:hAnsi="华文楷体" w:hint="eastAsia"/>
          <w:sz w:val="24"/>
          <w:szCs w:val="24"/>
          <w:lang w:eastAsia="zh-CN"/>
        </w:rPr>
        <w:t>权益</w:t>
      </w:r>
      <w:r w:rsidR="003926C0">
        <w:rPr>
          <w:rFonts w:ascii="华文楷体" w:hAnsi="华文楷体" w:hint="eastAsia"/>
          <w:sz w:val="24"/>
          <w:szCs w:val="24"/>
          <w:lang w:eastAsia="zh-CN"/>
        </w:rPr>
        <w:t>市场情绪</w:t>
      </w:r>
      <w:r w:rsidR="00345C30">
        <w:rPr>
          <w:rFonts w:ascii="华文楷体" w:hAnsi="华文楷体" w:hint="eastAsia"/>
          <w:sz w:val="24"/>
          <w:szCs w:val="24"/>
          <w:lang w:eastAsia="zh-CN"/>
        </w:rPr>
        <w:t>较上周呈现一定分化，上证5</w:t>
      </w:r>
      <w:r w:rsidR="00345C30">
        <w:rPr>
          <w:rFonts w:ascii="华文楷体" w:hAnsi="华文楷体"/>
          <w:sz w:val="24"/>
          <w:szCs w:val="24"/>
          <w:lang w:eastAsia="zh-CN"/>
        </w:rPr>
        <w:t>0</w:t>
      </w:r>
      <w:r w:rsidR="00345C30">
        <w:rPr>
          <w:rFonts w:ascii="华文楷体" w:hAnsi="华文楷体" w:hint="eastAsia"/>
          <w:sz w:val="24"/>
          <w:szCs w:val="24"/>
          <w:lang w:eastAsia="zh-CN"/>
        </w:rPr>
        <w:t>、沪深3</w:t>
      </w:r>
      <w:r w:rsidR="00345C30">
        <w:rPr>
          <w:rFonts w:ascii="华文楷体" w:hAnsi="华文楷体"/>
          <w:sz w:val="24"/>
          <w:szCs w:val="24"/>
          <w:lang w:eastAsia="zh-CN"/>
        </w:rPr>
        <w:t>00</w:t>
      </w:r>
      <w:r w:rsidR="00345C30">
        <w:rPr>
          <w:rFonts w:ascii="华文楷体" w:hAnsi="华文楷体" w:hint="eastAsia"/>
          <w:sz w:val="24"/>
          <w:szCs w:val="24"/>
          <w:lang w:eastAsia="zh-CN"/>
        </w:rPr>
        <w:t>表现下相对略好</w:t>
      </w:r>
      <w:r w:rsidR="003926C0">
        <w:rPr>
          <w:rFonts w:ascii="华文楷体" w:hAnsi="华文楷体" w:hint="eastAsia"/>
          <w:sz w:val="24"/>
          <w:szCs w:val="24"/>
          <w:lang w:eastAsia="zh-CN"/>
        </w:rPr>
        <w:t>，</w:t>
      </w:r>
      <w:r w:rsidR="00363D41">
        <w:rPr>
          <w:rFonts w:ascii="华文楷体" w:hAnsi="华文楷体" w:hint="eastAsia"/>
          <w:sz w:val="24"/>
          <w:szCs w:val="24"/>
          <w:lang w:eastAsia="zh-CN"/>
        </w:rPr>
        <w:t>成交量</w:t>
      </w:r>
      <w:r w:rsidR="00345C30">
        <w:rPr>
          <w:rFonts w:ascii="华文楷体" w:hAnsi="华文楷体" w:hint="eastAsia"/>
          <w:sz w:val="24"/>
          <w:szCs w:val="24"/>
          <w:lang w:eastAsia="zh-CN"/>
        </w:rPr>
        <w:t>涨跌互现</w:t>
      </w:r>
      <w:r w:rsidR="003926C0" w:rsidRPr="003926C0">
        <w:rPr>
          <w:rFonts w:ascii="华文楷体" w:hAnsi="华文楷体" w:hint="eastAsia"/>
          <w:sz w:val="24"/>
          <w:szCs w:val="24"/>
          <w:lang w:eastAsia="zh-CN"/>
        </w:rPr>
        <w:t>。</w:t>
      </w:r>
      <w:r w:rsidR="003926C0">
        <w:rPr>
          <w:rFonts w:ascii="华文楷体" w:hAnsi="华文楷体" w:hint="eastAsia"/>
          <w:sz w:val="24"/>
          <w:szCs w:val="24"/>
          <w:lang w:eastAsia="zh-CN"/>
        </w:rPr>
        <w:t>转债</w:t>
      </w:r>
      <w:r w:rsidR="00D53DFA">
        <w:rPr>
          <w:rFonts w:ascii="华文楷体" w:hAnsi="华文楷体" w:hint="eastAsia"/>
          <w:sz w:val="24"/>
          <w:szCs w:val="24"/>
          <w:lang w:eastAsia="zh-CN"/>
        </w:rPr>
        <w:t>策略</w:t>
      </w:r>
      <w:r w:rsidR="00696F26">
        <w:rPr>
          <w:rFonts w:ascii="华文楷体" w:hAnsi="华文楷体" w:hint="eastAsia"/>
          <w:sz w:val="24"/>
          <w:szCs w:val="24"/>
          <w:lang w:eastAsia="zh-CN"/>
        </w:rPr>
        <w:t>方面</w:t>
      </w:r>
      <w:r w:rsidR="00345C30">
        <w:rPr>
          <w:rFonts w:ascii="华文楷体" w:hAnsi="华文楷体" w:hint="eastAsia"/>
          <w:sz w:val="24"/>
          <w:szCs w:val="24"/>
          <w:lang w:eastAsia="zh-CN"/>
        </w:rPr>
        <w:t>仍持续</w:t>
      </w:r>
      <w:r w:rsidR="00696F26">
        <w:rPr>
          <w:rFonts w:ascii="华文楷体" w:hAnsi="华文楷体" w:hint="eastAsia"/>
          <w:sz w:val="24"/>
          <w:szCs w:val="24"/>
          <w:lang w:eastAsia="zh-CN"/>
        </w:rPr>
        <w:t>关注行业景气度、业绩较好、估值较低的品种</w:t>
      </w:r>
      <w:r w:rsidR="00345C30">
        <w:rPr>
          <w:rFonts w:ascii="华文楷体" w:hAnsi="华文楷体" w:hint="eastAsia"/>
          <w:sz w:val="24"/>
          <w:szCs w:val="24"/>
          <w:lang w:eastAsia="zh-CN"/>
        </w:rPr>
        <w:t>，关注行业和个</w:t>
      </w:r>
      <w:proofErr w:type="gramStart"/>
      <w:r w:rsidR="00345C30">
        <w:rPr>
          <w:rFonts w:ascii="华文楷体" w:hAnsi="华文楷体" w:hint="eastAsia"/>
          <w:sz w:val="24"/>
          <w:szCs w:val="24"/>
          <w:lang w:eastAsia="zh-CN"/>
        </w:rPr>
        <w:t>券</w:t>
      </w:r>
      <w:proofErr w:type="gramEnd"/>
      <w:r w:rsidR="00345C30">
        <w:rPr>
          <w:rFonts w:ascii="华文楷体" w:hAnsi="华文楷体" w:hint="eastAsia"/>
          <w:sz w:val="24"/>
          <w:szCs w:val="24"/>
          <w:lang w:eastAsia="zh-CN"/>
        </w:rPr>
        <w:t>配置机会</w:t>
      </w:r>
      <w:r w:rsidR="003926C0" w:rsidRPr="003926C0">
        <w:rPr>
          <w:rFonts w:ascii="华文楷体" w:hAnsi="华文楷体" w:hint="eastAsia"/>
          <w:sz w:val="24"/>
          <w:szCs w:val="24"/>
          <w:lang w:eastAsia="zh-CN"/>
        </w:rPr>
        <w:t>。</w:t>
      </w:r>
      <w:r w:rsidR="00591DD3">
        <w:rPr>
          <w:rFonts w:ascii="华文楷体" w:hAnsi="华文楷体" w:hint="eastAsia"/>
          <w:sz w:val="24"/>
          <w:szCs w:val="24"/>
          <w:lang w:eastAsia="zh-CN"/>
        </w:rPr>
        <w:t>本周，</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363D41">
        <w:rPr>
          <w:rFonts w:ascii="华文楷体" w:hAnsi="华文楷体" w:hint="eastAsia"/>
          <w:sz w:val="24"/>
          <w:szCs w:val="24"/>
          <w:lang w:eastAsia="zh-CN"/>
        </w:rPr>
        <w:t>+</w:t>
      </w:r>
      <w:r w:rsidR="00345C30">
        <w:rPr>
          <w:rFonts w:ascii="华文楷体" w:hAnsi="华文楷体"/>
          <w:sz w:val="24"/>
          <w:szCs w:val="24"/>
          <w:lang w:eastAsia="zh-CN"/>
        </w:rPr>
        <w:t>0.9</w:t>
      </w:r>
      <w:r w:rsidR="00AC28BB">
        <w:rPr>
          <w:rFonts w:ascii="华文楷体" w:hAnsi="华文楷体"/>
          <w:sz w:val="24"/>
          <w:szCs w:val="24"/>
          <w:lang w:eastAsia="zh-CN"/>
        </w:rPr>
        <w:t>%、</w:t>
      </w:r>
      <w:r w:rsidR="00363D41">
        <w:rPr>
          <w:rFonts w:ascii="华文楷体" w:hAnsi="华文楷体" w:hint="eastAsia"/>
          <w:sz w:val="24"/>
          <w:szCs w:val="24"/>
          <w:lang w:eastAsia="zh-CN"/>
        </w:rPr>
        <w:t>-</w:t>
      </w:r>
      <w:r w:rsidR="00345C30">
        <w:rPr>
          <w:rFonts w:ascii="华文楷体" w:hAnsi="华文楷体"/>
          <w:sz w:val="24"/>
          <w:szCs w:val="24"/>
          <w:lang w:eastAsia="zh-CN"/>
        </w:rPr>
        <w:t>1.8</w:t>
      </w:r>
      <w:r w:rsidR="00AC28BB">
        <w:rPr>
          <w:rFonts w:ascii="华文楷体" w:hAnsi="华文楷体"/>
          <w:sz w:val="24"/>
          <w:szCs w:val="24"/>
          <w:lang w:eastAsia="zh-CN"/>
        </w:rPr>
        <w:t>%、</w:t>
      </w:r>
      <w:r w:rsidR="00363D41">
        <w:rPr>
          <w:rFonts w:ascii="华文楷体" w:hAnsi="华文楷体" w:hint="eastAsia"/>
          <w:sz w:val="24"/>
          <w:szCs w:val="24"/>
          <w:lang w:eastAsia="zh-CN"/>
        </w:rPr>
        <w:t>+</w:t>
      </w:r>
      <w:r w:rsidR="00363D41">
        <w:rPr>
          <w:rFonts w:ascii="华文楷体" w:hAnsi="华文楷体"/>
          <w:sz w:val="24"/>
          <w:szCs w:val="24"/>
          <w:lang w:eastAsia="zh-CN"/>
        </w:rPr>
        <w:t>2.</w:t>
      </w:r>
      <w:r w:rsidR="00934B1E">
        <w:rPr>
          <w:rFonts w:ascii="华文楷体" w:hAnsi="华文楷体"/>
          <w:sz w:val="24"/>
          <w:szCs w:val="24"/>
          <w:lang w:eastAsia="zh-CN"/>
        </w:rPr>
        <w:t>5</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363D41">
        <w:rPr>
          <w:rFonts w:ascii="华文楷体" w:hAnsi="华文楷体" w:hint="eastAsia"/>
          <w:sz w:val="24"/>
          <w:szCs w:val="24"/>
          <w:lang w:eastAsia="zh-CN"/>
        </w:rPr>
        <w:t>+</w:t>
      </w:r>
      <w:r w:rsidR="00934B1E">
        <w:rPr>
          <w:rFonts w:ascii="华文楷体" w:hAnsi="华文楷体"/>
          <w:sz w:val="24"/>
          <w:szCs w:val="24"/>
          <w:lang w:eastAsia="zh-CN"/>
        </w:rPr>
        <w:t>0</w:t>
      </w:r>
      <w:r w:rsidR="00363D41">
        <w:rPr>
          <w:rFonts w:ascii="华文楷体" w:hAnsi="华文楷体"/>
          <w:sz w:val="24"/>
          <w:szCs w:val="24"/>
          <w:lang w:eastAsia="zh-CN"/>
        </w:rPr>
        <w:t>.8</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4426C">
        <w:rPr>
          <w:rFonts w:ascii="华文楷体" w:hAnsi="华文楷体" w:hint="eastAsia"/>
          <w:sz w:val="24"/>
          <w:szCs w:val="24"/>
          <w:lang w:eastAsia="zh-CN"/>
        </w:rPr>
        <w:t>伴随权益市场情绪</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DC05C7">
        <w:rPr>
          <w:rFonts w:ascii="华文楷体" w:hAnsi="华文楷体" w:hint="eastAsia"/>
          <w:sz w:val="24"/>
          <w:szCs w:val="24"/>
          <w:lang w:eastAsia="zh-CN"/>
        </w:rPr>
        <w:t>较上周</w:t>
      </w:r>
      <w:r w:rsidR="00363D41">
        <w:rPr>
          <w:rFonts w:ascii="华文楷体" w:hAnsi="华文楷体" w:hint="eastAsia"/>
          <w:sz w:val="24"/>
          <w:szCs w:val="24"/>
          <w:lang w:eastAsia="zh-CN"/>
        </w:rPr>
        <w:t>微</w:t>
      </w:r>
      <w:r w:rsidR="00934B1E">
        <w:rPr>
          <w:rFonts w:ascii="华文楷体" w:hAnsi="华文楷体" w:hint="eastAsia"/>
          <w:sz w:val="24"/>
          <w:szCs w:val="24"/>
          <w:lang w:eastAsia="zh-CN"/>
        </w:rPr>
        <w:t>涨0</w:t>
      </w:r>
      <w:r w:rsidR="00934B1E">
        <w:rPr>
          <w:rFonts w:ascii="华文楷体" w:hAnsi="华文楷体"/>
          <w:sz w:val="24"/>
          <w:szCs w:val="24"/>
          <w:lang w:eastAsia="zh-CN"/>
        </w:rPr>
        <w:t>.6</w:t>
      </w:r>
      <w:r w:rsidR="00C16434">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934B1E">
        <w:tblPrEx>
          <w:tblCellMar>
            <w:left w:w="108" w:type="dxa"/>
            <w:right w:w="108" w:type="dxa"/>
          </w:tblCellMar>
        </w:tblPrEx>
        <w:trPr>
          <w:jc w:val="center"/>
        </w:trPr>
        <w:tc>
          <w:tcPr>
            <w:tcW w:w="4939" w:type="dxa"/>
            <w:vAlign w:val="center"/>
          </w:tcPr>
          <w:p w14:paraId="5C83721A" w14:textId="63D43124" w:rsidR="00E0626C" w:rsidRPr="00345C30" w:rsidRDefault="00345C30" w:rsidP="00345C30">
            <w:pPr>
              <w:widowControl/>
              <w:jc w:val="left"/>
              <w:rPr>
                <w:rFonts w:ascii="宋体" w:hAnsi="宋体" w:cs="宋体"/>
                <w:kern w:val="0"/>
                <w:sz w:val="24"/>
                <w:szCs w:val="24"/>
              </w:rPr>
            </w:pPr>
            <w:r w:rsidRPr="00345C30">
              <w:rPr>
                <w:rFonts w:ascii="宋体" w:hAnsi="宋体" w:cs="宋体"/>
                <w:noProof/>
                <w:kern w:val="0"/>
                <w:sz w:val="24"/>
                <w:szCs w:val="24"/>
              </w:rPr>
              <w:drawing>
                <wp:inline distT="0" distB="0" distL="0" distR="0" wp14:anchorId="1C14C4F5" wp14:editId="4646B5E2">
                  <wp:extent cx="3010487" cy="1934840"/>
                  <wp:effectExtent l="0" t="0" r="0"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32188" cy="1948788"/>
                          </a:xfrm>
                          <a:prstGeom prst="rect">
                            <a:avLst/>
                          </a:prstGeom>
                          <a:noFill/>
                          <a:ln>
                            <a:noFill/>
                          </a:ln>
                        </pic:spPr>
                      </pic:pic>
                    </a:graphicData>
                  </a:graphic>
                </wp:inline>
              </w:drawing>
            </w:r>
          </w:p>
        </w:tc>
        <w:tc>
          <w:tcPr>
            <w:tcW w:w="4938" w:type="dxa"/>
            <w:vAlign w:val="center"/>
          </w:tcPr>
          <w:p w14:paraId="39BD4383" w14:textId="1B773C1E" w:rsidR="00E0626C" w:rsidRPr="007E0340" w:rsidRDefault="00934B1E" w:rsidP="009A2BA0">
            <w:pPr>
              <w:jc w:val="center"/>
              <w:rPr>
                <w:noProof/>
                <w:szCs w:val="18"/>
              </w:rPr>
            </w:pPr>
            <w:r>
              <w:rPr>
                <w:noProof/>
              </w:rPr>
              <w:drawing>
                <wp:inline distT="0" distB="0" distL="0" distR="0" wp14:anchorId="4849FF59" wp14:editId="436F163F">
                  <wp:extent cx="2998470" cy="1962443"/>
                  <wp:effectExtent l="0" t="0" r="0" b="0"/>
                  <wp:docPr id="10" name="图表 10">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lastRenderedPageBreak/>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36BAED6B"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B050E4" w:rsidRPr="00B050E4">
        <w:rPr>
          <w:rFonts w:ascii="华文楷体" w:hAnsi="华文楷体" w:hint="eastAsia"/>
          <w:bCs/>
          <w:sz w:val="24"/>
          <w:szCs w:val="24"/>
          <w:lang w:eastAsia="zh-CN"/>
        </w:rPr>
        <w:t>本周主要港口动力煤平均价环比回升0.66%，煤价整体处于偏高位置。PTA产业链</w:t>
      </w:r>
      <w:proofErr w:type="gramStart"/>
      <w:r w:rsidR="00B050E4" w:rsidRPr="00B050E4">
        <w:rPr>
          <w:rFonts w:ascii="华文楷体" w:hAnsi="华文楷体" w:hint="eastAsia"/>
          <w:bCs/>
          <w:sz w:val="24"/>
          <w:szCs w:val="24"/>
          <w:lang w:eastAsia="zh-CN"/>
        </w:rPr>
        <w:t>负荷率环比</w:t>
      </w:r>
      <w:proofErr w:type="gramEnd"/>
      <w:r w:rsidR="00B050E4" w:rsidRPr="00B050E4">
        <w:rPr>
          <w:rFonts w:ascii="华文楷体" w:hAnsi="华文楷体" w:hint="eastAsia"/>
          <w:bCs/>
          <w:sz w:val="24"/>
          <w:szCs w:val="24"/>
          <w:lang w:eastAsia="zh-CN"/>
        </w:rPr>
        <w:t>回升1.99%。中国玻璃综合指数回升0.77%，周内玻璃价格稳中有升</w:t>
      </w:r>
      <w:r w:rsidR="00337FC0" w:rsidRPr="00337FC0">
        <w:rPr>
          <w:rFonts w:ascii="华文楷体" w:hAnsi="华文楷体" w:hint="eastAsia"/>
          <w:bCs/>
          <w:sz w:val="24"/>
          <w:szCs w:val="24"/>
          <w:lang w:eastAsia="zh-CN"/>
        </w:rPr>
        <w:t>。</w:t>
      </w:r>
      <w:proofErr w:type="spellStart"/>
      <w:r w:rsidR="00B050E4" w:rsidRPr="00B050E4">
        <w:rPr>
          <w:rFonts w:ascii="华文楷体" w:hAnsi="华文楷体" w:hint="eastAsia"/>
          <w:bCs/>
          <w:sz w:val="24"/>
          <w:szCs w:val="24"/>
          <w:lang w:eastAsia="zh-CN"/>
        </w:rPr>
        <w:t>Myspic</w:t>
      </w:r>
      <w:proofErr w:type="spellEnd"/>
      <w:r w:rsidR="00B050E4" w:rsidRPr="00B050E4">
        <w:rPr>
          <w:rFonts w:ascii="华文楷体" w:hAnsi="华文楷体" w:hint="eastAsia"/>
          <w:bCs/>
          <w:sz w:val="24"/>
          <w:szCs w:val="24"/>
          <w:lang w:eastAsia="zh-CN"/>
        </w:rPr>
        <w:t>综合全国钢铁价格指数上行0.7%，较上周涨幅略有收窄。主要品种中，螺纹钢、热卷、高线价格本周表现分化，分别变动0.13%、0.82%、-0.11%；从库存来看，螺纹钢、热卷、线材库存分别变动-7.68%、-4.55%、-7.82%，库存回落速度有所减慢。</w:t>
      </w:r>
    </w:p>
    <w:p w14:paraId="21425444" w14:textId="27F4E969"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CC2F5D" w:rsidRPr="00D67BD7">
        <w:rPr>
          <w:rFonts w:ascii="华文楷体" w:hAnsi="华文楷体" w:hint="eastAsia"/>
          <w:b/>
          <w:bCs/>
          <w:sz w:val="24"/>
          <w:szCs w:val="24"/>
          <w:lang w:eastAsia="zh-CN"/>
        </w:rPr>
        <w:t>：</w:t>
      </w:r>
      <w:r w:rsidR="00BE76C3" w:rsidRPr="00BE76C3">
        <w:rPr>
          <w:rFonts w:ascii="华文楷体" w:hAnsi="华文楷体" w:hint="eastAsia"/>
          <w:bCs/>
          <w:sz w:val="24"/>
          <w:szCs w:val="24"/>
          <w:lang w:eastAsia="zh-CN"/>
        </w:rPr>
        <w:t>本周30大中城市商品房成交面积持平前周，其中一、二、三线城市销售表现分化，其中一、三线城市销售面积继续回落，二线城市销售面积有所回升，整体表现持平；拿地方面，本周100大中城市土地成交面积表现仍偏弱，各线城市拿地均有所下行，一、三线城市土地成交面积回落速度较快，当前拿</w:t>
      </w:r>
      <w:proofErr w:type="gramStart"/>
      <w:r w:rsidR="00BE76C3" w:rsidRPr="00BE76C3">
        <w:rPr>
          <w:rFonts w:ascii="华文楷体" w:hAnsi="华文楷体" w:hint="eastAsia"/>
          <w:bCs/>
          <w:sz w:val="24"/>
          <w:szCs w:val="24"/>
          <w:lang w:eastAsia="zh-CN"/>
        </w:rPr>
        <w:t>地数据</w:t>
      </w:r>
      <w:proofErr w:type="gramEnd"/>
      <w:r w:rsidR="00BE76C3" w:rsidRPr="00BE76C3">
        <w:rPr>
          <w:rFonts w:ascii="华文楷体" w:hAnsi="华文楷体" w:hint="eastAsia"/>
          <w:bCs/>
          <w:sz w:val="24"/>
          <w:szCs w:val="24"/>
          <w:lang w:eastAsia="zh-CN"/>
        </w:rPr>
        <w:t>下行或对明年新开工造成影响。从地产信托发行数据来看，本周地产信托发行量为199.79亿，较上周的发行96.26亿明显上行</w:t>
      </w:r>
      <w:r w:rsidR="00BE76C3">
        <w:rPr>
          <w:rFonts w:ascii="华文楷体" w:hAnsi="华文楷体" w:hint="eastAsia"/>
          <w:bCs/>
          <w:sz w:val="24"/>
          <w:szCs w:val="24"/>
          <w:lang w:eastAsia="zh-CN"/>
        </w:rPr>
        <w:t>。</w:t>
      </w:r>
    </w:p>
    <w:p w14:paraId="3BDE386D" w14:textId="268D273F" w:rsidR="003B54C0" w:rsidRPr="00682A95" w:rsidRDefault="005D478C" w:rsidP="0007254B">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2547B9" w:rsidRPr="00AE5436">
        <w:rPr>
          <w:rFonts w:ascii="华文楷体" w:hAnsi="华文楷体" w:hint="eastAsia"/>
          <w:bCs/>
          <w:sz w:val="24"/>
          <w:szCs w:val="24"/>
          <w:lang w:eastAsia="zh-CN"/>
        </w:rPr>
        <w:t>进口方面，</w:t>
      </w:r>
      <w:r w:rsidR="00BE76C3" w:rsidRPr="00BE76C3">
        <w:rPr>
          <w:rFonts w:ascii="华文楷体" w:hAnsi="华文楷体" w:hint="eastAsia"/>
          <w:bCs/>
          <w:sz w:val="24"/>
          <w:szCs w:val="24"/>
          <w:lang w:eastAsia="zh-CN"/>
        </w:rPr>
        <w:t>波罗的海干散货指数较上周回落6.64%，中国进口干散货运价指数走势较上周回落3.24%。</w:t>
      </w:r>
      <w:r w:rsidR="002547B9" w:rsidRPr="00AE5436">
        <w:rPr>
          <w:rFonts w:ascii="华文楷体" w:hAnsi="华文楷体" w:hint="eastAsia"/>
          <w:bCs/>
          <w:sz w:val="24"/>
          <w:szCs w:val="24"/>
          <w:lang w:eastAsia="zh-CN"/>
        </w:rPr>
        <w:t>出口方面，</w:t>
      </w:r>
      <w:r w:rsidR="00BE76C3" w:rsidRPr="00BE76C3">
        <w:rPr>
          <w:rFonts w:ascii="华文楷体" w:hAnsi="华文楷体" w:hint="eastAsia"/>
          <w:bCs/>
          <w:sz w:val="24"/>
          <w:szCs w:val="24"/>
          <w:lang w:eastAsia="zh-CN"/>
        </w:rPr>
        <w:t>上海出口集装箱指数（SCFI）本周回升4.63%，中国出口集装箱运价指数（CCFI）本周则继续明显上行5.67%，两者一致较强。</w:t>
      </w:r>
    </w:p>
    <w:p w14:paraId="0542DAC4" w14:textId="66882E55"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F12CC7" w:rsidRPr="00F12CC7">
        <w:rPr>
          <w:rFonts w:ascii="华文楷体" w:hAnsi="华文楷体" w:hint="eastAsia"/>
          <w:bCs/>
          <w:sz w:val="24"/>
          <w:szCs w:val="24"/>
          <w:lang w:eastAsia="zh-CN"/>
        </w:rPr>
        <w:t>猪肉价格本周微幅回落0.08%，</w:t>
      </w:r>
      <w:proofErr w:type="gramStart"/>
      <w:r w:rsidR="00F12CC7" w:rsidRPr="00F12CC7">
        <w:rPr>
          <w:rFonts w:ascii="华文楷体" w:hAnsi="华文楷体" w:hint="eastAsia"/>
          <w:bCs/>
          <w:sz w:val="24"/>
          <w:szCs w:val="24"/>
          <w:lang w:eastAsia="zh-CN"/>
        </w:rPr>
        <w:t>周度数据</w:t>
      </w:r>
      <w:proofErr w:type="gramEnd"/>
      <w:r w:rsidR="00F12CC7" w:rsidRPr="00F12CC7">
        <w:rPr>
          <w:rFonts w:ascii="华文楷体" w:hAnsi="华文楷体" w:hint="eastAsia"/>
          <w:bCs/>
          <w:sz w:val="24"/>
          <w:szCs w:val="24"/>
          <w:lang w:eastAsia="zh-CN"/>
        </w:rPr>
        <w:t>来看，农业部公布的全国平均批发价较上周末小幅回落至39.35元/公斤左右</w:t>
      </w:r>
      <w:r w:rsidR="00F12CC7">
        <w:rPr>
          <w:rFonts w:ascii="华文楷体" w:hAnsi="华文楷体" w:hint="eastAsia"/>
          <w:bCs/>
          <w:sz w:val="24"/>
          <w:szCs w:val="24"/>
          <w:lang w:eastAsia="zh-CN"/>
        </w:rPr>
        <w:t>。</w:t>
      </w:r>
      <w:r w:rsidR="00F12CC7" w:rsidRPr="00F12CC7">
        <w:rPr>
          <w:rFonts w:ascii="华文楷体" w:hAnsi="华文楷体" w:hint="eastAsia"/>
          <w:bCs/>
          <w:sz w:val="24"/>
          <w:szCs w:val="24"/>
          <w:lang w:eastAsia="zh-CN"/>
        </w:rPr>
        <w:t>牛羊肉价格表现分化，牛肉本周回落0.01%，羊肉价格微幅回升0.6%；蔬菜方面，价格转为回升0.81%；水果价格则继续上行0.46%，走势基本符合季节性；鸡蛋方面，价格回落1.62%；水产品本周价格回升0.18%。</w:t>
      </w:r>
      <w:r w:rsidR="0063487B" w:rsidRPr="0063487B">
        <w:rPr>
          <w:rFonts w:ascii="华文楷体" w:hAnsi="华文楷体" w:hint="eastAsia"/>
          <w:bCs/>
          <w:sz w:val="24"/>
          <w:szCs w:val="24"/>
          <w:lang w:eastAsia="zh-CN"/>
        </w:rPr>
        <w:t>工业品价格方面，</w:t>
      </w:r>
      <w:r w:rsidR="00F12CC7" w:rsidRPr="00F12CC7">
        <w:rPr>
          <w:rFonts w:ascii="华文楷体" w:hAnsi="华文楷体" w:hint="eastAsia"/>
          <w:bCs/>
          <w:sz w:val="24"/>
          <w:szCs w:val="24"/>
          <w:lang w:eastAsia="zh-CN"/>
        </w:rPr>
        <w:t>本周国内有色品种价格明显上涨，长江有色市场现货价格铜、铝、铅、锌价分别变动3.2%、2.1%、3.4%、1.5%，各品种表现强劲；海外价格来看，LME铜、铝、铅、</w:t>
      </w:r>
      <w:proofErr w:type="gramStart"/>
      <w:r w:rsidR="00F12CC7" w:rsidRPr="00F12CC7">
        <w:rPr>
          <w:rFonts w:ascii="华文楷体" w:hAnsi="华文楷体" w:hint="eastAsia"/>
          <w:bCs/>
          <w:sz w:val="24"/>
          <w:szCs w:val="24"/>
          <w:lang w:eastAsia="zh-CN"/>
        </w:rPr>
        <w:t>锌较上</w:t>
      </w:r>
      <w:proofErr w:type="gramEnd"/>
      <w:r w:rsidR="00F12CC7" w:rsidRPr="00F12CC7">
        <w:rPr>
          <w:rFonts w:ascii="华文楷体" w:hAnsi="华文楷体" w:hint="eastAsia"/>
          <w:bCs/>
          <w:sz w:val="24"/>
          <w:szCs w:val="24"/>
          <w:lang w:eastAsia="zh-CN"/>
        </w:rPr>
        <w:t>周环比变化分别为2.6%、0.16%、4.2%、1.5%，均有所上涨。</w:t>
      </w:r>
    </w:p>
    <w:p w14:paraId="29155A05" w14:textId="34D289E3"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1" w:name="_Hlk21205334"/>
      <w:r w:rsidR="00C760CE" w:rsidRPr="00C760CE">
        <w:rPr>
          <w:rFonts w:ascii="华文楷体" w:hAnsi="华文楷体" w:hint="eastAsia"/>
          <w:bCs/>
          <w:sz w:val="24"/>
          <w:szCs w:val="24"/>
          <w:lang w:eastAsia="zh-CN"/>
        </w:rPr>
        <w:t>乘联会最新数据显示，11月第三周的日均零售是5.3万辆，同比增长7%，环比10月第三周下降1%；批发方面，11月第三周主要厂商批发销量达到日均6.3万辆，同比增长14%，环比10月第三周增长8%。</w:t>
      </w:r>
    </w:p>
    <w:p w14:paraId="6C0621FD" w14:textId="6C415F64"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C760CE" w:rsidRPr="00C760CE">
        <w:rPr>
          <w:rFonts w:ascii="华文楷体" w:hAnsi="华文楷体" w:hint="eastAsia"/>
          <w:bCs/>
          <w:sz w:val="24"/>
          <w:szCs w:val="24"/>
          <w:lang w:eastAsia="zh-CN"/>
        </w:rPr>
        <w:t>WTI原油价格回升7.3%，至45.53美元/桶；布伦</w:t>
      </w:r>
      <w:proofErr w:type="gramStart"/>
      <w:r w:rsidR="00C760CE" w:rsidRPr="00C760CE">
        <w:rPr>
          <w:rFonts w:ascii="华文楷体" w:hAnsi="华文楷体" w:hint="eastAsia"/>
          <w:bCs/>
          <w:sz w:val="24"/>
          <w:szCs w:val="24"/>
          <w:lang w:eastAsia="zh-CN"/>
        </w:rPr>
        <w:t>特</w:t>
      </w:r>
      <w:proofErr w:type="gramEnd"/>
      <w:r w:rsidR="00C760CE" w:rsidRPr="00C760CE">
        <w:rPr>
          <w:rFonts w:ascii="华文楷体" w:hAnsi="华文楷体" w:hint="eastAsia"/>
          <w:bCs/>
          <w:sz w:val="24"/>
          <w:szCs w:val="24"/>
          <w:lang w:eastAsia="zh-CN"/>
        </w:rPr>
        <w:t>原油价格回升7.16%，至48.18美元/桶，国际油价连续四周回升</w:t>
      </w:r>
      <w:r w:rsidR="00AE5436" w:rsidRPr="00AE5436">
        <w:rPr>
          <w:rFonts w:ascii="华文楷体" w:hAnsi="华文楷体" w:hint="eastAsia"/>
          <w:bCs/>
          <w:sz w:val="24"/>
          <w:szCs w:val="24"/>
          <w:lang w:eastAsia="zh-CN"/>
        </w:rPr>
        <w:t>。</w:t>
      </w:r>
    </w:p>
    <w:p w14:paraId="6197476A" w14:textId="527F8095" w:rsidR="00A058AB"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C760CE" w:rsidRPr="00C760CE">
        <w:rPr>
          <w:rFonts w:ascii="Helvetica" w:hAnsi="Helvetica" w:hint="eastAsia"/>
          <w:color w:val="000000"/>
          <w:spacing w:val="8"/>
          <w:sz w:val="23"/>
          <w:szCs w:val="23"/>
          <w:shd w:val="clear" w:color="auto" w:fill="FFFFFF"/>
          <w:lang w:eastAsia="zh-CN"/>
        </w:rPr>
        <w:t>11</w:t>
      </w:r>
      <w:r w:rsidR="00C760CE" w:rsidRPr="00C760CE">
        <w:rPr>
          <w:rFonts w:ascii="Helvetica" w:hAnsi="Helvetica" w:hint="eastAsia"/>
          <w:color w:val="000000"/>
          <w:spacing w:val="8"/>
          <w:sz w:val="23"/>
          <w:szCs w:val="23"/>
          <w:shd w:val="clear" w:color="auto" w:fill="FFFFFF"/>
          <w:lang w:eastAsia="zh-CN"/>
        </w:rPr>
        <w:t>月官方</w:t>
      </w:r>
      <w:r w:rsidR="00C760CE" w:rsidRPr="00C760CE">
        <w:rPr>
          <w:rFonts w:ascii="Helvetica" w:hAnsi="Helvetica" w:hint="eastAsia"/>
          <w:color w:val="000000"/>
          <w:spacing w:val="8"/>
          <w:sz w:val="23"/>
          <w:szCs w:val="23"/>
          <w:shd w:val="clear" w:color="auto" w:fill="FFFFFF"/>
          <w:lang w:eastAsia="zh-CN"/>
        </w:rPr>
        <w:t>PMI</w:t>
      </w:r>
      <w:r w:rsidR="00C760CE" w:rsidRPr="00C760CE">
        <w:rPr>
          <w:rFonts w:ascii="Helvetica" w:hAnsi="Helvetica" w:hint="eastAsia"/>
          <w:color w:val="000000"/>
          <w:spacing w:val="8"/>
          <w:sz w:val="23"/>
          <w:szCs w:val="23"/>
          <w:shd w:val="clear" w:color="auto" w:fill="FFFFFF"/>
          <w:lang w:eastAsia="zh-CN"/>
        </w:rPr>
        <w:t>数据、</w:t>
      </w:r>
      <w:r w:rsidR="00C760CE" w:rsidRPr="00C760CE">
        <w:rPr>
          <w:rFonts w:ascii="Helvetica" w:hAnsi="Helvetica" w:hint="eastAsia"/>
          <w:color w:val="000000"/>
          <w:spacing w:val="8"/>
          <w:sz w:val="23"/>
          <w:szCs w:val="23"/>
          <w:shd w:val="clear" w:color="auto" w:fill="FFFFFF"/>
          <w:lang w:eastAsia="zh-CN"/>
        </w:rPr>
        <w:t>12</w:t>
      </w:r>
      <w:r w:rsidR="00C760CE" w:rsidRPr="00C760CE">
        <w:rPr>
          <w:rFonts w:ascii="Helvetica" w:hAnsi="Helvetica" w:hint="eastAsia"/>
          <w:color w:val="000000"/>
          <w:spacing w:val="8"/>
          <w:sz w:val="23"/>
          <w:szCs w:val="23"/>
          <w:shd w:val="clear" w:color="auto" w:fill="FFFFFF"/>
          <w:lang w:eastAsia="zh-CN"/>
        </w:rPr>
        <w:t>月政治局会议</w:t>
      </w:r>
    </w:p>
    <w:p w14:paraId="35D3E229" w14:textId="77777777" w:rsidR="00DA6262" w:rsidRPr="005C6814" w:rsidRDefault="00DA6262" w:rsidP="00F07541">
      <w:pPr>
        <w:pStyle w:val="Body-text"/>
        <w:ind w:firstLineChars="200" w:firstLine="480"/>
        <w:rPr>
          <w:rFonts w:ascii="华文楷体" w:hAnsi="华文楷体"/>
          <w:bCs/>
          <w:sz w:val="24"/>
          <w:szCs w:val="24"/>
          <w:lang w:eastAsia="zh-CN"/>
        </w:rPr>
      </w:pPr>
    </w:p>
    <w:bookmarkEnd w:id="1"/>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08B121AC"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C760CE" w:rsidRPr="00C760CE">
        <w:rPr>
          <w:rFonts w:ascii="华文楷体" w:hAnsi="华文楷体" w:hint="eastAsia"/>
          <w:sz w:val="24"/>
          <w:szCs w:val="24"/>
          <w:lang w:eastAsia="zh-CN"/>
        </w:rPr>
        <w:t>三季度央行货币政策报告对国内经济的预期偏正面，重提“总闸门”，正常化仍在进程中。但货币政策的目标，更为多元，对防风险的着墨也更多，“既保持流动性合理充裕，不让市场缺钱，又坚决不搞‘大水漫灌’，不让市场的钱溢出来”，短期因信用风险发酵狭义流动性反而得到保障。报告也明确提出市场化利率围绕政策利率的目标，未来可重点关注存单利率变化。当前存单利率已逐渐接近2018年下半年来的高点，与回购政策利率之间的利差较阔，随着银行调整完结构性存款，年前存单价格或</w:t>
      </w:r>
      <w:proofErr w:type="gramStart"/>
      <w:r w:rsidR="00C760CE" w:rsidRPr="00C760CE">
        <w:rPr>
          <w:rFonts w:ascii="华文楷体" w:hAnsi="华文楷体" w:hint="eastAsia"/>
          <w:sz w:val="24"/>
          <w:szCs w:val="24"/>
          <w:lang w:eastAsia="zh-CN"/>
        </w:rPr>
        <w:t>进入磨顶阶段</w:t>
      </w:r>
      <w:proofErr w:type="gramEnd"/>
      <w:r w:rsidR="00C760CE" w:rsidRPr="00C760CE">
        <w:rPr>
          <w:rFonts w:ascii="华文楷体" w:hAnsi="华文楷体" w:hint="eastAsia"/>
          <w:sz w:val="24"/>
          <w:szCs w:val="24"/>
          <w:lang w:eastAsia="zh-CN"/>
        </w:rPr>
        <w:t>。对于长端利率，经济回暖、大宗商品价格修复等背景下，利率整体仍处于逆风阶段，拐点需要进一步等待。</w:t>
      </w:r>
    </w:p>
    <w:p w14:paraId="2C3F4BD1" w14:textId="16F37B75"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lastRenderedPageBreak/>
        <w:t>信用</w:t>
      </w:r>
      <w:r>
        <w:rPr>
          <w:rFonts w:ascii="华文楷体" w:hAnsi="华文楷体" w:hint="eastAsia"/>
          <w:sz w:val="24"/>
          <w:szCs w:val="24"/>
          <w:lang w:eastAsia="zh-CN"/>
        </w:rPr>
        <w:t>债：</w:t>
      </w:r>
      <w:r w:rsidR="00C760CE">
        <w:rPr>
          <w:rFonts w:ascii="华文楷体" w:hAnsi="华文楷体" w:hint="eastAsia"/>
          <w:sz w:val="24"/>
          <w:szCs w:val="24"/>
          <w:lang w:eastAsia="zh-CN"/>
        </w:rPr>
        <w:t>尽管本周情绪适度修复，收益率小幅下行，但</w:t>
      </w:r>
      <w:r w:rsidR="00F71169">
        <w:rPr>
          <w:rFonts w:ascii="华文楷体" w:hAnsi="华文楷体" w:hint="eastAsia"/>
          <w:sz w:val="24"/>
          <w:szCs w:val="24"/>
          <w:lang w:eastAsia="zh-CN"/>
        </w:rPr>
        <w:t>信用溢价</w:t>
      </w:r>
      <w:r w:rsidR="00C760CE">
        <w:rPr>
          <w:rFonts w:ascii="华文楷体" w:hAnsi="华文楷体" w:hint="eastAsia"/>
          <w:sz w:val="24"/>
          <w:szCs w:val="24"/>
          <w:lang w:eastAsia="zh-CN"/>
        </w:rPr>
        <w:t>仍</w:t>
      </w:r>
      <w:proofErr w:type="gramStart"/>
      <w:r w:rsidR="00C760CE">
        <w:rPr>
          <w:rFonts w:ascii="华文楷体" w:hAnsi="华文楷体" w:hint="eastAsia"/>
          <w:sz w:val="24"/>
          <w:szCs w:val="24"/>
          <w:lang w:eastAsia="zh-CN"/>
        </w:rPr>
        <w:t>延续</w:t>
      </w:r>
      <w:r w:rsidR="00F71169">
        <w:rPr>
          <w:rFonts w:ascii="华文楷体" w:hAnsi="华文楷体" w:hint="eastAsia"/>
          <w:sz w:val="24"/>
          <w:szCs w:val="24"/>
          <w:lang w:eastAsia="zh-CN"/>
        </w:rPr>
        <w:t>走阔</w:t>
      </w:r>
      <w:r w:rsidR="00C760CE">
        <w:rPr>
          <w:rFonts w:ascii="华文楷体" w:hAnsi="华文楷体" w:hint="eastAsia"/>
          <w:sz w:val="24"/>
          <w:szCs w:val="24"/>
          <w:lang w:eastAsia="zh-CN"/>
        </w:rPr>
        <w:t>态势</w:t>
      </w:r>
      <w:proofErr w:type="gramEnd"/>
      <w:r w:rsidR="00F71169">
        <w:rPr>
          <w:rFonts w:ascii="华文楷体" w:hAnsi="华文楷体" w:hint="eastAsia"/>
          <w:sz w:val="24"/>
          <w:szCs w:val="24"/>
          <w:lang w:eastAsia="zh-CN"/>
        </w:rPr>
        <w:t>，</w:t>
      </w:r>
      <w:r w:rsidR="00C760CE">
        <w:rPr>
          <w:rFonts w:ascii="华文楷体" w:hAnsi="华文楷体" w:hint="eastAsia"/>
          <w:sz w:val="24"/>
          <w:szCs w:val="24"/>
          <w:lang w:eastAsia="zh-CN"/>
        </w:rPr>
        <w:t>维持近期</w:t>
      </w:r>
      <w:r w:rsidR="000C0E4A">
        <w:rPr>
          <w:rFonts w:ascii="华文楷体" w:hAnsi="华文楷体" w:hint="eastAsia"/>
          <w:sz w:val="24"/>
          <w:szCs w:val="24"/>
          <w:lang w:eastAsia="zh-CN"/>
        </w:rPr>
        <w:t>观点，关注</w:t>
      </w:r>
      <w:r w:rsidR="00C760CE">
        <w:rPr>
          <w:rFonts w:ascii="华文楷体" w:hAnsi="华文楷体" w:hint="eastAsia"/>
          <w:sz w:val="24"/>
          <w:szCs w:val="24"/>
          <w:lang w:eastAsia="zh-CN"/>
        </w:rPr>
        <w:t>个</w:t>
      </w:r>
      <w:proofErr w:type="gramStart"/>
      <w:r w:rsidR="00C760CE">
        <w:rPr>
          <w:rFonts w:ascii="华文楷体" w:hAnsi="华文楷体" w:hint="eastAsia"/>
          <w:sz w:val="24"/>
          <w:szCs w:val="24"/>
          <w:lang w:eastAsia="zh-CN"/>
        </w:rPr>
        <w:t>券</w:t>
      </w:r>
      <w:proofErr w:type="gramEnd"/>
      <w:r w:rsidR="00C760CE">
        <w:rPr>
          <w:rFonts w:ascii="华文楷体" w:hAnsi="华文楷体" w:hint="eastAsia"/>
          <w:sz w:val="24"/>
          <w:szCs w:val="24"/>
          <w:lang w:eastAsia="zh-CN"/>
        </w:rPr>
        <w:t>错杀机会</w:t>
      </w:r>
      <w:r w:rsidR="00F71169">
        <w:rPr>
          <w:rFonts w:ascii="华文楷体" w:hAnsi="华文楷体" w:hint="eastAsia"/>
          <w:sz w:val="24"/>
          <w:szCs w:val="24"/>
          <w:lang w:eastAsia="zh-CN"/>
        </w:rPr>
        <w:t>。策略上，</w:t>
      </w:r>
      <w:r w:rsidR="00D30FEC">
        <w:rPr>
          <w:rFonts w:ascii="华文楷体" w:hAnsi="华文楷体" w:hint="eastAsia"/>
          <w:sz w:val="24"/>
          <w:szCs w:val="24"/>
          <w:lang w:eastAsia="zh-CN"/>
        </w:rPr>
        <w:t>仍</w:t>
      </w:r>
      <w:r w:rsidR="00F106F6">
        <w:rPr>
          <w:rFonts w:ascii="华文楷体" w:hAnsi="华文楷体" w:hint="eastAsia"/>
          <w:sz w:val="24"/>
          <w:szCs w:val="24"/>
          <w:lang w:eastAsia="zh-CN"/>
        </w:rPr>
        <w:t>坚持</w:t>
      </w:r>
      <w:r w:rsidR="00F30246">
        <w:rPr>
          <w:rFonts w:ascii="华文楷体" w:hAnsi="华文楷体" w:hint="eastAsia"/>
          <w:sz w:val="24"/>
          <w:szCs w:val="24"/>
          <w:lang w:eastAsia="zh-CN"/>
        </w:rPr>
        <w:t>信用偏好不过度下沉，</w:t>
      </w:r>
      <w:r w:rsidR="00D30FEC">
        <w:rPr>
          <w:rFonts w:ascii="华文楷体" w:hAnsi="华文楷体" w:hint="eastAsia"/>
          <w:sz w:val="24"/>
          <w:szCs w:val="24"/>
          <w:lang w:eastAsia="zh-CN"/>
        </w:rPr>
        <w:t>挖掘行业和个</w:t>
      </w:r>
      <w:proofErr w:type="gramStart"/>
      <w:r w:rsidR="00D30FEC">
        <w:rPr>
          <w:rFonts w:ascii="华文楷体" w:hAnsi="华文楷体" w:hint="eastAsia"/>
          <w:sz w:val="24"/>
          <w:szCs w:val="24"/>
          <w:lang w:eastAsia="zh-CN"/>
        </w:rPr>
        <w:t>券</w:t>
      </w:r>
      <w:proofErr w:type="gramEnd"/>
      <w:r w:rsidR="00F30246">
        <w:rPr>
          <w:rFonts w:ascii="华文楷体" w:hAnsi="华文楷体" w:hint="eastAsia"/>
          <w:sz w:val="24"/>
          <w:szCs w:val="24"/>
          <w:lang w:eastAsia="zh-CN"/>
        </w:rPr>
        <w:t>错杀</w:t>
      </w:r>
      <w:r w:rsidR="00D30FEC">
        <w:rPr>
          <w:rFonts w:ascii="华文楷体" w:hAnsi="华文楷体" w:hint="eastAsia"/>
          <w:sz w:val="24"/>
          <w:szCs w:val="24"/>
          <w:lang w:eastAsia="zh-CN"/>
        </w:rPr>
        <w:t>机会，关注绝对收益价值配置</w:t>
      </w:r>
      <w:r w:rsidR="00F30246">
        <w:rPr>
          <w:rFonts w:ascii="华文楷体" w:hAnsi="华文楷体" w:hint="eastAsia"/>
          <w:sz w:val="24"/>
          <w:szCs w:val="24"/>
          <w:lang w:eastAsia="zh-CN"/>
        </w:rPr>
        <w:t>机会</w:t>
      </w:r>
      <w:r w:rsidR="00F106F6">
        <w:rPr>
          <w:rFonts w:ascii="华文楷体" w:hAnsi="华文楷体" w:hint="eastAsia"/>
          <w:sz w:val="24"/>
          <w:szCs w:val="24"/>
          <w:lang w:eastAsia="zh-CN"/>
        </w:rPr>
        <w:t>，防范信用风险暴露</w:t>
      </w:r>
      <w:r w:rsidR="00D30FEC">
        <w:rPr>
          <w:rFonts w:ascii="华文楷体" w:hAnsi="华文楷体" w:hint="eastAsia"/>
          <w:sz w:val="24"/>
          <w:szCs w:val="24"/>
          <w:lang w:eastAsia="zh-CN"/>
        </w:rPr>
        <w:t>。</w:t>
      </w:r>
    </w:p>
    <w:p w14:paraId="4C893BAE" w14:textId="27EEE6DF"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F71169" w:rsidRPr="00F71169">
        <w:rPr>
          <w:rFonts w:ascii="华文楷体" w:hAnsi="华文楷体" w:hint="eastAsia"/>
          <w:sz w:val="24"/>
          <w:szCs w:val="24"/>
          <w:lang w:eastAsia="zh-CN"/>
        </w:rPr>
        <w:t>转</w:t>
      </w:r>
      <w:proofErr w:type="gramStart"/>
      <w:r w:rsidR="00F71169" w:rsidRPr="00F71169">
        <w:rPr>
          <w:rFonts w:ascii="华文楷体" w:hAnsi="华文楷体" w:hint="eastAsia"/>
          <w:sz w:val="24"/>
          <w:szCs w:val="24"/>
          <w:lang w:eastAsia="zh-CN"/>
        </w:rPr>
        <w:t>债近期</w:t>
      </w:r>
      <w:proofErr w:type="gramEnd"/>
      <w:r w:rsidR="00F71169" w:rsidRPr="00F71169">
        <w:rPr>
          <w:rFonts w:ascii="华文楷体" w:hAnsi="华文楷体" w:hint="eastAsia"/>
          <w:sz w:val="24"/>
          <w:szCs w:val="24"/>
          <w:lang w:eastAsia="zh-CN"/>
        </w:rPr>
        <w:t>情绪</w:t>
      </w:r>
      <w:r w:rsidR="000C0E4A">
        <w:rPr>
          <w:rFonts w:ascii="华文楷体" w:hAnsi="华文楷体" w:hint="eastAsia"/>
          <w:sz w:val="24"/>
          <w:szCs w:val="24"/>
          <w:lang w:eastAsia="zh-CN"/>
        </w:rPr>
        <w:t>相对</w:t>
      </w:r>
      <w:r w:rsidR="00E24F15">
        <w:rPr>
          <w:rFonts w:ascii="华文楷体" w:hAnsi="华文楷体" w:hint="eastAsia"/>
          <w:sz w:val="24"/>
          <w:szCs w:val="24"/>
          <w:lang w:eastAsia="zh-CN"/>
        </w:rPr>
        <w:t>略</w:t>
      </w:r>
      <w:r w:rsidR="000C0E4A">
        <w:rPr>
          <w:rFonts w:ascii="华文楷体" w:hAnsi="华文楷体" w:hint="eastAsia"/>
          <w:sz w:val="24"/>
          <w:szCs w:val="24"/>
          <w:lang w:eastAsia="zh-CN"/>
        </w:rPr>
        <w:t>好</w:t>
      </w:r>
      <w:r w:rsidR="00F71169" w:rsidRPr="00F71169">
        <w:rPr>
          <w:rFonts w:ascii="华文楷体" w:hAnsi="华文楷体" w:hint="eastAsia"/>
          <w:sz w:val="24"/>
          <w:szCs w:val="24"/>
          <w:lang w:eastAsia="zh-CN"/>
        </w:rPr>
        <w:t>，</w:t>
      </w:r>
      <w:r w:rsidR="00E24F15">
        <w:rPr>
          <w:rFonts w:ascii="华文楷体" w:hAnsi="华文楷体" w:hint="eastAsia"/>
          <w:sz w:val="24"/>
          <w:szCs w:val="24"/>
          <w:lang w:eastAsia="zh-CN"/>
        </w:rPr>
        <w:t>仍主要</w:t>
      </w:r>
      <w:r w:rsidR="000C0E4A">
        <w:rPr>
          <w:rFonts w:ascii="华文楷体" w:hAnsi="华文楷体" w:hint="eastAsia"/>
          <w:sz w:val="24"/>
          <w:szCs w:val="24"/>
          <w:lang w:eastAsia="zh-CN"/>
        </w:rPr>
        <w:t>受权益市场情绪带动，周期</w:t>
      </w:r>
      <w:r w:rsidR="00E24F15">
        <w:rPr>
          <w:rFonts w:ascii="华文楷体" w:hAnsi="华文楷体" w:hint="eastAsia"/>
          <w:sz w:val="24"/>
          <w:szCs w:val="24"/>
          <w:lang w:eastAsia="zh-CN"/>
        </w:rPr>
        <w:t>、金融</w:t>
      </w:r>
      <w:r w:rsidR="000C0E4A">
        <w:rPr>
          <w:rFonts w:ascii="华文楷体" w:hAnsi="华文楷体" w:hint="eastAsia"/>
          <w:sz w:val="24"/>
          <w:szCs w:val="24"/>
          <w:lang w:eastAsia="zh-CN"/>
        </w:rPr>
        <w:t>板块情绪略高。</w:t>
      </w:r>
      <w:r w:rsidR="000E64E3" w:rsidRPr="000E64E3">
        <w:rPr>
          <w:rFonts w:ascii="华文楷体" w:hAnsi="华文楷体" w:hint="eastAsia"/>
          <w:sz w:val="24"/>
          <w:szCs w:val="24"/>
          <w:lang w:eastAsia="zh-CN"/>
        </w:rPr>
        <w:t>行业上持续</w:t>
      </w:r>
      <w:proofErr w:type="gramStart"/>
      <w:r w:rsidR="000E64E3" w:rsidRPr="000E64E3">
        <w:rPr>
          <w:rFonts w:ascii="华文楷体" w:hAnsi="华文楷体" w:hint="eastAsia"/>
          <w:sz w:val="24"/>
          <w:szCs w:val="24"/>
          <w:lang w:eastAsia="zh-CN"/>
        </w:rPr>
        <w:t>关注受</w:t>
      </w:r>
      <w:proofErr w:type="gramEnd"/>
      <w:r w:rsidR="000E64E3" w:rsidRPr="000E64E3">
        <w:rPr>
          <w:rFonts w:ascii="华文楷体" w:hAnsi="华文楷体" w:hint="eastAsia"/>
          <w:sz w:val="24"/>
          <w:szCs w:val="24"/>
          <w:lang w:eastAsia="zh-CN"/>
        </w:rPr>
        <w:t>政策影响利好明显的板块，</w:t>
      </w:r>
      <w:r w:rsidR="00101F9D" w:rsidRPr="00101F9D">
        <w:rPr>
          <w:rFonts w:ascii="华文楷体" w:hAnsi="华文楷体" w:hint="eastAsia"/>
          <w:sz w:val="24"/>
          <w:szCs w:val="24"/>
          <w:lang w:eastAsia="zh-CN"/>
        </w:rPr>
        <w:t>坚持业绩优先和估值挖掘</w:t>
      </w:r>
      <w:r w:rsidR="00F71169" w:rsidRPr="00F71169">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4EC73191" w:rsidR="001D35B3" w:rsidRPr="006A5F34" w:rsidRDefault="001D35B3" w:rsidP="006E5744">
            <w:pPr>
              <w:pStyle w:val="ChartHeading"/>
              <w:jc w:val="both"/>
            </w:pPr>
            <w:r w:rsidRPr="006A5F34">
              <w:rPr>
                <w:rFonts w:hint="eastAsia"/>
              </w:rPr>
              <w:t>图表</w:t>
            </w:r>
            <w:r w:rsidRPr="006A5F34">
              <w:t>.</w:t>
            </w:r>
            <w:r w:rsidR="00411668">
              <w:rPr>
                <w:rFonts w:hint="eastAsia"/>
              </w:rPr>
              <w:t>高炉开工</w:t>
            </w:r>
            <w:r w:rsidR="009E3C2E">
              <w:rPr>
                <w:rFonts w:hint="eastAsia"/>
              </w:rPr>
              <w:t>表现平稳</w:t>
            </w:r>
          </w:p>
        </w:tc>
        <w:tc>
          <w:tcPr>
            <w:tcW w:w="4938" w:type="dxa"/>
            <w:vAlign w:val="center"/>
          </w:tcPr>
          <w:p w14:paraId="02A10F26" w14:textId="674DD1D2"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411668">
              <w:rPr>
                <w:rFonts w:hint="eastAsia"/>
              </w:rPr>
              <w:t>持续修复</w:t>
            </w:r>
          </w:p>
        </w:tc>
      </w:tr>
      <w:tr w:rsidR="001D35B3" w:rsidRPr="006A5F34" w14:paraId="205667F1" w14:textId="77777777" w:rsidTr="00E24F15">
        <w:tblPrEx>
          <w:tblCellMar>
            <w:left w:w="108" w:type="dxa"/>
            <w:right w:w="108" w:type="dxa"/>
          </w:tblCellMar>
        </w:tblPrEx>
        <w:trPr>
          <w:jc w:val="center"/>
        </w:trPr>
        <w:tc>
          <w:tcPr>
            <w:tcW w:w="4939" w:type="dxa"/>
            <w:vAlign w:val="center"/>
          </w:tcPr>
          <w:p w14:paraId="56C782C2" w14:textId="25EFF5C9" w:rsidR="001D35B3" w:rsidRPr="007E0340" w:rsidRDefault="00E24F15" w:rsidP="009A2BA0">
            <w:pPr>
              <w:jc w:val="center"/>
              <w:rPr>
                <w:noProof/>
              </w:rPr>
            </w:pPr>
            <w:r>
              <w:rPr>
                <w:noProof/>
              </w:rPr>
              <w:drawing>
                <wp:inline distT="0" distB="0" distL="0" distR="0" wp14:anchorId="01B4EFD3" wp14:editId="0A239116">
                  <wp:extent cx="2999105" cy="1757534"/>
                  <wp:effectExtent l="0" t="0" r="0" b="0"/>
                  <wp:docPr id="11" name="图表 1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7B913111" w:rsidR="001D35B3" w:rsidRPr="007E0340" w:rsidRDefault="00E24F15" w:rsidP="009A2BA0">
            <w:pPr>
              <w:jc w:val="center"/>
              <w:rPr>
                <w:noProof/>
                <w:szCs w:val="18"/>
              </w:rPr>
            </w:pPr>
            <w:r>
              <w:rPr>
                <w:noProof/>
              </w:rPr>
              <w:drawing>
                <wp:inline distT="0" distB="0" distL="0" distR="0" wp14:anchorId="0C14655F" wp14:editId="406D6490">
                  <wp:extent cx="2998470" cy="1755433"/>
                  <wp:effectExtent l="0" t="0" r="0" b="0"/>
                  <wp:docPr id="17" name="图表 17">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6586D9AA" w:rsidR="001D35B3" w:rsidRPr="006A5F34" w:rsidRDefault="001D35B3" w:rsidP="00411668">
            <w:pPr>
              <w:pStyle w:val="ChartHeading"/>
              <w:jc w:val="both"/>
            </w:pPr>
            <w:r w:rsidRPr="006A5F34">
              <w:rPr>
                <w:rFonts w:hint="eastAsia"/>
              </w:rPr>
              <w:t>图表</w:t>
            </w:r>
            <w:r w:rsidRPr="006A5F34">
              <w:t>.</w:t>
            </w:r>
            <w:r>
              <w:t xml:space="preserve"> </w:t>
            </w:r>
            <w:r w:rsidR="00AC74DA">
              <w:rPr>
                <w:rFonts w:hint="eastAsia"/>
              </w:rPr>
              <w:t>南华</w:t>
            </w:r>
            <w:r w:rsidR="00AC74DA">
              <w:t>工业品指数</w:t>
            </w:r>
            <w:r w:rsidR="00E24F15">
              <w:rPr>
                <w:rFonts w:hint="eastAsia"/>
              </w:rPr>
              <w:t>快速上行</w:t>
            </w:r>
          </w:p>
        </w:tc>
        <w:tc>
          <w:tcPr>
            <w:tcW w:w="4938" w:type="dxa"/>
            <w:vAlign w:val="center"/>
          </w:tcPr>
          <w:p w14:paraId="07575C0F" w14:textId="467885D1" w:rsidR="001D35B3" w:rsidRPr="006A5F34" w:rsidRDefault="001D35B3" w:rsidP="006E5744">
            <w:pPr>
              <w:pStyle w:val="ChartHeading"/>
              <w:jc w:val="both"/>
            </w:pPr>
            <w:r w:rsidRPr="006A5F34">
              <w:rPr>
                <w:rFonts w:hint="eastAsia"/>
              </w:rPr>
              <w:t>图表</w:t>
            </w:r>
            <w:r w:rsidRPr="006A5F34">
              <w:t xml:space="preserve">. </w:t>
            </w:r>
            <w:r w:rsidR="00411668">
              <w:rPr>
                <w:rFonts w:hint="eastAsia"/>
              </w:rPr>
              <w:t>猪肉价格持续</w:t>
            </w:r>
            <w:r w:rsidR="00E24F15">
              <w:rPr>
                <w:rFonts w:hint="eastAsia"/>
              </w:rPr>
              <w:t>低位震荡</w:t>
            </w:r>
          </w:p>
        </w:tc>
      </w:tr>
      <w:tr w:rsidR="001D35B3" w:rsidRPr="006A5F34" w14:paraId="49BBD33E" w14:textId="77777777" w:rsidTr="00E24F15">
        <w:tblPrEx>
          <w:tblCellMar>
            <w:left w:w="108" w:type="dxa"/>
            <w:right w:w="108" w:type="dxa"/>
          </w:tblCellMar>
        </w:tblPrEx>
        <w:trPr>
          <w:trHeight w:val="2987"/>
          <w:jc w:val="center"/>
        </w:trPr>
        <w:tc>
          <w:tcPr>
            <w:tcW w:w="4939" w:type="dxa"/>
            <w:vAlign w:val="center"/>
          </w:tcPr>
          <w:p w14:paraId="0BAC1731" w14:textId="265A5F26" w:rsidR="001D35B3" w:rsidRPr="007E0340" w:rsidRDefault="00E24F15" w:rsidP="009A2BA0">
            <w:pPr>
              <w:jc w:val="center"/>
              <w:rPr>
                <w:noProof/>
              </w:rPr>
            </w:pPr>
            <w:r>
              <w:rPr>
                <w:noProof/>
              </w:rPr>
              <w:drawing>
                <wp:inline distT="0" distB="0" distL="0" distR="0" wp14:anchorId="74010C8B" wp14:editId="24E5B5AF">
                  <wp:extent cx="2999105" cy="1905244"/>
                  <wp:effectExtent l="0" t="0" r="0" b="0"/>
                  <wp:docPr id="18" name="图表 18">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383D47AE" w:rsidR="001D35B3" w:rsidRPr="007E0340" w:rsidRDefault="00E24F15" w:rsidP="009A2BA0">
            <w:pPr>
              <w:jc w:val="center"/>
              <w:rPr>
                <w:noProof/>
                <w:szCs w:val="18"/>
              </w:rPr>
            </w:pPr>
            <w:r>
              <w:rPr>
                <w:noProof/>
              </w:rPr>
              <w:drawing>
                <wp:inline distT="0" distB="0" distL="0" distR="0" wp14:anchorId="21F3BAAD" wp14:editId="2D1C647E">
                  <wp:extent cx="2998470" cy="1800860"/>
                  <wp:effectExtent l="0" t="0" r="0" b="8890"/>
                  <wp:docPr id="19" name="图表 19">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2D09D245" w:rsidR="00EA1966" w:rsidRDefault="00EA1966" w:rsidP="009A2BA0">
      <w:pPr>
        <w:pStyle w:val="Body-text"/>
        <w:spacing w:after="0"/>
        <w:rPr>
          <w:rFonts w:ascii="华文楷体" w:hAnsi="华文楷体"/>
          <w:sz w:val="24"/>
          <w:szCs w:val="24"/>
          <w:lang w:eastAsia="zh-CN"/>
        </w:rPr>
      </w:pPr>
    </w:p>
    <w:p w14:paraId="6CD47A27" w14:textId="77777777" w:rsidR="00EA1966" w:rsidRDefault="00EA1966">
      <w:pPr>
        <w:widowControl/>
        <w:jc w:val="left"/>
        <w:rPr>
          <w:rFonts w:ascii="华文楷体" w:eastAsia="华文楷体" w:hAnsi="华文楷体"/>
          <w:kern w:val="0"/>
          <w:sz w:val="24"/>
          <w:szCs w:val="24"/>
        </w:rPr>
      </w:pPr>
      <w:r>
        <w:rPr>
          <w:rFonts w:ascii="华文楷体" w:hAnsi="华文楷体"/>
          <w:sz w:val="24"/>
          <w:szCs w:val="24"/>
        </w:rPr>
        <w:br w:type="page"/>
      </w:r>
    </w:p>
    <w:p w14:paraId="274486C0" w14:textId="77777777" w:rsidR="006146C9" w:rsidRPr="001D69C6" w:rsidRDefault="006146C9" w:rsidP="00F75588">
      <w:pPr>
        <w:widowControl/>
        <w:jc w:val="left"/>
      </w:pPr>
    </w:p>
    <w:p w14:paraId="1EF1A1F1" w14:textId="23EC2D99" w:rsidR="0028459A" w:rsidRPr="001A1299" w:rsidRDefault="0093749D" w:rsidP="0093749D">
      <w:pPr>
        <w:pStyle w:val="Body-text"/>
        <w:ind w:firstLineChars="200" w:firstLine="400"/>
        <w:rPr>
          <w:rFonts w:ascii="华文楷体" w:hAnsi="华文楷体"/>
          <w:sz w:val="24"/>
          <w:szCs w:val="24"/>
          <w:lang w:eastAsia="zh-CN"/>
        </w:rPr>
      </w:pPr>
      <w:r w:rsidRPr="00007135">
        <w:rPr>
          <w:rFonts w:hint="eastAsia"/>
        </w:rPr>
        <w:t>风险提示：</w:t>
      </w:r>
      <w:r w:rsidRPr="00007135">
        <w:t>1</w:t>
      </w:r>
      <w:r w:rsidRPr="00007135">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w:t>
      </w:r>
      <w:r w:rsidRPr="00007135">
        <w:t>2</w:t>
      </w:r>
      <w:r w:rsidRPr="00007135">
        <w:t>、本报告中的资料、观点和预测等仅供参考，在任何时候均不构成对任何人的个人推荐。市场有风险，投资需谨慎。</w:t>
      </w:r>
      <w:bookmarkStart w:id="2" w:name="_GoBack"/>
      <w:bookmarkEnd w:id="2"/>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5CC589" w14:textId="77777777" w:rsidR="00AB5A0C" w:rsidRDefault="00AB5A0C">
      <w:r>
        <w:separator/>
      </w:r>
    </w:p>
  </w:endnote>
  <w:endnote w:type="continuationSeparator" w:id="0">
    <w:p w14:paraId="0EE02F15" w14:textId="77777777" w:rsidR="00AB5A0C" w:rsidRDefault="00AB5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C760CE" w:rsidRDefault="00C760CE">
        <w:pPr>
          <w:pStyle w:val="a4"/>
          <w:jc w:val="right"/>
        </w:pPr>
        <w:r>
          <w:fldChar w:fldCharType="begin"/>
        </w:r>
        <w:r>
          <w:instrText>PAGE   \* MERGEFORMAT</w:instrText>
        </w:r>
        <w:r>
          <w:fldChar w:fldCharType="separate"/>
        </w:r>
        <w:r w:rsidR="0093749D" w:rsidRPr="0093749D">
          <w:rPr>
            <w:noProof/>
            <w:lang w:val="zh-CN"/>
          </w:rPr>
          <w:t>7</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496C4D" w14:textId="77777777" w:rsidR="00AB5A0C" w:rsidRDefault="00AB5A0C">
      <w:r>
        <w:separator/>
      </w:r>
    </w:p>
  </w:footnote>
  <w:footnote w:type="continuationSeparator" w:id="0">
    <w:p w14:paraId="1A2AA21F" w14:textId="77777777" w:rsidR="00AB5A0C" w:rsidRDefault="00AB5A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C760CE" w:rsidRDefault="00C760CE"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9">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2">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3">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4">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5">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7">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8">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1">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3">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1"/>
  </w:num>
  <w:num w:numId="7">
    <w:abstractNumId w:val="13"/>
  </w:num>
  <w:num w:numId="8">
    <w:abstractNumId w:val="12"/>
  </w:num>
  <w:num w:numId="9">
    <w:abstractNumId w:val="6"/>
  </w:num>
  <w:num w:numId="10">
    <w:abstractNumId w:val="16"/>
  </w:num>
  <w:num w:numId="11">
    <w:abstractNumId w:val="20"/>
  </w:num>
  <w:num w:numId="12">
    <w:abstractNumId w:val="14"/>
  </w:num>
  <w:num w:numId="13">
    <w:abstractNumId w:val="22"/>
  </w:num>
  <w:num w:numId="14">
    <w:abstractNumId w:val="23"/>
  </w:num>
  <w:num w:numId="15">
    <w:abstractNumId w:val="17"/>
  </w:num>
  <w:num w:numId="16">
    <w:abstractNumId w:val="11"/>
  </w:num>
  <w:num w:numId="17">
    <w:abstractNumId w:val="8"/>
  </w:num>
  <w:num w:numId="18">
    <w:abstractNumId w:val="19"/>
  </w:num>
  <w:num w:numId="19">
    <w:abstractNumId w:val="9"/>
  </w:num>
  <w:num w:numId="20">
    <w:abstractNumId w:val="18"/>
  </w:num>
  <w:num w:numId="21">
    <w:abstractNumId w:val="7"/>
  </w:num>
  <w:num w:numId="22">
    <w:abstractNumId w:val="15"/>
  </w:num>
  <w:num w:numId="23">
    <w:abstractNumId w:val="5"/>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5FB"/>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9E"/>
    <w:rsid w:val="000875B7"/>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4C8"/>
    <w:rsid w:val="0016453E"/>
    <w:rsid w:val="00166825"/>
    <w:rsid w:val="001668A4"/>
    <w:rsid w:val="00166EF2"/>
    <w:rsid w:val="00167137"/>
    <w:rsid w:val="00167E3A"/>
    <w:rsid w:val="00170521"/>
    <w:rsid w:val="00170F26"/>
    <w:rsid w:val="001715B3"/>
    <w:rsid w:val="00171997"/>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9E7"/>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991"/>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5EE2"/>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37FC0"/>
    <w:rsid w:val="003401AF"/>
    <w:rsid w:val="00340776"/>
    <w:rsid w:val="00340BAB"/>
    <w:rsid w:val="0034105F"/>
    <w:rsid w:val="00341169"/>
    <w:rsid w:val="003411E9"/>
    <w:rsid w:val="003413B0"/>
    <w:rsid w:val="00341DD0"/>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708C4"/>
    <w:rsid w:val="00370BFD"/>
    <w:rsid w:val="0037137A"/>
    <w:rsid w:val="00371885"/>
    <w:rsid w:val="00371BBF"/>
    <w:rsid w:val="003721E5"/>
    <w:rsid w:val="003728F4"/>
    <w:rsid w:val="0037297A"/>
    <w:rsid w:val="003729D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4F77"/>
    <w:rsid w:val="003F5897"/>
    <w:rsid w:val="003F59A9"/>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4169"/>
    <w:rsid w:val="00404517"/>
    <w:rsid w:val="004048B4"/>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FD6"/>
    <w:rsid w:val="005F34B9"/>
    <w:rsid w:val="005F34FB"/>
    <w:rsid w:val="005F3720"/>
    <w:rsid w:val="005F37A1"/>
    <w:rsid w:val="005F3805"/>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AA4"/>
    <w:rsid w:val="006C3B9F"/>
    <w:rsid w:val="006C425F"/>
    <w:rsid w:val="006C470F"/>
    <w:rsid w:val="006C47C9"/>
    <w:rsid w:val="006C503D"/>
    <w:rsid w:val="006C51C0"/>
    <w:rsid w:val="006C52B5"/>
    <w:rsid w:val="006C5320"/>
    <w:rsid w:val="006C5B23"/>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4DBA"/>
    <w:rsid w:val="00795B1F"/>
    <w:rsid w:val="00796656"/>
    <w:rsid w:val="00796CE4"/>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CF"/>
    <w:rsid w:val="007F6D26"/>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1C6B"/>
    <w:rsid w:val="00852383"/>
    <w:rsid w:val="00852ECE"/>
    <w:rsid w:val="00853AFB"/>
    <w:rsid w:val="00853B2D"/>
    <w:rsid w:val="00853D0C"/>
    <w:rsid w:val="00854107"/>
    <w:rsid w:val="00854190"/>
    <w:rsid w:val="00854194"/>
    <w:rsid w:val="00854481"/>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D8B"/>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103F"/>
    <w:rsid w:val="008C1820"/>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C3D"/>
    <w:rsid w:val="00927011"/>
    <w:rsid w:val="0092766F"/>
    <w:rsid w:val="00927A83"/>
    <w:rsid w:val="00927B47"/>
    <w:rsid w:val="0093009C"/>
    <w:rsid w:val="009313D6"/>
    <w:rsid w:val="0093156F"/>
    <w:rsid w:val="009316FA"/>
    <w:rsid w:val="00931999"/>
    <w:rsid w:val="00931DB7"/>
    <w:rsid w:val="00931E3B"/>
    <w:rsid w:val="009321E9"/>
    <w:rsid w:val="00932956"/>
    <w:rsid w:val="00932DC8"/>
    <w:rsid w:val="0093309D"/>
    <w:rsid w:val="00933219"/>
    <w:rsid w:val="00933F6B"/>
    <w:rsid w:val="00934A6C"/>
    <w:rsid w:val="00934B1E"/>
    <w:rsid w:val="00934F66"/>
    <w:rsid w:val="00935A5F"/>
    <w:rsid w:val="00935CAF"/>
    <w:rsid w:val="00935EDA"/>
    <w:rsid w:val="00936B4B"/>
    <w:rsid w:val="00936F6A"/>
    <w:rsid w:val="00937436"/>
    <w:rsid w:val="0093749D"/>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543F"/>
    <w:rsid w:val="009E5700"/>
    <w:rsid w:val="009E5BDB"/>
    <w:rsid w:val="009E5F82"/>
    <w:rsid w:val="009E6CCC"/>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F24"/>
    <w:rsid w:val="00A071AD"/>
    <w:rsid w:val="00A07267"/>
    <w:rsid w:val="00A0728A"/>
    <w:rsid w:val="00A07AE8"/>
    <w:rsid w:val="00A07B90"/>
    <w:rsid w:val="00A1035E"/>
    <w:rsid w:val="00A1102D"/>
    <w:rsid w:val="00A112DB"/>
    <w:rsid w:val="00A11343"/>
    <w:rsid w:val="00A11791"/>
    <w:rsid w:val="00A11829"/>
    <w:rsid w:val="00A1281A"/>
    <w:rsid w:val="00A1370A"/>
    <w:rsid w:val="00A13DB2"/>
    <w:rsid w:val="00A13F70"/>
    <w:rsid w:val="00A141F8"/>
    <w:rsid w:val="00A142F3"/>
    <w:rsid w:val="00A14C03"/>
    <w:rsid w:val="00A14CC1"/>
    <w:rsid w:val="00A14E0C"/>
    <w:rsid w:val="00A1537F"/>
    <w:rsid w:val="00A15BA0"/>
    <w:rsid w:val="00A15C20"/>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3FAD"/>
    <w:rsid w:val="00AB4772"/>
    <w:rsid w:val="00AB546C"/>
    <w:rsid w:val="00AB546E"/>
    <w:rsid w:val="00AB5A0C"/>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22"/>
    <w:rsid w:val="00AE3D82"/>
    <w:rsid w:val="00AE438F"/>
    <w:rsid w:val="00AE4415"/>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312C"/>
    <w:rsid w:val="00B03156"/>
    <w:rsid w:val="00B03224"/>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51E"/>
    <w:rsid w:val="00BE2819"/>
    <w:rsid w:val="00BE2AB0"/>
    <w:rsid w:val="00BE3228"/>
    <w:rsid w:val="00BE3923"/>
    <w:rsid w:val="00BE4138"/>
    <w:rsid w:val="00BE4DE3"/>
    <w:rsid w:val="00BE5024"/>
    <w:rsid w:val="00BE55D2"/>
    <w:rsid w:val="00BE5D77"/>
    <w:rsid w:val="00BE5D94"/>
    <w:rsid w:val="00BE6049"/>
    <w:rsid w:val="00BE69B0"/>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518"/>
    <w:rsid w:val="00C265C3"/>
    <w:rsid w:val="00C26EBA"/>
    <w:rsid w:val="00C270DD"/>
    <w:rsid w:val="00C27DF1"/>
    <w:rsid w:val="00C3105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66EE"/>
    <w:rsid w:val="00C96783"/>
    <w:rsid w:val="00C96FF2"/>
    <w:rsid w:val="00C97565"/>
    <w:rsid w:val="00C97C9B"/>
    <w:rsid w:val="00CA008E"/>
    <w:rsid w:val="00CA01A5"/>
    <w:rsid w:val="00CA0A27"/>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B0299"/>
    <w:rsid w:val="00CB0DC7"/>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1F9"/>
    <w:rsid w:val="00CC3B25"/>
    <w:rsid w:val="00CC4226"/>
    <w:rsid w:val="00CC4255"/>
    <w:rsid w:val="00CC4FC0"/>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60"/>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F00345"/>
    <w:rsid w:val="00F00CF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E0C"/>
    <w:rsid w:val="00F703B4"/>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44008</c:v>
                </c:pt>
                <c:pt idx="1">
                  <c:v>44015</c:v>
                </c:pt>
                <c:pt idx="2">
                  <c:v>44022</c:v>
                </c:pt>
                <c:pt idx="3">
                  <c:v>44029</c:v>
                </c:pt>
                <c:pt idx="4">
                  <c:v>44036</c:v>
                </c:pt>
                <c:pt idx="5">
                  <c:v>44043</c:v>
                </c:pt>
                <c:pt idx="6">
                  <c:v>44050</c:v>
                </c:pt>
                <c:pt idx="7">
                  <c:v>44057</c:v>
                </c:pt>
                <c:pt idx="8">
                  <c:v>44064</c:v>
                </c:pt>
                <c:pt idx="9">
                  <c:v>44071</c:v>
                </c:pt>
                <c:pt idx="10">
                  <c:v>44078</c:v>
                </c:pt>
                <c:pt idx="11">
                  <c:v>44085</c:v>
                </c:pt>
                <c:pt idx="12">
                  <c:v>44092</c:v>
                </c:pt>
                <c:pt idx="13">
                  <c:v>44099</c:v>
                </c:pt>
                <c:pt idx="14">
                  <c:v>44106</c:v>
                </c:pt>
                <c:pt idx="15">
                  <c:v>44113</c:v>
                </c:pt>
                <c:pt idx="16">
                  <c:v>44120</c:v>
                </c:pt>
                <c:pt idx="17">
                  <c:v>44127</c:v>
                </c:pt>
                <c:pt idx="18">
                  <c:v>44134</c:v>
                </c:pt>
                <c:pt idx="19">
                  <c:v>44141</c:v>
                </c:pt>
                <c:pt idx="20">
                  <c:v>44148</c:v>
                </c:pt>
                <c:pt idx="21">
                  <c:v>44155</c:v>
                </c:pt>
                <c:pt idx="22">
                  <c:v>44162</c:v>
                </c:pt>
              </c:numCache>
            </c:numRef>
          </c:cat>
          <c:val>
            <c:numRef>
              <c:f>央行!$B$5:$B$27</c:f>
              <c:numCache>
                <c:formatCode>###,###,###,###,##0.00</c:formatCode>
                <c:ptCount val="23"/>
                <c:pt idx="0">
                  <c:v>5050</c:v>
                </c:pt>
                <c:pt idx="1">
                  <c:v>1025</c:v>
                </c:pt>
                <c:pt idx="2">
                  <c:v>0</c:v>
                </c:pt>
                <c:pt idx="3">
                  <c:v>3300</c:v>
                </c:pt>
                <c:pt idx="4">
                  <c:v>1650</c:v>
                </c:pt>
                <c:pt idx="5">
                  <c:v>2800</c:v>
                </c:pt>
                <c:pt idx="6">
                  <c:v>100</c:v>
                </c:pt>
                <c:pt idx="7">
                  <c:v>5000</c:v>
                </c:pt>
                <c:pt idx="8">
                  <c:v>6600</c:v>
                </c:pt>
                <c:pt idx="9">
                  <c:v>8150</c:v>
                </c:pt>
                <c:pt idx="10">
                  <c:v>2800</c:v>
                </c:pt>
                <c:pt idx="11">
                  <c:v>6200</c:v>
                </c:pt>
                <c:pt idx="12">
                  <c:v>4800</c:v>
                </c:pt>
                <c:pt idx="13">
                  <c:v>9000</c:v>
                </c:pt>
                <c:pt idx="14">
                  <c:v>2150</c:v>
                </c:pt>
                <c:pt idx="15">
                  <c:v>0</c:v>
                </c:pt>
                <c:pt idx="16">
                  <c:v>1000</c:v>
                </c:pt>
                <c:pt idx="17">
                  <c:v>3200</c:v>
                </c:pt>
                <c:pt idx="18">
                  <c:v>5150</c:v>
                </c:pt>
                <c:pt idx="19">
                  <c:v>3200</c:v>
                </c:pt>
                <c:pt idx="20">
                  <c:v>5500</c:v>
                </c:pt>
                <c:pt idx="21">
                  <c:v>3000</c:v>
                </c:pt>
                <c:pt idx="22">
                  <c:v>4350</c:v>
                </c:pt>
              </c:numCache>
            </c:numRef>
          </c:val>
          <c:extLst xmlns:c16r2="http://schemas.microsoft.com/office/drawing/2015/06/chart">
            <c:ext xmlns:c16="http://schemas.microsoft.com/office/drawing/2014/chart" uri="{C3380CC4-5D6E-409C-BE32-E72D297353CC}">
              <c16:uniqueId val="{00000000-C806-4EB5-88E2-A1A0F0343A88}"/>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44008</c:v>
                </c:pt>
                <c:pt idx="1">
                  <c:v>44015</c:v>
                </c:pt>
                <c:pt idx="2">
                  <c:v>44022</c:v>
                </c:pt>
                <c:pt idx="3">
                  <c:v>44029</c:v>
                </c:pt>
                <c:pt idx="4">
                  <c:v>44036</c:v>
                </c:pt>
                <c:pt idx="5">
                  <c:v>44043</c:v>
                </c:pt>
                <c:pt idx="6">
                  <c:v>44050</c:v>
                </c:pt>
                <c:pt idx="7">
                  <c:v>44057</c:v>
                </c:pt>
                <c:pt idx="8">
                  <c:v>44064</c:v>
                </c:pt>
                <c:pt idx="9">
                  <c:v>44071</c:v>
                </c:pt>
                <c:pt idx="10">
                  <c:v>44078</c:v>
                </c:pt>
                <c:pt idx="11">
                  <c:v>44085</c:v>
                </c:pt>
                <c:pt idx="12">
                  <c:v>44092</c:v>
                </c:pt>
                <c:pt idx="13">
                  <c:v>44099</c:v>
                </c:pt>
                <c:pt idx="14">
                  <c:v>44106</c:v>
                </c:pt>
                <c:pt idx="15">
                  <c:v>44113</c:v>
                </c:pt>
                <c:pt idx="16">
                  <c:v>44120</c:v>
                </c:pt>
                <c:pt idx="17">
                  <c:v>44127</c:v>
                </c:pt>
                <c:pt idx="18">
                  <c:v>44134</c:v>
                </c:pt>
                <c:pt idx="19">
                  <c:v>44141</c:v>
                </c:pt>
                <c:pt idx="20">
                  <c:v>44148</c:v>
                </c:pt>
                <c:pt idx="21">
                  <c:v>44155</c:v>
                </c:pt>
                <c:pt idx="22">
                  <c:v>44162</c:v>
                </c:pt>
              </c:numCache>
            </c:numRef>
          </c:cat>
          <c:val>
            <c:numRef>
              <c:f>央行!$C$5:$C$27</c:f>
              <c:numCache>
                <c:formatCode>###,###,###,###,##0.00</c:formatCode>
                <c:ptCount val="23"/>
                <c:pt idx="0">
                  <c:v>-1200</c:v>
                </c:pt>
                <c:pt idx="1">
                  <c:v>-4950</c:v>
                </c:pt>
                <c:pt idx="2">
                  <c:v>-2900</c:v>
                </c:pt>
                <c:pt idx="3">
                  <c:v>0</c:v>
                </c:pt>
                <c:pt idx="4">
                  <c:v>-3300</c:v>
                </c:pt>
                <c:pt idx="5">
                  <c:v>-1650</c:v>
                </c:pt>
                <c:pt idx="6">
                  <c:v>-2800</c:v>
                </c:pt>
                <c:pt idx="7">
                  <c:v>-100</c:v>
                </c:pt>
                <c:pt idx="8">
                  <c:v>-5000</c:v>
                </c:pt>
                <c:pt idx="9">
                  <c:v>-6150</c:v>
                </c:pt>
                <c:pt idx="10">
                  <c:v>-7500</c:v>
                </c:pt>
                <c:pt idx="11">
                  <c:v>-3900</c:v>
                </c:pt>
                <c:pt idx="12">
                  <c:v>-6200</c:v>
                </c:pt>
                <c:pt idx="13">
                  <c:v>-4200</c:v>
                </c:pt>
                <c:pt idx="14">
                  <c:v>-4650</c:v>
                </c:pt>
                <c:pt idx="15">
                  <c:v>-5000</c:v>
                </c:pt>
                <c:pt idx="16">
                  <c:v>-2100</c:v>
                </c:pt>
                <c:pt idx="17">
                  <c:v>-1000</c:v>
                </c:pt>
                <c:pt idx="18">
                  <c:v>-3250</c:v>
                </c:pt>
                <c:pt idx="19">
                  <c:v>-5100</c:v>
                </c:pt>
                <c:pt idx="20">
                  <c:v>-3200</c:v>
                </c:pt>
                <c:pt idx="21">
                  <c:v>-5500</c:v>
                </c:pt>
                <c:pt idx="22">
                  <c:v>-3050</c:v>
                </c:pt>
              </c:numCache>
            </c:numRef>
          </c:val>
          <c:extLst xmlns:c16r2="http://schemas.microsoft.com/office/drawing/2015/06/chart">
            <c:ext xmlns:c16="http://schemas.microsoft.com/office/drawing/2014/chart" uri="{C3380CC4-5D6E-409C-BE32-E72D297353CC}">
              <c16:uniqueId val="{00000001-C806-4EB5-88E2-A1A0F0343A88}"/>
            </c:ext>
          </c:extLst>
        </c:ser>
        <c:dLbls>
          <c:showLegendKey val="0"/>
          <c:showVal val="0"/>
          <c:showCatName val="0"/>
          <c:showSerName val="0"/>
          <c:showPercent val="0"/>
          <c:showBubbleSize val="0"/>
        </c:dLbls>
        <c:gapWidth val="150"/>
        <c:overlap val="100"/>
        <c:axId val="421096064"/>
        <c:axId val="421102336"/>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44008</c:v>
                </c:pt>
                <c:pt idx="1">
                  <c:v>44015</c:v>
                </c:pt>
                <c:pt idx="2">
                  <c:v>44022</c:v>
                </c:pt>
                <c:pt idx="3">
                  <c:v>44029</c:v>
                </c:pt>
                <c:pt idx="4">
                  <c:v>44036</c:v>
                </c:pt>
                <c:pt idx="5">
                  <c:v>44043</c:v>
                </c:pt>
                <c:pt idx="6">
                  <c:v>44050</c:v>
                </c:pt>
                <c:pt idx="7">
                  <c:v>44057</c:v>
                </c:pt>
                <c:pt idx="8">
                  <c:v>44064</c:v>
                </c:pt>
                <c:pt idx="9">
                  <c:v>44071</c:v>
                </c:pt>
                <c:pt idx="10">
                  <c:v>44078</c:v>
                </c:pt>
                <c:pt idx="11">
                  <c:v>44085</c:v>
                </c:pt>
                <c:pt idx="12">
                  <c:v>44092</c:v>
                </c:pt>
                <c:pt idx="13">
                  <c:v>44099</c:v>
                </c:pt>
                <c:pt idx="14">
                  <c:v>44106</c:v>
                </c:pt>
                <c:pt idx="15">
                  <c:v>44113</c:v>
                </c:pt>
                <c:pt idx="16">
                  <c:v>44120</c:v>
                </c:pt>
                <c:pt idx="17">
                  <c:v>44127</c:v>
                </c:pt>
                <c:pt idx="18">
                  <c:v>44134</c:v>
                </c:pt>
                <c:pt idx="19">
                  <c:v>44141</c:v>
                </c:pt>
                <c:pt idx="20">
                  <c:v>44148</c:v>
                </c:pt>
                <c:pt idx="21">
                  <c:v>44155</c:v>
                </c:pt>
                <c:pt idx="22">
                  <c:v>44162</c:v>
                </c:pt>
              </c:numCache>
            </c:numRef>
          </c:cat>
          <c:val>
            <c:numRef>
              <c:f>央行!$D$5:$D$27</c:f>
              <c:numCache>
                <c:formatCode>###,###,###,###,##0.00</c:formatCode>
                <c:ptCount val="23"/>
                <c:pt idx="0">
                  <c:v>3850</c:v>
                </c:pt>
                <c:pt idx="1">
                  <c:v>-3925</c:v>
                </c:pt>
                <c:pt idx="2">
                  <c:v>-2900</c:v>
                </c:pt>
                <c:pt idx="3">
                  <c:v>3300</c:v>
                </c:pt>
                <c:pt idx="4">
                  <c:v>-1650</c:v>
                </c:pt>
                <c:pt idx="5">
                  <c:v>1150</c:v>
                </c:pt>
                <c:pt idx="6">
                  <c:v>-2700</c:v>
                </c:pt>
                <c:pt idx="7">
                  <c:v>4900</c:v>
                </c:pt>
                <c:pt idx="8">
                  <c:v>1600</c:v>
                </c:pt>
                <c:pt idx="9">
                  <c:v>2000</c:v>
                </c:pt>
                <c:pt idx="10">
                  <c:v>-4700</c:v>
                </c:pt>
                <c:pt idx="11">
                  <c:v>2300</c:v>
                </c:pt>
                <c:pt idx="12">
                  <c:v>-1400</c:v>
                </c:pt>
                <c:pt idx="13">
                  <c:v>4800</c:v>
                </c:pt>
                <c:pt idx="14">
                  <c:v>-2500</c:v>
                </c:pt>
                <c:pt idx="15">
                  <c:v>-5000</c:v>
                </c:pt>
                <c:pt idx="16">
                  <c:v>-1100</c:v>
                </c:pt>
                <c:pt idx="17">
                  <c:v>2200</c:v>
                </c:pt>
                <c:pt idx="18">
                  <c:v>1900</c:v>
                </c:pt>
                <c:pt idx="19">
                  <c:v>-1900</c:v>
                </c:pt>
                <c:pt idx="20">
                  <c:v>2300</c:v>
                </c:pt>
                <c:pt idx="21">
                  <c:v>-2500</c:v>
                </c:pt>
                <c:pt idx="22">
                  <c:v>1300</c:v>
                </c:pt>
              </c:numCache>
            </c:numRef>
          </c:val>
          <c:smooth val="0"/>
          <c:extLst xmlns:c16r2="http://schemas.microsoft.com/office/drawing/2015/06/chart">
            <c:ext xmlns:c16="http://schemas.microsoft.com/office/drawing/2014/chart" uri="{C3380CC4-5D6E-409C-BE32-E72D297353CC}">
              <c16:uniqueId val="{00000002-C806-4EB5-88E2-A1A0F0343A88}"/>
            </c:ext>
          </c:extLst>
        </c:ser>
        <c:dLbls>
          <c:showLegendKey val="0"/>
          <c:showVal val="0"/>
          <c:showCatName val="0"/>
          <c:showSerName val="0"/>
          <c:showPercent val="0"/>
          <c:showBubbleSize val="0"/>
        </c:dLbls>
        <c:marker val="1"/>
        <c:smooth val="0"/>
        <c:axId val="421096064"/>
        <c:axId val="421102336"/>
      </c:lineChart>
      <c:catAx>
        <c:axId val="42109606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21102336"/>
        <c:crosses val="autoZero"/>
        <c:auto val="0"/>
        <c:lblAlgn val="ctr"/>
        <c:lblOffset val="0"/>
        <c:tickMarkSkip val="2"/>
        <c:noMultiLvlLbl val="0"/>
      </c:catAx>
      <c:valAx>
        <c:axId val="421102336"/>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21096064"/>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8386556147340367"/>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44162</c:v>
                </c:pt>
                <c:pt idx="1">
                  <c:v>44161</c:v>
                </c:pt>
                <c:pt idx="2">
                  <c:v>44160</c:v>
                </c:pt>
                <c:pt idx="3">
                  <c:v>44159</c:v>
                </c:pt>
                <c:pt idx="4">
                  <c:v>44158</c:v>
                </c:pt>
                <c:pt idx="5">
                  <c:v>44155</c:v>
                </c:pt>
                <c:pt idx="6">
                  <c:v>44154</c:v>
                </c:pt>
                <c:pt idx="7">
                  <c:v>44153</c:v>
                </c:pt>
                <c:pt idx="8">
                  <c:v>44152</c:v>
                </c:pt>
                <c:pt idx="9">
                  <c:v>44151</c:v>
                </c:pt>
                <c:pt idx="10">
                  <c:v>44148</c:v>
                </c:pt>
                <c:pt idx="11">
                  <c:v>44147</c:v>
                </c:pt>
                <c:pt idx="12">
                  <c:v>44146</c:v>
                </c:pt>
                <c:pt idx="13">
                  <c:v>44145</c:v>
                </c:pt>
                <c:pt idx="14">
                  <c:v>44144</c:v>
                </c:pt>
                <c:pt idx="15">
                  <c:v>44141</c:v>
                </c:pt>
                <c:pt idx="16">
                  <c:v>44140</c:v>
                </c:pt>
                <c:pt idx="17">
                  <c:v>44139</c:v>
                </c:pt>
                <c:pt idx="18">
                  <c:v>44138</c:v>
                </c:pt>
                <c:pt idx="19">
                  <c:v>44137</c:v>
                </c:pt>
                <c:pt idx="20">
                  <c:v>44134</c:v>
                </c:pt>
                <c:pt idx="21">
                  <c:v>44133</c:v>
                </c:pt>
                <c:pt idx="22">
                  <c:v>44132</c:v>
                </c:pt>
                <c:pt idx="23">
                  <c:v>44131</c:v>
                </c:pt>
                <c:pt idx="24">
                  <c:v>44130</c:v>
                </c:pt>
                <c:pt idx="25">
                  <c:v>44127</c:v>
                </c:pt>
                <c:pt idx="26">
                  <c:v>44126</c:v>
                </c:pt>
                <c:pt idx="27">
                  <c:v>44125</c:v>
                </c:pt>
                <c:pt idx="28">
                  <c:v>44124</c:v>
                </c:pt>
                <c:pt idx="29">
                  <c:v>44123</c:v>
                </c:pt>
                <c:pt idx="30">
                  <c:v>44120</c:v>
                </c:pt>
                <c:pt idx="31">
                  <c:v>44119</c:v>
                </c:pt>
                <c:pt idx="32">
                  <c:v>44118</c:v>
                </c:pt>
                <c:pt idx="33">
                  <c:v>44117</c:v>
                </c:pt>
                <c:pt idx="34">
                  <c:v>44116</c:v>
                </c:pt>
                <c:pt idx="35">
                  <c:v>44114</c:v>
                </c:pt>
                <c:pt idx="36">
                  <c:v>44113</c:v>
                </c:pt>
                <c:pt idx="37">
                  <c:v>44104</c:v>
                </c:pt>
                <c:pt idx="38">
                  <c:v>44103</c:v>
                </c:pt>
                <c:pt idx="39">
                  <c:v>44102</c:v>
                </c:pt>
                <c:pt idx="40">
                  <c:v>44101</c:v>
                </c:pt>
                <c:pt idx="41">
                  <c:v>44099</c:v>
                </c:pt>
                <c:pt idx="42">
                  <c:v>44098</c:v>
                </c:pt>
                <c:pt idx="43">
                  <c:v>44097</c:v>
                </c:pt>
                <c:pt idx="44">
                  <c:v>44096</c:v>
                </c:pt>
                <c:pt idx="45">
                  <c:v>44095</c:v>
                </c:pt>
                <c:pt idx="46">
                  <c:v>44092</c:v>
                </c:pt>
                <c:pt idx="47">
                  <c:v>44091</c:v>
                </c:pt>
                <c:pt idx="48">
                  <c:v>44090</c:v>
                </c:pt>
                <c:pt idx="49">
                  <c:v>44089</c:v>
                </c:pt>
                <c:pt idx="50">
                  <c:v>44088</c:v>
                </c:pt>
                <c:pt idx="51">
                  <c:v>44085</c:v>
                </c:pt>
                <c:pt idx="52">
                  <c:v>44084</c:v>
                </c:pt>
                <c:pt idx="53">
                  <c:v>44083</c:v>
                </c:pt>
                <c:pt idx="54">
                  <c:v>44082</c:v>
                </c:pt>
                <c:pt idx="55">
                  <c:v>44081</c:v>
                </c:pt>
                <c:pt idx="56">
                  <c:v>44078</c:v>
                </c:pt>
                <c:pt idx="57">
                  <c:v>44077</c:v>
                </c:pt>
                <c:pt idx="58">
                  <c:v>44076</c:v>
                </c:pt>
              </c:numCache>
            </c:numRef>
          </c:cat>
          <c:val>
            <c:numRef>
              <c:f>资金!$B$3:$B$61</c:f>
              <c:numCache>
                <c:formatCode>###,###,###,###,##0.0000</c:formatCode>
                <c:ptCount val="59"/>
                <c:pt idx="0">
                  <c:v>0.89139999999999997</c:v>
                </c:pt>
                <c:pt idx="1">
                  <c:v>1.3314999999999999</c:v>
                </c:pt>
                <c:pt idx="2">
                  <c:v>1.6241000000000001</c:v>
                </c:pt>
                <c:pt idx="3">
                  <c:v>1.8728</c:v>
                </c:pt>
                <c:pt idx="4">
                  <c:v>1.895</c:v>
                </c:pt>
                <c:pt idx="5">
                  <c:v>1.982</c:v>
                </c:pt>
                <c:pt idx="6">
                  <c:v>1.9603999999999999</c:v>
                </c:pt>
                <c:pt idx="7">
                  <c:v>1.7726</c:v>
                </c:pt>
                <c:pt idx="8">
                  <c:v>1.8414999999999999</c:v>
                </c:pt>
                <c:pt idx="9">
                  <c:v>2.2904</c:v>
                </c:pt>
                <c:pt idx="10">
                  <c:v>2.7808999999999999</c:v>
                </c:pt>
                <c:pt idx="11">
                  <c:v>2.8058000000000001</c:v>
                </c:pt>
                <c:pt idx="12">
                  <c:v>2.4857</c:v>
                </c:pt>
                <c:pt idx="13">
                  <c:v>2.4521999999999999</c:v>
                </c:pt>
                <c:pt idx="14">
                  <c:v>2.2858000000000001</c:v>
                </c:pt>
                <c:pt idx="15">
                  <c:v>1.8764000000000001</c:v>
                </c:pt>
                <c:pt idx="16">
                  <c:v>1.4429000000000001</c:v>
                </c:pt>
                <c:pt idx="17">
                  <c:v>1.4752000000000001</c:v>
                </c:pt>
                <c:pt idx="18">
                  <c:v>1.8856999999999999</c:v>
                </c:pt>
                <c:pt idx="19">
                  <c:v>2.4079999999999999</c:v>
                </c:pt>
                <c:pt idx="20">
                  <c:v>2.9178999999999999</c:v>
                </c:pt>
                <c:pt idx="21">
                  <c:v>2.2277999999999998</c:v>
                </c:pt>
                <c:pt idx="22">
                  <c:v>2.6492</c:v>
                </c:pt>
                <c:pt idx="23">
                  <c:v>2.6776</c:v>
                </c:pt>
                <c:pt idx="24">
                  <c:v>2.3357999999999999</c:v>
                </c:pt>
                <c:pt idx="25">
                  <c:v>2.2181999999999999</c:v>
                </c:pt>
                <c:pt idx="26">
                  <c:v>1.9681</c:v>
                </c:pt>
                <c:pt idx="27">
                  <c:v>2.0144000000000002</c:v>
                </c:pt>
                <c:pt idx="28">
                  <c:v>2.2193000000000001</c:v>
                </c:pt>
                <c:pt idx="29">
                  <c:v>2.2770000000000001</c:v>
                </c:pt>
                <c:pt idx="30">
                  <c:v>2.0550000000000002</c:v>
                </c:pt>
                <c:pt idx="31">
                  <c:v>2.1076000000000001</c:v>
                </c:pt>
                <c:pt idx="32">
                  <c:v>2.04</c:v>
                </c:pt>
                <c:pt idx="33">
                  <c:v>1.7559</c:v>
                </c:pt>
                <c:pt idx="34">
                  <c:v>1.5719000000000001</c:v>
                </c:pt>
                <c:pt idx="35">
                  <c:v>1.5667</c:v>
                </c:pt>
                <c:pt idx="36">
                  <c:v>2.0432999999999999</c:v>
                </c:pt>
                <c:pt idx="37">
                  <c:v>2.5255999999999998</c:v>
                </c:pt>
                <c:pt idx="38">
                  <c:v>1.0124</c:v>
                </c:pt>
                <c:pt idx="39">
                  <c:v>0.68540000000000001</c:v>
                </c:pt>
                <c:pt idx="40">
                  <c:v>0.67789999999999995</c:v>
                </c:pt>
                <c:pt idx="41">
                  <c:v>1.0967</c:v>
                </c:pt>
                <c:pt idx="42">
                  <c:v>1.4666999999999999</c:v>
                </c:pt>
                <c:pt idx="43">
                  <c:v>1.9109</c:v>
                </c:pt>
                <c:pt idx="44">
                  <c:v>2.4359999999999999</c:v>
                </c:pt>
                <c:pt idx="45">
                  <c:v>2.4319999999999999</c:v>
                </c:pt>
                <c:pt idx="46">
                  <c:v>2.2553000000000001</c:v>
                </c:pt>
                <c:pt idx="47">
                  <c:v>1.8871</c:v>
                </c:pt>
                <c:pt idx="48">
                  <c:v>1.4536</c:v>
                </c:pt>
                <c:pt idx="49">
                  <c:v>1.7635000000000001</c:v>
                </c:pt>
                <c:pt idx="50">
                  <c:v>1.6466000000000001</c:v>
                </c:pt>
                <c:pt idx="51">
                  <c:v>1.5072000000000001</c:v>
                </c:pt>
                <c:pt idx="52">
                  <c:v>1.3864000000000001</c:v>
                </c:pt>
                <c:pt idx="53">
                  <c:v>1.6471</c:v>
                </c:pt>
                <c:pt idx="54">
                  <c:v>2.0707</c:v>
                </c:pt>
                <c:pt idx="55">
                  <c:v>2.1291000000000002</c:v>
                </c:pt>
                <c:pt idx="56">
                  <c:v>2.0886</c:v>
                </c:pt>
                <c:pt idx="57">
                  <c:v>1.7948999999999999</c:v>
                </c:pt>
                <c:pt idx="58">
                  <c:v>2.1187</c:v>
                </c:pt>
              </c:numCache>
            </c:numRef>
          </c:val>
          <c:smooth val="1"/>
          <c:extLst xmlns:c16r2="http://schemas.microsoft.com/office/drawing/2015/06/chart">
            <c:ext xmlns:c16="http://schemas.microsoft.com/office/drawing/2014/chart" uri="{C3380CC4-5D6E-409C-BE32-E72D297353CC}">
              <c16:uniqueId val="{00000000-EB51-49E6-BEB9-B79F0EC765A9}"/>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44162</c:v>
                </c:pt>
                <c:pt idx="1">
                  <c:v>44161</c:v>
                </c:pt>
                <c:pt idx="2">
                  <c:v>44160</c:v>
                </c:pt>
                <c:pt idx="3">
                  <c:v>44159</c:v>
                </c:pt>
                <c:pt idx="4">
                  <c:v>44158</c:v>
                </c:pt>
                <c:pt idx="5">
                  <c:v>44155</c:v>
                </c:pt>
                <c:pt idx="6">
                  <c:v>44154</c:v>
                </c:pt>
                <c:pt idx="7">
                  <c:v>44153</c:v>
                </c:pt>
                <c:pt idx="8">
                  <c:v>44152</c:v>
                </c:pt>
                <c:pt idx="9">
                  <c:v>44151</c:v>
                </c:pt>
                <c:pt idx="10">
                  <c:v>44148</c:v>
                </c:pt>
                <c:pt idx="11">
                  <c:v>44147</c:v>
                </c:pt>
                <c:pt idx="12">
                  <c:v>44146</c:v>
                </c:pt>
                <c:pt idx="13">
                  <c:v>44145</c:v>
                </c:pt>
                <c:pt idx="14">
                  <c:v>44144</c:v>
                </c:pt>
                <c:pt idx="15">
                  <c:v>44141</c:v>
                </c:pt>
                <c:pt idx="16">
                  <c:v>44140</c:v>
                </c:pt>
                <c:pt idx="17">
                  <c:v>44139</c:v>
                </c:pt>
                <c:pt idx="18">
                  <c:v>44138</c:v>
                </c:pt>
                <c:pt idx="19">
                  <c:v>44137</c:v>
                </c:pt>
                <c:pt idx="20">
                  <c:v>44134</c:v>
                </c:pt>
                <c:pt idx="21">
                  <c:v>44133</c:v>
                </c:pt>
                <c:pt idx="22">
                  <c:v>44132</c:v>
                </c:pt>
                <c:pt idx="23">
                  <c:v>44131</c:v>
                </c:pt>
                <c:pt idx="24">
                  <c:v>44130</c:v>
                </c:pt>
                <c:pt idx="25">
                  <c:v>44127</c:v>
                </c:pt>
                <c:pt idx="26">
                  <c:v>44126</c:v>
                </c:pt>
                <c:pt idx="27">
                  <c:v>44125</c:v>
                </c:pt>
                <c:pt idx="28">
                  <c:v>44124</c:v>
                </c:pt>
                <c:pt idx="29">
                  <c:v>44123</c:v>
                </c:pt>
                <c:pt idx="30">
                  <c:v>44120</c:v>
                </c:pt>
                <c:pt idx="31">
                  <c:v>44119</c:v>
                </c:pt>
                <c:pt idx="32">
                  <c:v>44118</c:v>
                </c:pt>
                <c:pt idx="33">
                  <c:v>44117</c:v>
                </c:pt>
                <c:pt idx="34">
                  <c:v>44116</c:v>
                </c:pt>
                <c:pt idx="35">
                  <c:v>44114</c:v>
                </c:pt>
                <c:pt idx="36">
                  <c:v>44113</c:v>
                </c:pt>
                <c:pt idx="37">
                  <c:v>44104</c:v>
                </c:pt>
                <c:pt idx="38">
                  <c:v>44103</c:v>
                </c:pt>
                <c:pt idx="39">
                  <c:v>44102</c:v>
                </c:pt>
                <c:pt idx="40">
                  <c:v>44101</c:v>
                </c:pt>
                <c:pt idx="41">
                  <c:v>44099</c:v>
                </c:pt>
                <c:pt idx="42">
                  <c:v>44098</c:v>
                </c:pt>
                <c:pt idx="43">
                  <c:v>44097</c:v>
                </c:pt>
                <c:pt idx="44">
                  <c:v>44096</c:v>
                </c:pt>
                <c:pt idx="45">
                  <c:v>44095</c:v>
                </c:pt>
                <c:pt idx="46">
                  <c:v>44092</c:v>
                </c:pt>
                <c:pt idx="47">
                  <c:v>44091</c:v>
                </c:pt>
                <c:pt idx="48">
                  <c:v>44090</c:v>
                </c:pt>
                <c:pt idx="49">
                  <c:v>44089</c:v>
                </c:pt>
                <c:pt idx="50">
                  <c:v>44088</c:v>
                </c:pt>
                <c:pt idx="51">
                  <c:v>44085</c:v>
                </c:pt>
                <c:pt idx="52">
                  <c:v>44084</c:v>
                </c:pt>
                <c:pt idx="53">
                  <c:v>44083</c:v>
                </c:pt>
                <c:pt idx="54">
                  <c:v>44082</c:v>
                </c:pt>
                <c:pt idx="55">
                  <c:v>44081</c:v>
                </c:pt>
                <c:pt idx="56">
                  <c:v>44078</c:v>
                </c:pt>
                <c:pt idx="57">
                  <c:v>44077</c:v>
                </c:pt>
                <c:pt idx="58">
                  <c:v>44076</c:v>
                </c:pt>
              </c:numCache>
            </c:numRef>
          </c:cat>
          <c:val>
            <c:numRef>
              <c:f>资金!$C$3:$C$61</c:f>
              <c:numCache>
                <c:formatCode>###,###,###,###,##0.0000</c:formatCode>
                <c:ptCount val="59"/>
                <c:pt idx="0">
                  <c:v>2.5836999999999999</c:v>
                </c:pt>
                <c:pt idx="1">
                  <c:v>2.7519999999999998</c:v>
                </c:pt>
                <c:pt idx="2">
                  <c:v>3.1027</c:v>
                </c:pt>
                <c:pt idx="3">
                  <c:v>3.0409000000000002</c:v>
                </c:pt>
                <c:pt idx="4">
                  <c:v>2.3380000000000001</c:v>
                </c:pt>
                <c:pt idx="5">
                  <c:v>2.3595999999999999</c:v>
                </c:pt>
                <c:pt idx="6">
                  <c:v>2.4016999999999999</c:v>
                </c:pt>
                <c:pt idx="7">
                  <c:v>2.3649</c:v>
                </c:pt>
                <c:pt idx="8">
                  <c:v>2.4184999999999999</c:v>
                </c:pt>
                <c:pt idx="9">
                  <c:v>2.7439</c:v>
                </c:pt>
                <c:pt idx="10">
                  <c:v>3.3582000000000001</c:v>
                </c:pt>
                <c:pt idx="11">
                  <c:v>3.1901000000000002</c:v>
                </c:pt>
                <c:pt idx="12">
                  <c:v>2.7547000000000001</c:v>
                </c:pt>
                <c:pt idx="13">
                  <c:v>2.6374</c:v>
                </c:pt>
                <c:pt idx="14">
                  <c:v>2.5253000000000001</c:v>
                </c:pt>
                <c:pt idx="15">
                  <c:v>2.4022000000000001</c:v>
                </c:pt>
                <c:pt idx="16">
                  <c:v>2.1776</c:v>
                </c:pt>
                <c:pt idx="17">
                  <c:v>2.2040000000000002</c:v>
                </c:pt>
                <c:pt idx="18">
                  <c:v>2.3984000000000001</c:v>
                </c:pt>
                <c:pt idx="19">
                  <c:v>2.7995999999999999</c:v>
                </c:pt>
                <c:pt idx="20">
                  <c:v>3.3693</c:v>
                </c:pt>
                <c:pt idx="21">
                  <c:v>3.1760000000000002</c:v>
                </c:pt>
                <c:pt idx="22">
                  <c:v>3.2090000000000001</c:v>
                </c:pt>
                <c:pt idx="23">
                  <c:v>3.2181000000000002</c:v>
                </c:pt>
                <c:pt idx="24">
                  <c:v>2.9083999999999999</c:v>
                </c:pt>
                <c:pt idx="25">
                  <c:v>2.3586999999999998</c:v>
                </c:pt>
                <c:pt idx="26">
                  <c:v>2.3241999999999998</c:v>
                </c:pt>
                <c:pt idx="27">
                  <c:v>2.4226999999999999</c:v>
                </c:pt>
                <c:pt idx="28">
                  <c:v>2.5091999999999999</c:v>
                </c:pt>
                <c:pt idx="29">
                  <c:v>2.4037999999999999</c:v>
                </c:pt>
                <c:pt idx="30">
                  <c:v>2.3121</c:v>
                </c:pt>
                <c:pt idx="31">
                  <c:v>2.3601999999999999</c:v>
                </c:pt>
                <c:pt idx="32">
                  <c:v>2.3079000000000001</c:v>
                </c:pt>
                <c:pt idx="33">
                  <c:v>2.2389000000000001</c:v>
                </c:pt>
                <c:pt idx="34">
                  <c:v>2.2442000000000002</c:v>
                </c:pt>
                <c:pt idx="35">
                  <c:v>2.0114999999999998</c:v>
                </c:pt>
                <c:pt idx="36">
                  <c:v>2.2972999999999999</c:v>
                </c:pt>
                <c:pt idx="37">
                  <c:v>2.5514000000000001</c:v>
                </c:pt>
                <c:pt idx="38">
                  <c:v>3.0106999999999999</c:v>
                </c:pt>
                <c:pt idx="39">
                  <c:v>2.7132000000000001</c:v>
                </c:pt>
                <c:pt idx="40">
                  <c:v>1.89</c:v>
                </c:pt>
                <c:pt idx="41">
                  <c:v>1.968</c:v>
                </c:pt>
                <c:pt idx="42">
                  <c:v>2.1869000000000001</c:v>
                </c:pt>
                <c:pt idx="43">
                  <c:v>2.3142</c:v>
                </c:pt>
                <c:pt idx="44">
                  <c:v>2.9742999999999999</c:v>
                </c:pt>
                <c:pt idx="45">
                  <c:v>2.8206000000000002</c:v>
                </c:pt>
                <c:pt idx="46">
                  <c:v>2.6425999999999998</c:v>
                </c:pt>
                <c:pt idx="47">
                  <c:v>2.3935</c:v>
                </c:pt>
                <c:pt idx="48">
                  <c:v>2.2740999999999998</c:v>
                </c:pt>
                <c:pt idx="49">
                  <c:v>2.2704</c:v>
                </c:pt>
                <c:pt idx="50">
                  <c:v>2.2275999999999998</c:v>
                </c:pt>
                <c:pt idx="51">
                  <c:v>2.1873999999999998</c:v>
                </c:pt>
                <c:pt idx="52">
                  <c:v>2.2033</c:v>
                </c:pt>
                <c:pt idx="53">
                  <c:v>2.2875999999999999</c:v>
                </c:pt>
                <c:pt idx="54">
                  <c:v>2.3258999999999999</c:v>
                </c:pt>
                <c:pt idx="55">
                  <c:v>2.3267000000000002</c:v>
                </c:pt>
                <c:pt idx="56">
                  <c:v>2.3408000000000002</c:v>
                </c:pt>
                <c:pt idx="57">
                  <c:v>2.3216000000000001</c:v>
                </c:pt>
                <c:pt idx="58">
                  <c:v>2.3963000000000001</c:v>
                </c:pt>
              </c:numCache>
            </c:numRef>
          </c:val>
          <c:smooth val="1"/>
          <c:extLst xmlns:c16r2="http://schemas.microsoft.com/office/drawing/2015/06/chart">
            <c:ext xmlns:c16="http://schemas.microsoft.com/office/drawing/2014/chart" uri="{C3380CC4-5D6E-409C-BE32-E72D297353CC}">
              <c16:uniqueId val="{00000001-EB51-49E6-BEB9-B79F0EC765A9}"/>
            </c:ext>
          </c:extLst>
        </c:ser>
        <c:dLbls>
          <c:showLegendKey val="0"/>
          <c:showVal val="0"/>
          <c:showCatName val="0"/>
          <c:showSerName val="0"/>
          <c:showPercent val="0"/>
          <c:showBubbleSize val="0"/>
        </c:dLbls>
        <c:marker val="1"/>
        <c:smooth val="0"/>
        <c:axId val="448069632"/>
        <c:axId val="448071168"/>
      </c:lineChart>
      <c:dateAx>
        <c:axId val="44806963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8071168"/>
        <c:crosses val="autoZero"/>
        <c:auto val="0"/>
        <c:lblOffset val="0"/>
        <c:baseTimeUnit val="days"/>
        <c:majorUnit val="14"/>
        <c:majorTimeUnit val="days"/>
        <c:minorUnit val="7"/>
        <c:minorTimeUnit val="days"/>
      </c:dateAx>
      <c:valAx>
        <c:axId val="448071168"/>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8069632"/>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-19.840000000000014</c:v>
                </c:pt>
                <c:pt idx="1">
                  <c:v>0.57999999999998053</c:v>
                </c:pt>
                <c:pt idx="2">
                  <c:v>-3.9899999999999824</c:v>
                </c:pt>
                <c:pt idx="3">
                  <c:v>-3.6399999999999988</c:v>
                </c:pt>
                <c:pt idx="4">
                  <c:v>-3.8799999999999724</c:v>
                </c:pt>
                <c:pt idx="5">
                  <c:v>-1.9599999999999618</c:v>
                </c:pt>
                <c:pt idx="6">
                  <c:v>-1.0000000000000231</c:v>
                </c:pt>
              </c:numCache>
            </c:numRef>
          </c:val>
          <c:extLst xmlns:c16r2="http://schemas.microsoft.com/office/drawing/2015/06/chart">
            <c:ext xmlns:c16="http://schemas.microsoft.com/office/drawing/2014/chart" uri="{C3380CC4-5D6E-409C-BE32-E72D297353CC}">
              <c16:uniqueId val="{00000000-1167-467C-84AE-522FF05C7650}"/>
            </c:ext>
          </c:extLst>
        </c:ser>
        <c:dLbls>
          <c:showLegendKey val="0"/>
          <c:showVal val="0"/>
          <c:showCatName val="0"/>
          <c:showSerName val="0"/>
          <c:showPercent val="0"/>
          <c:showBubbleSize val="0"/>
        </c:dLbls>
        <c:gapWidth val="150"/>
        <c:axId val="448123264"/>
        <c:axId val="448125184"/>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1167-467C-84AE-522FF05C7650}"/>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1167-467C-84AE-522FF05C7650}"/>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1167-467C-84AE-522FF05C7650}"/>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1167-467C-84AE-522FF05C7650}"/>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1167-467C-84AE-522FF05C7650}"/>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1167-467C-84AE-522FF05C7650}"/>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1.8674999999999999</c:v>
                </c:pt>
                <c:pt idx="1">
                  <c:v>2.9274</c:v>
                </c:pt>
                <c:pt idx="2">
                  <c:v>2.9104000000000001</c:v>
                </c:pt>
                <c:pt idx="3">
                  <c:v>3.0836999999999999</c:v>
                </c:pt>
                <c:pt idx="4">
                  <c:v>3.1522000000000001</c:v>
                </c:pt>
                <c:pt idx="5">
                  <c:v>3.3189000000000002</c:v>
                </c:pt>
                <c:pt idx="6">
                  <c:v>3.3</c:v>
                </c:pt>
              </c:numCache>
            </c:numRef>
          </c:val>
          <c:smooth val="0"/>
          <c:extLst xmlns:c16r2="http://schemas.microsoft.com/office/drawing/2015/06/chart">
            <c:ext xmlns:c16="http://schemas.microsoft.com/office/drawing/2014/chart" uri="{C3380CC4-5D6E-409C-BE32-E72D297353CC}">
              <c16:uniqueId val="{00000007-1167-467C-84AE-522FF05C7650}"/>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2.0659000000000001</c:v>
                </c:pt>
                <c:pt idx="1">
                  <c:v>2.9216000000000002</c:v>
                </c:pt>
                <c:pt idx="2">
                  <c:v>2.9502999999999999</c:v>
                </c:pt>
                <c:pt idx="3">
                  <c:v>3.1200999999999999</c:v>
                </c:pt>
                <c:pt idx="4">
                  <c:v>3.1909999999999998</c:v>
                </c:pt>
                <c:pt idx="5">
                  <c:v>3.3384999999999998</c:v>
                </c:pt>
                <c:pt idx="6">
                  <c:v>3.31</c:v>
                </c:pt>
              </c:numCache>
            </c:numRef>
          </c:val>
          <c:smooth val="0"/>
          <c:extLst xmlns:c16r2="http://schemas.microsoft.com/office/drawing/2015/06/chart">
            <c:ext xmlns:c16="http://schemas.microsoft.com/office/drawing/2014/chart" uri="{C3380CC4-5D6E-409C-BE32-E72D297353CC}">
              <c16:uniqueId val="{00000008-1167-467C-84AE-522FF05C7650}"/>
            </c:ext>
          </c:extLst>
        </c:ser>
        <c:dLbls>
          <c:showLegendKey val="0"/>
          <c:showVal val="0"/>
          <c:showCatName val="0"/>
          <c:showSerName val="0"/>
          <c:showPercent val="0"/>
          <c:showBubbleSize val="0"/>
        </c:dLbls>
        <c:marker val="1"/>
        <c:smooth val="0"/>
        <c:axId val="449455616"/>
        <c:axId val="449454080"/>
      </c:lineChart>
      <c:dateAx>
        <c:axId val="44812326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8125184"/>
        <c:crosses val="autoZero"/>
        <c:auto val="0"/>
        <c:lblOffset val="0"/>
        <c:baseTimeUnit val="days"/>
      </c:dateAx>
      <c:valAx>
        <c:axId val="44812518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8123264"/>
        <c:crosses val="autoZero"/>
        <c:crossBetween val="between"/>
      </c:valAx>
      <c:valAx>
        <c:axId val="449454080"/>
        <c:scaling>
          <c:orientation val="minMax"/>
        </c:scaling>
        <c:delete val="0"/>
        <c:axPos val="r"/>
        <c:numFmt formatCode="#,##0.0_);[Red]\(#,##0.0\)" sourceLinked="0"/>
        <c:majorTickMark val="out"/>
        <c:minorTickMark val="none"/>
        <c:tickLblPos val="nextTo"/>
        <c:spPr>
          <a:ln w="3175">
            <a:solidFill>
              <a:sysClr val="windowText" lastClr="000000"/>
            </a:solidFill>
          </a:ln>
        </c:spPr>
        <c:crossAx val="449455616"/>
        <c:crosses val="max"/>
        <c:crossBetween val="between"/>
      </c:valAx>
      <c:dateAx>
        <c:axId val="449455616"/>
        <c:scaling>
          <c:orientation val="minMax"/>
        </c:scaling>
        <c:delete val="1"/>
        <c:axPos val="b"/>
        <c:numFmt formatCode="General" sourceLinked="1"/>
        <c:majorTickMark val="out"/>
        <c:minorTickMark val="none"/>
        <c:tickLblPos val="nextTo"/>
        <c:crossAx val="449454080"/>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-19.840000000000014</c:v>
                </c:pt>
                <c:pt idx="1">
                  <c:v>6.5000000000000391</c:v>
                </c:pt>
                <c:pt idx="2">
                  <c:v>-2.1500000000000075</c:v>
                </c:pt>
                <c:pt idx="3">
                  <c:v>-11.769999999999969</c:v>
                </c:pt>
                <c:pt idx="4">
                  <c:v>-7.3600000000000332</c:v>
                </c:pt>
                <c:pt idx="5">
                  <c:v>-1.3900000000000023</c:v>
                </c:pt>
                <c:pt idx="6">
                  <c:v>-2.9800000000000271</c:v>
                </c:pt>
              </c:numCache>
            </c:numRef>
          </c:val>
          <c:extLst xmlns:c16r2="http://schemas.microsoft.com/office/drawing/2015/06/chart">
            <c:ext xmlns:c16="http://schemas.microsoft.com/office/drawing/2014/chart" uri="{C3380CC4-5D6E-409C-BE32-E72D297353CC}">
              <c16:uniqueId val="{00000000-84D1-462B-B7C5-A1B94AD612EA}"/>
            </c:ext>
          </c:extLst>
        </c:ser>
        <c:dLbls>
          <c:showLegendKey val="0"/>
          <c:showVal val="0"/>
          <c:showCatName val="0"/>
          <c:showSerName val="0"/>
          <c:showPercent val="0"/>
          <c:showBubbleSize val="0"/>
        </c:dLbls>
        <c:gapWidth val="150"/>
        <c:axId val="449512192"/>
        <c:axId val="449514112"/>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84D1-462B-B7C5-A1B94AD612EA}"/>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84D1-462B-B7C5-A1B94AD612EA}"/>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84D1-462B-B7C5-A1B94AD612EA}"/>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84D1-462B-B7C5-A1B94AD612EA}"/>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84D1-462B-B7C5-A1B94AD612EA}"/>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84D1-462B-B7C5-A1B94AD612EA}"/>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1.8991</c:v>
                </c:pt>
                <c:pt idx="1">
                  <c:v>3.0607000000000002</c:v>
                </c:pt>
                <c:pt idx="2">
                  <c:v>3.0693000000000001</c:v>
                </c:pt>
                <c:pt idx="3">
                  <c:v>3.3157000000000001</c:v>
                </c:pt>
                <c:pt idx="4">
                  <c:v>3.4573999999999998</c:v>
                </c:pt>
                <c:pt idx="5">
                  <c:v>3.5491000000000001</c:v>
                </c:pt>
                <c:pt idx="6">
                  <c:v>3.7452999999999999</c:v>
                </c:pt>
              </c:numCache>
            </c:numRef>
          </c:val>
          <c:smooth val="0"/>
          <c:extLst xmlns:c16r2="http://schemas.microsoft.com/office/drawing/2015/06/chart">
            <c:ext xmlns:c16="http://schemas.microsoft.com/office/drawing/2014/chart" uri="{C3380CC4-5D6E-409C-BE32-E72D297353CC}">
              <c16:uniqueId val="{00000007-84D1-462B-B7C5-A1B94AD612EA}"/>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2.0975000000000001</c:v>
                </c:pt>
                <c:pt idx="1">
                  <c:v>2.9956999999999998</c:v>
                </c:pt>
                <c:pt idx="2">
                  <c:v>3.0908000000000002</c:v>
                </c:pt>
                <c:pt idx="3">
                  <c:v>3.4333999999999998</c:v>
                </c:pt>
                <c:pt idx="4">
                  <c:v>3.5310000000000001</c:v>
                </c:pt>
                <c:pt idx="5">
                  <c:v>3.5630000000000002</c:v>
                </c:pt>
                <c:pt idx="6">
                  <c:v>3.7751000000000001</c:v>
                </c:pt>
              </c:numCache>
            </c:numRef>
          </c:val>
          <c:smooth val="0"/>
          <c:extLst xmlns:c16r2="http://schemas.microsoft.com/office/drawing/2015/06/chart">
            <c:ext xmlns:c16="http://schemas.microsoft.com/office/drawing/2014/chart" uri="{C3380CC4-5D6E-409C-BE32-E72D297353CC}">
              <c16:uniqueId val="{00000008-84D1-462B-B7C5-A1B94AD612EA}"/>
            </c:ext>
          </c:extLst>
        </c:ser>
        <c:dLbls>
          <c:showLegendKey val="0"/>
          <c:showVal val="0"/>
          <c:showCatName val="0"/>
          <c:showSerName val="0"/>
          <c:showPercent val="0"/>
          <c:showBubbleSize val="0"/>
        </c:dLbls>
        <c:marker val="1"/>
        <c:smooth val="0"/>
        <c:axId val="449517440"/>
        <c:axId val="449515904"/>
      </c:lineChart>
      <c:dateAx>
        <c:axId val="44951219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9514112"/>
        <c:crosses val="autoZero"/>
        <c:auto val="0"/>
        <c:lblOffset val="0"/>
        <c:baseTimeUnit val="days"/>
      </c:dateAx>
      <c:valAx>
        <c:axId val="44951411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9512192"/>
        <c:crosses val="autoZero"/>
        <c:crossBetween val="between"/>
      </c:valAx>
      <c:valAx>
        <c:axId val="449515904"/>
        <c:scaling>
          <c:orientation val="minMax"/>
        </c:scaling>
        <c:delete val="0"/>
        <c:axPos val="r"/>
        <c:numFmt formatCode="#,##0.0_);[Red]\(#,##0.0\)" sourceLinked="0"/>
        <c:majorTickMark val="out"/>
        <c:minorTickMark val="none"/>
        <c:tickLblPos val="nextTo"/>
        <c:spPr>
          <a:ln w="3175">
            <a:solidFill>
              <a:sysClr val="windowText" lastClr="000000"/>
            </a:solidFill>
          </a:ln>
        </c:spPr>
        <c:crossAx val="449517440"/>
        <c:crosses val="max"/>
        <c:crossBetween val="between"/>
      </c:valAx>
      <c:dateAx>
        <c:axId val="449517440"/>
        <c:scaling>
          <c:orientation val="minMax"/>
        </c:scaling>
        <c:delete val="1"/>
        <c:axPos val="b"/>
        <c:numFmt formatCode="General" sourceLinked="1"/>
        <c:majorTickMark val="out"/>
        <c:minorTickMark val="none"/>
        <c:tickLblPos val="nextTo"/>
        <c:crossAx val="449515904"/>
        <c:crosses val="autoZero"/>
        <c:auto val="0"/>
        <c:lblOffset val="100"/>
        <c:baseTimeUnit val="years"/>
      </c:dateAx>
    </c:plotArea>
    <c:legend>
      <c:legendPos val="r"/>
      <c:layout>
        <c:manualLayout>
          <c:xMode val="edge"/>
          <c:yMode val="edge"/>
          <c:x val="0.10565955303871639"/>
          <c:y val="2.3336672412989793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44162</c:v>
                </c:pt>
                <c:pt idx="1">
                  <c:v>44155</c:v>
                </c:pt>
                <c:pt idx="2">
                  <c:v>44148</c:v>
                </c:pt>
                <c:pt idx="3">
                  <c:v>44141</c:v>
                </c:pt>
                <c:pt idx="4">
                  <c:v>44134</c:v>
                </c:pt>
                <c:pt idx="5">
                  <c:v>44127</c:v>
                </c:pt>
                <c:pt idx="6">
                  <c:v>44120</c:v>
                </c:pt>
                <c:pt idx="7">
                  <c:v>44113</c:v>
                </c:pt>
                <c:pt idx="8">
                  <c:v>44104</c:v>
                </c:pt>
                <c:pt idx="9">
                  <c:v>44099</c:v>
                </c:pt>
                <c:pt idx="10">
                  <c:v>44092</c:v>
                </c:pt>
                <c:pt idx="11">
                  <c:v>44085</c:v>
                </c:pt>
                <c:pt idx="12">
                  <c:v>44078</c:v>
                </c:pt>
                <c:pt idx="13">
                  <c:v>44071</c:v>
                </c:pt>
                <c:pt idx="14">
                  <c:v>44064</c:v>
                </c:pt>
                <c:pt idx="15">
                  <c:v>44057</c:v>
                </c:pt>
                <c:pt idx="16">
                  <c:v>44050</c:v>
                </c:pt>
                <c:pt idx="17">
                  <c:v>44043</c:v>
                </c:pt>
                <c:pt idx="18">
                  <c:v>44036</c:v>
                </c:pt>
                <c:pt idx="19">
                  <c:v>44029</c:v>
                </c:pt>
                <c:pt idx="20">
                  <c:v>44022</c:v>
                </c:pt>
                <c:pt idx="21">
                  <c:v>44015</c:v>
                </c:pt>
                <c:pt idx="22">
                  <c:v>44006</c:v>
                </c:pt>
                <c:pt idx="23">
                  <c:v>44001</c:v>
                </c:pt>
              </c:numCache>
            </c:numRef>
          </c:cat>
          <c:val>
            <c:numRef>
              <c:f>转债!$H$5:$H$28</c:f>
              <c:numCache>
                <c:formatCode>General</c:formatCode>
                <c:ptCount val="24"/>
                <c:pt idx="0">
                  <c:v>6.7439083507888187</c:v>
                </c:pt>
                <c:pt idx="1">
                  <c:v>6.0560524739659893</c:v>
                </c:pt>
                <c:pt idx="2">
                  <c:v>6.0876650423814072</c:v>
                </c:pt>
                <c:pt idx="3">
                  <c:v>6.4651034623441017</c:v>
                </c:pt>
                <c:pt idx="4">
                  <c:v>6.0060402896534137</c:v>
                </c:pt>
                <c:pt idx="5">
                  <c:v>6.2984058398932063</c:v>
                </c:pt>
                <c:pt idx="6">
                  <c:v>6.7794326485682177</c:v>
                </c:pt>
                <c:pt idx="7">
                  <c:v>5.1040244740969687</c:v>
                </c:pt>
                <c:pt idx="8">
                  <c:v>4.0845698503024552</c:v>
                </c:pt>
                <c:pt idx="9">
                  <c:v>3.0773719785150311</c:v>
                </c:pt>
                <c:pt idx="10">
                  <c:v>5.2922221201631148</c:v>
                </c:pt>
                <c:pt idx="11">
                  <c:v>5.1666700954664746</c:v>
                </c:pt>
                <c:pt idx="12">
                  <c:v>7.9644548396640147</c:v>
                </c:pt>
                <c:pt idx="13">
                  <c:v>7.683708574423842</c:v>
                </c:pt>
                <c:pt idx="14">
                  <c:v>7.7971777017517896</c:v>
                </c:pt>
                <c:pt idx="15">
                  <c:v>7.6795940146483943</c:v>
                </c:pt>
                <c:pt idx="16">
                  <c:v>8.1351800945711261</c:v>
                </c:pt>
                <c:pt idx="17">
                  <c:v>6.9571410647843113</c:v>
                </c:pt>
                <c:pt idx="18">
                  <c:v>4.5795050300493134</c:v>
                </c:pt>
                <c:pt idx="19">
                  <c:v>4.1146756785184424</c:v>
                </c:pt>
                <c:pt idx="20">
                  <c:v>7.8740214519238183</c:v>
                </c:pt>
                <c:pt idx="21">
                  <c:v>3.7325431833189926</c:v>
                </c:pt>
                <c:pt idx="22">
                  <c:v>-0.5126973286365577</c:v>
                </c:pt>
                <c:pt idx="23">
                  <c:v>0</c:v>
                </c:pt>
              </c:numCache>
            </c:numRef>
          </c:val>
          <c:smooth val="1"/>
          <c:extLst xmlns:c16r2="http://schemas.microsoft.com/office/drawing/2015/06/chart">
            <c:ext xmlns:c16="http://schemas.microsoft.com/office/drawing/2014/chart" uri="{C3380CC4-5D6E-409C-BE32-E72D297353CC}">
              <c16:uniqueId val="{00000000-1651-406C-BF44-7EAC433B82A5}"/>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44162</c:v>
                </c:pt>
                <c:pt idx="1">
                  <c:v>44155</c:v>
                </c:pt>
                <c:pt idx="2">
                  <c:v>44148</c:v>
                </c:pt>
                <c:pt idx="3">
                  <c:v>44141</c:v>
                </c:pt>
                <c:pt idx="4">
                  <c:v>44134</c:v>
                </c:pt>
                <c:pt idx="5">
                  <c:v>44127</c:v>
                </c:pt>
                <c:pt idx="6">
                  <c:v>44120</c:v>
                </c:pt>
                <c:pt idx="7">
                  <c:v>44113</c:v>
                </c:pt>
                <c:pt idx="8">
                  <c:v>44104</c:v>
                </c:pt>
                <c:pt idx="9">
                  <c:v>44099</c:v>
                </c:pt>
                <c:pt idx="10">
                  <c:v>44092</c:v>
                </c:pt>
                <c:pt idx="11">
                  <c:v>44085</c:v>
                </c:pt>
                <c:pt idx="12">
                  <c:v>44078</c:v>
                </c:pt>
                <c:pt idx="13">
                  <c:v>44071</c:v>
                </c:pt>
                <c:pt idx="14">
                  <c:v>44064</c:v>
                </c:pt>
                <c:pt idx="15">
                  <c:v>44057</c:v>
                </c:pt>
                <c:pt idx="16">
                  <c:v>44050</c:v>
                </c:pt>
                <c:pt idx="17">
                  <c:v>44043</c:v>
                </c:pt>
                <c:pt idx="18">
                  <c:v>44036</c:v>
                </c:pt>
                <c:pt idx="19">
                  <c:v>44029</c:v>
                </c:pt>
                <c:pt idx="20">
                  <c:v>44022</c:v>
                </c:pt>
                <c:pt idx="21">
                  <c:v>44015</c:v>
                </c:pt>
                <c:pt idx="22">
                  <c:v>44006</c:v>
                </c:pt>
                <c:pt idx="23">
                  <c:v>44001</c:v>
                </c:pt>
              </c:numCache>
            </c:numRef>
          </c:cat>
          <c:val>
            <c:numRef>
              <c:f>转债!$I$5:$I$28</c:f>
              <c:numCache>
                <c:formatCode>General</c:formatCode>
                <c:ptCount val="24"/>
                <c:pt idx="0">
                  <c:v>-2.1321897251365463</c:v>
                </c:pt>
                <c:pt idx="1">
                  <c:v>-2.3145822623886425</c:v>
                </c:pt>
                <c:pt idx="2">
                  <c:v>-2.0510984223674478</c:v>
                </c:pt>
                <c:pt idx="3">
                  <c:v>-1.834910854075078</c:v>
                </c:pt>
                <c:pt idx="4">
                  <c:v>-1.8559593721671486</c:v>
                </c:pt>
                <c:pt idx="5">
                  <c:v>-1.9631307112973451</c:v>
                </c:pt>
                <c:pt idx="6">
                  <c:v>-2.2061530436911836</c:v>
                </c:pt>
                <c:pt idx="7">
                  <c:v>-2.1318542905852667</c:v>
                </c:pt>
                <c:pt idx="8">
                  <c:v>-1.930593559824334</c:v>
                </c:pt>
                <c:pt idx="9">
                  <c:v>-1.8293761839791478</c:v>
                </c:pt>
                <c:pt idx="10">
                  <c:v>-1.8322273776649189</c:v>
                </c:pt>
                <c:pt idx="11">
                  <c:v>-1.8510117125359438</c:v>
                </c:pt>
                <c:pt idx="12">
                  <c:v>-1.8776787593617672</c:v>
                </c:pt>
                <c:pt idx="13">
                  <c:v>-1.6331469714872315</c:v>
                </c:pt>
                <c:pt idx="14">
                  <c:v>-1.1478570344399142</c:v>
                </c:pt>
                <c:pt idx="15">
                  <c:v>-0.92244501598764961</c:v>
                </c:pt>
                <c:pt idx="16">
                  <c:v>-1.128234113190707</c:v>
                </c:pt>
                <c:pt idx="17">
                  <c:v>-0.91825208409679338</c:v>
                </c:pt>
                <c:pt idx="18">
                  <c:v>-0.37585441469605296</c:v>
                </c:pt>
                <c:pt idx="19">
                  <c:v>-1.0229076640924872</c:v>
                </c:pt>
                <c:pt idx="20">
                  <c:v>-1.2521771798843284</c:v>
                </c:pt>
                <c:pt idx="21">
                  <c:v>-1.7358738028139253E-2</c:v>
                </c:pt>
                <c:pt idx="22">
                  <c:v>-5.8365611920663252E-2</c:v>
                </c:pt>
                <c:pt idx="23">
                  <c:v>0</c:v>
                </c:pt>
              </c:numCache>
            </c:numRef>
          </c:val>
          <c:smooth val="1"/>
          <c:extLst xmlns:c16r2="http://schemas.microsoft.com/office/drawing/2015/06/chart">
            <c:ext xmlns:c16="http://schemas.microsoft.com/office/drawing/2014/chart" uri="{C3380CC4-5D6E-409C-BE32-E72D297353CC}">
              <c16:uniqueId val="{00000001-1651-406C-BF44-7EAC433B82A5}"/>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44162</c:v>
                </c:pt>
                <c:pt idx="1">
                  <c:v>44155</c:v>
                </c:pt>
                <c:pt idx="2">
                  <c:v>44148</c:v>
                </c:pt>
                <c:pt idx="3">
                  <c:v>44141</c:v>
                </c:pt>
                <c:pt idx="4">
                  <c:v>44134</c:v>
                </c:pt>
                <c:pt idx="5">
                  <c:v>44127</c:v>
                </c:pt>
                <c:pt idx="6">
                  <c:v>44120</c:v>
                </c:pt>
                <c:pt idx="7">
                  <c:v>44113</c:v>
                </c:pt>
                <c:pt idx="8">
                  <c:v>44104</c:v>
                </c:pt>
                <c:pt idx="9">
                  <c:v>44099</c:v>
                </c:pt>
                <c:pt idx="10">
                  <c:v>44092</c:v>
                </c:pt>
                <c:pt idx="11">
                  <c:v>44085</c:v>
                </c:pt>
                <c:pt idx="12">
                  <c:v>44078</c:v>
                </c:pt>
                <c:pt idx="13">
                  <c:v>44071</c:v>
                </c:pt>
                <c:pt idx="14">
                  <c:v>44064</c:v>
                </c:pt>
                <c:pt idx="15">
                  <c:v>44057</c:v>
                </c:pt>
                <c:pt idx="16">
                  <c:v>44050</c:v>
                </c:pt>
                <c:pt idx="17">
                  <c:v>44043</c:v>
                </c:pt>
                <c:pt idx="18">
                  <c:v>44036</c:v>
                </c:pt>
                <c:pt idx="19">
                  <c:v>44029</c:v>
                </c:pt>
                <c:pt idx="20">
                  <c:v>44022</c:v>
                </c:pt>
                <c:pt idx="21">
                  <c:v>44015</c:v>
                </c:pt>
                <c:pt idx="22">
                  <c:v>44006</c:v>
                </c:pt>
                <c:pt idx="23">
                  <c:v>44001</c:v>
                </c:pt>
              </c:numCache>
            </c:numRef>
          </c:cat>
          <c:val>
            <c:numRef>
              <c:f>转债!$J$5:$J$28</c:f>
              <c:numCache>
                <c:formatCode>General</c:formatCode>
                <c:ptCount val="24"/>
                <c:pt idx="0">
                  <c:v>21.520322433195147</c:v>
                </c:pt>
                <c:pt idx="1">
                  <c:v>20.605966341356961</c:v>
                </c:pt>
                <c:pt idx="2">
                  <c:v>18.49708548507769</c:v>
                </c:pt>
                <c:pt idx="3">
                  <c:v>19.20136813794684</c:v>
                </c:pt>
                <c:pt idx="4">
                  <c:v>14.556393908863274</c:v>
                </c:pt>
                <c:pt idx="5">
                  <c:v>15.121310744272055</c:v>
                </c:pt>
                <c:pt idx="6">
                  <c:v>16.906943514781926</c:v>
                </c:pt>
                <c:pt idx="7">
                  <c:v>14.210123942670251</c:v>
                </c:pt>
                <c:pt idx="8">
                  <c:v>11.922918665009075</c:v>
                </c:pt>
                <c:pt idx="9">
                  <c:v>11.499036465014179</c:v>
                </c:pt>
                <c:pt idx="10">
                  <c:v>15.575126756360769</c:v>
                </c:pt>
                <c:pt idx="11">
                  <c:v>12.896085950956016</c:v>
                </c:pt>
                <c:pt idx="12">
                  <c:v>16.383437274586065</c:v>
                </c:pt>
                <c:pt idx="13">
                  <c:v>18.190010782662203</c:v>
                </c:pt>
                <c:pt idx="14">
                  <c:v>15.129972007042713</c:v>
                </c:pt>
                <c:pt idx="15">
                  <c:v>14.783172605914153</c:v>
                </c:pt>
                <c:pt idx="16">
                  <c:v>14.863622318195514</c:v>
                </c:pt>
                <c:pt idx="17">
                  <c:v>14.549377066122894</c:v>
                </c:pt>
                <c:pt idx="18">
                  <c:v>9.9270538690287893</c:v>
                </c:pt>
                <c:pt idx="19">
                  <c:v>10.88125908898887</c:v>
                </c:pt>
                <c:pt idx="20">
                  <c:v>15.966581676500869</c:v>
                </c:pt>
                <c:pt idx="21">
                  <c:v>7.8289520152623693</c:v>
                </c:pt>
                <c:pt idx="22">
                  <c:v>0.98274835042591047</c:v>
                </c:pt>
                <c:pt idx="23">
                  <c:v>0</c:v>
                </c:pt>
              </c:numCache>
            </c:numRef>
          </c:val>
          <c:smooth val="1"/>
          <c:extLst xmlns:c16r2="http://schemas.microsoft.com/office/drawing/2015/06/chart">
            <c:ext xmlns:c16="http://schemas.microsoft.com/office/drawing/2014/chart" uri="{C3380CC4-5D6E-409C-BE32-E72D297353CC}">
              <c16:uniqueId val="{00000002-1651-406C-BF44-7EAC433B82A5}"/>
            </c:ext>
          </c:extLst>
        </c:ser>
        <c:dLbls>
          <c:showLegendKey val="0"/>
          <c:showVal val="0"/>
          <c:showCatName val="0"/>
          <c:showSerName val="0"/>
          <c:showPercent val="0"/>
          <c:showBubbleSize val="0"/>
        </c:dLbls>
        <c:marker val="1"/>
        <c:smooth val="0"/>
        <c:axId val="449568128"/>
        <c:axId val="449569920"/>
      </c:lineChart>
      <c:dateAx>
        <c:axId val="44956812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449569920"/>
        <c:crosses val="autoZero"/>
        <c:auto val="0"/>
        <c:lblOffset val="0"/>
        <c:baseTimeUnit val="days"/>
        <c:majorUnit val="14"/>
        <c:majorTimeUnit val="days"/>
      </c:dateAx>
      <c:valAx>
        <c:axId val="44956992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9568128"/>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高炉!$H$1</c:f>
              <c:strCache>
                <c:ptCount val="1"/>
                <c:pt idx="0">
                  <c:v>2018</c:v>
                </c:pt>
              </c:strCache>
            </c:strRef>
          </c:tx>
          <c:spPr>
            <a:ln w="28575">
              <a:solidFill>
                <a:srgbClr val="E7E6E6">
                  <a:lumMod val="75000"/>
                </a:srgbClr>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高炉!$H$2:$H$366</c:f>
              <c:numCache>
                <c:formatCode>General</c:formatCode>
                <c:ptCount val="365"/>
                <c:pt idx="0">
                  <c:v>#N/A</c:v>
                </c:pt>
                <c:pt idx="1">
                  <c:v>#N/A</c:v>
                </c:pt>
                <c:pt idx="2">
                  <c:v>#N/A</c:v>
                </c:pt>
                <c:pt idx="3">
                  <c:v>#N/A</c:v>
                </c:pt>
                <c:pt idx="4">
                  <c:v>63.12</c:v>
                </c:pt>
                <c:pt idx="5">
                  <c:v>#N/A</c:v>
                </c:pt>
                <c:pt idx="6">
                  <c:v>#N/A</c:v>
                </c:pt>
                <c:pt idx="7">
                  <c:v>#N/A</c:v>
                </c:pt>
                <c:pt idx="8">
                  <c:v>#N/A</c:v>
                </c:pt>
                <c:pt idx="9">
                  <c:v>#N/A</c:v>
                </c:pt>
                <c:pt idx="10">
                  <c:v>#N/A</c:v>
                </c:pt>
                <c:pt idx="11">
                  <c:v>64.09</c:v>
                </c:pt>
                <c:pt idx="12">
                  <c:v>#N/A</c:v>
                </c:pt>
                <c:pt idx="13">
                  <c:v>#N/A</c:v>
                </c:pt>
                <c:pt idx="14">
                  <c:v>#N/A</c:v>
                </c:pt>
                <c:pt idx="15">
                  <c:v>#N/A</c:v>
                </c:pt>
                <c:pt idx="16">
                  <c:v>#N/A</c:v>
                </c:pt>
                <c:pt idx="17">
                  <c:v>#N/A</c:v>
                </c:pt>
                <c:pt idx="18">
                  <c:v>64.09</c:v>
                </c:pt>
                <c:pt idx="19">
                  <c:v>#N/A</c:v>
                </c:pt>
                <c:pt idx="20">
                  <c:v>#N/A</c:v>
                </c:pt>
                <c:pt idx="21">
                  <c:v>#N/A</c:v>
                </c:pt>
                <c:pt idx="22">
                  <c:v>#N/A</c:v>
                </c:pt>
                <c:pt idx="23">
                  <c:v>#N/A</c:v>
                </c:pt>
                <c:pt idx="24">
                  <c:v>#N/A</c:v>
                </c:pt>
                <c:pt idx="25">
                  <c:v>64.09</c:v>
                </c:pt>
                <c:pt idx="26">
                  <c:v>#N/A</c:v>
                </c:pt>
                <c:pt idx="27">
                  <c:v>#N/A</c:v>
                </c:pt>
                <c:pt idx="28">
                  <c:v>#N/A</c:v>
                </c:pt>
                <c:pt idx="29">
                  <c:v>#N/A</c:v>
                </c:pt>
                <c:pt idx="30">
                  <c:v>#N/A</c:v>
                </c:pt>
                <c:pt idx="31">
                  <c:v>#N/A</c:v>
                </c:pt>
                <c:pt idx="32">
                  <c:v>63.67</c:v>
                </c:pt>
                <c:pt idx="33">
                  <c:v>#N/A</c:v>
                </c:pt>
                <c:pt idx="34">
                  <c:v>#N/A</c:v>
                </c:pt>
                <c:pt idx="35">
                  <c:v>#N/A</c:v>
                </c:pt>
                <c:pt idx="36">
                  <c:v>#N/A</c:v>
                </c:pt>
                <c:pt idx="37">
                  <c:v>#N/A</c:v>
                </c:pt>
                <c:pt idx="38">
                  <c:v>#N/A</c:v>
                </c:pt>
                <c:pt idx="39">
                  <c:v>63.67</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63.81</c:v>
                </c:pt>
                <c:pt idx="54">
                  <c:v>#N/A</c:v>
                </c:pt>
                <c:pt idx="55">
                  <c:v>#N/A</c:v>
                </c:pt>
                <c:pt idx="56">
                  <c:v>#N/A</c:v>
                </c:pt>
                <c:pt idx="57">
                  <c:v>#N/A</c:v>
                </c:pt>
                <c:pt idx="58">
                  <c:v>#N/A</c:v>
                </c:pt>
                <c:pt idx="59">
                  <c:v>#N/A</c:v>
                </c:pt>
                <c:pt idx="60">
                  <c:v>63.26</c:v>
                </c:pt>
                <c:pt idx="61">
                  <c:v>#N/A</c:v>
                </c:pt>
                <c:pt idx="62">
                  <c:v>#N/A</c:v>
                </c:pt>
                <c:pt idx="63">
                  <c:v>#N/A</c:v>
                </c:pt>
                <c:pt idx="64">
                  <c:v>#N/A</c:v>
                </c:pt>
                <c:pt idx="65">
                  <c:v>#N/A</c:v>
                </c:pt>
                <c:pt idx="66">
                  <c:v>#N/A</c:v>
                </c:pt>
                <c:pt idx="67">
                  <c:v>62.57</c:v>
                </c:pt>
                <c:pt idx="68">
                  <c:v>#N/A</c:v>
                </c:pt>
                <c:pt idx="69">
                  <c:v>#N/A</c:v>
                </c:pt>
                <c:pt idx="70">
                  <c:v>#N/A</c:v>
                </c:pt>
                <c:pt idx="71">
                  <c:v>#N/A</c:v>
                </c:pt>
                <c:pt idx="72">
                  <c:v>#N/A</c:v>
                </c:pt>
                <c:pt idx="73">
                  <c:v>#N/A</c:v>
                </c:pt>
                <c:pt idx="74">
                  <c:v>62.02</c:v>
                </c:pt>
                <c:pt idx="75">
                  <c:v>#N/A</c:v>
                </c:pt>
                <c:pt idx="76">
                  <c:v>#N/A</c:v>
                </c:pt>
                <c:pt idx="77">
                  <c:v>#N/A</c:v>
                </c:pt>
                <c:pt idx="78">
                  <c:v>#N/A</c:v>
                </c:pt>
                <c:pt idx="79">
                  <c:v>#N/A</c:v>
                </c:pt>
                <c:pt idx="80">
                  <c:v>#N/A</c:v>
                </c:pt>
                <c:pt idx="81">
                  <c:v>63.12</c:v>
                </c:pt>
                <c:pt idx="82">
                  <c:v>#N/A</c:v>
                </c:pt>
                <c:pt idx="83">
                  <c:v>#N/A</c:v>
                </c:pt>
                <c:pt idx="84">
                  <c:v>#N/A</c:v>
                </c:pt>
                <c:pt idx="85">
                  <c:v>#N/A</c:v>
                </c:pt>
                <c:pt idx="86">
                  <c:v>#N/A</c:v>
                </c:pt>
                <c:pt idx="87">
                  <c:v>#N/A</c:v>
                </c:pt>
                <c:pt idx="88">
                  <c:v>64.5</c:v>
                </c:pt>
                <c:pt idx="89">
                  <c:v>#N/A</c:v>
                </c:pt>
                <c:pt idx="90">
                  <c:v>#N/A</c:v>
                </c:pt>
                <c:pt idx="91">
                  <c:v>#N/A</c:v>
                </c:pt>
                <c:pt idx="92">
                  <c:v>#N/A</c:v>
                </c:pt>
                <c:pt idx="93">
                  <c:v>#N/A</c:v>
                </c:pt>
                <c:pt idx="94">
                  <c:v>#N/A</c:v>
                </c:pt>
                <c:pt idx="95">
                  <c:v>#N/A</c:v>
                </c:pt>
                <c:pt idx="96">
                  <c:v>#N/A</c:v>
                </c:pt>
                <c:pt idx="97">
                  <c:v>#N/A</c:v>
                </c:pt>
                <c:pt idx="98">
                  <c:v>65.06</c:v>
                </c:pt>
                <c:pt idx="99">
                  <c:v>#N/A</c:v>
                </c:pt>
                <c:pt idx="100">
                  <c:v>#N/A</c:v>
                </c:pt>
                <c:pt idx="101">
                  <c:v>#N/A</c:v>
                </c:pt>
                <c:pt idx="102">
                  <c:v>66.989999999999995</c:v>
                </c:pt>
                <c:pt idx="103">
                  <c:v>#N/A</c:v>
                </c:pt>
                <c:pt idx="104">
                  <c:v>#N/A</c:v>
                </c:pt>
                <c:pt idx="105">
                  <c:v>#N/A</c:v>
                </c:pt>
                <c:pt idx="106">
                  <c:v>#N/A</c:v>
                </c:pt>
                <c:pt idx="107">
                  <c:v>#N/A</c:v>
                </c:pt>
                <c:pt idx="108">
                  <c:v>#N/A</c:v>
                </c:pt>
                <c:pt idx="109">
                  <c:v>67.27</c:v>
                </c:pt>
                <c:pt idx="110">
                  <c:v>#N/A</c:v>
                </c:pt>
                <c:pt idx="111">
                  <c:v>#N/A</c:v>
                </c:pt>
                <c:pt idx="112">
                  <c:v>#N/A</c:v>
                </c:pt>
                <c:pt idx="113">
                  <c:v>#N/A</c:v>
                </c:pt>
                <c:pt idx="114">
                  <c:v>#N/A</c:v>
                </c:pt>
                <c:pt idx="115">
                  <c:v>#N/A</c:v>
                </c:pt>
                <c:pt idx="116">
                  <c:v>67.680000000000007</c:v>
                </c:pt>
                <c:pt idx="117">
                  <c:v>#N/A</c:v>
                </c:pt>
                <c:pt idx="118">
                  <c:v>#N/A</c:v>
                </c:pt>
                <c:pt idx="119">
                  <c:v>#N/A</c:v>
                </c:pt>
                <c:pt idx="120">
                  <c:v>#N/A</c:v>
                </c:pt>
                <c:pt idx="121">
                  <c:v>#N/A</c:v>
                </c:pt>
                <c:pt idx="122">
                  <c:v>#N/A</c:v>
                </c:pt>
                <c:pt idx="123">
                  <c:v>68.92</c:v>
                </c:pt>
                <c:pt idx="124">
                  <c:v>#N/A</c:v>
                </c:pt>
                <c:pt idx="125">
                  <c:v>#N/A</c:v>
                </c:pt>
                <c:pt idx="126">
                  <c:v>#N/A</c:v>
                </c:pt>
                <c:pt idx="127">
                  <c:v>#N/A</c:v>
                </c:pt>
                <c:pt idx="128">
                  <c:v>#N/A</c:v>
                </c:pt>
                <c:pt idx="129">
                  <c:v>#N/A</c:v>
                </c:pt>
                <c:pt idx="130">
                  <c:v>69.98</c:v>
                </c:pt>
                <c:pt idx="131">
                  <c:v>#N/A</c:v>
                </c:pt>
                <c:pt idx="132">
                  <c:v>#N/A</c:v>
                </c:pt>
                <c:pt idx="133">
                  <c:v>#N/A</c:v>
                </c:pt>
                <c:pt idx="134">
                  <c:v>#N/A</c:v>
                </c:pt>
                <c:pt idx="135">
                  <c:v>#N/A</c:v>
                </c:pt>
                <c:pt idx="136">
                  <c:v>#N/A</c:v>
                </c:pt>
                <c:pt idx="137">
                  <c:v>70.17</c:v>
                </c:pt>
                <c:pt idx="138">
                  <c:v>#N/A</c:v>
                </c:pt>
                <c:pt idx="139">
                  <c:v>#N/A</c:v>
                </c:pt>
                <c:pt idx="140">
                  <c:v>#N/A</c:v>
                </c:pt>
                <c:pt idx="141">
                  <c:v>#N/A</c:v>
                </c:pt>
                <c:pt idx="142">
                  <c:v>#N/A</c:v>
                </c:pt>
                <c:pt idx="143">
                  <c:v>#N/A</c:v>
                </c:pt>
                <c:pt idx="144">
                  <c:v>71.959999999999994</c:v>
                </c:pt>
                <c:pt idx="145">
                  <c:v>#N/A</c:v>
                </c:pt>
                <c:pt idx="146">
                  <c:v>#N/A</c:v>
                </c:pt>
                <c:pt idx="147">
                  <c:v>#N/A</c:v>
                </c:pt>
                <c:pt idx="148">
                  <c:v>#N/A</c:v>
                </c:pt>
                <c:pt idx="149">
                  <c:v>#N/A</c:v>
                </c:pt>
                <c:pt idx="150">
                  <c:v>#N/A</c:v>
                </c:pt>
                <c:pt idx="151">
                  <c:v>71.819999999999993</c:v>
                </c:pt>
                <c:pt idx="152">
                  <c:v>#N/A</c:v>
                </c:pt>
                <c:pt idx="153">
                  <c:v>#N/A</c:v>
                </c:pt>
                <c:pt idx="154">
                  <c:v>#N/A</c:v>
                </c:pt>
                <c:pt idx="155">
                  <c:v>#N/A</c:v>
                </c:pt>
                <c:pt idx="156">
                  <c:v>#N/A</c:v>
                </c:pt>
                <c:pt idx="157">
                  <c:v>#N/A</c:v>
                </c:pt>
                <c:pt idx="158">
                  <c:v>71.41</c:v>
                </c:pt>
                <c:pt idx="159">
                  <c:v>#N/A</c:v>
                </c:pt>
                <c:pt idx="160">
                  <c:v>#N/A</c:v>
                </c:pt>
                <c:pt idx="161">
                  <c:v>#N/A</c:v>
                </c:pt>
                <c:pt idx="162">
                  <c:v>#N/A</c:v>
                </c:pt>
                <c:pt idx="163">
                  <c:v>#N/A</c:v>
                </c:pt>
                <c:pt idx="164">
                  <c:v>#N/A</c:v>
                </c:pt>
                <c:pt idx="165">
                  <c:v>71.41</c:v>
                </c:pt>
                <c:pt idx="166">
                  <c:v>#N/A</c:v>
                </c:pt>
                <c:pt idx="167">
                  <c:v>#N/A</c:v>
                </c:pt>
                <c:pt idx="168">
                  <c:v>#N/A</c:v>
                </c:pt>
                <c:pt idx="169">
                  <c:v>#N/A</c:v>
                </c:pt>
                <c:pt idx="170">
                  <c:v>#N/A</c:v>
                </c:pt>
                <c:pt idx="171">
                  <c:v>#N/A</c:v>
                </c:pt>
                <c:pt idx="172">
                  <c:v>71.55</c:v>
                </c:pt>
                <c:pt idx="173">
                  <c:v>#N/A</c:v>
                </c:pt>
                <c:pt idx="174">
                  <c:v>#N/A</c:v>
                </c:pt>
                <c:pt idx="175">
                  <c:v>#N/A</c:v>
                </c:pt>
                <c:pt idx="176">
                  <c:v>#N/A</c:v>
                </c:pt>
                <c:pt idx="177">
                  <c:v>#N/A</c:v>
                </c:pt>
                <c:pt idx="178">
                  <c:v>#N/A</c:v>
                </c:pt>
                <c:pt idx="179">
                  <c:v>71.27</c:v>
                </c:pt>
                <c:pt idx="180">
                  <c:v>#N/A</c:v>
                </c:pt>
                <c:pt idx="181">
                  <c:v>#N/A</c:v>
                </c:pt>
                <c:pt idx="182">
                  <c:v>#N/A</c:v>
                </c:pt>
                <c:pt idx="183">
                  <c:v>#N/A</c:v>
                </c:pt>
                <c:pt idx="184">
                  <c:v>#N/A</c:v>
                </c:pt>
                <c:pt idx="185">
                  <c:v>#N/A</c:v>
                </c:pt>
                <c:pt idx="186">
                  <c:v>71.55</c:v>
                </c:pt>
                <c:pt idx="187">
                  <c:v>#N/A</c:v>
                </c:pt>
                <c:pt idx="188">
                  <c:v>#N/A</c:v>
                </c:pt>
                <c:pt idx="189">
                  <c:v>#N/A</c:v>
                </c:pt>
                <c:pt idx="190">
                  <c:v>#N/A</c:v>
                </c:pt>
                <c:pt idx="191">
                  <c:v>#N/A</c:v>
                </c:pt>
                <c:pt idx="192">
                  <c:v>#N/A</c:v>
                </c:pt>
                <c:pt idx="193">
                  <c:v>70.86</c:v>
                </c:pt>
                <c:pt idx="194">
                  <c:v>#N/A</c:v>
                </c:pt>
                <c:pt idx="195">
                  <c:v>#N/A</c:v>
                </c:pt>
                <c:pt idx="196">
                  <c:v>#N/A</c:v>
                </c:pt>
                <c:pt idx="197">
                  <c:v>#N/A</c:v>
                </c:pt>
                <c:pt idx="198">
                  <c:v>#N/A</c:v>
                </c:pt>
                <c:pt idx="199">
                  <c:v>#N/A</c:v>
                </c:pt>
                <c:pt idx="200">
                  <c:v>70.989999999999995</c:v>
                </c:pt>
                <c:pt idx="201">
                  <c:v>#N/A</c:v>
                </c:pt>
                <c:pt idx="202">
                  <c:v>#N/A</c:v>
                </c:pt>
                <c:pt idx="203">
                  <c:v>#N/A</c:v>
                </c:pt>
                <c:pt idx="204">
                  <c:v>#N/A</c:v>
                </c:pt>
                <c:pt idx="205">
                  <c:v>#N/A</c:v>
                </c:pt>
                <c:pt idx="206">
                  <c:v>#N/A</c:v>
                </c:pt>
                <c:pt idx="207">
                  <c:v>67.400000000000006</c:v>
                </c:pt>
                <c:pt idx="208">
                  <c:v>#N/A</c:v>
                </c:pt>
                <c:pt idx="209">
                  <c:v>#N/A</c:v>
                </c:pt>
                <c:pt idx="210">
                  <c:v>#N/A</c:v>
                </c:pt>
                <c:pt idx="211">
                  <c:v>#N/A</c:v>
                </c:pt>
                <c:pt idx="212">
                  <c:v>#N/A</c:v>
                </c:pt>
                <c:pt idx="213">
                  <c:v>#N/A</c:v>
                </c:pt>
                <c:pt idx="214">
                  <c:v>66.989999999999995</c:v>
                </c:pt>
                <c:pt idx="215">
                  <c:v>#N/A</c:v>
                </c:pt>
                <c:pt idx="216">
                  <c:v>#N/A</c:v>
                </c:pt>
                <c:pt idx="217">
                  <c:v>#N/A</c:v>
                </c:pt>
                <c:pt idx="218">
                  <c:v>#N/A</c:v>
                </c:pt>
                <c:pt idx="219">
                  <c:v>#N/A</c:v>
                </c:pt>
                <c:pt idx="220">
                  <c:v>#N/A</c:v>
                </c:pt>
                <c:pt idx="221">
                  <c:v>66.16</c:v>
                </c:pt>
                <c:pt idx="222">
                  <c:v>#N/A</c:v>
                </c:pt>
                <c:pt idx="223">
                  <c:v>#N/A</c:v>
                </c:pt>
                <c:pt idx="224">
                  <c:v>#N/A</c:v>
                </c:pt>
                <c:pt idx="225">
                  <c:v>#N/A</c:v>
                </c:pt>
                <c:pt idx="226">
                  <c:v>#N/A</c:v>
                </c:pt>
                <c:pt idx="227">
                  <c:v>#N/A</c:v>
                </c:pt>
                <c:pt idx="228">
                  <c:v>66.16</c:v>
                </c:pt>
                <c:pt idx="229">
                  <c:v>#N/A</c:v>
                </c:pt>
                <c:pt idx="230">
                  <c:v>#N/A</c:v>
                </c:pt>
                <c:pt idx="231">
                  <c:v>#N/A</c:v>
                </c:pt>
                <c:pt idx="232">
                  <c:v>#N/A</c:v>
                </c:pt>
                <c:pt idx="233">
                  <c:v>#N/A</c:v>
                </c:pt>
                <c:pt idx="234">
                  <c:v>#N/A</c:v>
                </c:pt>
                <c:pt idx="235">
                  <c:v>66.44</c:v>
                </c:pt>
                <c:pt idx="236">
                  <c:v>#N/A</c:v>
                </c:pt>
                <c:pt idx="237">
                  <c:v>#N/A</c:v>
                </c:pt>
                <c:pt idx="238">
                  <c:v>#N/A</c:v>
                </c:pt>
                <c:pt idx="239">
                  <c:v>#N/A</c:v>
                </c:pt>
                <c:pt idx="240">
                  <c:v>#N/A</c:v>
                </c:pt>
                <c:pt idx="241">
                  <c:v>#N/A</c:v>
                </c:pt>
                <c:pt idx="242">
                  <c:v>66.709999999999994</c:v>
                </c:pt>
                <c:pt idx="243">
                  <c:v>#N/A</c:v>
                </c:pt>
                <c:pt idx="244">
                  <c:v>#N/A</c:v>
                </c:pt>
                <c:pt idx="245">
                  <c:v>#N/A</c:v>
                </c:pt>
                <c:pt idx="246">
                  <c:v>#N/A</c:v>
                </c:pt>
                <c:pt idx="247">
                  <c:v>#N/A</c:v>
                </c:pt>
                <c:pt idx="248">
                  <c:v>#N/A</c:v>
                </c:pt>
                <c:pt idx="249">
                  <c:v>67.540000000000006</c:v>
                </c:pt>
                <c:pt idx="250">
                  <c:v>#N/A</c:v>
                </c:pt>
                <c:pt idx="251">
                  <c:v>#N/A</c:v>
                </c:pt>
                <c:pt idx="252">
                  <c:v>#N/A</c:v>
                </c:pt>
                <c:pt idx="253">
                  <c:v>#N/A</c:v>
                </c:pt>
                <c:pt idx="254">
                  <c:v>#N/A</c:v>
                </c:pt>
                <c:pt idx="255">
                  <c:v>#N/A</c:v>
                </c:pt>
                <c:pt idx="256">
                  <c:v>68.23</c:v>
                </c:pt>
                <c:pt idx="257">
                  <c:v>#N/A</c:v>
                </c:pt>
                <c:pt idx="258">
                  <c:v>#N/A</c:v>
                </c:pt>
                <c:pt idx="259">
                  <c:v>#N/A</c:v>
                </c:pt>
                <c:pt idx="260">
                  <c:v>#N/A</c:v>
                </c:pt>
                <c:pt idx="261">
                  <c:v>#N/A</c:v>
                </c:pt>
                <c:pt idx="262">
                  <c:v>#N/A</c:v>
                </c:pt>
                <c:pt idx="263">
                  <c:v>67.959999999999994</c:v>
                </c:pt>
                <c:pt idx="264">
                  <c:v>#N/A</c:v>
                </c:pt>
                <c:pt idx="265">
                  <c:v>#N/A</c:v>
                </c:pt>
                <c:pt idx="266">
                  <c:v>#N/A</c:v>
                </c:pt>
                <c:pt idx="267">
                  <c:v>#N/A</c:v>
                </c:pt>
                <c:pt idx="268">
                  <c:v>#N/A</c:v>
                </c:pt>
                <c:pt idx="269">
                  <c:v>#N/A</c:v>
                </c:pt>
                <c:pt idx="270">
                  <c:v>68.09</c:v>
                </c:pt>
                <c:pt idx="271">
                  <c:v>#N/A</c:v>
                </c:pt>
                <c:pt idx="272">
                  <c:v>#N/A</c:v>
                </c:pt>
                <c:pt idx="273">
                  <c:v>#N/A</c:v>
                </c:pt>
                <c:pt idx="274">
                  <c:v>#N/A</c:v>
                </c:pt>
                <c:pt idx="275">
                  <c:v>#N/A</c:v>
                </c:pt>
                <c:pt idx="276">
                  <c:v>#N/A</c:v>
                </c:pt>
                <c:pt idx="277">
                  <c:v>68.09</c:v>
                </c:pt>
                <c:pt idx="278">
                  <c:v>#N/A</c:v>
                </c:pt>
                <c:pt idx="279">
                  <c:v>#N/A</c:v>
                </c:pt>
                <c:pt idx="280">
                  <c:v>#N/A</c:v>
                </c:pt>
                <c:pt idx="281">
                  <c:v>#N/A</c:v>
                </c:pt>
                <c:pt idx="282">
                  <c:v>#N/A</c:v>
                </c:pt>
                <c:pt idx="283">
                  <c:v>#N/A</c:v>
                </c:pt>
                <c:pt idx="284">
                  <c:v>68.650000000000006</c:v>
                </c:pt>
                <c:pt idx="285">
                  <c:v>#N/A</c:v>
                </c:pt>
                <c:pt idx="286">
                  <c:v>#N/A</c:v>
                </c:pt>
                <c:pt idx="287">
                  <c:v>#N/A</c:v>
                </c:pt>
                <c:pt idx="288">
                  <c:v>#N/A</c:v>
                </c:pt>
                <c:pt idx="289">
                  <c:v>#N/A</c:v>
                </c:pt>
                <c:pt idx="290">
                  <c:v>#N/A</c:v>
                </c:pt>
                <c:pt idx="291">
                  <c:v>68.37</c:v>
                </c:pt>
                <c:pt idx="292">
                  <c:v>#N/A</c:v>
                </c:pt>
                <c:pt idx="293">
                  <c:v>#N/A</c:v>
                </c:pt>
                <c:pt idx="294">
                  <c:v>#N/A</c:v>
                </c:pt>
                <c:pt idx="295">
                  <c:v>#N/A</c:v>
                </c:pt>
                <c:pt idx="296">
                  <c:v>#N/A</c:v>
                </c:pt>
                <c:pt idx="297">
                  <c:v>#N/A</c:v>
                </c:pt>
                <c:pt idx="298">
                  <c:v>68.23</c:v>
                </c:pt>
                <c:pt idx="299">
                  <c:v>#N/A</c:v>
                </c:pt>
                <c:pt idx="300">
                  <c:v>#N/A</c:v>
                </c:pt>
                <c:pt idx="301">
                  <c:v>#N/A</c:v>
                </c:pt>
                <c:pt idx="302">
                  <c:v>#N/A</c:v>
                </c:pt>
                <c:pt idx="303">
                  <c:v>#N/A</c:v>
                </c:pt>
                <c:pt idx="304">
                  <c:v>#N/A</c:v>
                </c:pt>
                <c:pt idx="305">
                  <c:v>67.540000000000006</c:v>
                </c:pt>
                <c:pt idx="306">
                  <c:v>#N/A</c:v>
                </c:pt>
                <c:pt idx="307">
                  <c:v>#N/A</c:v>
                </c:pt>
                <c:pt idx="308">
                  <c:v>#N/A</c:v>
                </c:pt>
                <c:pt idx="309">
                  <c:v>#N/A</c:v>
                </c:pt>
                <c:pt idx="310">
                  <c:v>#N/A</c:v>
                </c:pt>
                <c:pt idx="311">
                  <c:v>#N/A</c:v>
                </c:pt>
                <c:pt idx="312">
                  <c:v>67.680000000000007</c:v>
                </c:pt>
                <c:pt idx="313">
                  <c:v>#N/A</c:v>
                </c:pt>
                <c:pt idx="314">
                  <c:v>#N/A</c:v>
                </c:pt>
                <c:pt idx="315">
                  <c:v>#N/A</c:v>
                </c:pt>
                <c:pt idx="316">
                  <c:v>#N/A</c:v>
                </c:pt>
                <c:pt idx="317">
                  <c:v>#N/A</c:v>
                </c:pt>
                <c:pt idx="318">
                  <c:v>#N/A</c:v>
                </c:pt>
                <c:pt idx="319">
                  <c:v>67.819999999999993</c:v>
                </c:pt>
                <c:pt idx="320">
                  <c:v>#N/A</c:v>
                </c:pt>
                <c:pt idx="321">
                  <c:v>#N/A</c:v>
                </c:pt>
                <c:pt idx="322">
                  <c:v>#N/A</c:v>
                </c:pt>
                <c:pt idx="323">
                  <c:v>#N/A</c:v>
                </c:pt>
                <c:pt idx="324">
                  <c:v>#N/A</c:v>
                </c:pt>
                <c:pt idx="325">
                  <c:v>#N/A</c:v>
                </c:pt>
                <c:pt idx="326">
                  <c:v>67.540000000000006</c:v>
                </c:pt>
                <c:pt idx="327">
                  <c:v>#N/A</c:v>
                </c:pt>
                <c:pt idx="328">
                  <c:v>#N/A</c:v>
                </c:pt>
                <c:pt idx="329">
                  <c:v>#N/A</c:v>
                </c:pt>
                <c:pt idx="330">
                  <c:v>#N/A</c:v>
                </c:pt>
                <c:pt idx="331">
                  <c:v>#N/A</c:v>
                </c:pt>
                <c:pt idx="332">
                  <c:v>#N/A</c:v>
                </c:pt>
                <c:pt idx="333">
                  <c:v>66.709999999999994</c:v>
                </c:pt>
                <c:pt idx="334">
                  <c:v>#N/A</c:v>
                </c:pt>
                <c:pt idx="335">
                  <c:v>#N/A</c:v>
                </c:pt>
                <c:pt idx="336">
                  <c:v>#N/A</c:v>
                </c:pt>
                <c:pt idx="337">
                  <c:v>#N/A</c:v>
                </c:pt>
                <c:pt idx="338">
                  <c:v>#N/A</c:v>
                </c:pt>
                <c:pt idx="339">
                  <c:v>#N/A</c:v>
                </c:pt>
                <c:pt idx="340">
                  <c:v>65.88</c:v>
                </c:pt>
                <c:pt idx="341">
                  <c:v>#N/A</c:v>
                </c:pt>
                <c:pt idx="342">
                  <c:v>#N/A</c:v>
                </c:pt>
                <c:pt idx="343">
                  <c:v>#N/A</c:v>
                </c:pt>
                <c:pt idx="344">
                  <c:v>#N/A</c:v>
                </c:pt>
                <c:pt idx="345">
                  <c:v>#N/A</c:v>
                </c:pt>
                <c:pt idx="346">
                  <c:v>#N/A</c:v>
                </c:pt>
                <c:pt idx="347">
                  <c:v>65.75</c:v>
                </c:pt>
                <c:pt idx="348">
                  <c:v>#N/A</c:v>
                </c:pt>
                <c:pt idx="349">
                  <c:v>#N/A</c:v>
                </c:pt>
                <c:pt idx="350">
                  <c:v>#N/A</c:v>
                </c:pt>
                <c:pt idx="351">
                  <c:v>#N/A</c:v>
                </c:pt>
                <c:pt idx="352">
                  <c:v>#N/A</c:v>
                </c:pt>
                <c:pt idx="353">
                  <c:v>#N/A</c:v>
                </c:pt>
                <c:pt idx="354">
                  <c:v>65.06</c:v>
                </c:pt>
                <c:pt idx="355">
                  <c:v>#N/A</c:v>
                </c:pt>
                <c:pt idx="356">
                  <c:v>#N/A</c:v>
                </c:pt>
                <c:pt idx="357">
                  <c:v>#N/A</c:v>
                </c:pt>
                <c:pt idx="358">
                  <c:v>#N/A</c:v>
                </c:pt>
                <c:pt idx="359">
                  <c:v>#N/A</c:v>
                </c:pt>
                <c:pt idx="360">
                  <c:v>#N/A</c:v>
                </c:pt>
                <c:pt idx="361">
                  <c:v>64.92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0738-45B4-BA3C-9DFEC058DF05}"/>
            </c:ext>
          </c:extLst>
        </c:ser>
        <c:ser>
          <c:idx val="2"/>
          <c:order val="1"/>
          <c:tx>
            <c:strRef>
              <c:f>高炉!$I$1</c:f>
              <c:strCache>
                <c:ptCount val="1"/>
                <c:pt idx="0">
                  <c:v>2019</c:v>
                </c:pt>
              </c:strCache>
            </c:strRef>
          </c:tx>
          <c:spPr>
            <a:ln w="28575">
              <a:solidFill>
                <a:srgbClr val="F8CBAD"/>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高炉!$I$2:$I$366</c:f>
              <c:numCache>
                <c:formatCode>General</c:formatCode>
                <c:ptCount val="365"/>
                <c:pt idx="0">
                  <c:v>#N/A</c:v>
                </c:pt>
                <c:pt idx="1">
                  <c:v>#N/A</c:v>
                </c:pt>
                <c:pt idx="2">
                  <c:v>#N/A</c:v>
                </c:pt>
                <c:pt idx="3">
                  <c:v>64.23</c:v>
                </c:pt>
                <c:pt idx="4">
                  <c:v>#N/A</c:v>
                </c:pt>
                <c:pt idx="5">
                  <c:v>#N/A</c:v>
                </c:pt>
                <c:pt idx="6">
                  <c:v>#N/A</c:v>
                </c:pt>
                <c:pt idx="7">
                  <c:v>#N/A</c:v>
                </c:pt>
                <c:pt idx="8">
                  <c:v>#N/A</c:v>
                </c:pt>
                <c:pt idx="9">
                  <c:v>#N/A</c:v>
                </c:pt>
                <c:pt idx="10">
                  <c:v>64.36</c:v>
                </c:pt>
                <c:pt idx="11">
                  <c:v>#N/A</c:v>
                </c:pt>
                <c:pt idx="12">
                  <c:v>#N/A</c:v>
                </c:pt>
                <c:pt idx="13">
                  <c:v>#N/A</c:v>
                </c:pt>
                <c:pt idx="14">
                  <c:v>#N/A</c:v>
                </c:pt>
                <c:pt idx="15">
                  <c:v>#N/A</c:v>
                </c:pt>
                <c:pt idx="16">
                  <c:v>#N/A</c:v>
                </c:pt>
                <c:pt idx="17">
                  <c:v>64.92</c:v>
                </c:pt>
                <c:pt idx="18">
                  <c:v>#N/A</c:v>
                </c:pt>
                <c:pt idx="19">
                  <c:v>#N/A</c:v>
                </c:pt>
                <c:pt idx="20">
                  <c:v>#N/A</c:v>
                </c:pt>
                <c:pt idx="21">
                  <c:v>#N/A</c:v>
                </c:pt>
                <c:pt idx="22">
                  <c:v>#N/A</c:v>
                </c:pt>
                <c:pt idx="23">
                  <c:v>#N/A</c:v>
                </c:pt>
                <c:pt idx="24">
                  <c:v>65.47</c:v>
                </c:pt>
                <c:pt idx="25">
                  <c:v>#N/A</c:v>
                </c:pt>
                <c:pt idx="26">
                  <c:v>#N/A</c:v>
                </c:pt>
                <c:pt idx="27">
                  <c:v>#N/A</c:v>
                </c:pt>
                <c:pt idx="28">
                  <c:v>#N/A</c:v>
                </c:pt>
                <c:pt idx="29">
                  <c:v>#N/A</c:v>
                </c:pt>
                <c:pt idx="30">
                  <c:v>#N/A</c:v>
                </c:pt>
                <c:pt idx="31">
                  <c:v>65.75</c:v>
                </c:pt>
                <c:pt idx="32">
                  <c:v>#N/A</c:v>
                </c:pt>
                <c:pt idx="33">
                  <c:v>#N/A</c:v>
                </c:pt>
                <c:pt idx="34">
                  <c:v>#N/A</c:v>
                </c:pt>
                <c:pt idx="35">
                  <c:v>#N/A</c:v>
                </c:pt>
                <c:pt idx="36">
                  <c:v>#N/A</c:v>
                </c:pt>
                <c:pt idx="37">
                  <c:v>#N/A</c:v>
                </c:pt>
                <c:pt idx="38">
                  <c:v>#N/A</c:v>
                </c:pt>
                <c:pt idx="39">
                  <c:v>#N/A</c:v>
                </c:pt>
                <c:pt idx="40">
                  <c:v>#N/A</c:v>
                </c:pt>
                <c:pt idx="41">
                  <c:v>65.75</c:v>
                </c:pt>
                <c:pt idx="42">
                  <c:v>#N/A</c:v>
                </c:pt>
                <c:pt idx="43">
                  <c:v>#N/A</c:v>
                </c:pt>
                <c:pt idx="44">
                  <c:v>#N/A</c:v>
                </c:pt>
                <c:pt idx="45">
                  <c:v>65.61</c:v>
                </c:pt>
                <c:pt idx="46">
                  <c:v>#N/A</c:v>
                </c:pt>
                <c:pt idx="47">
                  <c:v>#N/A</c:v>
                </c:pt>
                <c:pt idx="48">
                  <c:v>#N/A</c:v>
                </c:pt>
                <c:pt idx="49">
                  <c:v>#N/A</c:v>
                </c:pt>
                <c:pt idx="50">
                  <c:v>#N/A</c:v>
                </c:pt>
                <c:pt idx="51">
                  <c:v>#N/A</c:v>
                </c:pt>
                <c:pt idx="52">
                  <c:v>65.75</c:v>
                </c:pt>
                <c:pt idx="53">
                  <c:v>#N/A</c:v>
                </c:pt>
                <c:pt idx="54">
                  <c:v>#N/A</c:v>
                </c:pt>
                <c:pt idx="55">
                  <c:v>#N/A</c:v>
                </c:pt>
                <c:pt idx="56">
                  <c:v>#N/A</c:v>
                </c:pt>
                <c:pt idx="57">
                  <c:v>#N/A</c:v>
                </c:pt>
                <c:pt idx="58">
                  <c:v>#N/A</c:v>
                </c:pt>
                <c:pt idx="59">
                  <c:v>65.75</c:v>
                </c:pt>
                <c:pt idx="60">
                  <c:v>#N/A</c:v>
                </c:pt>
                <c:pt idx="61">
                  <c:v>#N/A</c:v>
                </c:pt>
                <c:pt idx="62">
                  <c:v>#N/A</c:v>
                </c:pt>
                <c:pt idx="63">
                  <c:v>#N/A</c:v>
                </c:pt>
                <c:pt idx="64">
                  <c:v>#N/A</c:v>
                </c:pt>
                <c:pt idx="65">
                  <c:v>#N/A</c:v>
                </c:pt>
                <c:pt idx="66">
                  <c:v>62.98</c:v>
                </c:pt>
                <c:pt idx="67">
                  <c:v>#N/A</c:v>
                </c:pt>
                <c:pt idx="68">
                  <c:v>#N/A</c:v>
                </c:pt>
                <c:pt idx="69">
                  <c:v>#N/A</c:v>
                </c:pt>
                <c:pt idx="70">
                  <c:v>#N/A</c:v>
                </c:pt>
                <c:pt idx="71">
                  <c:v>#N/A</c:v>
                </c:pt>
                <c:pt idx="72">
                  <c:v>#N/A</c:v>
                </c:pt>
                <c:pt idx="73">
                  <c:v>62.29</c:v>
                </c:pt>
                <c:pt idx="74">
                  <c:v>#N/A</c:v>
                </c:pt>
                <c:pt idx="75">
                  <c:v>#N/A</c:v>
                </c:pt>
                <c:pt idx="76">
                  <c:v>#N/A</c:v>
                </c:pt>
                <c:pt idx="77">
                  <c:v>#N/A</c:v>
                </c:pt>
                <c:pt idx="78">
                  <c:v>#N/A</c:v>
                </c:pt>
                <c:pt idx="79">
                  <c:v>#N/A</c:v>
                </c:pt>
                <c:pt idx="80">
                  <c:v>63.4</c:v>
                </c:pt>
                <c:pt idx="81">
                  <c:v>#N/A</c:v>
                </c:pt>
                <c:pt idx="82">
                  <c:v>#N/A</c:v>
                </c:pt>
                <c:pt idx="83">
                  <c:v>#N/A</c:v>
                </c:pt>
                <c:pt idx="84">
                  <c:v>#N/A</c:v>
                </c:pt>
                <c:pt idx="85">
                  <c:v>#N/A</c:v>
                </c:pt>
                <c:pt idx="86">
                  <c:v>#N/A</c:v>
                </c:pt>
                <c:pt idx="87">
                  <c:v>64.64</c:v>
                </c:pt>
                <c:pt idx="88">
                  <c:v>#N/A</c:v>
                </c:pt>
                <c:pt idx="89">
                  <c:v>#N/A</c:v>
                </c:pt>
                <c:pt idx="90">
                  <c:v>#N/A</c:v>
                </c:pt>
                <c:pt idx="91">
                  <c:v>#N/A</c:v>
                </c:pt>
                <c:pt idx="92">
                  <c:v>#N/A</c:v>
                </c:pt>
                <c:pt idx="93">
                  <c:v>67.680000000000007</c:v>
                </c:pt>
                <c:pt idx="94">
                  <c:v>#N/A</c:v>
                </c:pt>
                <c:pt idx="95">
                  <c:v>#N/A</c:v>
                </c:pt>
                <c:pt idx="96">
                  <c:v>#N/A</c:v>
                </c:pt>
                <c:pt idx="97">
                  <c:v>#N/A</c:v>
                </c:pt>
                <c:pt idx="98">
                  <c:v>#N/A</c:v>
                </c:pt>
                <c:pt idx="99">
                  <c:v>#N/A</c:v>
                </c:pt>
                <c:pt idx="100">
                  <c:v>#N/A</c:v>
                </c:pt>
                <c:pt idx="101">
                  <c:v>69.48</c:v>
                </c:pt>
                <c:pt idx="102">
                  <c:v>#N/A</c:v>
                </c:pt>
                <c:pt idx="103">
                  <c:v>#N/A</c:v>
                </c:pt>
                <c:pt idx="104">
                  <c:v>#N/A</c:v>
                </c:pt>
                <c:pt idx="105">
                  <c:v>#N/A</c:v>
                </c:pt>
                <c:pt idx="106">
                  <c:v>#N/A</c:v>
                </c:pt>
                <c:pt idx="107">
                  <c:v>#N/A</c:v>
                </c:pt>
                <c:pt idx="108">
                  <c:v>70.03</c:v>
                </c:pt>
                <c:pt idx="109">
                  <c:v>#N/A</c:v>
                </c:pt>
                <c:pt idx="110">
                  <c:v>#N/A</c:v>
                </c:pt>
                <c:pt idx="111">
                  <c:v>#N/A</c:v>
                </c:pt>
                <c:pt idx="112">
                  <c:v>#N/A</c:v>
                </c:pt>
                <c:pt idx="113">
                  <c:v>#N/A</c:v>
                </c:pt>
                <c:pt idx="114">
                  <c:v>#N/A</c:v>
                </c:pt>
                <c:pt idx="115">
                  <c:v>70.58</c:v>
                </c:pt>
                <c:pt idx="116">
                  <c:v>#N/A</c:v>
                </c:pt>
                <c:pt idx="117">
                  <c:v>#N/A</c:v>
                </c:pt>
                <c:pt idx="118">
                  <c:v>#N/A</c:v>
                </c:pt>
                <c:pt idx="119">
                  <c:v>#N/A</c:v>
                </c:pt>
                <c:pt idx="120">
                  <c:v>#N/A</c:v>
                </c:pt>
                <c:pt idx="121">
                  <c:v>#N/A</c:v>
                </c:pt>
                <c:pt idx="122">
                  <c:v>#N/A</c:v>
                </c:pt>
                <c:pt idx="123">
                  <c:v>#N/A</c:v>
                </c:pt>
                <c:pt idx="124">
                  <c:v>70.58</c:v>
                </c:pt>
                <c:pt idx="125">
                  <c:v>#N/A</c:v>
                </c:pt>
                <c:pt idx="126">
                  <c:v>#N/A</c:v>
                </c:pt>
                <c:pt idx="127">
                  <c:v>#N/A</c:v>
                </c:pt>
                <c:pt idx="128">
                  <c:v>#N/A</c:v>
                </c:pt>
                <c:pt idx="129">
                  <c:v>68.78</c:v>
                </c:pt>
                <c:pt idx="130">
                  <c:v>#N/A</c:v>
                </c:pt>
                <c:pt idx="131">
                  <c:v>#N/A</c:v>
                </c:pt>
                <c:pt idx="132">
                  <c:v>#N/A</c:v>
                </c:pt>
                <c:pt idx="133">
                  <c:v>#N/A</c:v>
                </c:pt>
                <c:pt idx="134">
                  <c:v>#N/A</c:v>
                </c:pt>
                <c:pt idx="135">
                  <c:v>#N/A</c:v>
                </c:pt>
                <c:pt idx="136">
                  <c:v>69.06</c:v>
                </c:pt>
                <c:pt idx="137">
                  <c:v>#N/A</c:v>
                </c:pt>
                <c:pt idx="138">
                  <c:v>#N/A</c:v>
                </c:pt>
                <c:pt idx="139">
                  <c:v>#N/A</c:v>
                </c:pt>
                <c:pt idx="140">
                  <c:v>#N/A</c:v>
                </c:pt>
                <c:pt idx="141">
                  <c:v>#N/A</c:v>
                </c:pt>
                <c:pt idx="142">
                  <c:v>#N/A</c:v>
                </c:pt>
                <c:pt idx="143">
                  <c:v>71.13</c:v>
                </c:pt>
                <c:pt idx="144">
                  <c:v>#N/A</c:v>
                </c:pt>
                <c:pt idx="145">
                  <c:v>#N/A</c:v>
                </c:pt>
                <c:pt idx="146">
                  <c:v>#N/A</c:v>
                </c:pt>
                <c:pt idx="147">
                  <c:v>#N/A</c:v>
                </c:pt>
                <c:pt idx="148">
                  <c:v>#N/A</c:v>
                </c:pt>
                <c:pt idx="149">
                  <c:v>#N/A</c:v>
                </c:pt>
                <c:pt idx="150">
                  <c:v>71.69</c:v>
                </c:pt>
                <c:pt idx="151">
                  <c:v>#N/A</c:v>
                </c:pt>
                <c:pt idx="152">
                  <c:v>#N/A</c:v>
                </c:pt>
                <c:pt idx="153">
                  <c:v>#N/A</c:v>
                </c:pt>
                <c:pt idx="154">
                  <c:v>#N/A</c:v>
                </c:pt>
                <c:pt idx="155">
                  <c:v>#N/A</c:v>
                </c:pt>
                <c:pt idx="156">
                  <c:v>71.41</c:v>
                </c:pt>
                <c:pt idx="157">
                  <c:v>#N/A</c:v>
                </c:pt>
                <c:pt idx="158">
                  <c:v>#N/A</c:v>
                </c:pt>
                <c:pt idx="159">
                  <c:v>#N/A</c:v>
                </c:pt>
                <c:pt idx="160">
                  <c:v>#N/A</c:v>
                </c:pt>
                <c:pt idx="161">
                  <c:v>#N/A</c:v>
                </c:pt>
                <c:pt idx="162">
                  <c:v>#N/A</c:v>
                </c:pt>
                <c:pt idx="163">
                  <c:v>#N/A</c:v>
                </c:pt>
                <c:pt idx="164">
                  <c:v>71.13</c:v>
                </c:pt>
                <c:pt idx="165">
                  <c:v>#N/A</c:v>
                </c:pt>
                <c:pt idx="166">
                  <c:v>#N/A</c:v>
                </c:pt>
                <c:pt idx="167">
                  <c:v>#N/A</c:v>
                </c:pt>
                <c:pt idx="168">
                  <c:v>#N/A</c:v>
                </c:pt>
                <c:pt idx="169">
                  <c:v>#N/A</c:v>
                </c:pt>
                <c:pt idx="170">
                  <c:v>#N/A</c:v>
                </c:pt>
                <c:pt idx="171">
                  <c:v>71.13</c:v>
                </c:pt>
                <c:pt idx="172">
                  <c:v>#N/A</c:v>
                </c:pt>
                <c:pt idx="173">
                  <c:v>#N/A</c:v>
                </c:pt>
                <c:pt idx="174">
                  <c:v>#N/A</c:v>
                </c:pt>
                <c:pt idx="175">
                  <c:v>#N/A</c:v>
                </c:pt>
                <c:pt idx="176">
                  <c:v>#N/A</c:v>
                </c:pt>
                <c:pt idx="177">
                  <c:v>#N/A</c:v>
                </c:pt>
                <c:pt idx="178">
                  <c:v>67.959999999999994</c:v>
                </c:pt>
                <c:pt idx="179">
                  <c:v>#N/A</c:v>
                </c:pt>
                <c:pt idx="180">
                  <c:v>#N/A</c:v>
                </c:pt>
                <c:pt idx="181">
                  <c:v>#N/A</c:v>
                </c:pt>
                <c:pt idx="182">
                  <c:v>#N/A</c:v>
                </c:pt>
                <c:pt idx="183">
                  <c:v>#N/A</c:v>
                </c:pt>
                <c:pt idx="184">
                  <c:v>#N/A</c:v>
                </c:pt>
                <c:pt idx="185">
                  <c:v>66.3</c:v>
                </c:pt>
                <c:pt idx="186">
                  <c:v>#N/A</c:v>
                </c:pt>
                <c:pt idx="187">
                  <c:v>#N/A</c:v>
                </c:pt>
                <c:pt idx="188">
                  <c:v>#N/A</c:v>
                </c:pt>
                <c:pt idx="189">
                  <c:v>#N/A</c:v>
                </c:pt>
                <c:pt idx="190">
                  <c:v>#N/A</c:v>
                </c:pt>
                <c:pt idx="191">
                  <c:v>#N/A</c:v>
                </c:pt>
                <c:pt idx="192">
                  <c:v>66.02</c:v>
                </c:pt>
                <c:pt idx="193">
                  <c:v>#N/A</c:v>
                </c:pt>
                <c:pt idx="194">
                  <c:v>#N/A</c:v>
                </c:pt>
                <c:pt idx="195">
                  <c:v>#N/A</c:v>
                </c:pt>
                <c:pt idx="196">
                  <c:v>#N/A</c:v>
                </c:pt>
                <c:pt idx="197">
                  <c:v>#N/A</c:v>
                </c:pt>
                <c:pt idx="198">
                  <c:v>#N/A</c:v>
                </c:pt>
                <c:pt idx="199">
                  <c:v>66.709999999999994</c:v>
                </c:pt>
                <c:pt idx="200">
                  <c:v>#N/A</c:v>
                </c:pt>
                <c:pt idx="201">
                  <c:v>#N/A</c:v>
                </c:pt>
                <c:pt idx="202">
                  <c:v>#N/A</c:v>
                </c:pt>
                <c:pt idx="203">
                  <c:v>#N/A</c:v>
                </c:pt>
                <c:pt idx="204">
                  <c:v>#N/A</c:v>
                </c:pt>
                <c:pt idx="205">
                  <c:v>#N/A</c:v>
                </c:pt>
                <c:pt idx="206">
                  <c:v>66.709999999999994</c:v>
                </c:pt>
                <c:pt idx="207">
                  <c:v>#N/A</c:v>
                </c:pt>
                <c:pt idx="208">
                  <c:v>#N/A</c:v>
                </c:pt>
                <c:pt idx="209">
                  <c:v>#N/A</c:v>
                </c:pt>
                <c:pt idx="210">
                  <c:v>#N/A</c:v>
                </c:pt>
                <c:pt idx="211">
                  <c:v>#N/A</c:v>
                </c:pt>
                <c:pt idx="212">
                  <c:v>#N/A</c:v>
                </c:pt>
                <c:pt idx="213">
                  <c:v>67.27</c:v>
                </c:pt>
                <c:pt idx="214">
                  <c:v>#N/A</c:v>
                </c:pt>
                <c:pt idx="215">
                  <c:v>#N/A</c:v>
                </c:pt>
                <c:pt idx="216">
                  <c:v>#N/A</c:v>
                </c:pt>
                <c:pt idx="217">
                  <c:v>#N/A</c:v>
                </c:pt>
                <c:pt idx="218">
                  <c:v>#N/A</c:v>
                </c:pt>
                <c:pt idx="219">
                  <c:v>#N/A</c:v>
                </c:pt>
                <c:pt idx="220">
                  <c:v>69.48</c:v>
                </c:pt>
                <c:pt idx="221">
                  <c:v>#N/A</c:v>
                </c:pt>
                <c:pt idx="222">
                  <c:v>#N/A</c:v>
                </c:pt>
                <c:pt idx="223">
                  <c:v>#N/A</c:v>
                </c:pt>
                <c:pt idx="224">
                  <c:v>#N/A</c:v>
                </c:pt>
                <c:pt idx="225">
                  <c:v>#N/A</c:v>
                </c:pt>
                <c:pt idx="226">
                  <c:v>#N/A</c:v>
                </c:pt>
                <c:pt idx="227">
                  <c:v>68.09</c:v>
                </c:pt>
                <c:pt idx="228">
                  <c:v>#N/A</c:v>
                </c:pt>
                <c:pt idx="229">
                  <c:v>#N/A</c:v>
                </c:pt>
                <c:pt idx="230">
                  <c:v>#N/A</c:v>
                </c:pt>
                <c:pt idx="231">
                  <c:v>#N/A</c:v>
                </c:pt>
                <c:pt idx="232">
                  <c:v>#N/A</c:v>
                </c:pt>
                <c:pt idx="233">
                  <c:v>#N/A</c:v>
                </c:pt>
                <c:pt idx="234">
                  <c:v>68.23</c:v>
                </c:pt>
                <c:pt idx="235">
                  <c:v>#N/A</c:v>
                </c:pt>
                <c:pt idx="236">
                  <c:v>#N/A</c:v>
                </c:pt>
                <c:pt idx="237">
                  <c:v>#N/A</c:v>
                </c:pt>
                <c:pt idx="238">
                  <c:v>#N/A</c:v>
                </c:pt>
                <c:pt idx="239">
                  <c:v>#N/A</c:v>
                </c:pt>
                <c:pt idx="240">
                  <c:v>#N/A</c:v>
                </c:pt>
                <c:pt idx="241">
                  <c:v>67.959999999999994</c:v>
                </c:pt>
                <c:pt idx="242">
                  <c:v>#N/A</c:v>
                </c:pt>
                <c:pt idx="243">
                  <c:v>#N/A</c:v>
                </c:pt>
                <c:pt idx="244">
                  <c:v>#N/A</c:v>
                </c:pt>
                <c:pt idx="245">
                  <c:v>#N/A</c:v>
                </c:pt>
                <c:pt idx="246">
                  <c:v>#N/A</c:v>
                </c:pt>
                <c:pt idx="247">
                  <c:v>#N/A</c:v>
                </c:pt>
                <c:pt idx="248">
                  <c:v>68.23</c:v>
                </c:pt>
                <c:pt idx="249">
                  <c:v>#N/A</c:v>
                </c:pt>
                <c:pt idx="250">
                  <c:v>#N/A</c:v>
                </c:pt>
                <c:pt idx="251">
                  <c:v>#N/A</c:v>
                </c:pt>
                <c:pt idx="252">
                  <c:v>#N/A</c:v>
                </c:pt>
                <c:pt idx="253">
                  <c:v>#N/A</c:v>
                </c:pt>
                <c:pt idx="254">
                  <c:v>68.09</c:v>
                </c:pt>
                <c:pt idx="255">
                  <c:v>#N/A</c:v>
                </c:pt>
                <c:pt idx="256">
                  <c:v>#N/A</c:v>
                </c:pt>
                <c:pt idx="257">
                  <c:v>#N/A</c:v>
                </c:pt>
                <c:pt idx="258">
                  <c:v>#N/A</c:v>
                </c:pt>
                <c:pt idx="259">
                  <c:v>#N/A</c:v>
                </c:pt>
                <c:pt idx="260">
                  <c:v>#N/A</c:v>
                </c:pt>
                <c:pt idx="261">
                  <c:v>#N/A</c:v>
                </c:pt>
                <c:pt idx="262">
                  <c:v>68.09</c:v>
                </c:pt>
                <c:pt idx="263">
                  <c:v>#N/A</c:v>
                </c:pt>
                <c:pt idx="264">
                  <c:v>#N/A</c:v>
                </c:pt>
                <c:pt idx="265">
                  <c:v>#N/A</c:v>
                </c:pt>
                <c:pt idx="266">
                  <c:v>#N/A</c:v>
                </c:pt>
                <c:pt idx="267">
                  <c:v>#N/A</c:v>
                </c:pt>
                <c:pt idx="268">
                  <c:v>#N/A</c:v>
                </c:pt>
                <c:pt idx="269">
                  <c:v>57.6</c:v>
                </c:pt>
                <c:pt idx="270">
                  <c:v>#N/A</c:v>
                </c:pt>
                <c:pt idx="271">
                  <c:v>#N/A</c:v>
                </c:pt>
                <c:pt idx="272">
                  <c:v>#N/A</c:v>
                </c:pt>
                <c:pt idx="273">
                  <c:v>#N/A</c:v>
                </c:pt>
                <c:pt idx="274">
                  <c:v>#N/A</c:v>
                </c:pt>
                <c:pt idx="275">
                  <c:v>#N/A</c:v>
                </c:pt>
                <c:pt idx="276">
                  <c:v>56.22</c:v>
                </c:pt>
                <c:pt idx="277">
                  <c:v>#N/A</c:v>
                </c:pt>
                <c:pt idx="278">
                  <c:v>#N/A</c:v>
                </c:pt>
                <c:pt idx="279">
                  <c:v>#N/A</c:v>
                </c:pt>
                <c:pt idx="280">
                  <c:v>#N/A</c:v>
                </c:pt>
                <c:pt idx="281">
                  <c:v>#N/A</c:v>
                </c:pt>
                <c:pt idx="282">
                  <c:v>#N/A</c:v>
                </c:pt>
                <c:pt idx="283">
                  <c:v>64.36</c:v>
                </c:pt>
                <c:pt idx="284">
                  <c:v>#N/A</c:v>
                </c:pt>
                <c:pt idx="285">
                  <c:v>#N/A</c:v>
                </c:pt>
                <c:pt idx="286">
                  <c:v>#N/A</c:v>
                </c:pt>
                <c:pt idx="287">
                  <c:v>#N/A</c:v>
                </c:pt>
                <c:pt idx="288">
                  <c:v>#N/A</c:v>
                </c:pt>
                <c:pt idx="289">
                  <c:v>#N/A</c:v>
                </c:pt>
                <c:pt idx="290">
                  <c:v>63.54</c:v>
                </c:pt>
                <c:pt idx="291">
                  <c:v>#N/A</c:v>
                </c:pt>
                <c:pt idx="292">
                  <c:v>#N/A</c:v>
                </c:pt>
                <c:pt idx="293">
                  <c:v>#N/A</c:v>
                </c:pt>
                <c:pt idx="294">
                  <c:v>#N/A</c:v>
                </c:pt>
                <c:pt idx="295">
                  <c:v>#N/A</c:v>
                </c:pt>
                <c:pt idx="296">
                  <c:v>#N/A</c:v>
                </c:pt>
                <c:pt idx="297">
                  <c:v>63.54</c:v>
                </c:pt>
                <c:pt idx="298">
                  <c:v>#N/A</c:v>
                </c:pt>
                <c:pt idx="299">
                  <c:v>#N/A</c:v>
                </c:pt>
                <c:pt idx="300">
                  <c:v>#N/A</c:v>
                </c:pt>
                <c:pt idx="301">
                  <c:v>#N/A</c:v>
                </c:pt>
                <c:pt idx="302">
                  <c:v>#N/A</c:v>
                </c:pt>
                <c:pt idx="303">
                  <c:v>#N/A</c:v>
                </c:pt>
                <c:pt idx="304">
                  <c:v>64.92</c:v>
                </c:pt>
                <c:pt idx="305">
                  <c:v>#N/A</c:v>
                </c:pt>
                <c:pt idx="306">
                  <c:v>#N/A</c:v>
                </c:pt>
                <c:pt idx="307">
                  <c:v>#N/A</c:v>
                </c:pt>
                <c:pt idx="308">
                  <c:v>#N/A</c:v>
                </c:pt>
                <c:pt idx="309">
                  <c:v>#N/A</c:v>
                </c:pt>
                <c:pt idx="310">
                  <c:v>#N/A</c:v>
                </c:pt>
                <c:pt idx="311">
                  <c:v>64.23</c:v>
                </c:pt>
                <c:pt idx="312">
                  <c:v>#N/A</c:v>
                </c:pt>
                <c:pt idx="313">
                  <c:v>#N/A</c:v>
                </c:pt>
                <c:pt idx="314">
                  <c:v>#N/A</c:v>
                </c:pt>
                <c:pt idx="315">
                  <c:v>#N/A</c:v>
                </c:pt>
                <c:pt idx="316">
                  <c:v>#N/A</c:v>
                </c:pt>
                <c:pt idx="317">
                  <c:v>#N/A</c:v>
                </c:pt>
                <c:pt idx="318">
                  <c:v>66.02</c:v>
                </c:pt>
                <c:pt idx="319">
                  <c:v>#N/A</c:v>
                </c:pt>
                <c:pt idx="320">
                  <c:v>#N/A</c:v>
                </c:pt>
                <c:pt idx="321">
                  <c:v>#N/A</c:v>
                </c:pt>
                <c:pt idx="322">
                  <c:v>#N/A</c:v>
                </c:pt>
                <c:pt idx="323">
                  <c:v>#N/A</c:v>
                </c:pt>
                <c:pt idx="324">
                  <c:v>#N/A</c:v>
                </c:pt>
                <c:pt idx="325">
                  <c:v>65.33</c:v>
                </c:pt>
                <c:pt idx="326">
                  <c:v>#N/A</c:v>
                </c:pt>
                <c:pt idx="327">
                  <c:v>#N/A</c:v>
                </c:pt>
                <c:pt idx="328">
                  <c:v>#N/A</c:v>
                </c:pt>
                <c:pt idx="329">
                  <c:v>#N/A</c:v>
                </c:pt>
                <c:pt idx="330">
                  <c:v>#N/A</c:v>
                </c:pt>
                <c:pt idx="331">
                  <c:v>#N/A</c:v>
                </c:pt>
                <c:pt idx="332">
                  <c:v>65.88</c:v>
                </c:pt>
                <c:pt idx="333">
                  <c:v>#N/A</c:v>
                </c:pt>
                <c:pt idx="334">
                  <c:v>#N/A</c:v>
                </c:pt>
                <c:pt idx="335">
                  <c:v>#N/A</c:v>
                </c:pt>
                <c:pt idx="336">
                  <c:v>#N/A</c:v>
                </c:pt>
                <c:pt idx="337">
                  <c:v>#N/A</c:v>
                </c:pt>
                <c:pt idx="338">
                  <c:v>#N/A</c:v>
                </c:pt>
                <c:pt idx="339">
                  <c:v>66.849999999999994</c:v>
                </c:pt>
                <c:pt idx="340">
                  <c:v>#N/A</c:v>
                </c:pt>
                <c:pt idx="341">
                  <c:v>#N/A</c:v>
                </c:pt>
                <c:pt idx="342">
                  <c:v>#N/A</c:v>
                </c:pt>
                <c:pt idx="343">
                  <c:v>#N/A</c:v>
                </c:pt>
                <c:pt idx="344">
                  <c:v>#N/A</c:v>
                </c:pt>
                <c:pt idx="345">
                  <c:v>#N/A</c:v>
                </c:pt>
                <c:pt idx="346">
                  <c:v>65.88</c:v>
                </c:pt>
                <c:pt idx="347">
                  <c:v>#N/A</c:v>
                </c:pt>
                <c:pt idx="348">
                  <c:v>#N/A</c:v>
                </c:pt>
                <c:pt idx="349">
                  <c:v>#N/A</c:v>
                </c:pt>
                <c:pt idx="350">
                  <c:v>#N/A</c:v>
                </c:pt>
                <c:pt idx="351">
                  <c:v>#N/A</c:v>
                </c:pt>
                <c:pt idx="352">
                  <c:v>#N/A</c:v>
                </c:pt>
                <c:pt idx="353">
                  <c:v>65.75</c:v>
                </c:pt>
                <c:pt idx="354">
                  <c:v>#N/A</c:v>
                </c:pt>
                <c:pt idx="355">
                  <c:v>#N/A</c:v>
                </c:pt>
                <c:pt idx="356">
                  <c:v>#N/A</c:v>
                </c:pt>
                <c:pt idx="357">
                  <c:v>#N/A</c:v>
                </c:pt>
                <c:pt idx="358">
                  <c:v>#N/A</c:v>
                </c:pt>
                <c:pt idx="359">
                  <c:v>#N/A</c:v>
                </c:pt>
                <c:pt idx="360">
                  <c:v>65.33</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0738-45B4-BA3C-9DFEC058DF05}"/>
            </c:ext>
          </c:extLst>
        </c:ser>
        <c:ser>
          <c:idx val="1"/>
          <c:order val="2"/>
          <c:tx>
            <c:strRef>
              <c:f>高炉!$J$1</c:f>
              <c:strCache>
                <c:ptCount val="1"/>
                <c:pt idx="0">
                  <c:v>2020</c:v>
                </c:pt>
              </c:strCache>
            </c:strRef>
          </c:tx>
          <c:spPr>
            <a:ln w="28575">
              <a:solidFill>
                <a:srgbClr val="BF5711"/>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高炉!$J$2:$J$366</c:f>
              <c:numCache>
                <c:formatCode>General</c:formatCode>
                <c:ptCount val="365"/>
                <c:pt idx="0">
                  <c:v>#N/A</c:v>
                </c:pt>
                <c:pt idx="1">
                  <c:v>#N/A</c:v>
                </c:pt>
                <c:pt idx="2">
                  <c:v>66.709999999999994</c:v>
                </c:pt>
                <c:pt idx="3">
                  <c:v>#N/A</c:v>
                </c:pt>
                <c:pt idx="4">
                  <c:v>#N/A</c:v>
                </c:pt>
                <c:pt idx="5">
                  <c:v>#N/A</c:v>
                </c:pt>
                <c:pt idx="6">
                  <c:v>#N/A</c:v>
                </c:pt>
                <c:pt idx="7">
                  <c:v>#N/A</c:v>
                </c:pt>
                <c:pt idx="8">
                  <c:v>#N/A</c:v>
                </c:pt>
                <c:pt idx="9">
                  <c:v>66.569999999999993</c:v>
                </c:pt>
                <c:pt idx="10">
                  <c:v>#N/A</c:v>
                </c:pt>
                <c:pt idx="11">
                  <c:v>#N/A</c:v>
                </c:pt>
                <c:pt idx="12">
                  <c:v>#N/A</c:v>
                </c:pt>
                <c:pt idx="13">
                  <c:v>#N/A</c:v>
                </c:pt>
                <c:pt idx="14">
                  <c:v>#N/A</c:v>
                </c:pt>
                <c:pt idx="15">
                  <c:v>#N/A</c:v>
                </c:pt>
                <c:pt idx="16">
                  <c:v>66.709999999999994</c:v>
                </c:pt>
                <c:pt idx="17">
                  <c:v>#N/A</c:v>
                </c:pt>
                <c:pt idx="18">
                  <c:v>#N/A</c:v>
                </c:pt>
                <c:pt idx="19">
                  <c:v>#N/A</c:v>
                </c:pt>
                <c:pt idx="20">
                  <c:v>#N/A</c:v>
                </c:pt>
                <c:pt idx="21">
                  <c:v>#N/A</c:v>
                </c:pt>
                <c:pt idx="22">
                  <c:v>66.849999999999994</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64.09</c:v>
                </c:pt>
                <c:pt idx="38">
                  <c:v>#N/A</c:v>
                </c:pt>
                <c:pt idx="39">
                  <c:v>#N/A</c:v>
                </c:pt>
                <c:pt idx="40">
                  <c:v>#N/A</c:v>
                </c:pt>
                <c:pt idx="41">
                  <c:v>#N/A</c:v>
                </c:pt>
                <c:pt idx="42">
                  <c:v>#N/A</c:v>
                </c:pt>
                <c:pt idx="43">
                  <c:v>#N/A</c:v>
                </c:pt>
                <c:pt idx="44">
                  <c:v>62.71</c:v>
                </c:pt>
                <c:pt idx="45">
                  <c:v>#N/A</c:v>
                </c:pt>
                <c:pt idx="46">
                  <c:v>#N/A</c:v>
                </c:pt>
                <c:pt idx="47">
                  <c:v>#N/A</c:v>
                </c:pt>
                <c:pt idx="48">
                  <c:v>#N/A</c:v>
                </c:pt>
                <c:pt idx="49">
                  <c:v>#N/A</c:v>
                </c:pt>
                <c:pt idx="50">
                  <c:v>#N/A</c:v>
                </c:pt>
                <c:pt idx="51">
                  <c:v>61.88</c:v>
                </c:pt>
                <c:pt idx="52">
                  <c:v>#N/A</c:v>
                </c:pt>
                <c:pt idx="53">
                  <c:v>#N/A</c:v>
                </c:pt>
                <c:pt idx="54">
                  <c:v>#N/A</c:v>
                </c:pt>
                <c:pt idx="55">
                  <c:v>#N/A</c:v>
                </c:pt>
                <c:pt idx="56">
                  <c:v>#N/A</c:v>
                </c:pt>
                <c:pt idx="57">
                  <c:v>#N/A</c:v>
                </c:pt>
                <c:pt idx="58">
                  <c:v>62.85</c:v>
                </c:pt>
                <c:pt idx="59">
                  <c:v>#N/A</c:v>
                </c:pt>
                <c:pt idx="60">
                  <c:v>#N/A</c:v>
                </c:pt>
                <c:pt idx="61">
                  <c:v>#N/A</c:v>
                </c:pt>
                <c:pt idx="62">
                  <c:v>#N/A</c:v>
                </c:pt>
                <c:pt idx="63">
                  <c:v>#N/A</c:v>
                </c:pt>
                <c:pt idx="64">
                  <c:v>#N/A</c:v>
                </c:pt>
                <c:pt idx="65">
                  <c:v>63.54</c:v>
                </c:pt>
                <c:pt idx="66">
                  <c:v>#N/A</c:v>
                </c:pt>
                <c:pt idx="67">
                  <c:v>#N/A</c:v>
                </c:pt>
                <c:pt idx="68">
                  <c:v>#N/A</c:v>
                </c:pt>
                <c:pt idx="69">
                  <c:v>#N/A</c:v>
                </c:pt>
                <c:pt idx="70">
                  <c:v>#N/A</c:v>
                </c:pt>
                <c:pt idx="71">
                  <c:v>#N/A</c:v>
                </c:pt>
                <c:pt idx="72">
                  <c:v>64.5</c:v>
                </c:pt>
                <c:pt idx="73">
                  <c:v>#N/A</c:v>
                </c:pt>
                <c:pt idx="74">
                  <c:v>#N/A</c:v>
                </c:pt>
                <c:pt idx="75">
                  <c:v>#N/A</c:v>
                </c:pt>
                <c:pt idx="76">
                  <c:v>#N/A</c:v>
                </c:pt>
                <c:pt idx="77">
                  <c:v>#N/A</c:v>
                </c:pt>
                <c:pt idx="78">
                  <c:v>#N/A</c:v>
                </c:pt>
                <c:pt idx="79">
                  <c:v>65.06</c:v>
                </c:pt>
                <c:pt idx="80">
                  <c:v>#N/A</c:v>
                </c:pt>
                <c:pt idx="81">
                  <c:v>#N/A</c:v>
                </c:pt>
                <c:pt idx="82">
                  <c:v>#N/A</c:v>
                </c:pt>
                <c:pt idx="83">
                  <c:v>#N/A</c:v>
                </c:pt>
                <c:pt idx="84">
                  <c:v>#N/A</c:v>
                </c:pt>
                <c:pt idx="85">
                  <c:v>#N/A</c:v>
                </c:pt>
                <c:pt idx="86">
                  <c:v>65.88</c:v>
                </c:pt>
                <c:pt idx="87">
                  <c:v>#N/A</c:v>
                </c:pt>
                <c:pt idx="88">
                  <c:v>#N/A</c:v>
                </c:pt>
                <c:pt idx="89">
                  <c:v>#N/A</c:v>
                </c:pt>
                <c:pt idx="90">
                  <c:v>#N/A</c:v>
                </c:pt>
                <c:pt idx="91">
                  <c:v>#N/A</c:v>
                </c:pt>
                <c:pt idx="92">
                  <c:v>#N/A</c:v>
                </c:pt>
                <c:pt idx="93">
                  <c:v>66.989999999999995</c:v>
                </c:pt>
                <c:pt idx="94">
                  <c:v>#N/A</c:v>
                </c:pt>
                <c:pt idx="95">
                  <c:v>#N/A</c:v>
                </c:pt>
                <c:pt idx="96">
                  <c:v>#N/A</c:v>
                </c:pt>
                <c:pt idx="97">
                  <c:v>#N/A</c:v>
                </c:pt>
                <c:pt idx="98">
                  <c:v>#N/A</c:v>
                </c:pt>
                <c:pt idx="99">
                  <c:v>#N/A</c:v>
                </c:pt>
                <c:pt idx="100">
                  <c:v>68.09</c:v>
                </c:pt>
                <c:pt idx="101">
                  <c:v>#N/A</c:v>
                </c:pt>
                <c:pt idx="102">
                  <c:v>#N/A</c:v>
                </c:pt>
                <c:pt idx="103">
                  <c:v>#N/A</c:v>
                </c:pt>
                <c:pt idx="104">
                  <c:v>#N/A</c:v>
                </c:pt>
                <c:pt idx="105">
                  <c:v>#N/A</c:v>
                </c:pt>
                <c:pt idx="106">
                  <c:v>#N/A</c:v>
                </c:pt>
                <c:pt idx="107">
                  <c:v>68.650000000000006</c:v>
                </c:pt>
                <c:pt idx="108">
                  <c:v>#N/A</c:v>
                </c:pt>
                <c:pt idx="109">
                  <c:v>#N/A</c:v>
                </c:pt>
                <c:pt idx="110">
                  <c:v>#N/A</c:v>
                </c:pt>
                <c:pt idx="111">
                  <c:v>#N/A</c:v>
                </c:pt>
                <c:pt idx="112">
                  <c:v>#N/A</c:v>
                </c:pt>
                <c:pt idx="113">
                  <c:v>#N/A</c:v>
                </c:pt>
                <c:pt idx="114">
                  <c:v>68.650000000000006</c:v>
                </c:pt>
                <c:pt idx="115">
                  <c:v>#N/A</c:v>
                </c:pt>
                <c:pt idx="116">
                  <c:v>#N/A</c:v>
                </c:pt>
                <c:pt idx="117">
                  <c:v>#N/A</c:v>
                </c:pt>
                <c:pt idx="118">
                  <c:v>#N/A</c:v>
                </c:pt>
                <c:pt idx="119">
                  <c:v>#N/A</c:v>
                </c:pt>
                <c:pt idx="120">
                  <c:v>69.06</c:v>
                </c:pt>
                <c:pt idx="121">
                  <c:v>#N/A</c:v>
                </c:pt>
                <c:pt idx="122">
                  <c:v>#N/A</c:v>
                </c:pt>
                <c:pt idx="123">
                  <c:v>#N/A</c:v>
                </c:pt>
                <c:pt idx="124">
                  <c:v>#N/A</c:v>
                </c:pt>
                <c:pt idx="125">
                  <c:v>#N/A</c:v>
                </c:pt>
                <c:pt idx="126">
                  <c:v>#N/A</c:v>
                </c:pt>
                <c:pt idx="127">
                  <c:v>#N/A</c:v>
                </c:pt>
                <c:pt idx="128">
                  <c:v>69.06</c:v>
                </c:pt>
                <c:pt idx="129">
                  <c:v>#N/A</c:v>
                </c:pt>
                <c:pt idx="130">
                  <c:v>#N/A</c:v>
                </c:pt>
                <c:pt idx="131">
                  <c:v>#N/A</c:v>
                </c:pt>
                <c:pt idx="132">
                  <c:v>#N/A</c:v>
                </c:pt>
                <c:pt idx="133">
                  <c:v>#N/A</c:v>
                </c:pt>
                <c:pt idx="134">
                  <c:v>#N/A</c:v>
                </c:pt>
                <c:pt idx="135">
                  <c:v>70.44</c:v>
                </c:pt>
                <c:pt idx="136">
                  <c:v>#N/A</c:v>
                </c:pt>
                <c:pt idx="137">
                  <c:v>#N/A</c:v>
                </c:pt>
                <c:pt idx="138">
                  <c:v>#N/A</c:v>
                </c:pt>
                <c:pt idx="139">
                  <c:v>#N/A</c:v>
                </c:pt>
                <c:pt idx="140">
                  <c:v>#N/A</c:v>
                </c:pt>
                <c:pt idx="141">
                  <c:v>#N/A</c:v>
                </c:pt>
                <c:pt idx="142">
                  <c:v>70.44</c:v>
                </c:pt>
                <c:pt idx="143">
                  <c:v>#N/A</c:v>
                </c:pt>
                <c:pt idx="144">
                  <c:v>#N/A</c:v>
                </c:pt>
                <c:pt idx="145">
                  <c:v>#N/A</c:v>
                </c:pt>
                <c:pt idx="146">
                  <c:v>#N/A</c:v>
                </c:pt>
                <c:pt idx="147">
                  <c:v>#N/A</c:v>
                </c:pt>
                <c:pt idx="148">
                  <c:v>#N/A</c:v>
                </c:pt>
                <c:pt idx="149">
                  <c:v>70.58</c:v>
                </c:pt>
                <c:pt idx="150">
                  <c:v>#N/A</c:v>
                </c:pt>
                <c:pt idx="151">
                  <c:v>#N/A</c:v>
                </c:pt>
                <c:pt idx="152">
                  <c:v>#N/A</c:v>
                </c:pt>
                <c:pt idx="153">
                  <c:v>#N/A</c:v>
                </c:pt>
                <c:pt idx="154">
                  <c:v>#N/A</c:v>
                </c:pt>
                <c:pt idx="155">
                  <c:v>#N/A</c:v>
                </c:pt>
                <c:pt idx="156">
                  <c:v>70.44</c:v>
                </c:pt>
                <c:pt idx="157">
                  <c:v>#N/A</c:v>
                </c:pt>
                <c:pt idx="158">
                  <c:v>#N/A</c:v>
                </c:pt>
                <c:pt idx="159">
                  <c:v>#N/A</c:v>
                </c:pt>
                <c:pt idx="160">
                  <c:v>#N/A</c:v>
                </c:pt>
                <c:pt idx="161">
                  <c:v>#N/A</c:v>
                </c:pt>
                <c:pt idx="162">
                  <c:v>#N/A</c:v>
                </c:pt>
                <c:pt idx="163">
                  <c:v>70.72</c:v>
                </c:pt>
                <c:pt idx="164">
                  <c:v>#N/A</c:v>
                </c:pt>
                <c:pt idx="165">
                  <c:v>#N/A</c:v>
                </c:pt>
                <c:pt idx="166">
                  <c:v>#N/A</c:v>
                </c:pt>
                <c:pt idx="167">
                  <c:v>#N/A</c:v>
                </c:pt>
                <c:pt idx="168">
                  <c:v>#N/A</c:v>
                </c:pt>
                <c:pt idx="169">
                  <c:v>#N/A</c:v>
                </c:pt>
                <c:pt idx="170">
                  <c:v>70.03</c:v>
                </c:pt>
                <c:pt idx="171">
                  <c:v>#N/A</c:v>
                </c:pt>
                <c:pt idx="172">
                  <c:v>#N/A</c:v>
                </c:pt>
                <c:pt idx="173">
                  <c:v>#N/A</c:v>
                </c:pt>
                <c:pt idx="174">
                  <c:v>#N/A</c:v>
                </c:pt>
                <c:pt idx="175">
                  <c:v>#N/A</c:v>
                </c:pt>
                <c:pt idx="176">
                  <c:v>#N/A</c:v>
                </c:pt>
                <c:pt idx="177">
                  <c:v>70.44</c:v>
                </c:pt>
                <c:pt idx="178">
                  <c:v>#N/A</c:v>
                </c:pt>
                <c:pt idx="179">
                  <c:v>#N/A</c:v>
                </c:pt>
                <c:pt idx="180">
                  <c:v>#N/A</c:v>
                </c:pt>
                <c:pt idx="181">
                  <c:v>#N/A</c:v>
                </c:pt>
                <c:pt idx="182">
                  <c:v>#N/A</c:v>
                </c:pt>
                <c:pt idx="183">
                  <c:v>#N/A</c:v>
                </c:pt>
                <c:pt idx="184">
                  <c:v>70.44</c:v>
                </c:pt>
                <c:pt idx="185">
                  <c:v>#N/A</c:v>
                </c:pt>
                <c:pt idx="186">
                  <c:v>#N/A</c:v>
                </c:pt>
                <c:pt idx="187">
                  <c:v>#N/A</c:v>
                </c:pt>
                <c:pt idx="188">
                  <c:v>#N/A</c:v>
                </c:pt>
                <c:pt idx="189">
                  <c:v>#N/A</c:v>
                </c:pt>
                <c:pt idx="190">
                  <c:v>#N/A</c:v>
                </c:pt>
                <c:pt idx="191">
                  <c:v>70.03</c:v>
                </c:pt>
                <c:pt idx="192">
                  <c:v>#N/A</c:v>
                </c:pt>
                <c:pt idx="193">
                  <c:v>#N/A</c:v>
                </c:pt>
                <c:pt idx="194">
                  <c:v>#N/A</c:v>
                </c:pt>
                <c:pt idx="195">
                  <c:v>#N/A</c:v>
                </c:pt>
                <c:pt idx="196">
                  <c:v>#N/A</c:v>
                </c:pt>
                <c:pt idx="197">
                  <c:v>#N/A</c:v>
                </c:pt>
                <c:pt idx="198">
                  <c:v>69.89</c:v>
                </c:pt>
                <c:pt idx="199">
                  <c:v>#N/A</c:v>
                </c:pt>
                <c:pt idx="200">
                  <c:v>#N/A</c:v>
                </c:pt>
                <c:pt idx="201">
                  <c:v>#N/A</c:v>
                </c:pt>
                <c:pt idx="202">
                  <c:v>#N/A</c:v>
                </c:pt>
                <c:pt idx="203">
                  <c:v>#N/A</c:v>
                </c:pt>
                <c:pt idx="204">
                  <c:v>#N/A</c:v>
                </c:pt>
                <c:pt idx="205">
                  <c:v>70.17</c:v>
                </c:pt>
                <c:pt idx="206">
                  <c:v>#N/A</c:v>
                </c:pt>
                <c:pt idx="207">
                  <c:v>#N/A</c:v>
                </c:pt>
                <c:pt idx="208">
                  <c:v>#N/A</c:v>
                </c:pt>
                <c:pt idx="209">
                  <c:v>#N/A</c:v>
                </c:pt>
                <c:pt idx="210">
                  <c:v>#N/A</c:v>
                </c:pt>
                <c:pt idx="211">
                  <c:v>#N/A</c:v>
                </c:pt>
                <c:pt idx="212">
                  <c:v>70.3</c:v>
                </c:pt>
                <c:pt idx="213">
                  <c:v>#N/A</c:v>
                </c:pt>
                <c:pt idx="214">
                  <c:v>#N/A</c:v>
                </c:pt>
                <c:pt idx="215">
                  <c:v>#N/A</c:v>
                </c:pt>
                <c:pt idx="216">
                  <c:v>#N/A</c:v>
                </c:pt>
                <c:pt idx="217">
                  <c:v>#N/A</c:v>
                </c:pt>
                <c:pt idx="218">
                  <c:v>#N/A</c:v>
                </c:pt>
                <c:pt idx="219">
                  <c:v>70.86</c:v>
                </c:pt>
                <c:pt idx="220">
                  <c:v>#N/A</c:v>
                </c:pt>
                <c:pt idx="221">
                  <c:v>#N/A</c:v>
                </c:pt>
                <c:pt idx="222">
                  <c:v>#N/A</c:v>
                </c:pt>
                <c:pt idx="223">
                  <c:v>#N/A</c:v>
                </c:pt>
                <c:pt idx="224">
                  <c:v>#N/A</c:v>
                </c:pt>
                <c:pt idx="225">
                  <c:v>#N/A</c:v>
                </c:pt>
                <c:pt idx="226">
                  <c:v>71.27</c:v>
                </c:pt>
                <c:pt idx="227">
                  <c:v>#N/A</c:v>
                </c:pt>
                <c:pt idx="228">
                  <c:v>#N/A</c:v>
                </c:pt>
                <c:pt idx="229">
                  <c:v>#N/A</c:v>
                </c:pt>
                <c:pt idx="230">
                  <c:v>#N/A</c:v>
                </c:pt>
                <c:pt idx="231">
                  <c:v>#N/A</c:v>
                </c:pt>
                <c:pt idx="232">
                  <c:v>#N/A</c:v>
                </c:pt>
                <c:pt idx="233">
                  <c:v>71.13</c:v>
                </c:pt>
                <c:pt idx="234">
                  <c:v>#N/A</c:v>
                </c:pt>
                <c:pt idx="235">
                  <c:v>#N/A</c:v>
                </c:pt>
                <c:pt idx="236">
                  <c:v>#N/A</c:v>
                </c:pt>
                <c:pt idx="237">
                  <c:v>#N/A</c:v>
                </c:pt>
                <c:pt idx="238">
                  <c:v>#N/A</c:v>
                </c:pt>
                <c:pt idx="239">
                  <c:v>#N/A</c:v>
                </c:pt>
                <c:pt idx="240">
                  <c:v>70.989999999999995</c:v>
                </c:pt>
                <c:pt idx="241">
                  <c:v>#N/A</c:v>
                </c:pt>
                <c:pt idx="242">
                  <c:v>#N/A</c:v>
                </c:pt>
                <c:pt idx="243">
                  <c:v>#N/A</c:v>
                </c:pt>
                <c:pt idx="244">
                  <c:v>#N/A</c:v>
                </c:pt>
                <c:pt idx="245">
                  <c:v>#N/A</c:v>
                </c:pt>
                <c:pt idx="246">
                  <c:v>#N/A</c:v>
                </c:pt>
                <c:pt idx="247">
                  <c:v>70.72</c:v>
                </c:pt>
                <c:pt idx="248">
                  <c:v>#N/A</c:v>
                </c:pt>
                <c:pt idx="249">
                  <c:v>#N/A</c:v>
                </c:pt>
                <c:pt idx="250">
                  <c:v>#N/A</c:v>
                </c:pt>
                <c:pt idx="251">
                  <c:v>#N/A</c:v>
                </c:pt>
                <c:pt idx="252">
                  <c:v>#N/A</c:v>
                </c:pt>
                <c:pt idx="253">
                  <c:v>#N/A</c:v>
                </c:pt>
                <c:pt idx="254">
                  <c:v>70.17</c:v>
                </c:pt>
                <c:pt idx="255">
                  <c:v>#N/A</c:v>
                </c:pt>
                <c:pt idx="256">
                  <c:v>#N/A</c:v>
                </c:pt>
                <c:pt idx="257">
                  <c:v>#N/A</c:v>
                </c:pt>
                <c:pt idx="258">
                  <c:v>#N/A</c:v>
                </c:pt>
                <c:pt idx="259">
                  <c:v>#N/A</c:v>
                </c:pt>
                <c:pt idx="260">
                  <c:v>#N/A</c:v>
                </c:pt>
                <c:pt idx="261">
                  <c:v>69.89</c:v>
                </c:pt>
                <c:pt idx="262">
                  <c:v>#N/A</c:v>
                </c:pt>
                <c:pt idx="263">
                  <c:v>#N/A</c:v>
                </c:pt>
                <c:pt idx="264">
                  <c:v>#N/A</c:v>
                </c:pt>
                <c:pt idx="265">
                  <c:v>#N/A</c:v>
                </c:pt>
                <c:pt idx="266">
                  <c:v>#N/A</c:v>
                </c:pt>
                <c:pt idx="267">
                  <c:v>#N/A</c:v>
                </c:pt>
                <c:pt idx="268">
                  <c:v>68.650000000000006</c:v>
                </c:pt>
                <c:pt idx="269">
                  <c:v>#N/A</c:v>
                </c:pt>
                <c:pt idx="270">
                  <c:v>#N/A</c:v>
                </c:pt>
                <c:pt idx="271">
                  <c:v>#N/A</c:v>
                </c:pt>
                <c:pt idx="272">
                  <c:v>#N/A</c:v>
                </c:pt>
                <c:pt idx="273">
                  <c:v>68.09</c:v>
                </c:pt>
                <c:pt idx="274">
                  <c:v>#N/A</c:v>
                </c:pt>
                <c:pt idx="275">
                  <c:v>#N/A</c:v>
                </c:pt>
                <c:pt idx="276">
                  <c:v>#N/A</c:v>
                </c:pt>
                <c:pt idx="277">
                  <c:v>#N/A</c:v>
                </c:pt>
                <c:pt idx="278">
                  <c:v>#N/A</c:v>
                </c:pt>
                <c:pt idx="279">
                  <c:v>#N/A</c:v>
                </c:pt>
                <c:pt idx="280">
                  <c:v>#N/A</c:v>
                </c:pt>
                <c:pt idx="281">
                  <c:v>#N/A</c:v>
                </c:pt>
                <c:pt idx="282">
                  <c:v>68.78</c:v>
                </c:pt>
                <c:pt idx="283">
                  <c:v>#N/A</c:v>
                </c:pt>
                <c:pt idx="284">
                  <c:v>#N/A</c:v>
                </c:pt>
                <c:pt idx="285">
                  <c:v>#N/A</c:v>
                </c:pt>
                <c:pt idx="286">
                  <c:v>#N/A</c:v>
                </c:pt>
                <c:pt idx="287">
                  <c:v>#N/A</c:v>
                </c:pt>
                <c:pt idx="288">
                  <c:v>#N/A</c:v>
                </c:pt>
                <c:pt idx="289">
                  <c:v>68.23</c:v>
                </c:pt>
                <c:pt idx="290">
                  <c:v>#N/A</c:v>
                </c:pt>
                <c:pt idx="291">
                  <c:v>#N/A</c:v>
                </c:pt>
                <c:pt idx="292">
                  <c:v>#N/A</c:v>
                </c:pt>
                <c:pt idx="293">
                  <c:v>#N/A</c:v>
                </c:pt>
                <c:pt idx="294">
                  <c:v>#N/A</c:v>
                </c:pt>
                <c:pt idx="295">
                  <c:v>#N/A</c:v>
                </c:pt>
                <c:pt idx="296">
                  <c:v>68.37</c:v>
                </c:pt>
                <c:pt idx="297">
                  <c:v>#N/A</c:v>
                </c:pt>
                <c:pt idx="298">
                  <c:v>#N/A</c:v>
                </c:pt>
                <c:pt idx="299">
                  <c:v>#N/A</c:v>
                </c:pt>
                <c:pt idx="300">
                  <c:v>#N/A</c:v>
                </c:pt>
                <c:pt idx="301">
                  <c:v>#N/A</c:v>
                </c:pt>
                <c:pt idx="302">
                  <c:v>#N/A</c:v>
                </c:pt>
                <c:pt idx="303">
                  <c:v>67.819999999999993</c:v>
                </c:pt>
                <c:pt idx="304">
                  <c:v>#N/A</c:v>
                </c:pt>
                <c:pt idx="305">
                  <c:v>#N/A</c:v>
                </c:pt>
                <c:pt idx="306">
                  <c:v>#N/A</c:v>
                </c:pt>
                <c:pt idx="307">
                  <c:v>#N/A</c:v>
                </c:pt>
                <c:pt idx="308">
                  <c:v>#N/A</c:v>
                </c:pt>
                <c:pt idx="309">
                  <c:v>#N/A</c:v>
                </c:pt>
                <c:pt idx="310">
                  <c:v>67.13</c:v>
                </c:pt>
                <c:pt idx="311">
                  <c:v>#N/A</c:v>
                </c:pt>
                <c:pt idx="312">
                  <c:v>#N/A</c:v>
                </c:pt>
                <c:pt idx="313">
                  <c:v>#N/A</c:v>
                </c:pt>
                <c:pt idx="314">
                  <c:v>#N/A</c:v>
                </c:pt>
                <c:pt idx="315">
                  <c:v>#N/A</c:v>
                </c:pt>
                <c:pt idx="316">
                  <c:v>#N/A</c:v>
                </c:pt>
                <c:pt idx="317">
                  <c:v>67.400000000000006</c:v>
                </c:pt>
                <c:pt idx="318">
                  <c:v>#N/A</c:v>
                </c:pt>
                <c:pt idx="319">
                  <c:v>#N/A</c:v>
                </c:pt>
                <c:pt idx="320">
                  <c:v>#N/A</c:v>
                </c:pt>
                <c:pt idx="321">
                  <c:v>#N/A</c:v>
                </c:pt>
                <c:pt idx="322">
                  <c:v>#N/A</c:v>
                </c:pt>
                <c:pt idx="323">
                  <c:v>#N/A</c:v>
                </c:pt>
                <c:pt idx="324">
                  <c:v>67.27</c:v>
                </c:pt>
                <c:pt idx="325">
                  <c:v>#N/A</c:v>
                </c:pt>
                <c:pt idx="326">
                  <c:v>#N/A</c:v>
                </c:pt>
                <c:pt idx="327">
                  <c:v>#N/A</c:v>
                </c:pt>
                <c:pt idx="328">
                  <c:v>#N/A</c:v>
                </c:pt>
                <c:pt idx="329">
                  <c:v>#N/A</c:v>
                </c:pt>
                <c:pt idx="330">
                  <c:v>#N/A</c:v>
                </c:pt>
                <c:pt idx="331">
                  <c:v>67.27</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0738-45B4-BA3C-9DFEC058DF05}"/>
            </c:ext>
          </c:extLst>
        </c:ser>
        <c:dLbls>
          <c:showLegendKey val="0"/>
          <c:showVal val="0"/>
          <c:showCatName val="0"/>
          <c:showSerName val="0"/>
          <c:showPercent val="0"/>
          <c:showBubbleSize val="0"/>
        </c:dLbls>
        <c:marker val="1"/>
        <c:smooth val="0"/>
        <c:axId val="449668608"/>
        <c:axId val="449670144"/>
      </c:lineChart>
      <c:dateAx>
        <c:axId val="44966860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9670144"/>
        <c:crosses val="autoZero"/>
        <c:auto val="0"/>
        <c:lblOffset val="0"/>
        <c:baseTimeUnit val="days"/>
        <c:majorUnit val="1"/>
        <c:majorTimeUnit val="months"/>
      </c:dateAx>
      <c:valAx>
        <c:axId val="449670144"/>
        <c:scaling>
          <c:orientation val="minMax"/>
          <c:min val="5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966860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8FD5-4594-89F4-877AF8118482}"/>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8FD5-4594-89F4-877AF8118482}"/>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8FD5-4594-89F4-877AF8118482}"/>
            </c:ext>
          </c:extLst>
        </c:ser>
        <c:dLbls>
          <c:showLegendKey val="0"/>
          <c:showVal val="0"/>
          <c:showCatName val="0"/>
          <c:showSerName val="0"/>
          <c:showPercent val="0"/>
          <c:showBubbleSize val="0"/>
        </c:dLbls>
        <c:marker val="1"/>
        <c:smooth val="0"/>
        <c:axId val="449705856"/>
        <c:axId val="449707392"/>
      </c:lineChart>
      <c:dateAx>
        <c:axId val="44970585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9707392"/>
        <c:crosses val="autoZero"/>
        <c:auto val="0"/>
        <c:lblOffset val="0"/>
        <c:baseTimeUnit val="days"/>
        <c:majorUnit val="1"/>
        <c:majorTimeUnit val="months"/>
      </c:dateAx>
      <c:valAx>
        <c:axId val="449707392"/>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970585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6D80-4206-9DC2-326B84BA5F90}"/>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6D80-4206-9DC2-326B84BA5F90}"/>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6D80-4206-9DC2-326B84BA5F90}"/>
            </c:ext>
          </c:extLst>
        </c:ser>
        <c:dLbls>
          <c:showLegendKey val="0"/>
          <c:showVal val="0"/>
          <c:showCatName val="0"/>
          <c:showSerName val="0"/>
          <c:showPercent val="0"/>
          <c:showBubbleSize val="0"/>
        </c:dLbls>
        <c:marker val="1"/>
        <c:smooth val="0"/>
        <c:axId val="449738624"/>
        <c:axId val="449740160"/>
      </c:lineChart>
      <c:dateAx>
        <c:axId val="44973862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9740160"/>
        <c:crosses val="autoZero"/>
        <c:auto val="0"/>
        <c:lblOffset val="0"/>
        <c:baseTimeUnit val="days"/>
        <c:majorUnit val="1"/>
        <c:majorTimeUnit val="months"/>
      </c:dateAx>
      <c:valAx>
        <c:axId val="449740160"/>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973862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猪价!$I$1</c:f>
              <c:strCache>
                <c:ptCount val="1"/>
                <c:pt idx="0">
                  <c:v>2019</c:v>
                </c:pt>
              </c:strCache>
            </c:strRef>
          </c:tx>
          <c:spPr>
            <a:ln w="28575">
              <a:solidFill>
                <a:srgbClr val="F8CBAD"/>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猪价!$I$2:$I$366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2AD3-4148-AB3C-96589ADA436F}"/>
            </c:ext>
          </c:extLst>
        </c:ser>
        <c:ser>
          <c:idx val="2"/>
          <c:order val="1"/>
          <c:tx>
            <c:strRef>
              <c:f>猪价!$J$1</c:f>
              <c:strCache>
                <c:ptCount val="1"/>
                <c:pt idx="0">
                  <c:v>2020</c:v>
                </c:pt>
              </c:strCache>
            </c:strRef>
          </c:tx>
          <c:spPr>
            <a:ln w="28575">
              <a:solidFill>
                <a:srgbClr val="BF5711"/>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猪价!$J$2:$J$366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AD3-4148-AB3C-96589ADA436F}"/>
            </c:ext>
          </c:extLst>
        </c:ser>
        <c:dLbls>
          <c:showLegendKey val="0"/>
          <c:showVal val="0"/>
          <c:showCatName val="0"/>
          <c:showSerName val="0"/>
          <c:showPercent val="0"/>
          <c:showBubbleSize val="0"/>
        </c:dLbls>
        <c:marker val="1"/>
        <c:smooth val="0"/>
        <c:axId val="449909888"/>
        <c:axId val="449911424"/>
      </c:lineChart>
      <c:dateAx>
        <c:axId val="44990988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9911424"/>
        <c:crosses val="autoZero"/>
        <c:auto val="0"/>
        <c:lblOffset val="0"/>
        <c:baseTimeUnit val="days"/>
        <c:majorUnit val="1"/>
        <c:majorTimeUnit val="months"/>
      </c:dateAx>
      <c:valAx>
        <c:axId val="449911424"/>
        <c:scaling>
          <c:orientation val="minMax"/>
          <c:min val="14"/>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990988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0.02917</cdr:x>
      <cdr:y>0</cdr:y>
    </cdr:from>
    <cdr:to>
      <cdr:x>0.08671</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87464" y="-4063117"/>
          <a:ext cx="172532" cy="144615"/>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0.06098</cdr:x>
      <cdr:y>0</cdr:y>
    </cdr:from>
    <cdr:to>
      <cdr:x>0.11852</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182880" y="-7593496"/>
          <a:ext cx="172569" cy="146203"/>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0.9133</cdr:x>
      <cdr:y>0</cdr:y>
    </cdr:from>
    <cdr:to>
      <cdr:x>0.97084</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2739071" y="-7593496"/>
          <a:ext cx="172569" cy="146203"/>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0.03978</cdr:x>
      <cdr:y>0</cdr:y>
    </cdr:from>
    <cdr:to>
      <cdr:x>0.09732</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119269" y="-7609398"/>
          <a:ext cx="172532" cy="143081"/>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0.90534</cdr:x>
      <cdr:y>0</cdr:y>
    </cdr:from>
    <cdr:to>
      <cdr:x>0.96288</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2714620" y="-7609398"/>
          <a:ext cx="172532" cy="143081"/>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0.02111</cdr:x>
      <cdr:y>0</cdr:y>
    </cdr:from>
    <cdr:to>
      <cdr:x>0.07865</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63305" y="-5725551"/>
          <a:ext cx="172532" cy="156892"/>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0.02345</cdr:x>
      <cdr:y>0</cdr:y>
    </cdr:from>
    <cdr:to>
      <cdr:x>0.08099</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70339" y="-991772"/>
          <a:ext cx="172569" cy="146415"/>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楷体" panose="02010609060101010101" pitchFamily="49" charset="-122"/>
              <a:ea typeface="楷体" panose="02010609060101010101" pitchFamily="49" charset="-122"/>
            </a:rPr>
            <a:t>%</a:t>
          </a:r>
          <a:endParaRPr lang="zh-CN" altLang="en-US" sz="1000" b="0" i="0" u="none" strike="noStrike" baseline="0">
            <a:solidFill>
              <a:srgbClr val="000000"/>
            </a:solidFill>
            <a:latin typeface="楷体" panose="02010609060101010101" pitchFamily="49" charset="-122"/>
            <a:ea typeface="楷体" panose="02010609060101010101" pitchFamily="49"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0.00391</cdr:y>
    </cdr:from>
    <cdr:to>
      <cdr:x>0.17828</cdr:x>
      <cdr:y>0.08593</cdr:y>
    </cdr:to>
    <cdr:sp macro="" textlink="">
      <cdr:nvSpPr>
        <cdr:cNvPr id="5" name="Text Box 1"/>
        <cdr:cNvSpPr txBox="1">
          <a:spLocks xmlns:a="http://schemas.openxmlformats.org/drawingml/2006/main" noChangeArrowheads="1"/>
        </cdr:cNvSpPr>
      </cdr:nvSpPr>
      <cdr:spPr bwMode="auto">
        <a:xfrm xmlns:a="http://schemas.openxmlformats.org/drawingml/2006/main">
          <a:off x="-3847514" y="7034"/>
          <a:ext cx="534572" cy="147711"/>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E81A7-D4F3-464E-AAAB-385B646A84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7</Pages>
  <Words>881</Words>
  <Characters>5025</Characters>
  <Application>Microsoft Office Word</Application>
  <DocSecurity>0</DocSecurity>
  <Lines>41</Lines>
  <Paragraphs>11</Paragraphs>
  <ScaleCrop>false</ScaleCrop>
  <Company>Microsoft</Company>
  <LinksUpToDate>false</LinksUpToDate>
  <CharactersWithSpaces>5895</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subject/>
  <dc:creator>钱伟</dc:creator>
  <cp:keywords/>
  <dc:description/>
  <cp:lastModifiedBy>Administrator</cp:lastModifiedBy>
  <cp:revision>21</cp:revision>
  <cp:lastPrinted>2019-06-26T06:05:00Z</cp:lastPrinted>
  <dcterms:created xsi:type="dcterms:W3CDTF">2020-11-30T02:11:00Z</dcterms:created>
  <dcterms:modified xsi:type="dcterms:W3CDTF">2020-11-30T05:19:00Z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