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3.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charts/chart4.xml" ContentType="application/vnd.openxmlformats-officedocument.drawingml.chart+xml"/>
  <Override PartName="/word/theme/themeOverride3.xml" ContentType="application/vnd.openxmlformats-officedocument.themeOverride+xml"/>
  <Override PartName="/word/drawings/drawing3.xml" ContentType="application/vnd.openxmlformats-officedocument.drawingml.chartshapes+xml"/>
  <Override PartName="/word/charts/chart5.xml" ContentType="application/vnd.openxmlformats-officedocument.drawingml.chart+xml"/>
  <Override PartName="/word/theme/themeOverride4.xml" ContentType="application/vnd.openxmlformats-officedocument.themeOverride+xml"/>
  <Override PartName="/word/drawings/drawing4.xml" ContentType="application/vnd.openxmlformats-officedocument.drawingml.chartshapes+xml"/>
  <Override PartName="/word/charts/chart6.xml" ContentType="application/vnd.openxmlformats-officedocument.drawingml.chart+xml"/>
  <Override PartName="/word/theme/themeOverride5.xml" ContentType="application/vnd.openxmlformats-officedocument.themeOverride+xml"/>
  <Override PartName="/word/drawings/drawing5.xml" ContentType="application/vnd.openxmlformats-officedocument.drawingml.chartshapes+xml"/>
  <Override PartName="/word/charts/chart7.xml" ContentType="application/vnd.openxmlformats-officedocument.drawingml.chart+xml"/>
  <Override PartName="/word/theme/themeOverride6.xml" ContentType="application/vnd.openxmlformats-officedocument.themeOverride+xml"/>
  <Override PartName="/word/drawings/drawing6.xml" ContentType="application/vnd.openxmlformats-officedocument.drawingml.chartshapes+xml"/>
  <Override PartName="/word/charts/chart8.xml" ContentType="application/vnd.openxmlformats-officedocument.drawingml.chart+xml"/>
  <Override PartName="/word/theme/themeOverride7.xml" ContentType="application/vnd.openxmlformats-officedocument.themeOverride+xml"/>
  <Override PartName="/word/charts/chart9.xml" ContentType="application/vnd.openxmlformats-officedocument.drawingml.chart+xml"/>
  <Override PartName="/word/theme/themeOverride8.xml" ContentType="application/vnd.openxmlformats-officedocument.themeOverride+xml"/>
  <Override PartName="/word/charts/chart10.xml" ContentType="application/vnd.openxmlformats-officedocument.drawingml.chart+xml"/>
  <Override PartName="/word/theme/themeOverride9.xml" ContentType="application/vnd.openxmlformats-officedocument.themeOverride+xml"/>
  <Override PartName="/word/drawings/drawing7.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7AE04533" w14:textId="77777777" w:rsidR="00960960" w:rsidRDefault="001357FD" w:rsidP="009A2BA0">
      <w:pPr>
        <w:spacing w:beforeLines="100" w:before="312"/>
        <w:jc w:val="center"/>
        <w:rPr>
          <w:rFonts w:ascii="楷体" w:eastAsia="楷体" w:hAnsi="楷体"/>
          <w:b/>
          <w:sz w:val="44"/>
          <w:szCs w:val="44"/>
        </w:rPr>
      </w:pPr>
      <w:r w:rsidRPr="00BB4A92">
        <w:rPr>
          <w:rFonts w:ascii="楷体" w:eastAsia="楷体" w:hAnsi="楷体" w:hint="eastAsia"/>
          <w:b/>
          <w:sz w:val="44"/>
          <w:szCs w:val="44"/>
        </w:rPr>
        <w:t>富</w:t>
      </w:r>
      <w:proofErr w:type="gramStart"/>
      <w:r w:rsidRPr="00BB4A92">
        <w:rPr>
          <w:rFonts w:ascii="楷体" w:eastAsia="楷体" w:hAnsi="楷体" w:hint="eastAsia"/>
          <w:b/>
          <w:sz w:val="44"/>
          <w:szCs w:val="44"/>
        </w:rPr>
        <w:t>荣基金</w:t>
      </w:r>
      <w:proofErr w:type="gramEnd"/>
      <w:r w:rsidR="00960960" w:rsidRPr="00BB4A92">
        <w:rPr>
          <w:rFonts w:ascii="楷体" w:eastAsia="楷体" w:hAnsi="楷体" w:hint="eastAsia"/>
          <w:b/>
          <w:sz w:val="44"/>
          <w:szCs w:val="44"/>
        </w:rPr>
        <w:t>固定收益</w:t>
      </w:r>
      <w:r w:rsidR="00F24889" w:rsidRPr="00BB4A92">
        <w:rPr>
          <w:rFonts w:ascii="楷体" w:eastAsia="楷体" w:hAnsi="楷体" w:hint="eastAsia"/>
          <w:b/>
          <w:sz w:val="44"/>
          <w:szCs w:val="44"/>
        </w:rPr>
        <w:t>周报</w:t>
      </w:r>
    </w:p>
    <w:p w14:paraId="08CBB8BB" w14:textId="6740AED3" w:rsidR="00832986" w:rsidRPr="00541553" w:rsidRDefault="00832986" w:rsidP="00E543BE">
      <w:pPr>
        <w:widowControl/>
        <w:jc w:val="center"/>
        <w:rPr>
          <w:rFonts w:ascii="楷体" w:eastAsia="楷体" w:hAnsi="楷体"/>
          <w:sz w:val="28"/>
          <w:szCs w:val="28"/>
        </w:rPr>
      </w:pPr>
      <w:r w:rsidRPr="00541553">
        <w:rPr>
          <w:rFonts w:ascii="楷体" w:eastAsia="楷体" w:hAnsi="楷体" w:hint="eastAsia"/>
          <w:sz w:val="28"/>
          <w:szCs w:val="28"/>
        </w:rPr>
        <w:t>——</w:t>
      </w:r>
      <w:r w:rsidR="00BE251E">
        <w:rPr>
          <w:rFonts w:ascii="楷体" w:eastAsia="楷体" w:hAnsi="楷体" w:hint="eastAsia"/>
          <w:sz w:val="28"/>
          <w:szCs w:val="28"/>
        </w:rPr>
        <w:t>市场情绪</w:t>
      </w:r>
      <w:r w:rsidR="00E71119">
        <w:rPr>
          <w:rFonts w:ascii="楷体" w:eastAsia="楷体" w:hAnsi="楷体" w:hint="eastAsia"/>
          <w:sz w:val="28"/>
          <w:szCs w:val="28"/>
        </w:rPr>
        <w:t>持续</w:t>
      </w:r>
      <w:r w:rsidR="00BE251E">
        <w:rPr>
          <w:rFonts w:ascii="楷体" w:eastAsia="楷体" w:hAnsi="楷体" w:hint="eastAsia"/>
          <w:sz w:val="28"/>
          <w:szCs w:val="28"/>
        </w:rPr>
        <w:t>修复</w:t>
      </w:r>
      <w:r w:rsidR="00237DAF">
        <w:rPr>
          <w:rFonts w:ascii="楷体" w:eastAsia="楷体" w:hAnsi="楷体" w:hint="eastAsia"/>
          <w:sz w:val="28"/>
          <w:szCs w:val="28"/>
        </w:rPr>
        <w:t>，</w:t>
      </w:r>
      <w:r w:rsidR="00E71119">
        <w:rPr>
          <w:rFonts w:ascii="楷体" w:eastAsia="楷体" w:hAnsi="楷体" w:hint="eastAsia"/>
          <w:sz w:val="28"/>
          <w:szCs w:val="28"/>
        </w:rPr>
        <w:t>股债两市迎来双涨</w:t>
      </w:r>
    </w:p>
    <w:p w14:paraId="0A7A9383" w14:textId="21CDF2A4" w:rsidR="00FF57FB" w:rsidRPr="00FA6C01" w:rsidRDefault="00DD41CD" w:rsidP="009A2BA0">
      <w:pPr>
        <w:tabs>
          <w:tab w:val="center" w:pos="4873"/>
          <w:tab w:val="left" w:pos="8920"/>
        </w:tabs>
        <w:spacing w:afterLines="50" w:after="156"/>
        <w:jc w:val="center"/>
        <w:rPr>
          <w:rFonts w:ascii="楷体" w:eastAsia="楷体" w:hAnsi="楷体"/>
          <w:sz w:val="28"/>
          <w:szCs w:val="28"/>
        </w:rPr>
      </w:pPr>
      <w:r>
        <w:rPr>
          <w:rFonts w:ascii="楷体" w:eastAsia="楷体" w:hAnsi="楷体"/>
          <w:sz w:val="28"/>
          <w:szCs w:val="28"/>
        </w:rPr>
        <w:t>2020</w:t>
      </w:r>
      <w:r w:rsidR="009C30E2" w:rsidRPr="00FA6C01">
        <w:rPr>
          <w:rFonts w:ascii="楷体" w:eastAsia="楷体" w:hAnsi="楷体"/>
          <w:sz w:val="28"/>
          <w:szCs w:val="28"/>
        </w:rPr>
        <w:t>年</w:t>
      </w:r>
      <w:r w:rsidR="00E23AF9">
        <w:rPr>
          <w:rFonts w:ascii="楷体" w:eastAsia="楷体" w:hAnsi="楷体" w:hint="eastAsia"/>
          <w:sz w:val="28"/>
          <w:szCs w:val="28"/>
        </w:rPr>
        <w:t>1</w:t>
      </w:r>
      <w:r w:rsidR="00C25CD0">
        <w:rPr>
          <w:rFonts w:ascii="楷体" w:eastAsia="楷体" w:hAnsi="楷体" w:hint="eastAsia"/>
          <w:sz w:val="28"/>
          <w:szCs w:val="28"/>
        </w:rPr>
        <w:t>2</w:t>
      </w:r>
      <w:r w:rsidR="009C30E2" w:rsidRPr="00FA6C01">
        <w:rPr>
          <w:rFonts w:ascii="楷体" w:eastAsia="楷体" w:hAnsi="楷体"/>
          <w:sz w:val="28"/>
          <w:szCs w:val="28"/>
        </w:rPr>
        <w:t>月</w:t>
      </w:r>
      <w:r w:rsidR="00C25CD0">
        <w:rPr>
          <w:rFonts w:ascii="楷体" w:eastAsia="楷体" w:hAnsi="楷体" w:hint="eastAsia"/>
          <w:sz w:val="28"/>
          <w:szCs w:val="28"/>
        </w:rPr>
        <w:t>04</w:t>
      </w:r>
      <w:r w:rsidR="00F82A54">
        <w:rPr>
          <w:rFonts w:ascii="楷体" w:eastAsia="楷体" w:hAnsi="楷体" w:hint="eastAsia"/>
          <w:sz w:val="28"/>
          <w:szCs w:val="28"/>
        </w:rPr>
        <w:t>日</w:t>
      </w:r>
    </w:p>
    <w:p w14:paraId="1B2C4A22" w14:textId="0BA85F85" w:rsidR="005E5CB1" w:rsidRPr="0027094F" w:rsidRDefault="005E5CB1" w:rsidP="005E5CB1">
      <w:pPr>
        <w:pStyle w:val="Header1"/>
        <w:spacing w:before="240"/>
        <w:rPr>
          <w:rFonts w:ascii="华文楷体" w:hAnsi="华文楷体"/>
          <w:b w:val="0"/>
          <w:smallCaps w:val="0"/>
          <w:color w:val="auto"/>
          <w:sz w:val="24"/>
          <w:szCs w:val="24"/>
        </w:rPr>
      </w:pPr>
      <w:r>
        <w:rPr>
          <w:rFonts w:hint="eastAsia"/>
          <w:color w:val="C45911" w:themeColor="accent2" w:themeShade="BF"/>
        </w:rPr>
        <w:t>一</w:t>
      </w:r>
      <w:r w:rsidRPr="004C5268">
        <w:rPr>
          <w:rFonts w:hint="eastAsia"/>
          <w:color w:val="C45911" w:themeColor="accent2" w:themeShade="BF"/>
        </w:rPr>
        <w:t>、</w:t>
      </w:r>
      <w:r w:rsidR="008F4A92">
        <w:rPr>
          <w:rFonts w:hint="eastAsia"/>
          <w:color w:val="C45911" w:themeColor="accent2" w:themeShade="BF"/>
        </w:rPr>
        <w:t>本周关注：</w:t>
      </w:r>
      <w:r w:rsidR="004242D8">
        <w:rPr>
          <w:color w:val="C45911" w:themeColor="accent2" w:themeShade="BF"/>
        </w:rPr>
        <w:t xml:space="preserve"> </w:t>
      </w:r>
    </w:p>
    <w:p w14:paraId="59A9F75A" w14:textId="7F710EEF" w:rsidR="00326FB6" w:rsidRDefault="00C21267" w:rsidP="00373413">
      <w:pPr>
        <w:pStyle w:val="Header1"/>
        <w:spacing w:before="240"/>
        <w:ind w:firstLine="480"/>
        <w:rPr>
          <w:rFonts w:ascii="华文楷体" w:hAnsi="华文楷体"/>
          <w:b w:val="0"/>
          <w:smallCaps w:val="0"/>
          <w:color w:val="auto"/>
          <w:sz w:val="24"/>
          <w:szCs w:val="24"/>
        </w:rPr>
      </w:pPr>
      <w:r w:rsidRPr="007B568D">
        <w:rPr>
          <w:rFonts w:ascii="华文楷体" w:hAnsi="华文楷体" w:hint="eastAsia"/>
          <w:b w:val="0"/>
          <w:bCs/>
          <w:smallCaps w:val="0"/>
          <w:color w:val="auto"/>
          <w:sz w:val="24"/>
          <w:szCs w:val="24"/>
        </w:rPr>
        <w:t>11月30日，央行投放2000亿MLF，打破今年以来维持的月中操作习惯。</w:t>
      </w:r>
      <w:r w:rsidR="007B568D" w:rsidRPr="007B568D">
        <w:rPr>
          <w:rFonts w:ascii="华文楷体" w:hAnsi="华文楷体" w:hint="eastAsia"/>
          <w:b w:val="0"/>
          <w:smallCaps w:val="0"/>
          <w:color w:val="auto"/>
          <w:sz w:val="24"/>
          <w:szCs w:val="24"/>
        </w:rPr>
        <w:t>市场猜测主要源于临近年末</w:t>
      </w:r>
      <w:r w:rsidRPr="007B568D">
        <w:rPr>
          <w:rFonts w:ascii="华文楷体" w:hAnsi="华文楷体" w:hint="eastAsia"/>
          <w:b w:val="0"/>
          <w:smallCaps w:val="0"/>
          <w:color w:val="auto"/>
          <w:sz w:val="24"/>
          <w:szCs w:val="24"/>
        </w:rPr>
        <w:t>1年期同业存单发行利率</w:t>
      </w:r>
      <w:r w:rsidR="007B568D" w:rsidRPr="007B568D">
        <w:rPr>
          <w:rFonts w:ascii="华文楷体" w:hAnsi="华文楷体" w:hint="eastAsia"/>
          <w:b w:val="0"/>
          <w:smallCaps w:val="0"/>
          <w:color w:val="auto"/>
          <w:sz w:val="24"/>
          <w:szCs w:val="24"/>
        </w:rPr>
        <w:t>持续攀升</w:t>
      </w:r>
      <w:r w:rsidR="007B568D">
        <w:rPr>
          <w:rFonts w:ascii="华文楷体" w:hAnsi="华文楷体" w:hint="eastAsia"/>
          <w:b w:val="0"/>
          <w:smallCaps w:val="0"/>
          <w:color w:val="auto"/>
          <w:sz w:val="24"/>
          <w:szCs w:val="24"/>
        </w:rPr>
        <w:t>，且适度高于政策利率所致</w:t>
      </w:r>
      <w:r w:rsidR="007B568D" w:rsidRPr="007B568D">
        <w:rPr>
          <w:rFonts w:ascii="华文楷体" w:hAnsi="华文楷体" w:hint="eastAsia"/>
          <w:b w:val="0"/>
          <w:smallCaps w:val="0"/>
          <w:color w:val="auto"/>
          <w:sz w:val="24"/>
          <w:szCs w:val="24"/>
        </w:rPr>
        <w:t>。</w:t>
      </w:r>
      <w:r w:rsidR="007B568D">
        <w:rPr>
          <w:rFonts w:ascii="华文楷体" w:hAnsi="华文楷体" w:hint="eastAsia"/>
          <w:b w:val="0"/>
          <w:smallCaps w:val="0"/>
          <w:color w:val="auto"/>
          <w:sz w:val="24"/>
          <w:szCs w:val="24"/>
        </w:rPr>
        <w:t>叠加</w:t>
      </w:r>
      <w:proofErr w:type="gramStart"/>
      <w:r w:rsidR="007B568D">
        <w:rPr>
          <w:rFonts w:ascii="华文楷体" w:hAnsi="华文楷体" w:hint="eastAsia"/>
          <w:b w:val="0"/>
          <w:smallCaps w:val="0"/>
          <w:color w:val="auto"/>
          <w:sz w:val="24"/>
          <w:szCs w:val="24"/>
        </w:rPr>
        <w:t>上周永煤信用</w:t>
      </w:r>
      <w:proofErr w:type="gramEnd"/>
      <w:r w:rsidR="007B568D">
        <w:rPr>
          <w:rFonts w:ascii="华文楷体" w:hAnsi="华文楷体" w:hint="eastAsia"/>
          <w:b w:val="0"/>
          <w:smallCaps w:val="0"/>
          <w:color w:val="auto"/>
          <w:sz w:val="24"/>
          <w:szCs w:val="24"/>
        </w:rPr>
        <w:t>风险事件干扰，</w:t>
      </w:r>
      <w:r w:rsidRPr="007B568D">
        <w:rPr>
          <w:rFonts w:ascii="华文楷体" w:hAnsi="华文楷体" w:hint="eastAsia"/>
          <w:b w:val="0"/>
          <w:smallCaps w:val="0"/>
          <w:color w:val="auto"/>
          <w:sz w:val="24"/>
          <w:szCs w:val="24"/>
        </w:rPr>
        <w:t>央行</w:t>
      </w:r>
      <w:r w:rsidR="007B568D">
        <w:rPr>
          <w:rFonts w:ascii="华文楷体" w:hAnsi="华文楷体" w:hint="eastAsia"/>
          <w:b w:val="0"/>
          <w:smallCaps w:val="0"/>
          <w:color w:val="auto"/>
          <w:sz w:val="24"/>
          <w:szCs w:val="24"/>
        </w:rPr>
        <w:t>本周</w:t>
      </w:r>
      <w:r w:rsidRPr="007B568D">
        <w:rPr>
          <w:rFonts w:ascii="华文楷体" w:hAnsi="华文楷体" w:hint="eastAsia"/>
          <w:b w:val="0"/>
          <w:smallCaps w:val="0"/>
          <w:color w:val="auto"/>
          <w:sz w:val="24"/>
          <w:szCs w:val="24"/>
        </w:rPr>
        <w:t>进行了超预期的MLF投放，缓解银行负债端压力</w:t>
      </w:r>
      <w:r w:rsidR="007B568D">
        <w:rPr>
          <w:rFonts w:ascii="华文楷体" w:hAnsi="华文楷体" w:hint="eastAsia"/>
          <w:b w:val="0"/>
          <w:smallCaps w:val="0"/>
          <w:color w:val="auto"/>
          <w:sz w:val="24"/>
          <w:szCs w:val="24"/>
        </w:rPr>
        <w:t>的同时极大程度地稳定了市场情绪</w:t>
      </w:r>
      <w:r w:rsidRPr="007B568D">
        <w:rPr>
          <w:rFonts w:ascii="华文楷体" w:hAnsi="华文楷体" w:hint="eastAsia"/>
          <w:b w:val="0"/>
          <w:smallCaps w:val="0"/>
          <w:color w:val="auto"/>
          <w:sz w:val="24"/>
          <w:szCs w:val="24"/>
        </w:rPr>
        <w:t>。</w:t>
      </w:r>
      <w:r w:rsidR="007B568D">
        <w:rPr>
          <w:rFonts w:ascii="华文楷体" w:hAnsi="华文楷体" w:hint="eastAsia"/>
          <w:b w:val="0"/>
          <w:bCs/>
          <w:smallCaps w:val="0"/>
          <w:color w:val="auto"/>
          <w:sz w:val="24"/>
          <w:szCs w:val="24"/>
        </w:rPr>
        <w:t>本周资金</w:t>
      </w:r>
      <w:proofErr w:type="gramStart"/>
      <w:r w:rsidRPr="007B568D">
        <w:rPr>
          <w:rFonts w:ascii="华文楷体" w:hAnsi="华文楷体" w:hint="eastAsia"/>
          <w:b w:val="0"/>
          <w:smallCaps w:val="0"/>
          <w:color w:val="auto"/>
          <w:sz w:val="24"/>
          <w:szCs w:val="24"/>
        </w:rPr>
        <w:t>隔夜和</w:t>
      </w:r>
      <w:proofErr w:type="gramEnd"/>
      <w:r w:rsidRPr="007B568D">
        <w:rPr>
          <w:rFonts w:ascii="华文楷体" w:hAnsi="华文楷体" w:hint="eastAsia"/>
          <w:b w:val="0"/>
          <w:smallCaps w:val="0"/>
          <w:color w:val="auto"/>
          <w:sz w:val="24"/>
          <w:szCs w:val="24"/>
        </w:rPr>
        <w:t>7</w:t>
      </w:r>
      <w:r w:rsidR="007B568D">
        <w:rPr>
          <w:rFonts w:ascii="华文楷体" w:hAnsi="华文楷体" w:hint="eastAsia"/>
          <w:b w:val="0"/>
          <w:smallCaps w:val="0"/>
          <w:color w:val="auto"/>
          <w:sz w:val="24"/>
          <w:szCs w:val="24"/>
        </w:rPr>
        <w:t>天，</w:t>
      </w:r>
      <w:r w:rsidRPr="007B568D">
        <w:rPr>
          <w:rFonts w:ascii="华文楷体" w:hAnsi="华文楷体" w:hint="eastAsia"/>
          <w:b w:val="0"/>
          <w:smallCaps w:val="0"/>
          <w:color w:val="auto"/>
          <w:sz w:val="24"/>
          <w:szCs w:val="24"/>
        </w:rPr>
        <w:t>6个月到1年期限的存单发行利率</w:t>
      </w:r>
      <w:r w:rsidR="007B568D">
        <w:rPr>
          <w:rFonts w:ascii="华文楷体" w:hAnsi="华文楷体" w:hint="eastAsia"/>
          <w:b w:val="0"/>
          <w:smallCaps w:val="0"/>
          <w:color w:val="auto"/>
          <w:sz w:val="24"/>
          <w:szCs w:val="24"/>
        </w:rPr>
        <w:t>均</w:t>
      </w:r>
      <w:r w:rsidRPr="007B568D">
        <w:rPr>
          <w:rFonts w:ascii="华文楷体" w:hAnsi="华文楷体" w:hint="eastAsia"/>
          <w:b w:val="0"/>
          <w:smallCaps w:val="0"/>
          <w:color w:val="auto"/>
          <w:sz w:val="24"/>
          <w:szCs w:val="24"/>
        </w:rPr>
        <w:t>有所回落。</w:t>
      </w:r>
    </w:p>
    <w:tbl>
      <w:tblPr>
        <w:tblW w:w="10338" w:type="dxa"/>
        <w:jc w:val="center"/>
        <w:tblLook w:val="04A0" w:firstRow="1" w:lastRow="0" w:firstColumn="1" w:lastColumn="0" w:noHBand="0" w:noVBand="1"/>
      </w:tblPr>
      <w:tblGrid>
        <w:gridCol w:w="2525"/>
        <w:gridCol w:w="1091"/>
        <w:gridCol w:w="1309"/>
        <w:gridCol w:w="696"/>
        <w:gridCol w:w="1416"/>
        <w:gridCol w:w="1309"/>
        <w:gridCol w:w="816"/>
        <w:gridCol w:w="1176"/>
      </w:tblGrid>
      <w:tr w:rsidR="007B568D" w:rsidRPr="007B568D" w14:paraId="3D1494F6" w14:textId="77777777" w:rsidTr="000961CC">
        <w:trPr>
          <w:trHeight w:val="142"/>
          <w:jc w:val="center"/>
        </w:trPr>
        <w:tc>
          <w:tcPr>
            <w:tcW w:w="2525" w:type="dxa"/>
            <w:tcBorders>
              <w:top w:val="single" w:sz="4" w:space="0" w:color="95B3D7"/>
              <w:left w:val="single" w:sz="4" w:space="0" w:color="95B3D7"/>
              <w:bottom w:val="single" w:sz="4" w:space="0" w:color="95B3D7"/>
              <w:right w:val="nil"/>
            </w:tcBorders>
            <w:shd w:val="clear" w:color="4F81BD" w:fill="4F81BD"/>
            <w:noWrap/>
            <w:vAlign w:val="bottom"/>
            <w:hideMark/>
          </w:tcPr>
          <w:p w14:paraId="25A0E35B" w14:textId="7297AD40" w:rsidR="007B568D" w:rsidRPr="007B568D" w:rsidRDefault="007B568D" w:rsidP="007B568D">
            <w:pPr>
              <w:widowControl/>
              <w:adjustRightInd w:val="0"/>
              <w:snapToGrid w:val="0"/>
              <w:jc w:val="center"/>
              <w:rPr>
                <w:rFonts w:ascii="华文楷体" w:eastAsia="华文楷体" w:hAnsi="华文楷体"/>
                <w:kern w:val="0"/>
                <w:sz w:val="24"/>
                <w:szCs w:val="24"/>
              </w:rPr>
            </w:pPr>
          </w:p>
        </w:tc>
        <w:tc>
          <w:tcPr>
            <w:tcW w:w="3096" w:type="dxa"/>
            <w:gridSpan w:val="3"/>
            <w:tcBorders>
              <w:top w:val="single" w:sz="4" w:space="0" w:color="95B3D7"/>
              <w:left w:val="nil"/>
              <w:bottom w:val="single" w:sz="4" w:space="0" w:color="95B3D7"/>
              <w:right w:val="nil"/>
            </w:tcBorders>
            <w:shd w:val="clear" w:color="4F81BD" w:fill="4F81BD"/>
            <w:noWrap/>
            <w:vAlign w:val="bottom"/>
            <w:hideMark/>
          </w:tcPr>
          <w:p w14:paraId="663D182F" w14:textId="3B2DDA2C" w:rsidR="007B568D" w:rsidRPr="007B568D" w:rsidRDefault="007B568D" w:rsidP="007B568D">
            <w:pPr>
              <w:widowControl/>
              <w:adjustRightInd w:val="0"/>
              <w:snapToGrid w:val="0"/>
              <w:jc w:val="center"/>
              <w:rPr>
                <w:rFonts w:ascii="华文楷体" w:eastAsia="华文楷体" w:hAnsi="华文楷体"/>
                <w:b/>
                <w:color w:val="FFFFFF" w:themeColor="background1"/>
                <w:kern w:val="0"/>
                <w:sz w:val="24"/>
                <w:szCs w:val="24"/>
              </w:rPr>
            </w:pPr>
            <w:r w:rsidRPr="007B568D">
              <w:rPr>
                <w:rFonts w:ascii="华文楷体" w:eastAsia="华文楷体" w:hAnsi="华文楷体"/>
                <w:b/>
                <w:color w:val="FFFFFF" w:themeColor="background1"/>
                <w:kern w:val="0"/>
                <w:sz w:val="24"/>
                <w:szCs w:val="24"/>
              </w:rPr>
              <w:t>投放量</w:t>
            </w:r>
          </w:p>
        </w:tc>
        <w:tc>
          <w:tcPr>
            <w:tcW w:w="0" w:type="auto"/>
            <w:gridSpan w:val="3"/>
            <w:tcBorders>
              <w:top w:val="single" w:sz="4" w:space="0" w:color="95B3D7"/>
              <w:left w:val="nil"/>
              <w:bottom w:val="single" w:sz="4" w:space="0" w:color="95B3D7"/>
              <w:right w:val="nil"/>
            </w:tcBorders>
            <w:shd w:val="clear" w:color="4F81BD" w:fill="4F81BD"/>
            <w:noWrap/>
            <w:vAlign w:val="bottom"/>
            <w:hideMark/>
          </w:tcPr>
          <w:p w14:paraId="2865F23D" w14:textId="434560F8" w:rsidR="007B568D" w:rsidRPr="007B568D" w:rsidRDefault="007B568D" w:rsidP="007B568D">
            <w:pPr>
              <w:widowControl/>
              <w:adjustRightInd w:val="0"/>
              <w:snapToGrid w:val="0"/>
              <w:jc w:val="center"/>
              <w:rPr>
                <w:rFonts w:ascii="华文楷体" w:eastAsia="华文楷体" w:hAnsi="华文楷体"/>
                <w:b/>
                <w:color w:val="FFFFFF" w:themeColor="background1"/>
                <w:kern w:val="0"/>
                <w:sz w:val="24"/>
                <w:szCs w:val="24"/>
              </w:rPr>
            </w:pPr>
            <w:r w:rsidRPr="007B568D">
              <w:rPr>
                <w:rFonts w:ascii="华文楷体" w:eastAsia="华文楷体" w:hAnsi="华文楷体"/>
                <w:b/>
                <w:color w:val="FFFFFF" w:themeColor="background1"/>
                <w:kern w:val="0"/>
                <w:sz w:val="24"/>
                <w:szCs w:val="24"/>
              </w:rPr>
              <w:t>回笼量</w:t>
            </w:r>
          </w:p>
        </w:tc>
        <w:tc>
          <w:tcPr>
            <w:tcW w:w="0" w:type="auto"/>
            <w:tcBorders>
              <w:top w:val="single" w:sz="4" w:space="0" w:color="95B3D7"/>
              <w:left w:val="nil"/>
              <w:bottom w:val="single" w:sz="4" w:space="0" w:color="95B3D7"/>
              <w:right w:val="single" w:sz="4" w:space="0" w:color="95B3D7"/>
            </w:tcBorders>
            <w:shd w:val="clear" w:color="4F81BD" w:fill="4F81BD"/>
            <w:noWrap/>
            <w:vAlign w:val="bottom"/>
            <w:hideMark/>
          </w:tcPr>
          <w:p w14:paraId="6A0AD830" w14:textId="57A5D878" w:rsidR="007B568D" w:rsidRPr="007B568D" w:rsidRDefault="007B568D" w:rsidP="007B568D">
            <w:pPr>
              <w:widowControl/>
              <w:adjustRightInd w:val="0"/>
              <w:snapToGrid w:val="0"/>
              <w:jc w:val="center"/>
              <w:rPr>
                <w:rFonts w:ascii="华文楷体" w:eastAsia="华文楷体" w:hAnsi="华文楷体"/>
                <w:kern w:val="0"/>
                <w:sz w:val="24"/>
                <w:szCs w:val="24"/>
              </w:rPr>
            </w:pPr>
          </w:p>
        </w:tc>
      </w:tr>
      <w:tr w:rsidR="007B568D" w:rsidRPr="007B568D" w14:paraId="1448806F" w14:textId="77777777" w:rsidTr="000961CC">
        <w:trPr>
          <w:trHeight w:val="175"/>
          <w:jc w:val="center"/>
        </w:trPr>
        <w:tc>
          <w:tcPr>
            <w:tcW w:w="2525" w:type="dxa"/>
            <w:tcBorders>
              <w:top w:val="single" w:sz="4" w:space="0" w:color="95B3D7"/>
              <w:left w:val="single" w:sz="4" w:space="0" w:color="95B3D7"/>
              <w:bottom w:val="single" w:sz="4" w:space="0" w:color="95B3D7"/>
              <w:right w:val="nil"/>
            </w:tcBorders>
            <w:shd w:val="clear" w:color="DCE6F1" w:fill="DCE6F1"/>
            <w:noWrap/>
            <w:vAlign w:val="center"/>
            <w:hideMark/>
          </w:tcPr>
          <w:p w14:paraId="59A36DF1" w14:textId="77777777" w:rsidR="007B568D" w:rsidRPr="007B568D" w:rsidRDefault="007B568D" w:rsidP="007B568D">
            <w:pPr>
              <w:widowControl/>
              <w:adjustRightInd w:val="0"/>
              <w:snapToGrid w:val="0"/>
              <w:jc w:val="center"/>
              <w:rPr>
                <w:rFonts w:ascii="华文楷体" w:eastAsia="华文楷体" w:hAnsi="华文楷体"/>
                <w:kern w:val="0"/>
                <w:sz w:val="24"/>
                <w:szCs w:val="24"/>
              </w:rPr>
            </w:pPr>
            <w:r w:rsidRPr="007B568D">
              <w:rPr>
                <w:rFonts w:ascii="华文楷体" w:eastAsia="华文楷体" w:hAnsi="华文楷体"/>
                <w:kern w:val="0"/>
                <w:sz w:val="24"/>
                <w:szCs w:val="24"/>
              </w:rPr>
              <w:t>现金流发生日期</w:t>
            </w:r>
          </w:p>
        </w:tc>
        <w:tc>
          <w:tcPr>
            <w:tcW w:w="1091" w:type="dxa"/>
            <w:tcBorders>
              <w:top w:val="single" w:sz="4" w:space="0" w:color="95B3D7"/>
              <w:left w:val="nil"/>
              <w:bottom w:val="single" w:sz="4" w:space="0" w:color="95B3D7"/>
              <w:right w:val="nil"/>
            </w:tcBorders>
            <w:shd w:val="clear" w:color="DCE6F1" w:fill="DCE6F1"/>
            <w:noWrap/>
            <w:vAlign w:val="bottom"/>
            <w:hideMark/>
          </w:tcPr>
          <w:p w14:paraId="6DBDA8D0" w14:textId="77777777" w:rsidR="007B568D" w:rsidRPr="007B568D" w:rsidRDefault="007B568D" w:rsidP="007B568D">
            <w:pPr>
              <w:widowControl/>
              <w:adjustRightInd w:val="0"/>
              <w:snapToGrid w:val="0"/>
              <w:jc w:val="center"/>
              <w:rPr>
                <w:rFonts w:ascii="华文楷体" w:eastAsia="华文楷体" w:hAnsi="华文楷体"/>
                <w:kern w:val="0"/>
                <w:sz w:val="24"/>
                <w:szCs w:val="24"/>
              </w:rPr>
            </w:pPr>
            <w:r w:rsidRPr="007B568D">
              <w:rPr>
                <w:rFonts w:ascii="华文楷体" w:eastAsia="华文楷体" w:hAnsi="华文楷体"/>
                <w:kern w:val="0"/>
                <w:sz w:val="24"/>
                <w:szCs w:val="24"/>
              </w:rPr>
              <w:t>逆回购</w:t>
            </w:r>
          </w:p>
        </w:tc>
        <w:tc>
          <w:tcPr>
            <w:tcW w:w="0" w:type="auto"/>
            <w:tcBorders>
              <w:top w:val="single" w:sz="4" w:space="0" w:color="95B3D7"/>
              <w:left w:val="nil"/>
              <w:bottom w:val="single" w:sz="4" w:space="0" w:color="95B3D7"/>
              <w:right w:val="nil"/>
            </w:tcBorders>
            <w:shd w:val="clear" w:color="DCE6F1" w:fill="DCE6F1"/>
            <w:noWrap/>
            <w:vAlign w:val="bottom"/>
            <w:hideMark/>
          </w:tcPr>
          <w:p w14:paraId="200233D8" w14:textId="77777777" w:rsidR="007B568D" w:rsidRPr="007B568D" w:rsidRDefault="007B568D" w:rsidP="007B568D">
            <w:pPr>
              <w:widowControl/>
              <w:adjustRightInd w:val="0"/>
              <w:snapToGrid w:val="0"/>
              <w:jc w:val="center"/>
              <w:rPr>
                <w:rFonts w:ascii="华文楷体" w:eastAsia="华文楷体" w:hAnsi="华文楷体"/>
                <w:kern w:val="0"/>
                <w:sz w:val="24"/>
                <w:szCs w:val="24"/>
              </w:rPr>
            </w:pPr>
            <w:r w:rsidRPr="007B568D">
              <w:rPr>
                <w:rFonts w:ascii="华文楷体" w:eastAsia="华文楷体" w:hAnsi="华文楷体"/>
                <w:kern w:val="0"/>
                <w:sz w:val="24"/>
                <w:szCs w:val="24"/>
              </w:rPr>
              <w:t>MLF(投放)</w:t>
            </w:r>
          </w:p>
        </w:tc>
        <w:tc>
          <w:tcPr>
            <w:tcW w:w="0" w:type="auto"/>
            <w:tcBorders>
              <w:top w:val="single" w:sz="4" w:space="0" w:color="95B3D7"/>
              <w:left w:val="nil"/>
              <w:bottom w:val="single" w:sz="4" w:space="0" w:color="95B3D7"/>
              <w:right w:val="nil"/>
            </w:tcBorders>
            <w:shd w:val="clear" w:color="DCE6F1" w:fill="DCE6F1"/>
            <w:noWrap/>
            <w:vAlign w:val="bottom"/>
            <w:hideMark/>
          </w:tcPr>
          <w:p w14:paraId="0F8B97C0" w14:textId="77777777" w:rsidR="007B568D" w:rsidRPr="007B568D" w:rsidRDefault="007B568D" w:rsidP="007B568D">
            <w:pPr>
              <w:widowControl/>
              <w:adjustRightInd w:val="0"/>
              <w:snapToGrid w:val="0"/>
              <w:jc w:val="center"/>
              <w:rPr>
                <w:rFonts w:ascii="华文楷体" w:eastAsia="华文楷体" w:hAnsi="华文楷体"/>
                <w:kern w:val="0"/>
                <w:sz w:val="24"/>
                <w:szCs w:val="24"/>
              </w:rPr>
            </w:pPr>
            <w:r w:rsidRPr="007B568D">
              <w:rPr>
                <w:rFonts w:ascii="华文楷体" w:eastAsia="华文楷体" w:hAnsi="华文楷体"/>
                <w:kern w:val="0"/>
                <w:sz w:val="24"/>
                <w:szCs w:val="24"/>
              </w:rPr>
              <w:t>合计</w:t>
            </w:r>
          </w:p>
        </w:tc>
        <w:tc>
          <w:tcPr>
            <w:tcW w:w="0" w:type="auto"/>
            <w:tcBorders>
              <w:top w:val="single" w:sz="4" w:space="0" w:color="95B3D7"/>
              <w:left w:val="nil"/>
              <w:bottom w:val="single" w:sz="4" w:space="0" w:color="95B3D7"/>
              <w:right w:val="nil"/>
            </w:tcBorders>
            <w:shd w:val="clear" w:color="DCE6F1" w:fill="DCE6F1"/>
            <w:noWrap/>
            <w:vAlign w:val="bottom"/>
            <w:hideMark/>
          </w:tcPr>
          <w:p w14:paraId="79494FA7" w14:textId="77777777" w:rsidR="007B568D" w:rsidRPr="007B568D" w:rsidRDefault="007B568D" w:rsidP="007B568D">
            <w:pPr>
              <w:widowControl/>
              <w:adjustRightInd w:val="0"/>
              <w:snapToGrid w:val="0"/>
              <w:jc w:val="center"/>
              <w:rPr>
                <w:rFonts w:ascii="华文楷体" w:eastAsia="华文楷体" w:hAnsi="华文楷体"/>
                <w:kern w:val="0"/>
                <w:sz w:val="24"/>
                <w:szCs w:val="24"/>
              </w:rPr>
            </w:pPr>
            <w:r w:rsidRPr="007B568D">
              <w:rPr>
                <w:rFonts w:ascii="华文楷体" w:eastAsia="华文楷体" w:hAnsi="华文楷体"/>
                <w:kern w:val="0"/>
                <w:sz w:val="24"/>
                <w:szCs w:val="24"/>
              </w:rPr>
              <w:t>逆回购到期</w:t>
            </w:r>
          </w:p>
        </w:tc>
        <w:tc>
          <w:tcPr>
            <w:tcW w:w="0" w:type="auto"/>
            <w:tcBorders>
              <w:top w:val="single" w:sz="4" w:space="0" w:color="95B3D7"/>
              <w:left w:val="nil"/>
              <w:bottom w:val="single" w:sz="4" w:space="0" w:color="95B3D7"/>
              <w:right w:val="nil"/>
            </w:tcBorders>
            <w:shd w:val="clear" w:color="DCE6F1" w:fill="DCE6F1"/>
            <w:noWrap/>
            <w:vAlign w:val="bottom"/>
            <w:hideMark/>
          </w:tcPr>
          <w:p w14:paraId="0C81AEA2" w14:textId="77777777" w:rsidR="007B568D" w:rsidRPr="007B568D" w:rsidRDefault="007B568D" w:rsidP="007B568D">
            <w:pPr>
              <w:widowControl/>
              <w:adjustRightInd w:val="0"/>
              <w:snapToGrid w:val="0"/>
              <w:jc w:val="center"/>
              <w:rPr>
                <w:rFonts w:ascii="华文楷体" w:eastAsia="华文楷体" w:hAnsi="华文楷体"/>
                <w:kern w:val="0"/>
                <w:sz w:val="24"/>
                <w:szCs w:val="24"/>
              </w:rPr>
            </w:pPr>
            <w:r w:rsidRPr="007B568D">
              <w:rPr>
                <w:rFonts w:ascii="华文楷体" w:eastAsia="华文楷体" w:hAnsi="华文楷体"/>
                <w:kern w:val="0"/>
                <w:sz w:val="24"/>
                <w:szCs w:val="24"/>
              </w:rPr>
              <w:t>MLF(到期)</w:t>
            </w:r>
          </w:p>
        </w:tc>
        <w:tc>
          <w:tcPr>
            <w:tcW w:w="0" w:type="auto"/>
            <w:tcBorders>
              <w:top w:val="single" w:sz="4" w:space="0" w:color="95B3D7"/>
              <w:left w:val="nil"/>
              <w:bottom w:val="single" w:sz="4" w:space="0" w:color="95B3D7"/>
              <w:right w:val="nil"/>
            </w:tcBorders>
            <w:shd w:val="clear" w:color="DCE6F1" w:fill="DCE6F1"/>
            <w:noWrap/>
            <w:vAlign w:val="bottom"/>
            <w:hideMark/>
          </w:tcPr>
          <w:p w14:paraId="66154528" w14:textId="77777777" w:rsidR="007B568D" w:rsidRPr="007B568D" w:rsidRDefault="007B568D" w:rsidP="007B568D">
            <w:pPr>
              <w:widowControl/>
              <w:adjustRightInd w:val="0"/>
              <w:snapToGrid w:val="0"/>
              <w:jc w:val="center"/>
              <w:rPr>
                <w:rFonts w:ascii="华文楷体" w:eastAsia="华文楷体" w:hAnsi="华文楷体"/>
                <w:kern w:val="0"/>
                <w:sz w:val="24"/>
                <w:szCs w:val="24"/>
              </w:rPr>
            </w:pPr>
            <w:r w:rsidRPr="007B568D">
              <w:rPr>
                <w:rFonts w:ascii="华文楷体" w:eastAsia="华文楷体" w:hAnsi="华文楷体"/>
                <w:kern w:val="0"/>
                <w:sz w:val="24"/>
                <w:szCs w:val="24"/>
              </w:rPr>
              <w:t>合计</w:t>
            </w:r>
          </w:p>
        </w:tc>
        <w:tc>
          <w:tcPr>
            <w:tcW w:w="0" w:type="auto"/>
            <w:tcBorders>
              <w:top w:val="single" w:sz="4" w:space="0" w:color="95B3D7"/>
              <w:left w:val="nil"/>
              <w:bottom w:val="single" w:sz="4" w:space="0" w:color="95B3D7"/>
              <w:right w:val="single" w:sz="4" w:space="0" w:color="95B3D7"/>
            </w:tcBorders>
            <w:shd w:val="clear" w:color="DCE6F1" w:fill="DCE6F1"/>
            <w:noWrap/>
            <w:vAlign w:val="bottom"/>
            <w:hideMark/>
          </w:tcPr>
          <w:p w14:paraId="590AF43C" w14:textId="77777777" w:rsidR="007B568D" w:rsidRPr="007B568D" w:rsidRDefault="007B568D" w:rsidP="007B568D">
            <w:pPr>
              <w:widowControl/>
              <w:adjustRightInd w:val="0"/>
              <w:snapToGrid w:val="0"/>
              <w:jc w:val="center"/>
              <w:rPr>
                <w:rFonts w:ascii="华文楷体" w:eastAsia="华文楷体" w:hAnsi="华文楷体"/>
                <w:kern w:val="0"/>
                <w:sz w:val="24"/>
                <w:szCs w:val="24"/>
              </w:rPr>
            </w:pPr>
            <w:r w:rsidRPr="007B568D">
              <w:rPr>
                <w:rFonts w:ascii="华文楷体" w:eastAsia="华文楷体" w:hAnsi="华文楷体"/>
                <w:kern w:val="0"/>
                <w:sz w:val="24"/>
                <w:szCs w:val="24"/>
              </w:rPr>
              <w:t>净投放量</w:t>
            </w:r>
          </w:p>
        </w:tc>
      </w:tr>
      <w:tr w:rsidR="007B568D" w:rsidRPr="007B568D" w14:paraId="6B1F99B1" w14:textId="77777777" w:rsidTr="000961CC">
        <w:trPr>
          <w:trHeight w:val="247"/>
          <w:jc w:val="center"/>
        </w:trPr>
        <w:tc>
          <w:tcPr>
            <w:tcW w:w="2525" w:type="dxa"/>
            <w:tcBorders>
              <w:top w:val="single" w:sz="4" w:space="0" w:color="95B3D7"/>
              <w:left w:val="single" w:sz="4" w:space="0" w:color="95B3D7"/>
              <w:bottom w:val="single" w:sz="4" w:space="0" w:color="95B3D7"/>
              <w:right w:val="nil"/>
            </w:tcBorders>
            <w:shd w:val="clear" w:color="auto" w:fill="auto"/>
            <w:noWrap/>
            <w:vAlign w:val="center"/>
            <w:hideMark/>
          </w:tcPr>
          <w:p w14:paraId="3C73E59C" w14:textId="77777777" w:rsidR="007B568D" w:rsidRPr="007B568D" w:rsidRDefault="007B568D" w:rsidP="007B568D">
            <w:pPr>
              <w:widowControl/>
              <w:adjustRightInd w:val="0"/>
              <w:snapToGrid w:val="0"/>
              <w:jc w:val="center"/>
              <w:rPr>
                <w:rFonts w:ascii="华文楷体" w:eastAsia="华文楷体" w:hAnsi="华文楷体"/>
                <w:kern w:val="0"/>
                <w:sz w:val="24"/>
                <w:szCs w:val="24"/>
              </w:rPr>
            </w:pPr>
            <w:r w:rsidRPr="007B568D">
              <w:rPr>
                <w:rFonts w:ascii="华文楷体" w:eastAsia="华文楷体" w:hAnsi="华文楷体"/>
                <w:kern w:val="0"/>
                <w:sz w:val="24"/>
                <w:szCs w:val="24"/>
              </w:rPr>
              <w:t>2020-11-28 - 2020-12-04</w:t>
            </w:r>
          </w:p>
        </w:tc>
        <w:tc>
          <w:tcPr>
            <w:tcW w:w="1091" w:type="dxa"/>
            <w:tcBorders>
              <w:top w:val="single" w:sz="4" w:space="0" w:color="95B3D7"/>
              <w:left w:val="nil"/>
              <w:bottom w:val="single" w:sz="4" w:space="0" w:color="95B3D7"/>
              <w:right w:val="nil"/>
            </w:tcBorders>
            <w:shd w:val="clear" w:color="auto" w:fill="auto"/>
            <w:noWrap/>
            <w:vAlign w:val="center"/>
            <w:hideMark/>
          </w:tcPr>
          <w:p w14:paraId="453C6FDB" w14:textId="77777777" w:rsidR="007B568D" w:rsidRPr="007B568D" w:rsidRDefault="007B568D" w:rsidP="007B568D">
            <w:pPr>
              <w:widowControl/>
              <w:adjustRightInd w:val="0"/>
              <w:snapToGrid w:val="0"/>
              <w:jc w:val="center"/>
              <w:rPr>
                <w:rFonts w:ascii="Times New Roman" w:eastAsia="华文楷体" w:hAnsi="Times New Roman"/>
                <w:kern w:val="0"/>
                <w:sz w:val="24"/>
                <w:szCs w:val="24"/>
              </w:rPr>
            </w:pPr>
            <w:r w:rsidRPr="007B568D">
              <w:rPr>
                <w:rFonts w:ascii="Times New Roman" w:eastAsia="华文楷体" w:hAnsi="Times New Roman"/>
                <w:kern w:val="0"/>
                <w:sz w:val="24"/>
                <w:szCs w:val="24"/>
              </w:rPr>
              <w:t>2000</w:t>
            </w:r>
          </w:p>
        </w:tc>
        <w:tc>
          <w:tcPr>
            <w:tcW w:w="0" w:type="auto"/>
            <w:tcBorders>
              <w:top w:val="single" w:sz="4" w:space="0" w:color="95B3D7"/>
              <w:left w:val="nil"/>
              <w:bottom w:val="single" w:sz="4" w:space="0" w:color="95B3D7"/>
              <w:right w:val="nil"/>
            </w:tcBorders>
            <w:shd w:val="clear" w:color="auto" w:fill="auto"/>
            <w:noWrap/>
            <w:vAlign w:val="center"/>
            <w:hideMark/>
          </w:tcPr>
          <w:p w14:paraId="3A9C0AC3" w14:textId="77777777" w:rsidR="007B568D" w:rsidRPr="007B568D" w:rsidRDefault="007B568D" w:rsidP="007B568D">
            <w:pPr>
              <w:widowControl/>
              <w:adjustRightInd w:val="0"/>
              <w:snapToGrid w:val="0"/>
              <w:jc w:val="center"/>
              <w:rPr>
                <w:rFonts w:ascii="Times New Roman" w:eastAsia="华文楷体" w:hAnsi="Times New Roman"/>
                <w:kern w:val="0"/>
                <w:sz w:val="24"/>
                <w:szCs w:val="24"/>
              </w:rPr>
            </w:pPr>
            <w:r w:rsidRPr="007B568D">
              <w:rPr>
                <w:rFonts w:ascii="Times New Roman" w:eastAsia="华文楷体" w:hAnsi="Times New Roman"/>
                <w:kern w:val="0"/>
                <w:sz w:val="24"/>
                <w:szCs w:val="24"/>
              </w:rPr>
              <w:t>2000</w:t>
            </w:r>
          </w:p>
        </w:tc>
        <w:tc>
          <w:tcPr>
            <w:tcW w:w="0" w:type="auto"/>
            <w:tcBorders>
              <w:top w:val="single" w:sz="4" w:space="0" w:color="95B3D7"/>
              <w:left w:val="nil"/>
              <w:bottom w:val="single" w:sz="4" w:space="0" w:color="95B3D7"/>
              <w:right w:val="nil"/>
            </w:tcBorders>
            <w:shd w:val="clear" w:color="auto" w:fill="auto"/>
            <w:noWrap/>
            <w:vAlign w:val="center"/>
            <w:hideMark/>
          </w:tcPr>
          <w:p w14:paraId="0F55AB64" w14:textId="77777777" w:rsidR="007B568D" w:rsidRPr="007B568D" w:rsidRDefault="007B568D" w:rsidP="007B568D">
            <w:pPr>
              <w:widowControl/>
              <w:adjustRightInd w:val="0"/>
              <w:snapToGrid w:val="0"/>
              <w:jc w:val="center"/>
              <w:rPr>
                <w:rFonts w:ascii="Times New Roman" w:eastAsia="华文楷体" w:hAnsi="Times New Roman"/>
                <w:kern w:val="0"/>
                <w:sz w:val="24"/>
                <w:szCs w:val="24"/>
              </w:rPr>
            </w:pPr>
            <w:r w:rsidRPr="007B568D">
              <w:rPr>
                <w:rFonts w:ascii="Times New Roman" w:eastAsia="华文楷体" w:hAnsi="Times New Roman"/>
                <w:kern w:val="0"/>
                <w:sz w:val="24"/>
                <w:szCs w:val="24"/>
              </w:rPr>
              <w:t>4000</w:t>
            </w:r>
          </w:p>
        </w:tc>
        <w:tc>
          <w:tcPr>
            <w:tcW w:w="0" w:type="auto"/>
            <w:tcBorders>
              <w:top w:val="single" w:sz="4" w:space="0" w:color="95B3D7"/>
              <w:left w:val="nil"/>
              <w:bottom w:val="single" w:sz="4" w:space="0" w:color="95B3D7"/>
              <w:right w:val="nil"/>
            </w:tcBorders>
            <w:shd w:val="clear" w:color="auto" w:fill="auto"/>
            <w:noWrap/>
            <w:vAlign w:val="center"/>
            <w:hideMark/>
          </w:tcPr>
          <w:p w14:paraId="649CD8EB" w14:textId="77777777" w:rsidR="007B568D" w:rsidRPr="007B568D" w:rsidRDefault="007B568D" w:rsidP="007B568D">
            <w:pPr>
              <w:widowControl/>
              <w:adjustRightInd w:val="0"/>
              <w:snapToGrid w:val="0"/>
              <w:jc w:val="center"/>
              <w:rPr>
                <w:rFonts w:ascii="Times New Roman" w:eastAsia="华文楷体" w:hAnsi="Times New Roman"/>
                <w:kern w:val="0"/>
                <w:sz w:val="24"/>
                <w:szCs w:val="24"/>
              </w:rPr>
            </w:pPr>
            <w:r w:rsidRPr="007B568D">
              <w:rPr>
                <w:rFonts w:ascii="Times New Roman" w:eastAsia="华文楷体" w:hAnsi="Times New Roman"/>
                <w:kern w:val="0"/>
                <w:sz w:val="24"/>
                <w:szCs w:val="24"/>
              </w:rPr>
              <w:t>4300</w:t>
            </w:r>
          </w:p>
        </w:tc>
        <w:tc>
          <w:tcPr>
            <w:tcW w:w="0" w:type="auto"/>
            <w:tcBorders>
              <w:top w:val="single" w:sz="4" w:space="0" w:color="95B3D7"/>
              <w:left w:val="nil"/>
              <w:bottom w:val="single" w:sz="4" w:space="0" w:color="95B3D7"/>
              <w:right w:val="nil"/>
            </w:tcBorders>
            <w:shd w:val="clear" w:color="auto" w:fill="auto"/>
            <w:noWrap/>
            <w:vAlign w:val="center"/>
            <w:hideMark/>
          </w:tcPr>
          <w:p w14:paraId="703A950C" w14:textId="77777777" w:rsidR="007B568D" w:rsidRPr="007B568D" w:rsidRDefault="007B568D" w:rsidP="007B568D">
            <w:pPr>
              <w:widowControl/>
              <w:adjustRightInd w:val="0"/>
              <w:snapToGrid w:val="0"/>
              <w:jc w:val="center"/>
              <w:rPr>
                <w:rFonts w:ascii="Times New Roman" w:eastAsia="华文楷体" w:hAnsi="Times New Roman"/>
                <w:kern w:val="0"/>
                <w:sz w:val="24"/>
                <w:szCs w:val="24"/>
              </w:rPr>
            </w:pPr>
          </w:p>
        </w:tc>
        <w:tc>
          <w:tcPr>
            <w:tcW w:w="0" w:type="auto"/>
            <w:tcBorders>
              <w:top w:val="single" w:sz="4" w:space="0" w:color="95B3D7"/>
              <w:left w:val="nil"/>
              <w:bottom w:val="single" w:sz="4" w:space="0" w:color="95B3D7"/>
              <w:right w:val="nil"/>
            </w:tcBorders>
            <w:shd w:val="clear" w:color="auto" w:fill="auto"/>
            <w:noWrap/>
            <w:vAlign w:val="center"/>
            <w:hideMark/>
          </w:tcPr>
          <w:p w14:paraId="1274D9DC" w14:textId="77777777" w:rsidR="007B568D" w:rsidRPr="007B568D" w:rsidRDefault="007B568D" w:rsidP="007B568D">
            <w:pPr>
              <w:widowControl/>
              <w:adjustRightInd w:val="0"/>
              <w:snapToGrid w:val="0"/>
              <w:jc w:val="center"/>
              <w:rPr>
                <w:rFonts w:ascii="Times New Roman" w:eastAsia="华文楷体" w:hAnsi="Times New Roman"/>
                <w:kern w:val="0"/>
                <w:sz w:val="24"/>
                <w:szCs w:val="24"/>
              </w:rPr>
            </w:pPr>
            <w:r w:rsidRPr="007B568D">
              <w:rPr>
                <w:rFonts w:ascii="Times New Roman" w:eastAsia="华文楷体" w:hAnsi="Times New Roman"/>
                <w:kern w:val="0"/>
                <w:sz w:val="24"/>
                <w:szCs w:val="24"/>
              </w:rPr>
              <w:t>4300</w:t>
            </w:r>
          </w:p>
        </w:tc>
        <w:tc>
          <w:tcPr>
            <w:tcW w:w="0" w:type="auto"/>
            <w:tcBorders>
              <w:top w:val="single" w:sz="4" w:space="0" w:color="95B3D7"/>
              <w:left w:val="nil"/>
              <w:bottom w:val="single" w:sz="4" w:space="0" w:color="95B3D7"/>
              <w:right w:val="single" w:sz="4" w:space="0" w:color="95B3D7"/>
            </w:tcBorders>
            <w:shd w:val="clear" w:color="auto" w:fill="auto"/>
            <w:noWrap/>
            <w:vAlign w:val="center"/>
            <w:hideMark/>
          </w:tcPr>
          <w:p w14:paraId="27D68100" w14:textId="77777777" w:rsidR="007B568D" w:rsidRPr="007B568D" w:rsidRDefault="007B568D" w:rsidP="007B568D">
            <w:pPr>
              <w:widowControl/>
              <w:adjustRightInd w:val="0"/>
              <w:snapToGrid w:val="0"/>
              <w:jc w:val="center"/>
              <w:rPr>
                <w:rFonts w:ascii="Times New Roman" w:eastAsia="华文楷体" w:hAnsi="Times New Roman"/>
                <w:kern w:val="0"/>
                <w:sz w:val="24"/>
                <w:szCs w:val="24"/>
              </w:rPr>
            </w:pPr>
            <w:r w:rsidRPr="007B568D">
              <w:rPr>
                <w:rFonts w:ascii="Times New Roman" w:eastAsia="华文楷体" w:hAnsi="Times New Roman"/>
                <w:kern w:val="0"/>
                <w:sz w:val="24"/>
                <w:szCs w:val="24"/>
              </w:rPr>
              <w:t>-300</w:t>
            </w:r>
          </w:p>
        </w:tc>
      </w:tr>
      <w:tr w:rsidR="007B568D" w:rsidRPr="007B568D" w14:paraId="015A1305" w14:textId="77777777" w:rsidTr="000961CC">
        <w:trPr>
          <w:trHeight w:val="175"/>
          <w:jc w:val="center"/>
        </w:trPr>
        <w:tc>
          <w:tcPr>
            <w:tcW w:w="2525" w:type="dxa"/>
            <w:tcBorders>
              <w:top w:val="single" w:sz="4" w:space="0" w:color="95B3D7"/>
              <w:left w:val="single" w:sz="4" w:space="0" w:color="95B3D7"/>
              <w:bottom w:val="single" w:sz="4" w:space="0" w:color="95B3D7"/>
              <w:right w:val="nil"/>
            </w:tcBorders>
            <w:shd w:val="clear" w:color="DCE6F1" w:fill="DCE6F1"/>
            <w:noWrap/>
            <w:vAlign w:val="center"/>
            <w:hideMark/>
          </w:tcPr>
          <w:p w14:paraId="3657FA16" w14:textId="77777777" w:rsidR="007B568D" w:rsidRPr="007B568D" w:rsidRDefault="007B568D" w:rsidP="007B568D">
            <w:pPr>
              <w:widowControl/>
              <w:adjustRightInd w:val="0"/>
              <w:snapToGrid w:val="0"/>
              <w:jc w:val="center"/>
              <w:rPr>
                <w:rFonts w:ascii="华文楷体" w:eastAsia="华文楷体" w:hAnsi="华文楷体"/>
                <w:kern w:val="0"/>
                <w:sz w:val="24"/>
                <w:szCs w:val="24"/>
              </w:rPr>
            </w:pPr>
            <w:r w:rsidRPr="007B568D">
              <w:rPr>
                <w:rFonts w:ascii="华文楷体" w:eastAsia="华文楷体" w:hAnsi="华文楷体"/>
                <w:kern w:val="0"/>
                <w:sz w:val="24"/>
                <w:szCs w:val="24"/>
              </w:rPr>
              <w:t>2020-12-05 - 2020-12-11</w:t>
            </w:r>
          </w:p>
        </w:tc>
        <w:tc>
          <w:tcPr>
            <w:tcW w:w="1091" w:type="dxa"/>
            <w:tcBorders>
              <w:top w:val="single" w:sz="4" w:space="0" w:color="95B3D7"/>
              <w:left w:val="nil"/>
              <w:bottom w:val="single" w:sz="4" w:space="0" w:color="95B3D7"/>
              <w:right w:val="nil"/>
            </w:tcBorders>
            <w:shd w:val="clear" w:color="DCE6F1" w:fill="DCE6F1"/>
            <w:noWrap/>
            <w:vAlign w:val="center"/>
            <w:hideMark/>
          </w:tcPr>
          <w:p w14:paraId="6821EF4A" w14:textId="77777777" w:rsidR="007B568D" w:rsidRPr="007B568D" w:rsidRDefault="007B568D" w:rsidP="007B568D">
            <w:pPr>
              <w:widowControl/>
              <w:adjustRightInd w:val="0"/>
              <w:snapToGrid w:val="0"/>
              <w:jc w:val="center"/>
              <w:rPr>
                <w:rFonts w:ascii="Times New Roman" w:eastAsia="华文楷体" w:hAnsi="Times New Roman"/>
                <w:kern w:val="0"/>
                <w:sz w:val="24"/>
                <w:szCs w:val="24"/>
              </w:rPr>
            </w:pPr>
          </w:p>
        </w:tc>
        <w:tc>
          <w:tcPr>
            <w:tcW w:w="0" w:type="auto"/>
            <w:tcBorders>
              <w:top w:val="single" w:sz="4" w:space="0" w:color="95B3D7"/>
              <w:left w:val="nil"/>
              <w:bottom w:val="single" w:sz="4" w:space="0" w:color="95B3D7"/>
              <w:right w:val="nil"/>
            </w:tcBorders>
            <w:shd w:val="clear" w:color="DCE6F1" w:fill="DCE6F1"/>
            <w:noWrap/>
            <w:vAlign w:val="center"/>
            <w:hideMark/>
          </w:tcPr>
          <w:p w14:paraId="78E5C6CA" w14:textId="77777777" w:rsidR="007B568D" w:rsidRPr="007B568D" w:rsidRDefault="007B568D" w:rsidP="007B568D">
            <w:pPr>
              <w:widowControl/>
              <w:adjustRightInd w:val="0"/>
              <w:snapToGrid w:val="0"/>
              <w:jc w:val="center"/>
              <w:rPr>
                <w:rFonts w:ascii="Times New Roman" w:eastAsia="华文楷体" w:hAnsi="Times New Roman"/>
                <w:kern w:val="0"/>
                <w:sz w:val="24"/>
                <w:szCs w:val="24"/>
              </w:rPr>
            </w:pPr>
          </w:p>
        </w:tc>
        <w:tc>
          <w:tcPr>
            <w:tcW w:w="0" w:type="auto"/>
            <w:tcBorders>
              <w:top w:val="single" w:sz="4" w:space="0" w:color="95B3D7"/>
              <w:left w:val="nil"/>
              <w:bottom w:val="single" w:sz="4" w:space="0" w:color="95B3D7"/>
              <w:right w:val="nil"/>
            </w:tcBorders>
            <w:shd w:val="clear" w:color="DCE6F1" w:fill="DCE6F1"/>
            <w:noWrap/>
            <w:vAlign w:val="center"/>
            <w:hideMark/>
          </w:tcPr>
          <w:p w14:paraId="22083C94" w14:textId="77777777" w:rsidR="007B568D" w:rsidRPr="007B568D" w:rsidRDefault="007B568D" w:rsidP="007B568D">
            <w:pPr>
              <w:widowControl/>
              <w:adjustRightInd w:val="0"/>
              <w:snapToGrid w:val="0"/>
              <w:jc w:val="center"/>
              <w:rPr>
                <w:rFonts w:ascii="Times New Roman" w:eastAsia="华文楷体" w:hAnsi="Times New Roman"/>
                <w:kern w:val="0"/>
                <w:sz w:val="24"/>
                <w:szCs w:val="24"/>
              </w:rPr>
            </w:pPr>
          </w:p>
        </w:tc>
        <w:tc>
          <w:tcPr>
            <w:tcW w:w="0" w:type="auto"/>
            <w:tcBorders>
              <w:top w:val="single" w:sz="4" w:space="0" w:color="95B3D7"/>
              <w:left w:val="nil"/>
              <w:bottom w:val="single" w:sz="4" w:space="0" w:color="95B3D7"/>
              <w:right w:val="nil"/>
            </w:tcBorders>
            <w:shd w:val="clear" w:color="DCE6F1" w:fill="DCE6F1"/>
            <w:noWrap/>
            <w:vAlign w:val="center"/>
            <w:hideMark/>
          </w:tcPr>
          <w:p w14:paraId="3108C3B9" w14:textId="77777777" w:rsidR="007B568D" w:rsidRPr="007B568D" w:rsidRDefault="007B568D" w:rsidP="007B568D">
            <w:pPr>
              <w:widowControl/>
              <w:adjustRightInd w:val="0"/>
              <w:snapToGrid w:val="0"/>
              <w:jc w:val="center"/>
              <w:rPr>
                <w:rFonts w:ascii="Times New Roman" w:eastAsia="华文楷体" w:hAnsi="Times New Roman"/>
                <w:kern w:val="0"/>
                <w:sz w:val="24"/>
                <w:szCs w:val="24"/>
              </w:rPr>
            </w:pPr>
            <w:r w:rsidRPr="007B568D">
              <w:rPr>
                <w:rFonts w:ascii="Times New Roman" w:eastAsia="华文楷体" w:hAnsi="Times New Roman"/>
                <w:kern w:val="0"/>
                <w:sz w:val="24"/>
                <w:szCs w:val="24"/>
              </w:rPr>
              <w:t>2000</w:t>
            </w:r>
          </w:p>
        </w:tc>
        <w:tc>
          <w:tcPr>
            <w:tcW w:w="0" w:type="auto"/>
            <w:tcBorders>
              <w:top w:val="single" w:sz="4" w:space="0" w:color="95B3D7"/>
              <w:left w:val="nil"/>
              <w:bottom w:val="single" w:sz="4" w:space="0" w:color="95B3D7"/>
              <w:right w:val="nil"/>
            </w:tcBorders>
            <w:shd w:val="clear" w:color="DCE6F1" w:fill="DCE6F1"/>
            <w:noWrap/>
            <w:vAlign w:val="center"/>
            <w:hideMark/>
          </w:tcPr>
          <w:p w14:paraId="38494E66" w14:textId="77777777" w:rsidR="007B568D" w:rsidRPr="007B568D" w:rsidRDefault="007B568D" w:rsidP="007B568D">
            <w:pPr>
              <w:widowControl/>
              <w:adjustRightInd w:val="0"/>
              <w:snapToGrid w:val="0"/>
              <w:jc w:val="center"/>
              <w:rPr>
                <w:rFonts w:ascii="Times New Roman" w:eastAsia="华文楷体" w:hAnsi="Times New Roman"/>
                <w:kern w:val="0"/>
                <w:sz w:val="24"/>
                <w:szCs w:val="24"/>
              </w:rPr>
            </w:pPr>
            <w:r w:rsidRPr="007B568D">
              <w:rPr>
                <w:rFonts w:ascii="Times New Roman" w:eastAsia="华文楷体" w:hAnsi="Times New Roman"/>
                <w:kern w:val="0"/>
                <w:sz w:val="24"/>
                <w:szCs w:val="24"/>
              </w:rPr>
              <w:t>3000</w:t>
            </w:r>
          </w:p>
        </w:tc>
        <w:tc>
          <w:tcPr>
            <w:tcW w:w="0" w:type="auto"/>
            <w:tcBorders>
              <w:top w:val="single" w:sz="4" w:space="0" w:color="95B3D7"/>
              <w:left w:val="nil"/>
              <w:bottom w:val="single" w:sz="4" w:space="0" w:color="95B3D7"/>
              <w:right w:val="nil"/>
            </w:tcBorders>
            <w:shd w:val="clear" w:color="DCE6F1" w:fill="DCE6F1"/>
            <w:noWrap/>
            <w:vAlign w:val="center"/>
            <w:hideMark/>
          </w:tcPr>
          <w:p w14:paraId="6F516FC0" w14:textId="77777777" w:rsidR="007B568D" w:rsidRPr="007B568D" w:rsidRDefault="007B568D" w:rsidP="007B568D">
            <w:pPr>
              <w:widowControl/>
              <w:adjustRightInd w:val="0"/>
              <w:snapToGrid w:val="0"/>
              <w:jc w:val="center"/>
              <w:rPr>
                <w:rFonts w:ascii="Times New Roman" w:eastAsia="华文楷体" w:hAnsi="Times New Roman"/>
                <w:kern w:val="0"/>
                <w:sz w:val="24"/>
                <w:szCs w:val="24"/>
              </w:rPr>
            </w:pPr>
            <w:r w:rsidRPr="007B568D">
              <w:rPr>
                <w:rFonts w:ascii="Times New Roman" w:eastAsia="华文楷体" w:hAnsi="Times New Roman"/>
                <w:kern w:val="0"/>
                <w:sz w:val="24"/>
                <w:szCs w:val="24"/>
              </w:rPr>
              <w:t>5000</w:t>
            </w:r>
          </w:p>
        </w:tc>
        <w:tc>
          <w:tcPr>
            <w:tcW w:w="0" w:type="auto"/>
            <w:tcBorders>
              <w:top w:val="single" w:sz="4" w:space="0" w:color="95B3D7"/>
              <w:left w:val="nil"/>
              <w:bottom w:val="single" w:sz="4" w:space="0" w:color="95B3D7"/>
              <w:right w:val="single" w:sz="4" w:space="0" w:color="95B3D7"/>
            </w:tcBorders>
            <w:shd w:val="clear" w:color="DCE6F1" w:fill="DCE6F1"/>
            <w:noWrap/>
            <w:vAlign w:val="center"/>
            <w:hideMark/>
          </w:tcPr>
          <w:p w14:paraId="22390AA5" w14:textId="77777777" w:rsidR="007B568D" w:rsidRPr="007B568D" w:rsidRDefault="007B568D" w:rsidP="007B568D">
            <w:pPr>
              <w:widowControl/>
              <w:adjustRightInd w:val="0"/>
              <w:snapToGrid w:val="0"/>
              <w:jc w:val="center"/>
              <w:rPr>
                <w:rFonts w:ascii="Times New Roman" w:eastAsia="华文楷体" w:hAnsi="Times New Roman"/>
                <w:kern w:val="0"/>
                <w:sz w:val="24"/>
                <w:szCs w:val="24"/>
              </w:rPr>
            </w:pPr>
            <w:r w:rsidRPr="007B568D">
              <w:rPr>
                <w:rFonts w:ascii="Times New Roman" w:eastAsia="华文楷体" w:hAnsi="Times New Roman"/>
                <w:kern w:val="0"/>
                <w:sz w:val="24"/>
                <w:szCs w:val="24"/>
              </w:rPr>
              <w:t>-5000</w:t>
            </w:r>
          </w:p>
        </w:tc>
      </w:tr>
      <w:tr w:rsidR="007B568D" w:rsidRPr="007B568D" w14:paraId="1BDF12AF" w14:textId="77777777" w:rsidTr="000961CC">
        <w:trPr>
          <w:trHeight w:val="175"/>
          <w:jc w:val="center"/>
        </w:trPr>
        <w:tc>
          <w:tcPr>
            <w:tcW w:w="2525" w:type="dxa"/>
            <w:tcBorders>
              <w:top w:val="single" w:sz="4" w:space="0" w:color="95B3D7"/>
              <w:left w:val="single" w:sz="4" w:space="0" w:color="95B3D7"/>
              <w:bottom w:val="single" w:sz="4" w:space="0" w:color="95B3D7"/>
              <w:right w:val="nil"/>
            </w:tcBorders>
            <w:shd w:val="clear" w:color="auto" w:fill="auto"/>
            <w:noWrap/>
            <w:vAlign w:val="center"/>
            <w:hideMark/>
          </w:tcPr>
          <w:p w14:paraId="77984755" w14:textId="77777777" w:rsidR="007B568D" w:rsidRPr="007B568D" w:rsidRDefault="007B568D" w:rsidP="007B568D">
            <w:pPr>
              <w:widowControl/>
              <w:adjustRightInd w:val="0"/>
              <w:snapToGrid w:val="0"/>
              <w:jc w:val="center"/>
              <w:rPr>
                <w:rFonts w:ascii="华文楷体" w:eastAsia="华文楷体" w:hAnsi="华文楷体"/>
                <w:kern w:val="0"/>
                <w:sz w:val="24"/>
                <w:szCs w:val="24"/>
              </w:rPr>
            </w:pPr>
            <w:r w:rsidRPr="007B568D">
              <w:rPr>
                <w:rFonts w:ascii="华文楷体" w:eastAsia="华文楷体" w:hAnsi="华文楷体"/>
                <w:kern w:val="0"/>
                <w:sz w:val="24"/>
                <w:szCs w:val="24"/>
              </w:rPr>
              <w:t>2020-12-12 - 2020-12-18</w:t>
            </w:r>
          </w:p>
        </w:tc>
        <w:tc>
          <w:tcPr>
            <w:tcW w:w="1091" w:type="dxa"/>
            <w:tcBorders>
              <w:top w:val="single" w:sz="4" w:space="0" w:color="95B3D7"/>
              <w:left w:val="nil"/>
              <w:bottom w:val="single" w:sz="4" w:space="0" w:color="95B3D7"/>
              <w:right w:val="nil"/>
            </w:tcBorders>
            <w:shd w:val="clear" w:color="auto" w:fill="auto"/>
            <w:noWrap/>
            <w:vAlign w:val="center"/>
            <w:hideMark/>
          </w:tcPr>
          <w:p w14:paraId="27F581A4" w14:textId="77777777" w:rsidR="007B568D" w:rsidRPr="007B568D" w:rsidRDefault="007B568D" w:rsidP="007B568D">
            <w:pPr>
              <w:widowControl/>
              <w:adjustRightInd w:val="0"/>
              <w:snapToGrid w:val="0"/>
              <w:jc w:val="center"/>
              <w:rPr>
                <w:rFonts w:ascii="Times New Roman" w:eastAsia="华文楷体" w:hAnsi="Times New Roman"/>
                <w:kern w:val="0"/>
                <w:sz w:val="24"/>
                <w:szCs w:val="24"/>
              </w:rPr>
            </w:pPr>
          </w:p>
        </w:tc>
        <w:tc>
          <w:tcPr>
            <w:tcW w:w="0" w:type="auto"/>
            <w:tcBorders>
              <w:top w:val="single" w:sz="4" w:space="0" w:color="95B3D7"/>
              <w:left w:val="nil"/>
              <w:bottom w:val="single" w:sz="4" w:space="0" w:color="95B3D7"/>
              <w:right w:val="nil"/>
            </w:tcBorders>
            <w:shd w:val="clear" w:color="auto" w:fill="auto"/>
            <w:noWrap/>
            <w:vAlign w:val="center"/>
            <w:hideMark/>
          </w:tcPr>
          <w:p w14:paraId="107B360A" w14:textId="77777777" w:rsidR="007B568D" w:rsidRPr="007B568D" w:rsidRDefault="007B568D" w:rsidP="007B568D">
            <w:pPr>
              <w:widowControl/>
              <w:adjustRightInd w:val="0"/>
              <w:snapToGrid w:val="0"/>
              <w:jc w:val="center"/>
              <w:rPr>
                <w:rFonts w:ascii="Times New Roman" w:eastAsia="华文楷体" w:hAnsi="Times New Roman"/>
                <w:kern w:val="0"/>
                <w:sz w:val="24"/>
                <w:szCs w:val="24"/>
              </w:rPr>
            </w:pPr>
          </w:p>
        </w:tc>
        <w:tc>
          <w:tcPr>
            <w:tcW w:w="0" w:type="auto"/>
            <w:tcBorders>
              <w:top w:val="single" w:sz="4" w:space="0" w:color="95B3D7"/>
              <w:left w:val="nil"/>
              <w:bottom w:val="single" w:sz="4" w:space="0" w:color="95B3D7"/>
              <w:right w:val="nil"/>
            </w:tcBorders>
            <w:shd w:val="clear" w:color="auto" w:fill="auto"/>
            <w:noWrap/>
            <w:vAlign w:val="center"/>
            <w:hideMark/>
          </w:tcPr>
          <w:p w14:paraId="61D4DFB8" w14:textId="77777777" w:rsidR="007B568D" w:rsidRPr="007B568D" w:rsidRDefault="007B568D" w:rsidP="007B568D">
            <w:pPr>
              <w:widowControl/>
              <w:adjustRightInd w:val="0"/>
              <w:snapToGrid w:val="0"/>
              <w:jc w:val="center"/>
              <w:rPr>
                <w:rFonts w:ascii="Times New Roman" w:eastAsia="华文楷体" w:hAnsi="Times New Roman"/>
                <w:kern w:val="0"/>
                <w:sz w:val="24"/>
                <w:szCs w:val="24"/>
              </w:rPr>
            </w:pPr>
          </w:p>
        </w:tc>
        <w:tc>
          <w:tcPr>
            <w:tcW w:w="0" w:type="auto"/>
            <w:tcBorders>
              <w:top w:val="single" w:sz="4" w:space="0" w:color="95B3D7"/>
              <w:left w:val="nil"/>
              <w:bottom w:val="single" w:sz="4" w:space="0" w:color="95B3D7"/>
              <w:right w:val="nil"/>
            </w:tcBorders>
            <w:shd w:val="clear" w:color="auto" w:fill="auto"/>
            <w:noWrap/>
            <w:vAlign w:val="center"/>
            <w:hideMark/>
          </w:tcPr>
          <w:p w14:paraId="3E9777A0" w14:textId="77777777" w:rsidR="007B568D" w:rsidRPr="007B568D" w:rsidRDefault="007B568D" w:rsidP="007B568D">
            <w:pPr>
              <w:widowControl/>
              <w:adjustRightInd w:val="0"/>
              <w:snapToGrid w:val="0"/>
              <w:jc w:val="center"/>
              <w:rPr>
                <w:rFonts w:ascii="Times New Roman" w:eastAsia="华文楷体" w:hAnsi="Times New Roman"/>
                <w:kern w:val="0"/>
                <w:sz w:val="24"/>
                <w:szCs w:val="24"/>
              </w:rPr>
            </w:pPr>
          </w:p>
        </w:tc>
        <w:tc>
          <w:tcPr>
            <w:tcW w:w="0" w:type="auto"/>
            <w:tcBorders>
              <w:top w:val="single" w:sz="4" w:space="0" w:color="95B3D7"/>
              <w:left w:val="nil"/>
              <w:bottom w:val="single" w:sz="4" w:space="0" w:color="95B3D7"/>
              <w:right w:val="nil"/>
            </w:tcBorders>
            <w:shd w:val="clear" w:color="auto" w:fill="auto"/>
            <w:noWrap/>
            <w:vAlign w:val="center"/>
            <w:hideMark/>
          </w:tcPr>
          <w:p w14:paraId="53D51089" w14:textId="77777777" w:rsidR="007B568D" w:rsidRPr="007B568D" w:rsidRDefault="007B568D" w:rsidP="007B568D">
            <w:pPr>
              <w:widowControl/>
              <w:adjustRightInd w:val="0"/>
              <w:snapToGrid w:val="0"/>
              <w:jc w:val="center"/>
              <w:rPr>
                <w:rFonts w:ascii="Times New Roman" w:eastAsia="华文楷体" w:hAnsi="Times New Roman"/>
                <w:kern w:val="0"/>
                <w:sz w:val="24"/>
                <w:szCs w:val="24"/>
              </w:rPr>
            </w:pPr>
            <w:r w:rsidRPr="007B568D">
              <w:rPr>
                <w:rFonts w:ascii="Times New Roman" w:eastAsia="华文楷体" w:hAnsi="Times New Roman"/>
                <w:kern w:val="0"/>
                <w:sz w:val="24"/>
                <w:szCs w:val="24"/>
              </w:rPr>
              <w:t>3000</w:t>
            </w:r>
          </w:p>
        </w:tc>
        <w:tc>
          <w:tcPr>
            <w:tcW w:w="0" w:type="auto"/>
            <w:tcBorders>
              <w:top w:val="single" w:sz="4" w:space="0" w:color="95B3D7"/>
              <w:left w:val="nil"/>
              <w:bottom w:val="single" w:sz="4" w:space="0" w:color="95B3D7"/>
              <w:right w:val="nil"/>
            </w:tcBorders>
            <w:shd w:val="clear" w:color="auto" w:fill="auto"/>
            <w:noWrap/>
            <w:vAlign w:val="center"/>
            <w:hideMark/>
          </w:tcPr>
          <w:p w14:paraId="2FE848B0" w14:textId="77777777" w:rsidR="007B568D" w:rsidRPr="007B568D" w:rsidRDefault="007B568D" w:rsidP="007B568D">
            <w:pPr>
              <w:widowControl/>
              <w:adjustRightInd w:val="0"/>
              <w:snapToGrid w:val="0"/>
              <w:jc w:val="center"/>
              <w:rPr>
                <w:rFonts w:ascii="Times New Roman" w:eastAsia="华文楷体" w:hAnsi="Times New Roman"/>
                <w:kern w:val="0"/>
                <w:sz w:val="24"/>
                <w:szCs w:val="24"/>
              </w:rPr>
            </w:pPr>
            <w:r w:rsidRPr="007B568D">
              <w:rPr>
                <w:rFonts w:ascii="Times New Roman" w:eastAsia="华文楷体" w:hAnsi="Times New Roman"/>
                <w:kern w:val="0"/>
                <w:sz w:val="24"/>
                <w:szCs w:val="24"/>
              </w:rPr>
              <w:t>3000</w:t>
            </w:r>
          </w:p>
        </w:tc>
        <w:tc>
          <w:tcPr>
            <w:tcW w:w="0" w:type="auto"/>
            <w:tcBorders>
              <w:top w:val="single" w:sz="4" w:space="0" w:color="95B3D7"/>
              <w:left w:val="nil"/>
              <w:bottom w:val="single" w:sz="4" w:space="0" w:color="95B3D7"/>
              <w:right w:val="single" w:sz="4" w:space="0" w:color="95B3D7"/>
            </w:tcBorders>
            <w:shd w:val="clear" w:color="auto" w:fill="auto"/>
            <w:noWrap/>
            <w:vAlign w:val="center"/>
            <w:hideMark/>
          </w:tcPr>
          <w:p w14:paraId="7D395782" w14:textId="77777777" w:rsidR="007B568D" w:rsidRPr="007B568D" w:rsidRDefault="007B568D" w:rsidP="007B568D">
            <w:pPr>
              <w:widowControl/>
              <w:adjustRightInd w:val="0"/>
              <w:snapToGrid w:val="0"/>
              <w:jc w:val="center"/>
              <w:rPr>
                <w:rFonts w:ascii="Times New Roman" w:eastAsia="华文楷体" w:hAnsi="Times New Roman"/>
                <w:kern w:val="0"/>
                <w:sz w:val="24"/>
                <w:szCs w:val="24"/>
              </w:rPr>
            </w:pPr>
            <w:r w:rsidRPr="007B568D">
              <w:rPr>
                <w:rFonts w:ascii="Times New Roman" w:eastAsia="华文楷体" w:hAnsi="Times New Roman"/>
                <w:kern w:val="0"/>
                <w:sz w:val="24"/>
                <w:szCs w:val="24"/>
              </w:rPr>
              <w:t>-3000</w:t>
            </w:r>
          </w:p>
        </w:tc>
      </w:tr>
      <w:tr w:rsidR="007B568D" w:rsidRPr="007B568D" w14:paraId="1E068E6B" w14:textId="77777777" w:rsidTr="000961CC">
        <w:trPr>
          <w:trHeight w:val="222"/>
          <w:jc w:val="center"/>
        </w:trPr>
        <w:tc>
          <w:tcPr>
            <w:tcW w:w="2525" w:type="dxa"/>
            <w:tcBorders>
              <w:top w:val="single" w:sz="4" w:space="0" w:color="95B3D7"/>
              <w:left w:val="single" w:sz="4" w:space="0" w:color="95B3D7"/>
              <w:bottom w:val="single" w:sz="4" w:space="0" w:color="95B3D7"/>
              <w:right w:val="nil"/>
            </w:tcBorders>
            <w:shd w:val="clear" w:color="DCE6F1" w:fill="DCE6F1"/>
            <w:noWrap/>
            <w:vAlign w:val="center"/>
            <w:hideMark/>
          </w:tcPr>
          <w:p w14:paraId="57DC922C" w14:textId="77777777" w:rsidR="007B568D" w:rsidRPr="007B568D" w:rsidRDefault="007B568D" w:rsidP="007B568D">
            <w:pPr>
              <w:widowControl/>
              <w:adjustRightInd w:val="0"/>
              <w:snapToGrid w:val="0"/>
              <w:jc w:val="center"/>
              <w:rPr>
                <w:rFonts w:ascii="华文楷体" w:eastAsia="华文楷体" w:hAnsi="华文楷体"/>
                <w:kern w:val="0"/>
                <w:sz w:val="24"/>
                <w:szCs w:val="24"/>
              </w:rPr>
            </w:pPr>
            <w:r w:rsidRPr="007B568D">
              <w:rPr>
                <w:rFonts w:ascii="华文楷体" w:eastAsia="华文楷体" w:hAnsi="华文楷体"/>
                <w:kern w:val="0"/>
                <w:sz w:val="24"/>
                <w:szCs w:val="24"/>
              </w:rPr>
              <w:t>合计</w:t>
            </w:r>
          </w:p>
        </w:tc>
        <w:tc>
          <w:tcPr>
            <w:tcW w:w="1091" w:type="dxa"/>
            <w:tcBorders>
              <w:top w:val="single" w:sz="4" w:space="0" w:color="95B3D7"/>
              <w:left w:val="nil"/>
              <w:bottom w:val="single" w:sz="4" w:space="0" w:color="95B3D7"/>
              <w:right w:val="nil"/>
            </w:tcBorders>
            <w:shd w:val="clear" w:color="DCE6F1" w:fill="DCE6F1"/>
            <w:noWrap/>
            <w:vAlign w:val="center"/>
            <w:hideMark/>
          </w:tcPr>
          <w:p w14:paraId="43E09094" w14:textId="77777777" w:rsidR="007B568D" w:rsidRPr="007B568D" w:rsidRDefault="007B568D" w:rsidP="007B568D">
            <w:pPr>
              <w:widowControl/>
              <w:adjustRightInd w:val="0"/>
              <w:snapToGrid w:val="0"/>
              <w:jc w:val="center"/>
              <w:rPr>
                <w:rFonts w:ascii="Times New Roman" w:eastAsia="华文楷体" w:hAnsi="Times New Roman"/>
                <w:kern w:val="0"/>
                <w:sz w:val="24"/>
                <w:szCs w:val="24"/>
              </w:rPr>
            </w:pPr>
            <w:r w:rsidRPr="007B568D">
              <w:rPr>
                <w:rFonts w:ascii="Times New Roman" w:eastAsia="华文楷体" w:hAnsi="Times New Roman"/>
                <w:kern w:val="0"/>
                <w:sz w:val="24"/>
                <w:szCs w:val="24"/>
              </w:rPr>
              <w:t>2000</w:t>
            </w:r>
          </w:p>
        </w:tc>
        <w:tc>
          <w:tcPr>
            <w:tcW w:w="0" w:type="auto"/>
            <w:tcBorders>
              <w:top w:val="single" w:sz="4" w:space="0" w:color="95B3D7"/>
              <w:left w:val="nil"/>
              <w:bottom w:val="single" w:sz="4" w:space="0" w:color="95B3D7"/>
              <w:right w:val="nil"/>
            </w:tcBorders>
            <w:shd w:val="clear" w:color="DCE6F1" w:fill="DCE6F1"/>
            <w:noWrap/>
            <w:vAlign w:val="center"/>
            <w:hideMark/>
          </w:tcPr>
          <w:p w14:paraId="19175B81" w14:textId="77777777" w:rsidR="007B568D" w:rsidRPr="007B568D" w:rsidRDefault="007B568D" w:rsidP="007B568D">
            <w:pPr>
              <w:widowControl/>
              <w:adjustRightInd w:val="0"/>
              <w:snapToGrid w:val="0"/>
              <w:jc w:val="center"/>
              <w:rPr>
                <w:rFonts w:ascii="Times New Roman" w:eastAsia="华文楷体" w:hAnsi="Times New Roman"/>
                <w:kern w:val="0"/>
                <w:sz w:val="24"/>
                <w:szCs w:val="24"/>
              </w:rPr>
            </w:pPr>
            <w:r w:rsidRPr="007B568D">
              <w:rPr>
                <w:rFonts w:ascii="Times New Roman" w:eastAsia="华文楷体" w:hAnsi="Times New Roman"/>
                <w:kern w:val="0"/>
                <w:sz w:val="24"/>
                <w:szCs w:val="24"/>
              </w:rPr>
              <w:t>2000</w:t>
            </w:r>
          </w:p>
        </w:tc>
        <w:tc>
          <w:tcPr>
            <w:tcW w:w="0" w:type="auto"/>
            <w:tcBorders>
              <w:top w:val="single" w:sz="4" w:space="0" w:color="95B3D7"/>
              <w:left w:val="nil"/>
              <w:bottom w:val="single" w:sz="4" w:space="0" w:color="95B3D7"/>
              <w:right w:val="nil"/>
            </w:tcBorders>
            <w:shd w:val="clear" w:color="DCE6F1" w:fill="DCE6F1"/>
            <w:noWrap/>
            <w:vAlign w:val="center"/>
            <w:hideMark/>
          </w:tcPr>
          <w:p w14:paraId="301E2042" w14:textId="77777777" w:rsidR="007B568D" w:rsidRPr="007B568D" w:rsidRDefault="007B568D" w:rsidP="007B568D">
            <w:pPr>
              <w:widowControl/>
              <w:adjustRightInd w:val="0"/>
              <w:snapToGrid w:val="0"/>
              <w:jc w:val="center"/>
              <w:rPr>
                <w:rFonts w:ascii="Times New Roman" w:eastAsia="华文楷体" w:hAnsi="Times New Roman"/>
                <w:kern w:val="0"/>
                <w:sz w:val="24"/>
                <w:szCs w:val="24"/>
              </w:rPr>
            </w:pPr>
            <w:r w:rsidRPr="007B568D">
              <w:rPr>
                <w:rFonts w:ascii="Times New Roman" w:eastAsia="华文楷体" w:hAnsi="Times New Roman"/>
                <w:kern w:val="0"/>
                <w:sz w:val="24"/>
                <w:szCs w:val="24"/>
              </w:rPr>
              <w:t>4000</w:t>
            </w:r>
          </w:p>
        </w:tc>
        <w:tc>
          <w:tcPr>
            <w:tcW w:w="0" w:type="auto"/>
            <w:tcBorders>
              <w:top w:val="single" w:sz="4" w:space="0" w:color="95B3D7"/>
              <w:left w:val="nil"/>
              <w:bottom w:val="single" w:sz="4" w:space="0" w:color="95B3D7"/>
              <w:right w:val="nil"/>
            </w:tcBorders>
            <w:shd w:val="clear" w:color="DCE6F1" w:fill="DCE6F1"/>
            <w:noWrap/>
            <w:vAlign w:val="center"/>
            <w:hideMark/>
          </w:tcPr>
          <w:p w14:paraId="0EC846E4" w14:textId="77777777" w:rsidR="007B568D" w:rsidRPr="007B568D" w:rsidRDefault="007B568D" w:rsidP="007B568D">
            <w:pPr>
              <w:widowControl/>
              <w:adjustRightInd w:val="0"/>
              <w:snapToGrid w:val="0"/>
              <w:jc w:val="center"/>
              <w:rPr>
                <w:rFonts w:ascii="Times New Roman" w:eastAsia="华文楷体" w:hAnsi="Times New Roman"/>
                <w:kern w:val="0"/>
                <w:sz w:val="24"/>
                <w:szCs w:val="24"/>
              </w:rPr>
            </w:pPr>
            <w:r w:rsidRPr="007B568D">
              <w:rPr>
                <w:rFonts w:ascii="Times New Roman" w:eastAsia="华文楷体" w:hAnsi="Times New Roman"/>
                <w:kern w:val="0"/>
                <w:sz w:val="24"/>
                <w:szCs w:val="24"/>
              </w:rPr>
              <w:t>6300</w:t>
            </w:r>
          </w:p>
        </w:tc>
        <w:tc>
          <w:tcPr>
            <w:tcW w:w="0" w:type="auto"/>
            <w:tcBorders>
              <w:top w:val="single" w:sz="4" w:space="0" w:color="95B3D7"/>
              <w:left w:val="nil"/>
              <w:bottom w:val="single" w:sz="4" w:space="0" w:color="95B3D7"/>
              <w:right w:val="nil"/>
            </w:tcBorders>
            <w:shd w:val="clear" w:color="DCE6F1" w:fill="DCE6F1"/>
            <w:noWrap/>
            <w:vAlign w:val="center"/>
            <w:hideMark/>
          </w:tcPr>
          <w:p w14:paraId="3454542C" w14:textId="77777777" w:rsidR="007B568D" w:rsidRPr="007B568D" w:rsidRDefault="007B568D" w:rsidP="007B568D">
            <w:pPr>
              <w:widowControl/>
              <w:adjustRightInd w:val="0"/>
              <w:snapToGrid w:val="0"/>
              <w:jc w:val="center"/>
              <w:rPr>
                <w:rFonts w:ascii="Times New Roman" w:eastAsia="华文楷体" w:hAnsi="Times New Roman"/>
                <w:kern w:val="0"/>
                <w:sz w:val="24"/>
                <w:szCs w:val="24"/>
              </w:rPr>
            </w:pPr>
            <w:r w:rsidRPr="007B568D">
              <w:rPr>
                <w:rFonts w:ascii="Times New Roman" w:eastAsia="华文楷体" w:hAnsi="Times New Roman"/>
                <w:kern w:val="0"/>
                <w:sz w:val="24"/>
                <w:szCs w:val="24"/>
              </w:rPr>
              <w:t>6000</w:t>
            </w:r>
          </w:p>
        </w:tc>
        <w:tc>
          <w:tcPr>
            <w:tcW w:w="0" w:type="auto"/>
            <w:tcBorders>
              <w:top w:val="single" w:sz="4" w:space="0" w:color="95B3D7"/>
              <w:left w:val="nil"/>
              <w:bottom w:val="single" w:sz="4" w:space="0" w:color="95B3D7"/>
              <w:right w:val="nil"/>
            </w:tcBorders>
            <w:shd w:val="clear" w:color="DCE6F1" w:fill="DCE6F1"/>
            <w:noWrap/>
            <w:vAlign w:val="center"/>
            <w:hideMark/>
          </w:tcPr>
          <w:p w14:paraId="222DF06E" w14:textId="77777777" w:rsidR="007B568D" w:rsidRPr="007B568D" w:rsidRDefault="007B568D" w:rsidP="007B568D">
            <w:pPr>
              <w:widowControl/>
              <w:adjustRightInd w:val="0"/>
              <w:snapToGrid w:val="0"/>
              <w:jc w:val="center"/>
              <w:rPr>
                <w:rFonts w:ascii="Times New Roman" w:eastAsia="华文楷体" w:hAnsi="Times New Roman"/>
                <w:kern w:val="0"/>
                <w:sz w:val="24"/>
                <w:szCs w:val="24"/>
              </w:rPr>
            </w:pPr>
            <w:r w:rsidRPr="007B568D">
              <w:rPr>
                <w:rFonts w:ascii="Times New Roman" w:eastAsia="华文楷体" w:hAnsi="Times New Roman"/>
                <w:kern w:val="0"/>
                <w:sz w:val="24"/>
                <w:szCs w:val="24"/>
              </w:rPr>
              <w:t>12300</w:t>
            </w:r>
          </w:p>
        </w:tc>
        <w:tc>
          <w:tcPr>
            <w:tcW w:w="0" w:type="auto"/>
            <w:tcBorders>
              <w:top w:val="single" w:sz="4" w:space="0" w:color="95B3D7"/>
              <w:left w:val="nil"/>
              <w:bottom w:val="single" w:sz="4" w:space="0" w:color="95B3D7"/>
              <w:right w:val="single" w:sz="4" w:space="0" w:color="95B3D7"/>
            </w:tcBorders>
            <w:shd w:val="clear" w:color="DCE6F1" w:fill="DCE6F1"/>
            <w:noWrap/>
            <w:vAlign w:val="center"/>
            <w:hideMark/>
          </w:tcPr>
          <w:p w14:paraId="576D7AA2" w14:textId="77777777" w:rsidR="007B568D" w:rsidRPr="007B568D" w:rsidRDefault="007B568D" w:rsidP="007B568D">
            <w:pPr>
              <w:widowControl/>
              <w:adjustRightInd w:val="0"/>
              <w:snapToGrid w:val="0"/>
              <w:jc w:val="center"/>
              <w:rPr>
                <w:rFonts w:ascii="Times New Roman" w:eastAsia="华文楷体" w:hAnsi="Times New Roman"/>
                <w:kern w:val="0"/>
                <w:sz w:val="24"/>
                <w:szCs w:val="24"/>
              </w:rPr>
            </w:pPr>
            <w:r w:rsidRPr="007B568D">
              <w:rPr>
                <w:rFonts w:ascii="Times New Roman" w:eastAsia="华文楷体" w:hAnsi="Times New Roman"/>
                <w:kern w:val="0"/>
                <w:sz w:val="24"/>
                <w:szCs w:val="24"/>
              </w:rPr>
              <w:t>-8300</w:t>
            </w:r>
          </w:p>
        </w:tc>
      </w:tr>
    </w:tbl>
    <w:p w14:paraId="2F56EB4C" w14:textId="691C9DBF" w:rsidR="007B568D" w:rsidRPr="000961CC" w:rsidRDefault="000961CC" w:rsidP="007B568D">
      <w:pPr>
        <w:pStyle w:val="Header1"/>
        <w:spacing w:before="0" w:after="0"/>
        <w:ind w:firstLine="480"/>
        <w:rPr>
          <w:rFonts w:ascii="华文楷体" w:hAnsi="华文楷体"/>
          <w:b w:val="0"/>
          <w:smallCaps w:val="0"/>
          <w:color w:val="auto"/>
          <w:sz w:val="24"/>
          <w:szCs w:val="24"/>
        </w:rPr>
      </w:pPr>
      <w:r w:rsidRPr="000961CC">
        <w:rPr>
          <w:rFonts w:ascii="华文楷体" w:hAnsi="华文楷体" w:hint="eastAsia"/>
          <w:b w:val="0"/>
          <w:smallCaps w:val="0"/>
          <w:color w:val="auto"/>
          <w:sz w:val="24"/>
          <w:szCs w:val="24"/>
        </w:rPr>
        <w:t>资料来源：万得，富荣基金</w:t>
      </w:r>
    </w:p>
    <w:p w14:paraId="685ADF87" w14:textId="56928D60" w:rsidR="007B568D" w:rsidRDefault="007B568D" w:rsidP="00672FC9">
      <w:pPr>
        <w:pStyle w:val="Header1"/>
        <w:ind w:firstLine="480"/>
        <w:rPr>
          <w:rFonts w:ascii="华文楷体" w:hAnsi="华文楷体" w:hint="eastAsia"/>
          <w:b w:val="0"/>
          <w:smallCaps w:val="0"/>
          <w:color w:val="auto"/>
          <w:sz w:val="24"/>
          <w:szCs w:val="24"/>
        </w:rPr>
      </w:pPr>
      <w:r>
        <w:rPr>
          <w:rFonts w:ascii="华文楷体" w:hAnsi="华文楷体" w:hint="eastAsia"/>
          <w:b w:val="0"/>
          <w:smallCaps w:val="0"/>
          <w:color w:val="auto"/>
          <w:sz w:val="24"/>
          <w:szCs w:val="24"/>
        </w:rPr>
        <w:t>债券供给方面，下周</w:t>
      </w:r>
      <w:r w:rsidR="00672FC9">
        <w:rPr>
          <w:rFonts w:ascii="华文楷体" w:hAnsi="华文楷体" w:hint="eastAsia"/>
          <w:b w:val="0"/>
          <w:smallCaps w:val="0"/>
          <w:color w:val="auto"/>
          <w:sz w:val="24"/>
          <w:szCs w:val="24"/>
        </w:rPr>
        <w:t>已公告国债、地方债发行量目前在2000亿左右，净融资规模约为1300亿，基本</w:t>
      </w:r>
      <w:r w:rsidR="00672FC9" w:rsidRPr="007B568D">
        <w:rPr>
          <w:rFonts w:ascii="华文楷体" w:hAnsi="华文楷体" w:hint="eastAsia"/>
          <w:b w:val="0"/>
          <w:smallCaps w:val="0"/>
          <w:color w:val="auto"/>
          <w:sz w:val="24"/>
          <w:szCs w:val="24"/>
        </w:rPr>
        <w:t>与上周1290.2</w:t>
      </w:r>
      <w:r w:rsidR="00672FC9">
        <w:rPr>
          <w:rFonts w:ascii="华文楷体" w:hAnsi="华文楷体" w:hint="eastAsia"/>
          <w:b w:val="0"/>
          <w:smallCaps w:val="0"/>
          <w:color w:val="auto"/>
          <w:sz w:val="24"/>
          <w:szCs w:val="24"/>
        </w:rPr>
        <w:t>亿元规模相当</w:t>
      </w:r>
      <w:r w:rsidR="00672FC9" w:rsidRPr="007B568D">
        <w:rPr>
          <w:rFonts w:ascii="华文楷体" w:hAnsi="华文楷体" w:hint="eastAsia"/>
          <w:b w:val="0"/>
          <w:smallCaps w:val="0"/>
          <w:color w:val="auto"/>
          <w:sz w:val="24"/>
          <w:szCs w:val="24"/>
        </w:rPr>
        <w:t>。</w:t>
      </w:r>
    </w:p>
    <w:p w14:paraId="4F467B55" w14:textId="1D243C6C" w:rsidR="003440C3" w:rsidRPr="003440C3" w:rsidRDefault="003440C3" w:rsidP="00672FC9">
      <w:pPr>
        <w:pStyle w:val="Header1"/>
        <w:ind w:firstLine="480"/>
        <w:rPr>
          <w:rFonts w:ascii="华文楷体" w:hAnsi="华文楷体"/>
          <w:b w:val="0"/>
          <w:smallCaps w:val="0"/>
          <w:color w:val="auto"/>
          <w:sz w:val="24"/>
          <w:szCs w:val="24"/>
        </w:rPr>
      </w:pPr>
      <w:r>
        <w:rPr>
          <w:noProof/>
        </w:rPr>
        <w:drawing>
          <wp:inline distT="0" distB="0" distL="0" distR="0" wp14:anchorId="122EC62A" wp14:editId="375F8FF9">
            <wp:extent cx="3124200" cy="2584577"/>
            <wp:effectExtent l="0" t="0" r="0" b="635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130914" cy="2590131"/>
                    </a:xfrm>
                    <a:prstGeom prst="rect">
                      <a:avLst/>
                    </a:prstGeom>
                    <a:noFill/>
                  </pic:spPr>
                </pic:pic>
              </a:graphicData>
            </a:graphic>
          </wp:inline>
        </w:drawing>
      </w:r>
      <w:r>
        <w:rPr>
          <w:rFonts w:ascii="华文楷体" w:hAnsi="华文楷体"/>
          <w:b w:val="0"/>
          <w:smallCaps w:val="0"/>
          <w:noProof/>
          <w:color w:val="auto"/>
          <w:sz w:val="24"/>
          <w:szCs w:val="24"/>
        </w:rPr>
        <w:drawing>
          <wp:inline distT="0" distB="0" distL="0" distR="0" wp14:anchorId="348082B4" wp14:editId="058B9CCA">
            <wp:extent cx="2657475" cy="2378574"/>
            <wp:effectExtent l="0" t="0" r="0" b="317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65615" cy="2385860"/>
                    </a:xfrm>
                    <a:prstGeom prst="rect">
                      <a:avLst/>
                    </a:prstGeom>
                    <a:noFill/>
                  </pic:spPr>
                </pic:pic>
              </a:graphicData>
            </a:graphic>
          </wp:inline>
        </w:drawing>
      </w:r>
      <w:bookmarkStart w:id="0" w:name="_GoBack"/>
      <w:bookmarkEnd w:id="0"/>
    </w:p>
    <w:p w14:paraId="2EEFDB75" w14:textId="65CBD20A" w:rsidR="00672FC9" w:rsidRPr="009324E0" w:rsidRDefault="000961CC" w:rsidP="009324E0">
      <w:pPr>
        <w:pStyle w:val="Header1"/>
        <w:rPr>
          <w:rFonts w:ascii="华文楷体" w:hAnsi="华文楷体"/>
          <w:b w:val="0"/>
          <w:smallCaps w:val="0"/>
          <w:color w:val="auto"/>
          <w:sz w:val="24"/>
          <w:szCs w:val="24"/>
        </w:rPr>
      </w:pPr>
      <w:r w:rsidRPr="000961CC">
        <w:rPr>
          <w:rFonts w:ascii="华文楷体" w:hAnsi="华文楷体" w:hint="eastAsia"/>
          <w:b w:val="0"/>
          <w:smallCaps w:val="0"/>
          <w:color w:val="auto"/>
          <w:sz w:val="24"/>
          <w:szCs w:val="24"/>
        </w:rPr>
        <w:t>资料来源：万得，富荣基金</w:t>
      </w:r>
    </w:p>
    <w:p w14:paraId="47A5EE63" w14:textId="12380FCD" w:rsidR="00672FC9" w:rsidRDefault="00672FC9" w:rsidP="00672FC9">
      <w:pPr>
        <w:pStyle w:val="Header1"/>
        <w:ind w:firstLine="480"/>
        <w:rPr>
          <w:rFonts w:ascii="华文楷体" w:hAnsi="华文楷体"/>
          <w:b w:val="0"/>
          <w:smallCaps w:val="0"/>
          <w:color w:val="auto"/>
          <w:sz w:val="24"/>
          <w:szCs w:val="24"/>
        </w:rPr>
      </w:pPr>
      <w:r>
        <w:rPr>
          <w:noProof/>
        </w:rPr>
        <w:lastRenderedPageBreak/>
        <w:drawing>
          <wp:anchor distT="0" distB="0" distL="114300" distR="114300" simplePos="0" relativeHeight="251658240" behindDoc="0" locked="0" layoutInCell="1" allowOverlap="1" wp14:anchorId="33EE0EEE" wp14:editId="4F9015A3">
            <wp:simplePos x="0" y="0"/>
            <wp:positionH relativeFrom="margin">
              <wp:align>right</wp:align>
            </wp:positionH>
            <wp:positionV relativeFrom="paragraph">
              <wp:posOffset>1447165</wp:posOffset>
            </wp:positionV>
            <wp:extent cx="6265545" cy="2461260"/>
            <wp:effectExtent l="0" t="0" r="1905" b="0"/>
            <wp:wrapTopAndBottom/>
            <wp:docPr id="23" name="图表 23">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D661A897-B3FE-401F-B4A4-0167756BDE8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V relativeFrom="margin">
              <wp14:pctHeight>0</wp14:pctHeight>
            </wp14:sizeRelV>
          </wp:anchor>
        </w:drawing>
      </w:r>
      <w:r>
        <w:rPr>
          <w:rFonts w:ascii="华文楷体" w:hAnsi="华文楷体" w:hint="eastAsia"/>
          <w:b w:val="0"/>
          <w:smallCaps w:val="0"/>
          <w:color w:val="auto"/>
          <w:sz w:val="24"/>
          <w:szCs w:val="24"/>
        </w:rPr>
        <w:t>短</w:t>
      </w:r>
      <w:proofErr w:type="gramStart"/>
      <w:r>
        <w:rPr>
          <w:rFonts w:ascii="华文楷体" w:hAnsi="华文楷体" w:hint="eastAsia"/>
          <w:b w:val="0"/>
          <w:smallCaps w:val="0"/>
          <w:color w:val="auto"/>
          <w:sz w:val="24"/>
          <w:szCs w:val="24"/>
        </w:rPr>
        <w:t>端市场</w:t>
      </w:r>
      <w:proofErr w:type="gramEnd"/>
      <w:r>
        <w:rPr>
          <w:rFonts w:ascii="华文楷体" w:hAnsi="华文楷体" w:hint="eastAsia"/>
          <w:b w:val="0"/>
          <w:smallCaps w:val="0"/>
          <w:color w:val="auto"/>
          <w:sz w:val="24"/>
          <w:szCs w:val="24"/>
        </w:rPr>
        <w:t>表现，受到政策层和央行</w:t>
      </w:r>
      <w:proofErr w:type="gramStart"/>
      <w:r>
        <w:rPr>
          <w:rFonts w:ascii="华文楷体" w:hAnsi="华文楷体" w:hint="eastAsia"/>
          <w:b w:val="0"/>
          <w:smallCaps w:val="0"/>
          <w:color w:val="auto"/>
          <w:sz w:val="24"/>
          <w:szCs w:val="24"/>
        </w:rPr>
        <w:t>维稳操作</w:t>
      </w:r>
      <w:proofErr w:type="gramEnd"/>
      <w:r>
        <w:rPr>
          <w:rFonts w:ascii="华文楷体" w:hAnsi="华文楷体" w:hint="eastAsia"/>
          <w:b w:val="0"/>
          <w:smallCaps w:val="0"/>
          <w:color w:val="auto"/>
          <w:sz w:val="24"/>
          <w:szCs w:val="24"/>
        </w:rPr>
        <w:t>影响，短</w:t>
      </w:r>
      <w:proofErr w:type="gramStart"/>
      <w:r>
        <w:rPr>
          <w:rFonts w:ascii="华文楷体" w:hAnsi="华文楷体" w:hint="eastAsia"/>
          <w:b w:val="0"/>
          <w:smallCaps w:val="0"/>
          <w:color w:val="auto"/>
          <w:sz w:val="24"/>
          <w:szCs w:val="24"/>
        </w:rPr>
        <w:t>端情绪</w:t>
      </w:r>
      <w:r w:rsidR="000961CC">
        <w:rPr>
          <w:rFonts w:ascii="华文楷体" w:hAnsi="华文楷体" w:hint="eastAsia"/>
          <w:b w:val="0"/>
          <w:smallCaps w:val="0"/>
          <w:color w:val="auto"/>
          <w:sz w:val="24"/>
          <w:szCs w:val="24"/>
        </w:rPr>
        <w:t>自</w:t>
      </w:r>
      <w:r>
        <w:rPr>
          <w:rFonts w:ascii="华文楷体" w:hAnsi="华文楷体" w:hint="eastAsia"/>
          <w:b w:val="0"/>
          <w:smallCaps w:val="0"/>
          <w:color w:val="auto"/>
          <w:sz w:val="24"/>
          <w:szCs w:val="24"/>
        </w:rPr>
        <w:t>永煤事件</w:t>
      </w:r>
      <w:proofErr w:type="gramEnd"/>
      <w:r>
        <w:rPr>
          <w:rFonts w:ascii="华文楷体" w:hAnsi="华文楷体" w:hint="eastAsia"/>
          <w:b w:val="0"/>
          <w:smallCaps w:val="0"/>
          <w:color w:val="auto"/>
          <w:sz w:val="24"/>
          <w:szCs w:val="24"/>
        </w:rPr>
        <w:t>以来修复明显。</w:t>
      </w:r>
      <w:r w:rsidRPr="00672FC9">
        <w:rPr>
          <w:rFonts w:ascii="华文楷体" w:hAnsi="华文楷体" w:hint="eastAsia"/>
          <w:b w:val="0"/>
          <w:smallCaps w:val="0"/>
          <w:color w:val="auto"/>
          <w:sz w:val="24"/>
          <w:szCs w:val="24"/>
        </w:rPr>
        <w:t>股份行1年期同业存单利率回落至3.28%，大行1年期存单利率也回落至3.25%。同业存单</w:t>
      </w:r>
      <w:r>
        <w:rPr>
          <w:rFonts w:ascii="华文楷体" w:hAnsi="华文楷体" w:hint="eastAsia"/>
          <w:b w:val="0"/>
          <w:smallCaps w:val="0"/>
          <w:color w:val="auto"/>
          <w:sz w:val="24"/>
          <w:szCs w:val="24"/>
        </w:rPr>
        <w:t>曲线适度走平，但是并未倒挂，体现整体流动性目前仍相对平稳</w:t>
      </w:r>
      <w:r w:rsidRPr="00672FC9">
        <w:rPr>
          <w:rFonts w:ascii="华文楷体" w:hAnsi="华文楷体" w:hint="eastAsia"/>
          <w:b w:val="0"/>
          <w:smallCaps w:val="0"/>
          <w:color w:val="auto"/>
          <w:sz w:val="24"/>
          <w:szCs w:val="24"/>
        </w:rPr>
        <w:t>。</w:t>
      </w:r>
      <w:r>
        <w:rPr>
          <w:rFonts w:ascii="华文楷体" w:hAnsi="华文楷体" w:hint="eastAsia"/>
          <w:b w:val="0"/>
          <w:smallCaps w:val="0"/>
          <w:color w:val="auto"/>
          <w:sz w:val="24"/>
          <w:szCs w:val="24"/>
        </w:rPr>
        <w:t>四季度存单供给压力仍存，</w:t>
      </w:r>
      <w:r w:rsidRPr="00672FC9">
        <w:rPr>
          <w:rFonts w:ascii="华文楷体" w:hAnsi="华文楷体" w:hint="eastAsia"/>
          <w:b w:val="0"/>
          <w:smallCaps w:val="0"/>
          <w:color w:val="auto"/>
          <w:sz w:val="24"/>
          <w:szCs w:val="24"/>
        </w:rPr>
        <w:t>11月同业存单发行18167亿元，到期18505亿元，净融资-338亿元。11月同业存单加权发行利率3.16%，较上月上行10bp，上月为上行16bp。12月到期存单19680亿元，仅次于3月，为年内第二高点。</w:t>
      </w:r>
    </w:p>
    <w:p w14:paraId="4E1969C0" w14:textId="48F36DC6" w:rsidR="00693381" w:rsidRDefault="00693381" w:rsidP="00693381">
      <w:pPr>
        <w:pStyle w:val="Header1"/>
        <w:spacing w:before="0" w:after="0"/>
        <w:rPr>
          <w:rFonts w:ascii="Times New Roman" w:eastAsia="宋体" w:hAnsi="Times New Roman"/>
          <w:b w:val="0"/>
          <w:smallCaps w:val="0"/>
          <w:color w:val="auto"/>
          <w:sz w:val="20"/>
        </w:rPr>
      </w:pPr>
      <w:r>
        <w:rPr>
          <w:b w:val="0"/>
          <w:smallCaps w:val="0"/>
        </w:rPr>
        <w:fldChar w:fldCharType="begin"/>
      </w:r>
      <w:r>
        <w:rPr>
          <w:b w:val="0"/>
          <w:smallCaps w:val="0"/>
        </w:rPr>
        <w:instrText xml:space="preserve"> </w:instrText>
      </w:r>
      <w:r>
        <w:rPr>
          <w:rFonts w:hint="eastAsia"/>
          <w:b w:val="0"/>
          <w:smallCaps w:val="0"/>
        </w:rPr>
        <w:instrText>LINK Excel.Sheet.12 "H:\\</w:instrText>
      </w:r>
      <w:r>
        <w:rPr>
          <w:rFonts w:hint="eastAsia"/>
          <w:b w:val="0"/>
          <w:smallCaps w:val="0"/>
        </w:rPr>
        <w:instrText>金融街</w:instrText>
      </w:r>
      <w:r>
        <w:rPr>
          <w:rFonts w:hint="eastAsia"/>
          <w:b w:val="0"/>
          <w:smallCaps w:val="0"/>
        </w:rPr>
        <w:instrText>\\</w:instrText>
      </w:r>
      <w:r>
        <w:rPr>
          <w:rFonts w:hint="eastAsia"/>
          <w:b w:val="0"/>
          <w:smallCaps w:val="0"/>
        </w:rPr>
        <w:instrText>短券</w:instrText>
      </w:r>
      <w:r>
        <w:rPr>
          <w:rFonts w:hint="eastAsia"/>
          <w:b w:val="0"/>
          <w:smallCaps w:val="0"/>
        </w:rPr>
        <w:instrText>.xlsx" "</w:instrText>
      </w:r>
      <w:r>
        <w:rPr>
          <w:rFonts w:hint="eastAsia"/>
          <w:b w:val="0"/>
          <w:smallCaps w:val="0"/>
        </w:rPr>
        <w:instrText>国开</w:instrText>
      </w:r>
      <w:r>
        <w:rPr>
          <w:rFonts w:hint="eastAsia"/>
          <w:b w:val="0"/>
          <w:smallCaps w:val="0"/>
        </w:rPr>
        <w:instrText>&amp;</w:instrText>
      </w:r>
      <w:r>
        <w:rPr>
          <w:rFonts w:hint="eastAsia"/>
          <w:b w:val="0"/>
          <w:smallCaps w:val="0"/>
        </w:rPr>
        <w:instrText>回购</w:instrText>
      </w:r>
      <w:r>
        <w:rPr>
          <w:rFonts w:hint="eastAsia"/>
          <w:b w:val="0"/>
          <w:smallCaps w:val="0"/>
        </w:rPr>
        <w:instrText>!R1C7:R2C11" \a \f 4 \h</w:instrText>
      </w:r>
      <w:r>
        <w:rPr>
          <w:b w:val="0"/>
          <w:smallCaps w:val="0"/>
        </w:rPr>
        <w:instrText xml:space="preserve">  \* MERGEFORMAT </w:instrText>
      </w:r>
      <w:r>
        <w:rPr>
          <w:b w:val="0"/>
          <w:smallCaps w:val="0"/>
        </w:rPr>
        <w:fldChar w:fldCharType="separate"/>
      </w:r>
    </w:p>
    <w:tbl>
      <w:tblPr>
        <w:tblStyle w:val="ListTable3Accent1"/>
        <w:tblW w:w="9918" w:type="dxa"/>
        <w:tblLook w:val="04A0" w:firstRow="1" w:lastRow="0" w:firstColumn="1" w:lastColumn="0" w:noHBand="0" w:noVBand="1"/>
      </w:tblPr>
      <w:tblGrid>
        <w:gridCol w:w="999"/>
        <w:gridCol w:w="2615"/>
        <w:gridCol w:w="2615"/>
        <w:gridCol w:w="2248"/>
        <w:gridCol w:w="1441"/>
      </w:tblGrid>
      <w:tr w:rsidR="00693381" w:rsidRPr="00693381" w14:paraId="7E8B2609" w14:textId="77777777" w:rsidTr="009324E0">
        <w:trPr>
          <w:cnfStyle w:val="100000000000" w:firstRow="1" w:lastRow="0" w:firstColumn="0" w:lastColumn="0" w:oddVBand="0" w:evenVBand="0" w:oddHBand="0" w:evenHBand="0" w:firstRowFirstColumn="0" w:firstRowLastColumn="0" w:lastRowFirstColumn="0" w:lastRowLastColumn="0"/>
          <w:trHeight w:val="230"/>
        </w:trPr>
        <w:tc>
          <w:tcPr>
            <w:cnfStyle w:val="001000000100" w:firstRow="0" w:lastRow="0" w:firstColumn="1" w:lastColumn="0" w:oddVBand="0" w:evenVBand="0" w:oddHBand="0" w:evenHBand="0" w:firstRowFirstColumn="1" w:firstRowLastColumn="0" w:lastRowFirstColumn="0" w:lastRowLastColumn="0"/>
            <w:tcW w:w="999" w:type="dxa"/>
            <w:noWrap/>
            <w:hideMark/>
          </w:tcPr>
          <w:p w14:paraId="742D9C48" w14:textId="77777777" w:rsidR="00693381" w:rsidRPr="00693381" w:rsidRDefault="00693381" w:rsidP="00693381">
            <w:pPr>
              <w:widowControl/>
              <w:adjustRightInd w:val="0"/>
              <w:snapToGrid w:val="0"/>
              <w:jc w:val="center"/>
              <w:rPr>
                <w:rFonts w:ascii="华文楷体" w:eastAsia="华文楷体" w:hAnsi="华文楷体" w:cs="宋体"/>
                <w:kern w:val="0"/>
                <w:sz w:val="24"/>
                <w:szCs w:val="24"/>
              </w:rPr>
            </w:pPr>
          </w:p>
        </w:tc>
        <w:tc>
          <w:tcPr>
            <w:tcW w:w="2615" w:type="dxa"/>
            <w:noWrap/>
            <w:vAlign w:val="center"/>
            <w:hideMark/>
          </w:tcPr>
          <w:p w14:paraId="14D16D98" w14:textId="77777777" w:rsidR="00693381" w:rsidRPr="00693381" w:rsidRDefault="00693381" w:rsidP="009324E0">
            <w:pPr>
              <w:widowControl/>
              <w:adjustRightInd w:val="0"/>
              <w:snapToGrid w:val="0"/>
              <w:jc w:val="center"/>
              <w:cnfStyle w:val="100000000000" w:firstRow="1" w:lastRow="0" w:firstColumn="0" w:lastColumn="0" w:oddVBand="0" w:evenVBand="0" w:oddHBand="0" w:evenHBand="0" w:firstRowFirstColumn="0" w:firstRowLastColumn="0" w:lastRowFirstColumn="0" w:lastRowLastColumn="0"/>
              <w:rPr>
                <w:rFonts w:ascii="华文楷体" w:eastAsia="华文楷体" w:hAnsi="华文楷体" w:cs="宋体"/>
                <w:kern w:val="0"/>
                <w:sz w:val="24"/>
                <w:szCs w:val="24"/>
              </w:rPr>
            </w:pPr>
            <w:r w:rsidRPr="00693381">
              <w:rPr>
                <w:rFonts w:ascii="华文楷体" w:eastAsia="华文楷体" w:hAnsi="华文楷体" w:cs="宋体" w:hint="eastAsia"/>
                <w:kern w:val="0"/>
                <w:sz w:val="24"/>
                <w:szCs w:val="24"/>
              </w:rPr>
              <w:t>银行</w:t>
            </w:r>
            <w:proofErr w:type="gramStart"/>
            <w:r w:rsidRPr="00693381">
              <w:rPr>
                <w:rFonts w:ascii="华文楷体" w:eastAsia="华文楷体" w:hAnsi="华文楷体" w:cs="宋体" w:hint="eastAsia"/>
                <w:kern w:val="0"/>
                <w:sz w:val="24"/>
                <w:szCs w:val="24"/>
              </w:rPr>
              <w:t>间质押式回购</w:t>
            </w:r>
            <w:proofErr w:type="gramEnd"/>
            <w:r w:rsidRPr="00693381">
              <w:rPr>
                <w:rFonts w:ascii="华文楷体" w:eastAsia="华文楷体" w:hAnsi="华文楷体" w:cs="宋体" w:hint="eastAsia"/>
                <w:kern w:val="0"/>
                <w:sz w:val="24"/>
                <w:szCs w:val="24"/>
              </w:rPr>
              <w:t>加权利率:1天</w:t>
            </w:r>
          </w:p>
        </w:tc>
        <w:tc>
          <w:tcPr>
            <w:tcW w:w="2615" w:type="dxa"/>
            <w:noWrap/>
            <w:vAlign w:val="center"/>
            <w:hideMark/>
          </w:tcPr>
          <w:p w14:paraId="41662860" w14:textId="77777777" w:rsidR="00693381" w:rsidRPr="00693381" w:rsidRDefault="00693381" w:rsidP="009324E0">
            <w:pPr>
              <w:widowControl/>
              <w:adjustRightInd w:val="0"/>
              <w:snapToGrid w:val="0"/>
              <w:jc w:val="center"/>
              <w:cnfStyle w:val="100000000000" w:firstRow="1" w:lastRow="0" w:firstColumn="0" w:lastColumn="0" w:oddVBand="0" w:evenVBand="0" w:oddHBand="0" w:evenHBand="0" w:firstRowFirstColumn="0" w:firstRowLastColumn="0" w:lastRowFirstColumn="0" w:lastRowLastColumn="0"/>
              <w:rPr>
                <w:rFonts w:ascii="华文楷体" w:eastAsia="华文楷体" w:hAnsi="华文楷体" w:cs="宋体"/>
                <w:kern w:val="0"/>
                <w:sz w:val="24"/>
                <w:szCs w:val="24"/>
              </w:rPr>
            </w:pPr>
            <w:r w:rsidRPr="00693381">
              <w:rPr>
                <w:rFonts w:ascii="华文楷体" w:eastAsia="华文楷体" w:hAnsi="华文楷体" w:cs="宋体" w:hint="eastAsia"/>
                <w:kern w:val="0"/>
                <w:sz w:val="24"/>
                <w:szCs w:val="24"/>
              </w:rPr>
              <w:t>银行</w:t>
            </w:r>
            <w:proofErr w:type="gramStart"/>
            <w:r w:rsidRPr="00693381">
              <w:rPr>
                <w:rFonts w:ascii="华文楷体" w:eastAsia="华文楷体" w:hAnsi="华文楷体" w:cs="宋体" w:hint="eastAsia"/>
                <w:kern w:val="0"/>
                <w:sz w:val="24"/>
                <w:szCs w:val="24"/>
              </w:rPr>
              <w:t>间质押式回购</w:t>
            </w:r>
            <w:proofErr w:type="gramEnd"/>
            <w:r w:rsidRPr="00693381">
              <w:rPr>
                <w:rFonts w:ascii="华文楷体" w:eastAsia="华文楷体" w:hAnsi="华文楷体" w:cs="宋体" w:hint="eastAsia"/>
                <w:kern w:val="0"/>
                <w:sz w:val="24"/>
                <w:szCs w:val="24"/>
              </w:rPr>
              <w:t>加权利率:7天</w:t>
            </w:r>
          </w:p>
        </w:tc>
        <w:tc>
          <w:tcPr>
            <w:tcW w:w="2248" w:type="dxa"/>
            <w:noWrap/>
            <w:vAlign w:val="center"/>
            <w:hideMark/>
          </w:tcPr>
          <w:p w14:paraId="0727C1A5" w14:textId="77777777" w:rsidR="00693381" w:rsidRPr="00693381" w:rsidRDefault="00693381" w:rsidP="009324E0">
            <w:pPr>
              <w:widowControl/>
              <w:adjustRightInd w:val="0"/>
              <w:snapToGrid w:val="0"/>
              <w:jc w:val="center"/>
              <w:cnfStyle w:val="100000000000" w:firstRow="1" w:lastRow="0" w:firstColumn="0" w:lastColumn="0" w:oddVBand="0" w:evenVBand="0" w:oddHBand="0" w:evenHBand="0" w:firstRowFirstColumn="0" w:firstRowLastColumn="0" w:lastRowFirstColumn="0" w:lastRowLastColumn="0"/>
              <w:rPr>
                <w:rFonts w:ascii="华文楷体" w:eastAsia="华文楷体" w:hAnsi="华文楷体" w:cs="宋体"/>
                <w:kern w:val="0"/>
                <w:sz w:val="24"/>
                <w:szCs w:val="24"/>
              </w:rPr>
            </w:pPr>
            <w:r w:rsidRPr="00693381">
              <w:rPr>
                <w:rFonts w:ascii="华文楷体" w:eastAsia="华文楷体" w:hAnsi="华文楷体" w:cs="宋体" w:hint="eastAsia"/>
                <w:kern w:val="0"/>
                <w:sz w:val="24"/>
                <w:szCs w:val="24"/>
              </w:rPr>
              <w:t>中债</w:t>
            </w:r>
            <w:proofErr w:type="gramStart"/>
            <w:r w:rsidRPr="00693381">
              <w:rPr>
                <w:rFonts w:ascii="华文楷体" w:eastAsia="华文楷体" w:hAnsi="华文楷体" w:cs="宋体" w:hint="eastAsia"/>
                <w:kern w:val="0"/>
                <w:sz w:val="24"/>
                <w:szCs w:val="24"/>
              </w:rPr>
              <w:t>国开债到期</w:t>
            </w:r>
            <w:proofErr w:type="gramEnd"/>
            <w:r w:rsidRPr="00693381">
              <w:rPr>
                <w:rFonts w:ascii="华文楷体" w:eastAsia="华文楷体" w:hAnsi="华文楷体" w:cs="宋体" w:hint="eastAsia"/>
                <w:kern w:val="0"/>
                <w:sz w:val="24"/>
                <w:szCs w:val="24"/>
              </w:rPr>
              <w:t>收益率:1年</w:t>
            </w:r>
          </w:p>
        </w:tc>
        <w:tc>
          <w:tcPr>
            <w:tcW w:w="1441" w:type="dxa"/>
            <w:noWrap/>
            <w:vAlign w:val="center"/>
            <w:hideMark/>
          </w:tcPr>
          <w:p w14:paraId="1B3C9775" w14:textId="77777777" w:rsidR="00693381" w:rsidRPr="00693381" w:rsidRDefault="00693381" w:rsidP="009324E0">
            <w:pPr>
              <w:widowControl/>
              <w:adjustRightInd w:val="0"/>
              <w:snapToGrid w:val="0"/>
              <w:jc w:val="center"/>
              <w:cnfStyle w:val="100000000000" w:firstRow="1" w:lastRow="0" w:firstColumn="0" w:lastColumn="0" w:oddVBand="0" w:evenVBand="0" w:oddHBand="0" w:evenHBand="0" w:firstRowFirstColumn="0" w:firstRowLastColumn="0" w:lastRowFirstColumn="0" w:lastRowLastColumn="0"/>
              <w:rPr>
                <w:rFonts w:ascii="华文楷体" w:eastAsia="华文楷体" w:hAnsi="华文楷体" w:cs="宋体"/>
                <w:kern w:val="0"/>
                <w:sz w:val="24"/>
                <w:szCs w:val="24"/>
              </w:rPr>
            </w:pPr>
            <w:r w:rsidRPr="00693381">
              <w:rPr>
                <w:rFonts w:ascii="华文楷体" w:eastAsia="华文楷体" w:hAnsi="华文楷体" w:cs="宋体" w:hint="eastAsia"/>
                <w:kern w:val="0"/>
                <w:sz w:val="24"/>
                <w:szCs w:val="24"/>
              </w:rPr>
              <w:t>1Y国开-7天</w:t>
            </w:r>
          </w:p>
        </w:tc>
      </w:tr>
      <w:tr w:rsidR="00693381" w:rsidRPr="00693381" w14:paraId="2BD9658C" w14:textId="77777777" w:rsidTr="009324E0">
        <w:trPr>
          <w:cnfStyle w:val="000000100000" w:firstRow="0" w:lastRow="0" w:firstColumn="0" w:lastColumn="0" w:oddVBand="0" w:evenVBand="0" w:oddHBand="1" w:evenHBand="0" w:firstRowFirstColumn="0" w:firstRowLastColumn="0" w:lastRowFirstColumn="0" w:lastRowLastColumn="0"/>
          <w:trHeight w:val="230"/>
        </w:trPr>
        <w:tc>
          <w:tcPr>
            <w:cnfStyle w:val="001000000000" w:firstRow="0" w:lastRow="0" w:firstColumn="1" w:lastColumn="0" w:oddVBand="0" w:evenVBand="0" w:oddHBand="0" w:evenHBand="0" w:firstRowFirstColumn="0" w:firstRowLastColumn="0" w:lastRowFirstColumn="0" w:lastRowLastColumn="0"/>
            <w:tcW w:w="999" w:type="dxa"/>
            <w:noWrap/>
            <w:hideMark/>
          </w:tcPr>
          <w:p w14:paraId="3B3F32DD" w14:textId="77777777" w:rsidR="00693381" w:rsidRPr="00693381" w:rsidRDefault="00693381" w:rsidP="00693381">
            <w:pPr>
              <w:widowControl/>
              <w:adjustRightInd w:val="0"/>
              <w:snapToGrid w:val="0"/>
              <w:jc w:val="center"/>
              <w:rPr>
                <w:rFonts w:ascii="华文楷体" w:eastAsia="华文楷体" w:hAnsi="华文楷体" w:cs="宋体"/>
                <w:color w:val="FF0000"/>
                <w:kern w:val="0"/>
                <w:sz w:val="24"/>
                <w:szCs w:val="24"/>
              </w:rPr>
            </w:pPr>
            <w:r w:rsidRPr="00693381">
              <w:rPr>
                <w:rFonts w:ascii="华文楷体" w:eastAsia="华文楷体" w:hAnsi="华文楷体" w:hint="eastAsia"/>
                <w:b w:val="0"/>
                <w:bCs w:val="0"/>
                <w:kern w:val="0"/>
                <w:sz w:val="24"/>
                <w:szCs w:val="24"/>
              </w:rPr>
              <w:t>分位数</w:t>
            </w:r>
          </w:p>
        </w:tc>
        <w:tc>
          <w:tcPr>
            <w:tcW w:w="2615" w:type="dxa"/>
            <w:noWrap/>
            <w:vAlign w:val="center"/>
            <w:hideMark/>
          </w:tcPr>
          <w:p w14:paraId="028F0B0D" w14:textId="77777777" w:rsidR="00693381" w:rsidRPr="00693381" w:rsidRDefault="00693381" w:rsidP="009324E0">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rFonts w:ascii="Times New Roman" w:eastAsia="华文楷体" w:hAnsi="Times New Roman"/>
                <w:kern w:val="0"/>
                <w:sz w:val="24"/>
                <w:szCs w:val="24"/>
              </w:rPr>
            </w:pPr>
            <w:r w:rsidRPr="00693381">
              <w:rPr>
                <w:rFonts w:ascii="Times New Roman" w:eastAsia="华文楷体" w:hAnsi="Times New Roman"/>
                <w:kern w:val="0"/>
                <w:sz w:val="24"/>
                <w:szCs w:val="24"/>
              </w:rPr>
              <w:t>83.82%</w:t>
            </w:r>
          </w:p>
        </w:tc>
        <w:tc>
          <w:tcPr>
            <w:tcW w:w="2615" w:type="dxa"/>
            <w:noWrap/>
            <w:vAlign w:val="center"/>
            <w:hideMark/>
          </w:tcPr>
          <w:p w14:paraId="44A79F21" w14:textId="77777777" w:rsidR="00693381" w:rsidRPr="00693381" w:rsidRDefault="00693381" w:rsidP="009324E0">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rFonts w:ascii="Times New Roman" w:eastAsia="华文楷体" w:hAnsi="Times New Roman"/>
                <w:kern w:val="0"/>
                <w:sz w:val="24"/>
                <w:szCs w:val="24"/>
              </w:rPr>
            </w:pPr>
            <w:r w:rsidRPr="00693381">
              <w:rPr>
                <w:rFonts w:ascii="Times New Roman" w:eastAsia="华文楷体" w:hAnsi="Times New Roman"/>
                <w:kern w:val="0"/>
                <w:sz w:val="24"/>
                <w:szCs w:val="24"/>
              </w:rPr>
              <w:t>77.07%</w:t>
            </w:r>
          </w:p>
        </w:tc>
        <w:tc>
          <w:tcPr>
            <w:tcW w:w="2248" w:type="dxa"/>
            <w:noWrap/>
            <w:vAlign w:val="center"/>
            <w:hideMark/>
          </w:tcPr>
          <w:p w14:paraId="6D9091AD" w14:textId="77777777" w:rsidR="00693381" w:rsidRPr="00693381" w:rsidRDefault="00693381" w:rsidP="009324E0">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rFonts w:ascii="Times New Roman" w:eastAsia="华文楷体" w:hAnsi="Times New Roman"/>
                <w:kern w:val="0"/>
                <w:sz w:val="24"/>
                <w:szCs w:val="24"/>
              </w:rPr>
            </w:pPr>
            <w:r w:rsidRPr="00693381">
              <w:rPr>
                <w:rFonts w:ascii="Times New Roman" w:eastAsia="华文楷体" w:hAnsi="Times New Roman"/>
                <w:kern w:val="0"/>
                <w:sz w:val="24"/>
                <w:szCs w:val="24"/>
              </w:rPr>
              <w:t>51.65%</w:t>
            </w:r>
          </w:p>
        </w:tc>
        <w:tc>
          <w:tcPr>
            <w:tcW w:w="1441" w:type="dxa"/>
            <w:noWrap/>
            <w:vAlign w:val="center"/>
            <w:hideMark/>
          </w:tcPr>
          <w:p w14:paraId="5E317EC6" w14:textId="77777777" w:rsidR="00693381" w:rsidRPr="00693381" w:rsidRDefault="00693381" w:rsidP="009324E0">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rFonts w:ascii="Times New Roman" w:eastAsia="华文楷体" w:hAnsi="Times New Roman"/>
                <w:kern w:val="0"/>
                <w:sz w:val="24"/>
                <w:szCs w:val="24"/>
              </w:rPr>
            </w:pPr>
            <w:r w:rsidRPr="00693381">
              <w:rPr>
                <w:rFonts w:ascii="Times New Roman" w:eastAsia="华文楷体" w:hAnsi="Times New Roman"/>
                <w:kern w:val="0"/>
                <w:sz w:val="24"/>
                <w:szCs w:val="24"/>
              </w:rPr>
              <w:t>9.92%</w:t>
            </w:r>
          </w:p>
        </w:tc>
      </w:tr>
    </w:tbl>
    <w:p w14:paraId="72ED69AC" w14:textId="52A292C2" w:rsidR="00672FC9" w:rsidRDefault="00693381" w:rsidP="00693381">
      <w:pPr>
        <w:pStyle w:val="Header1"/>
        <w:spacing w:before="0" w:after="0"/>
        <w:rPr>
          <w:rFonts w:ascii="华文楷体" w:hAnsi="华文楷体"/>
          <w:b w:val="0"/>
          <w:smallCaps w:val="0"/>
          <w:color w:val="auto"/>
          <w:sz w:val="24"/>
          <w:szCs w:val="24"/>
        </w:rPr>
      </w:pPr>
      <w:r>
        <w:rPr>
          <w:rFonts w:ascii="华文楷体" w:hAnsi="华文楷体"/>
          <w:b w:val="0"/>
          <w:smallCaps w:val="0"/>
          <w:color w:val="auto"/>
          <w:sz w:val="24"/>
          <w:szCs w:val="24"/>
        </w:rPr>
        <w:fldChar w:fldCharType="end"/>
      </w:r>
      <w:r w:rsidR="000961CC" w:rsidRPr="000961CC">
        <w:rPr>
          <w:rFonts w:ascii="华文楷体" w:hAnsi="华文楷体" w:hint="eastAsia"/>
          <w:b w:val="0"/>
          <w:smallCaps w:val="0"/>
          <w:color w:val="auto"/>
          <w:sz w:val="24"/>
          <w:szCs w:val="24"/>
        </w:rPr>
        <w:t>资料来源：万得，富荣基金</w:t>
      </w:r>
    </w:p>
    <w:p w14:paraId="18FBF14F" w14:textId="715E10F8" w:rsidR="00672FC9" w:rsidRDefault="000A74E1" w:rsidP="007B568D">
      <w:pPr>
        <w:pStyle w:val="Header1"/>
        <w:spacing w:before="0" w:after="0"/>
        <w:ind w:firstLine="480"/>
        <w:rPr>
          <w:rFonts w:ascii="华文楷体" w:hAnsi="华文楷体"/>
          <w:b w:val="0"/>
          <w:smallCaps w:val="0"/>
          <w:color w:val="auto"/>
          <w:sz w:val="24"/>
          <w:szCs w:val="24"/>
        </w:rPr>
      </w:pPr>
      <w:r>
        <w:rPr>
          <w:rFonts w:ascii="华文楷体" w:hAnsi="华文楷体" w:hint="eastAsia"/>
          <w:b w:val="0"/>
          <w:smallCaps w:val="0"/>
          <w:color w:val="auto"/>
          <w:sz w:val="24"/>
          <w:szCs w:val="24"/>
        </w:rPr>
        <w:t>综</w:t>
      </w:r>
      <w:r w:rsidR="003E5F76">
        <w:rPr>
          <w:rFonts w:ascii="华文楷体" w:hAnsi="华文楷体" w:hint="eastAsia"/>
          <w:b w:val="0"/>
          <w:smallCaps w:val="0"/>
          <w:color w:val="auto"/>
          <w:sz w:val="24"/>
          <w:szCs w:val="24"/>
        </w:rPr>
        <w:t>合看</w:t>
      </w:r>
      <w:r>
        <w:rPr>
          <w:rFonts w:ascii="华文楷体" w:hAnsi="华文楷体" w:hint="eastAsia"/>
          <w:b w:val="0"/>
          <w:smallCaps w:val="0"/>
          <w:color w:val="auto"/>
          <w:sz w:val="24"/>
          <w:szCs w:val="24"/>
        </w:rPr>
        <w:t>，</w:t>
      </w:r>
      <w:r w:rsidR="00BB5E30">
        <w:rPr>
          <w:rFonts w:ascii="华文楷体" w:hAnsi="华文楷体" w:hint="eastAsia"/>
          <w:b w:val="0"/>
          <w:smallCaps w:val="0"/>
          <w:color w:val="auto"/>
          <w:sz w:val="24"/>
          <w:szCs w:val="24"/>
        </w:rPr>
        <w:t>尽管</w:t>
      </w:r>
      <w:proofErr w:type="gramStart"/>
      <w:r w:rsidR="00BB5E30">
        <w:rPr>
          <w:rFonts w:ascii="华文楷体" w:hAnsi="华文楷体" w:hint="eastAsia"/>
          <w:b w:val="0"/>
          <w:smallCaps w:val="0"/>
          <w:color w:val="auto"/>
          <w:sz w:val="24"/>
          <w:szCs w:val="24"/>
        </w:rPr>
        <w:t>永煤事件</w:t>
      </w:r>
      <w:proofErr w:type="gramEnd"/>
      <w:r w:rsidR="009324E0">
        <w:rPr>
          <w:rFonts w:ascii="华文楷体" w:hAnsi="华文楷体" w:hint="eastAsia"/>
          <w:b w:val="0"/>
          <w:smallCaps w:val="0"/>
          <w:color w:val="auto"/>
          <w:sz w:val="24"/>
          <w:szCs w:val="24"/>
        </w:rPr>
        <w:t>目前</w:t>
      </w:r>
      <w:r w:rsidR="00BB5E30">
        <w:rPr>
          <w:rFonts w:ascii="华文楷体" w:hAnsi="华文楷体" w:hint="eastAsia"/>
          <w:b w:val="0"/>
          <w:smallCaps w:val="0"/>
          <w:color w:val="auto"/>
          <w:sz w:val="24"/>
          <w:szCs w:val="24"/>
        </w:rPr>
        <w:t>市场已有所消化，情绪</w:t>
      </w:r>
      <w:r w:rsidR="003E5F76">
        <w:rPr>
          <w:rFonts w:ascii="华文楷体" w:hAnsi="华文楷体" w:hint="eastAsia"/>
          <w:b w:val="0"/>
          <w:smallCaps w:val="0"/>
          <w:color w:val="auto"/>
          <w:sz w:val="24"/>
          <w:szCs w:val="24"/>
        </w:rPr>
        <w:t>逐步</w:t>
      </w:r>
      <w:r w:rsidR="00BB5E30">
        <w:rPr>
          <w:rFonts w:ascii="华文楷体" w:hAnsi="华文楷体" w:hint="eastAsia"/>
          <w:b w:val="0"/>
          <w:smallCaps w:val="0"/>
          <w:color w:val="auto"/>
          <w:sz w:val="24"/>
          <w:szCs w:val="24"/>
        </w:rPr>
        <w:t>回稳</w:t>
      </w:r>
      <w:r w:rsidR="003E5F76">
        <w:rPr>
          <w:rFonts w:ascii="华文楷体" w:hAnsi="华文楷体" w:hint="eastAsia"/>
          <w:b w:val="0"/>
          <w:smallCaps w:val="0"/>
          <w:color w:val="auto"/>
          <w:sz w:val="24"/>
          <w:szCs w:val="24"/>
        </w:rPr>
        <w:t>，</w:t>
      </w:r>
      <w:r w:rsidR="00BB5E30">
        <w:rPr>
          <w:rFonts w:ascii="华文楷体" w:hAnsi="华文楷体" w:hint="eastAsia"/>
          <w:b w:val="0"/>
          <w:smallCaps w:val="0"/>
          <w:color w:val="auto"/>
          <w:sz w:val="24"/>
          <w:szCs w:val="24"/>
        </w:rPr>
        <w:t>但</w:t>
      </w:r>
      <w:r w:rsidR="003E5F76">
        <w:rPr>
          <w:rFonts w:ascii="华文楷体" w:hAnsi="华文楷体" w:hint="eastAsia"/>
          <w:b w:val="0"/>
          <w:smallCaps w:val="0"/>
          <w:color w:val="auto"/>
          <w:sz w:val="24"/>
          <w:szCs w:val="24"/>
        </w:rPr>
        <w:t>考虑到年末季节性扰动及银行</w:t>
      </w:r>
      <w:r w:rsidR="006C5D7C">
        <w:rPr>
          <w:rFonts w:ascii="华文楷体" w:hAnsi="华文楷体" w:hint="eastAsia"/>
          <w:b w:val="0"/>
          <w:smallCaps w:val="0"/>
          <w:color w:val="auto"/>
          <w:sz w:val="24"/>
          <w:szCs w:val="24"/>
        </w:rPr>
        <w:t>考核压力等多种因素，1</w:t>
      </w:r>
      <w:r w:rsidR="006C5D7C">
        <w:rPr>
          <w:rFonts w:ascii="华文楷体" w:hAnsi="华文楷体"/>
          <w:b w:val="0"/>
          <w:smallCaps w:val="0"/>
          <w:color w:val="auto"/>
          <w:sz w:val="24"/>
          <w:szCs w:val="24"/>
        </w:rPr>
        <w:t>2</w:t>
      </w:r>
      <w:r w:rsidR="006C5D7C">
        <w:rPr>
          <w:rFonts w:ascii="华文楷体" w:hAnsi="华文楷体" w:hint="eastAsia"/>
          <w:b w:val="0"/>
          <w:smallCaps w:val="0"/>
          <w:color w:val="auto"/>
          <w:sz w:val="24"/>
          <w:szCs w:val="24"/>
        </w:rPr>
        <w:t>月</w:t>
      </w:r>
      <w:r w:rsidR="00E74F61">
        <w:rPr>
          <w:rFonts w:ascii="华文楷体" w:hAnsi="华文楷体" w:hint="eastAsia"/>
          <w:b w:val="0"/>
          <w:smallCaps w:val="0"/>
          <w:color w:val="auto"/>
          <w:sz w:val="24"/>
          <w:szCs w:val="24"/>
        </w:rPr>
        <w:t>市场整体仍面临一定</w:t>
      </w:r>
      <w:r w:rsidR="00BB5E30">
        <w:rPr>
          <w:rFonts w:ascii="华文楷体" w:hAnsi="华文楷体" w:hint="eastAsia"/>
          <w:b w:val="0"/>
          <w:smallCaps w:val="0"/>
          <w:color w:val="auto"/>
          <w:sz w:val="24"/>
          <w:szCs w:val="24"/>
        </w:rPr>
        <w:t>流动性</w:t>
      </w:r>
      <w:r w:rsidR="006C5D7C">
        <w:rPr>
          <w:rFonts w:ascii="华文楷体" w:hAnsi="华文楷体" w:hint="eastAsia"/>
          <w:b w:val="0"/>
          <w:smallCaps w:val="0"/>
          <w:color w:val="auto"/>
          <w:sz w:val="24"/>
          <w:szCs w:val="24"/>
        </w:rPr>
        <w:t>隐忧</w:t>
      </w:r>
      <w:r w:rsidR="00BB5E30">
        <w:rPr>
          <w:rFonts w:ascii="华文楷体" w:hAnsi="华文楷体" w:hint="eastAsia"/>
          <w:b w:val="0"/>
          <w:smallCaps w:val="0"/>
          <w:color w:val="auto"/>
          <w:sz w:val="24"/>
          <w:szCs w:val="24"/>
        </w:rPr>
        <w:t>，存单、</w:t>
      </w:r>
      <w:proofErr w:type="gramStart"/>
      <w:r w:rsidR="00BB5E30">
        <w:rPr>
          <w:rFonts w:ascii="华文楷体" w:hAnsi="华文楷体" w:hint="eastAsia"/>
          <w:b w:val="0"/>
          <w:smallCaps w:val="0"/>
          <w:color w:val="auto"/>
          <w:sz w:val="24"/>
          <w:szCs w:val="24"/>
        </w:rPr>
        <w:t>短利率</w:t>
      </w:r>
      <w:proofErr w:type="gramEnd"/>
      <w:r w:rsidR="00BB5E30">
        <w:rPr>
          <w:rFonts w:ascii="华文楷体" w:hAnsi="华文楷体" w:hint="eastAsia"/>
          <w:b w:val="0"/>
          <w:smallCaps w:val="0"/>
          <w:color w:val="auto"/>
          <w:sz w:val="24"/>
          <w:szCs w:val="24"/>
        </w:rPr>
        <w:t>仍维持高位震荡</w:t>
      </w:r>
      <w:r w:rsidR="006C5D7C">
        <w:rPr>
          <w:rFonts w:ascii="华文楷体" w:hAnsi="华文楷体" w:hint="eastAsia"/>
          <w:b w:val="0"/>
          <w:smallCaps w:val="0"/>
          <w:color w:val="auto"/>
          <w:sz w:val="24"/>
          <w:szCs w:val="24"/>
        </w:rPr>
        <w:t>为主</w:t>
      </w:r>
      <w:r w:rsidR="00BB5E30">
        <w:rPr>
          <w:rFonts w:ascii="华文楷体" w:hAnsi="华文楷体" w:hint="eastAsia"/>
          <w:b w:val="0"/>
          <w:smallCaps w:val="0"/>
          <w:color w:val="auto"/>
          <w:sz w:val="24"/>
          <w:szCs w:val="24"/>
        </w:rPr>
        <w:t>，预计该情形要等</w:t>
      </w:r>
      <w:r w:rsidR="006C5D7C">
        <w:rPr>
          <w:rFonts w:ascii="华文楷体" w:hAnsi="华文楷体" w:hint="eastAsia"/>
          <w:b w:val="0"/>
          <w:smallCaps w:val="0"/>
          <w:color w:val="auto"/>
          <w:sz w:val="24"/>
          <w:szCs w:val="24"/>
        </w:rPr>
        <w:t>年</w:t>
      </w:r>
      <w:r w:rsidR="00BB5E30">
        <w:rPr>
          <w:rFonts w:ascii="华文楷体" w:hAnsi="华文楷体" w:hint="eastAsia"/>
          <w:b w:val="0"/>
          <w:smallCaps w:val="0"/>
          <w:color w:val="auto"/>
          <w:sz w:val="24"/>
          <w:szCs w:val="24"/>
        </w:rPr>
        <w:t>末跨月安排逐步消化后才</w:t>
      </w:r>
      <w:r w:rsidR="006C5D7C">
        <w:rPr>
          <w:rFonts w:ascii="华文楷体" w:hAnsi="华文楷体" w:hint="eastAsia"/>
          <w:b w:val="0"/>
          <w:smallCaps w:val="0"/>
          <w:color w:val="auto"/>
          <w:sz w:val="24"/>
          <w:szCs w:val="24"/>
        </w:rPr>
        <w:t>会</w:t>
      </w:r>
      <w:r w:rsidR="00BB5E30">
        <w:rPr>
          <w:rFonts w:ascii="华文楷体" w:hAnsi="华文楷体" w:hint="eastAsia"/>
          <w:b w:val="0"/>
          <w:smallCaps w:val="0"/>
          <w:color w:val="auto"/>
          <w:sz w:val="24"/>
          <w:szCs w:val="24"/>
        </w:rPr>
        <w:t>有明显缓解。</w:t>
      </w:r>
    </w:p>
    <w:p w14:paraId="14652710" w14:textId="77777777" w:rsidR="00672FC9" w:rsidRDefault="00672FC9" w:rsidP="007B568D">
      <w:pPr>
        <w:pStyle w:val="Header1"/>
        <w:spacing w:before="0" w:after="0"/>
        <w:ind w:firstLine="480"/>
        <w:rPr>
          <w:rFonts w:ascii="华文楷体" w:hAnsi="华文楷体"/>
          <w:b w:val="0"/>
          <w:smallCaps w:val="0"/>
          <w:color w:val="auto"/>
          <w:sz w:val="24"/>
          <w:szCs w:val="24"/>
        </w:rPr>
      </w:pPr>
    </w:p>
    <w:p w14:paraId="7EEDEF05" w14:textId="03ED7DEC" w:rsidR="00E0626C" w:rsidRDefault="005E5CB1" w:rsidP="009A2BA0">
      <w:pPr>
        <w:pStyle w:val="Header1"/>
        <w:spacing w:before="240"/>
        <w:rPr>
          <w:color w:val="C45911" w:themeColor="accent2" w:themeShade="BF"/>
        </w:rPr>
      </w:pPr>
      <w:r>
        <w:rPr>
          <w:rFonts w:hint="eastAsia"/>
          <w:color w:val="C45911" w:themeColor="accent2" w:themeShade="BF"/>
        </w:rPr>
        <w:t>二</w:t>
      </w:r>
      <w:r w:rsidR="00E0626C" w:rsidRPr="004C5268">
        <w:rPr>
          <w:rFonts w:hint="eastAsia"/>
          <w:color w:val="C45911" w:themeColor="accent2" w:themeShade="BF"/>
        </w:rPr>
        <w:t>、</w:t>
      </w:r>
      <w:r w:rsidR="00E0626C">
        <w:rPr>
          <w:rFonts w:hint="eastAsia"/>
          <w:color w:val="C45911" w:themeColor="accent2" w:themeShade="BF"/>
        </w:rPr>
        <w:t>上周市场回顾</w:t>
      </w:r>
    </w:p>
    <w:p w14:paraId="08F77D38" w14:textId="58EA1DC1" w:rsidR="00E0626C" w:rsidRPr="00945073" w:rsidRDefault="00E0626C" w:rsidP="009A2BA0">
      <w:pPr>
        <w:pStyle w:val="Header2"/>
        <w:rPr>
          <w:rFonts w:eastAsia="PMingLiU"/>
          <w:sz w:val="28"/>
          <w:szCs w:val="21"/>
          <w:lang w:eastAsia="zh-CN"/>
        </w:rPr>
      </w:pPr>
      <w:r>
        <w:rPr>
          <w:rFonts w:hint="eastAsia"/>
          <w:sz w:val="28"/>
          <w:szCs w:val="21"/>
          <w:lang w:eastAsia="zh-CN"/>
        </w:rPr>
        <w:t>1</w:t>
      </w:r>
      <w:r>
        <w:rPr>
          <w:rFonts w:hint="eastAsia"/>
          <w:sz w:val="28"/>
          <w:szCs w:val="21"/>
          <w:lang w:eastAsia="zh-CN"/>
        </w:rPr>
        <w:t>、</w:t>
      </w:r>
      <w:r>
        <w:rPr>
          <w:rFonts w:hint="eastAsia"/>
          <w:sz w:val="28"/>
          <w:szCs w:val="21"/>
        </w:rPr>
        <w:t>资金面</w:t>
      </w:r>
    </w:p>
    <w:p w14:paraId="5B44DCF6" w14:textId="304AA20D" w:rsidR="00EA1459" w:rsidRPr="00EA1459" w:rsidRDefault="008628FA" w:rsidP="00EC3415">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本周</w:t>
      </w:r>
      <w:r w:rsidR="00EC3415">
        <w:rPr>
          <w:rFonts w:ascii="华文楷体" w:hAnsi="华文楷体" w:hint="eastAsia"/>
          <w:sz w:val="24"/>
          <w:szCs w:val="24"/>
          <w:lang w:eastAsia="zh-CN"/>
        </w:rPr>
        <w:t>央行公开市场</w:t>
      </w:r>
      <w:r w:rsidR="00D9413F">
        <w:rPr>
          <w:rFonts w:ascii="华文楷体" w:hAnsi="华文楷体" w:hint="eastAsia"/>
          <w:sz w:val="24"/>
          <w:szCs w:val="24"/>
          <w:lang w:eastAsia="zh-CN"/>
        </w:rPr>
        <w:t>操作</w:t>
      </w:r>
      <w:r w:rsidR="003C6AC1">
        <w:rPr>
          <w:rFonts w:ascii="华文楷体" w:hAnsi="华文楷体" w:hint="eastAsia"/>
          <w:sz w:val="24"/>
          <w:szCs w:val="24"/>
          <w:lang w:eastAsia="zh-CN"/>
        </w:rPr>
        <w:t>净</w:t>
      </w:r>
      <w:r w:rsidR="00E71119">
        <w:rPr>
          <w:rFonts w:ascii="华文楷体" w:hAnsi="华文楷体" w:hint="eastAsia"/>
          <w:sz w:val="24"/>
          <w:szCs w:val="24"/>
          <w:lang w:eastAsia="zh-CN"/>
        </w:rPr>
        <w:t>回笼3</w:t>
      </w:r>
      <w:r w:rsidR="00794DBA">
        <w:rPr>
          <w:rFonts w:ascii="华文楷体" w:hAnsi="华文楷体"/>
          <w:sz w:val="24"/>
          <w:szCs w:val="24"/>
          <w:lang w:eastAsia="zh-CN"/>
        </w:rPr>
        <w:t>3</w:t>
      </w:r>
      <w:r w:rsidR="003C6AC1">
        <w:rPr>
          <w:rFonts w:ascii="华文楷体" w:hAnsi="华文楷体" w:hint="eastAsia"/>
          <w:sz w:val="24"/>
          <w:szCs w:val="24"/>
          <w:lang w:eastAsia="zh-CN"/>
        </w:rPr>
        <w:t>00</w:t>
      </w:r>
      <w:r w:rsidR="00DC4A12">
        <w:rPr>
          <w:rFonts w:ascii="华文楷体" w:hAnsi="华文楷体" w:hint="eastAsia"/>
          <w:sz w:val="24"/>
          <w:szCs w:val="24"/>
          <w:lang w:eastAsia="zh-CN"/>
        </w:rPr>
        <w:t>亿</w:t>
      </w:r>
      <w:r w:rsidR="002C4ACD">
        <w:rPr>
          <w:rFonts w:ascii="华文楷体" w:hAnsi="华文楷体" w:hint="eastAsia"/>
          <w:sz w:val="24"/>
          <w:szCs w:val="24"/>
          <w:lang w:eastAsia="zh-CN"/>
        </w:rPr>
        <w:t>，</w:t>
      </w:r>
      <w:r w:rsidR="005952B7">
        <w:rPr>
          <w:rFonts w:ascii="华文楷体" w:hAnsi="华文楷体" w:hint="eastAsia"/>
          <w:sz w:val="24"/>
          <w:szCs w:val="24"/>
          <w:lang w:eastAsia="zh-CN"/>
        </w:rPr>
        <w:t>其中到期</w:t>
      </w:r>
      <w:r w:rsidR="00F14B3A">
        <w:rPr>
          <w:rFonts w:ascii="华文楷体" w:hAnsi="华文楷体" w:hint="eastAsia"/>
          <w:sz w:val="24"/>
          <w:szCs w:val="24"/>
          <w:lang w:eastAsia="zh-CN"/>
        </w:rPr>
        <w:t>7300</w:t>
      </w:r>
      <w:r w:rsidR="005952B7">
        <w:rPr>
          <w:rFonts w:ascii="华文楷体" w:hAnsi="华文楷体" w:hint="eastAsia"/>
          <w:sz w:val="24"/>
          <w:szCs w:val="24"/>
          <w:lang w:eastAsia="zh-CN"/>
        </w:rPr>
        <w:t>亿，投放</w:t>
      </w:r>
      <w:r w:rsidR="00794DBA">
        <w:rPr>
          <w:rFonts w:ascii="华文楷体" w:hAnsi="华文楷体"/>
          <w:sz w:val="24"/>
          <w:szCs w:val="24"/>
          <w:lang w:eastAsia="zh-CN"/>
        </w:rPr>
        <w:t>4</w:t>
      </w:r>
      <w:r w:rsidR="00F14B3A">
        <w:rPr>
          <w:rFonts w:ascii="华文楷体" w:hAnsi="华文楷体" w:hint="eastAsia"/>
          <w:sz w:val="24"/>
          <w:szCs w:val="24"/>
          <w:lang w:eastAsia="zh-CN"/>
        </w:rPr>
        <w:t>00</w:t>
      </w:r>
      <w:r w:rsidR="001969E7">
        <w:rPr>
          <w:rFonts w:ascii="华文楷体" w:hAnsi="华文楷体" w:hint="eastAsia"/>
          <w:sz w:val="24"/>
          <w:szCs w:val="24"/>
          <w:lang w:eastAsia="zh-CN"/>
        </w:rPr>
        <w:t>0</w:t>
      </w:r>
      <w:r w:rsidR="005952B7">
        <w:rPr>
          <w:rFonts w:ascii="华文楷体" w:hAnsi="华文楷体" w:hint="eastAsia"/>
          <w:sz w:val="24"/>
          <w:szCs w:val="24"/>
          <w:lang w:eastAsia="zh-CN"/>
        </w:rPr>
        <w:t>亿</w:t>
      </w:r>
      <w:r w:rsidR="005671F6">
        <w:rPr>
          <w:rFonts w:ascii="华文楷体" w:hAnsi="华文楷体" w:hint="eastAsia"/>
          <w:sz w:val="24"/>
          <w:szCs w:val="24"/>
          <w:lang w:eastAsia="zh-CN"/>
        </w:rPr>
        <w:t>。</w:t>
      </w:r>
      <w:r w:rsidR="00F14B3A">
        <w:rPr>
          <w:rFonts w:ascii="华文楷体" w:hAnsi="华文楷体" w:hint="eastAsia"/>
          <w:sz w:val="24"/>
          <w:szCs w:val="24"/>
          <w:lang w:eastAsia="zh-CN"/>
        </w:rPr>
        <w:t>资金面持续较平稳，交易所和银行间资金价格回归政策利率为主，</w:t>
      </w:r>
      <w:r w:rsidR="00854190">
        <w:rPr>
          <w:rFonts w:ascii="华文楷体" w:hAnsi="华文楷体" w:hint="eastAsia"/>
          <w:sz w:val="24"/>
          <w:szCs w:val="24"/>
          <w:lang w:eastAsia="zh-CN"/>
        </w:rPr>
        <w:t>周五</w:t>
      </w:r>
      <w:r w:rsidR="00EC3415">
        <w:rPr>
          <w:rFonts w:ascii="华文楷体" w:hAnsi="华文楷体" w:hint="eastAsia"/>
          <w:sz w:val="24"/>
          <w:szCs w:val="24"/>
          <w:lang w:eastAsia="zh-CN"/>
        </w:rPr>
        <w:t>隔夜</w:t>
      </w:r>
      <w:r w:rsidR="00D9413F">
        <w:rPr>
          <w:rFonts w:ascii="华文楷体" w:hAnsi="华文楷体" w:hint="eastAsia"/>
          <w:sz w:val="24"/>
          <w:szCs w:val="24"/>
          <w:lang w:eastAsia="zh-CN"/>
        </w:rPr>
        <w:t>较上周</w:t>
      </w:r>
      <w:r w:rsidR="00F14B3A">
        <w:rPr>
          <w:rFonts w:ascii="华文楷体" w:hAnsi="华文楷体" w:hint="eastAsia"/>
          <w:sz w:val="24"/>
          <w:szCs w:val="24"/>
          <w:lang w:eastAsia="zh-CN"/>
        </w:rPr>
        <w:t>五上行26</w:t>
      </w:r>
      <w:r w:rsidR="00D9413F">
        <w:rPr>
          <w:rFonts w:ascii="华文楷体" w:hAnsi="华文楷体" w:hint="eastAsia"/>
          <w:sz w:val="24"/>
          <w:szCs w:val="24"/>
          <w:lang w:eastAsia="zh-CN"/>
        </w:rPr>
        <w:t>BP至</w:t>
      </w:r>
      <w:r w:rsidR="00F14B3A">
        <w:rPr>
          <w:rFonts w:ascii="华文楷体" w:hAnsi="华文楷体" w:hint="eastAsia"/>
          <w:sz w:val="24"/>
          <w:szCs w:val="24"/>
          <w:lang w:eastAsia="zh-CN"/>
        </w:rPr>
        <w:t>1.15</w:t>
      </w:r>
      <w:r w:rsidR="00D9413F">
        <w:rPr>
          <w:rFonts w:ascii="华文楷体" w:hAnsi="华文楷体" w:hint="eastAsia"/>
          <w:sz w:val="24"/>
          <w:szCs w:val="24"/>
          <w:lang w:eastAsia="zh-CN"/>
        </w:rPr>
        <w:t>%，</w:t>
      </w:r>
      <w:r w:rsidR="00EC3415">
        <w:rPr>
          <w:rFonts w:ascii="华文楷体" w:hAnsi="华文楷体" w:hint="eastAsia"/>
          <w:sz w:val="24"/>
          <w:szCs w:val="24"/>
          <w:lang w:eastAsia="zh-CN"/>
        </w:rPr>
        <w:t>7天</w:t>
      </w:r>
      <w:r w:rsidR="00D9413F">
        <w:rPr>
          <w:rFonts w:ascii="华文楷体" w:hAnsi="华文楷体" w:hint="eastAsia"/>
          <w:sz w:val="24"/>
          <w:szCs w:val="24"/>
          <w:lang w:eastAsia="zh-CN"/>
        </w:rPr>
        <w:t>较上周</w:t>
      </w:r>
      <w:r w:rsidR="00F14B3A">
        <w:rPr>
          <w:rFonts w:ascii="华文楷体" w:hAnsi="华文楷体" w:hint="eastAsia"/>
          <w:sz w:val="24"/>
          <w:szCs w:val="24"/>
          <w:lang w:eastAsia="zh-CN"/>
        </w:rPr>
        <w:t>下行26</w:t>
      </w:r>
      <w:r w:rsidR="00D9413F">
        <w:rPr>
          <w:rFonts w:ascii="华文楷体" w:hAnsi="华文楷体" w:hint="eastAsia"/>
          <w:sz w:val="24"/>
          <w:szCs w:val="24"/>
          <w:lang w:eastAsia="zh-CN"/>
        </w:rPr>
        <w:t>BP至</w:t>
      </w:r>
      <w:r w:rsidR="00E73151">
        <w:rPr>
          <w:rFonts w:ascii="华文楷体" w:hAnsi="华文楷体"/>
          <w:sz w:val="24"/>
          <w:szCs w:val="24"/>
          <w:lang w:eastAsia="zh-CN"/>
        </w:rPr>
        <w:t>2</w:t>
      </w:r>
      <w:r w:rsidR="00F4221A">
        <w:rPr>
          <w:rFonts w:ascii="华文楷体" w:hAnsi="华文楷体" w:hint="eastAsia"/>
          <w:sz w:val="24"/>
          <w:szCs w:val="24"/>
          <w:lang w:eastAsia="zh-CN"/>
        </w:rPr>
        <w:t>.</w:t>
      </w:r>
      <w:r w:rsidR="00F14B3A">
        <w:rPr>
          <w:rFonts w:ascii="华文楷体" w:hAnsi="华文楷体" w:hint="eastAsia"/>
          <w:sz w:val="24"/>
          <w:szCs w:val="24"/>
          <w:lang w:eastAsia="zh-CN"/>
        </w:rPr>
        <w:t>33</w:t>
      </w:r>
      <w:r w:rsidR="00EC3415">
        <w:rPr>
          <w:rFonts w:ascii="华文楷体" w:hAnsi="华文楷体" w:hint="eastAsia"/>
          <w:sz w:val="24"/>
          <w:szCs w:val="24"/>
          <w:lang w:eastAsia="zh-CN"/>
        </w:rPr>
        <w:t>%</w:t>
      </w:r>
      <w:r w:rsidR="009D5B8D">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60E58867" w14:textId="77777777" w:rsidTr="005671F6">
        <w:trPr>
          <w:jc w:val="center"/>
        </w:trPr>
        <w:tc>
          <w:tcPr>
            <w:tcW w:w="4939" w:type="dxa"/>
            <w:vAlign w:val="center"/>
          </w:tcPr>
          <w:p w14:paraId="17724E9F" w14:textId="1A5A88F2" w:rsidR="00E0626C" w:rsidRPr="006A5F34" w:rsidRDefault="00E0626C" w:rsidP="009A2BA0">
            <w:pPr>
              <w:pStyle w:val="ChartHeading"/>
              <w:jc w:val="both"/>
            </w:pPr>
            <w:bookmarkStart w:id="1" w:name="_Hlk12804578"/>
            <w:r w:rsidRPr="006A5F34">
              <w:rPr>
                <w:rFonts w:hint="eastAsia"/>
              </w:rPr>
              <w:lastRenderedPageBreak/>
              <w:t>图表</w:t>
            </w:r>
            <w:r w:rsidRPr="006A5F34">
              <w:t xml:space="preserve">. </w:t>
            </w:r>
            <w:r>
              <w:rPr>
                <w:rFonts w:hint="eastAsia"/>
              </w:rPr>
              <w:t>央行公开市场</w:t>
            </w:r>
            <w:r w:rsidR="00065B19">
              <w:rPr>
                <w:rFonts w:hint="eastAsia"/>
              </w:rPr>
              <w:t>逆回购</w:t>
            </w:r>
            <w:r>
              <w:rPr>
                <w:rFonts w:hint="eastAsia"/>
              </w:rPr>
              <w:t>操作</w:t>
            </w:r>
          </w:p>
        </w:tc>
        <w:tc>
          <w:tcPr>
            <w:tcW w:w="4938" w:type="dxa"/>
            <w:vAlign w:val="center"/>
          </w:tcPr>
          <w:p w14:paraId="173ED7B2" w14:textId="65A78209" w:rsidR="00E0626C" w:rsidRPr="006A5F34" w:rsidRDefault="00E0626C" w:rsidP="009A2BA0">
            <w:pPr>
              <w:pStyle w:val="ChartHeading"/>
              <w:jc w:val="both"/>
            </w:pPr>
            <w:r w:rsidRPr="006A5F34">
              <w:rPr>
                <w:rFonts w:hint="eastAsia"/>
              </w:rPr>
              <w:t>图表</w:t>
            </w:r>
            <w:r w:rsidRPr="006A5F34">
              <w:t xml:space="preserve">. </w:t>
            </w:r>
            <w:r>
              <w:rPr>
                <w:rFonts w:hint="eastAsia"/>
              </w:rPr>
              <w:t>DR</w:t>
            </w:r>
            <w:r>
              <w:t>007</w:t>
            </w:r>
            <w:r>
              <w:rPr>
                <w:rFonts w:hint="eastAsia"/>
              </w:rPr>
              <w:t>与</w:t>
            </w:r>
            <w:r>
              <w:rPr>
                <w:rFonts w:hint="eastAsia"/>
              </w:rPr>
              <w:t>R</w:t>
            </w:r>
            <w:r>
              <w:t>007</w:t>
            </w:r>
            <w:r>
              <w:rPr>
                <w:rFonts w:hint="eastAsia"/>
              </w:rPr>
              <w:t>走势</w:t>
            </w:r>
          </w:p>
        </w:tc>
      </w:tr>
      <w:tr w:rsidR="00E0626C" w:rsidRPr="006A5F34" w14:paraId="794C3731" w14:textId="77777777" w:rsidTr="00F14B3A">
        <w:tblPrEx>
          <w:tblCellMar>
            <w:left w:w="108" w:type="dxa"/>
            <w:right w:w="108" w:type="dxa"/>
          </w:tblCellMar>
        </w:tblPrEx>
        <w:trPr>
          <w:jc w:val="center"/>
        </w:trPr>
        <w:tc>
          <w:tcPr>
            <w:tcW w:w="4939" w:type="dxa"/>
            <w:vAlign w:val="center"/>
          </w:tcPr>
          <w:p w14:paraId="60AEAEDC" w14:textId="6927F2B3" w:rsidR="00E0626C" w:rsidRPr="003C6AC1" w:rsidRDefault="00F14B3A" w:rsidP="009A2BA0">
            <w:pPr>
              <w:jc w:val="center"/>
              <w:rPr>
                <w:noProof/>
                <w:sz w:val="20"/>
              </w:rPr>
            </w:pPr>
            <w:r>
              <w:rPr>
                <w:noProof/>
              </w:rPr>
              <w:drawing>
                <wp:inline distT="0" distB="0" distL="0" distR="0" wp14:anchorId="3C96AE18" wp14:editId="7D7B1FAF">
                  <wp:extent cx="2999105" cy="1726184"/>
                  <wp:effectExtent l="0" t="0" r="0" b="7620"/>
                  <wp:docPr id="1" name="图表 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00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c>
          <w:tcPr>
            <w:tcW w:w="4938" w:type="dxa"/>
            <w:vAlign w:val="center"/>
          </w:tcPr>
          <w:p w14:paraId="287706CA" w14:textId="052FBA9A" w:rsidR="00E0626C" w:rsidRPr="00F62F43" w:rsidRDefault="00F14B3A" w:rsidP="009A2BA0">
            <w:pPr>
              <w:jc w:val="center"/>
              <w:rPr>
                <w:noProof/>
                <w:sz w:val="16"/>
                <w:szCs w:val="18"/>
              </w:rPr>
            </w:pPr>
            <w:r>
              <w:rPr>
                <w:noProof/>
              </w:rPr>
              <w:drawing>
                <wp:inline distT="0" distB="0" distL="0" distR="0" wp14:anchorId="13166A0F" wp14:editId="7A1A19D9">
                  <wp:extent cx="3064510" cy="1762964"/>
                  <wp:effectExtent l="0" t="0" r="2540" b="8890"/>
                  <wp:docPr id="2" name="图表 2">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0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tc>
      </w:tr>
      <w:tr w:rsidR="00E0626C" w:rsidRPr="006A5F34" w14:paraId="59562A2C" w14:textId="77777777" w:rsidTr="005671F6">
        <w:trPr>
          <w:trHeight w:val="64"/>
          <w:jc w:val="center"/>
        </w:trPr>
        <w:tc>
          <w:tcPr>
            <w:tcW w:w="4939" w:type="dxa"/>
            <w:vAlign w:val="center"/>
          </w:tcPr>
          <w:p w14:paraId="7BEE3B66"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7D69A7C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bookmarkEnd w:id="1"/>
    </w:tbl>
    <w:p w14:paraId="599CD2B1" w14:textId="77777777" w:rsidR="00E0626C" w:rsidRPr="004003D2" w:rsidRDefault="00E0626C" w:rsidP="009A2BA0">
      <w:pPr>
        <w:pStyle w:val="Body-text"/>
        <w:spacing w:after="0"/>
        <w:rPr>
          <w:lang w:eastAsia="zh-CN"/>
        </w:rPr>
      </w:pPr>
    </w:p>
    <w:p w14:paraId="704BC20A" w14:textId="65C0D621" w:rsidR="00E0626C" w:rsidRPr="00C73E5D" w:rsidRDefault="00E0626C" w:rsidP="009A2BA0">
      <w:pPr>
        <w:pStyle w:val="Header2"/>
        <w:rPr>
          <w:rFonts w:eastAsia="PMingLiU"/>
          <w:sz w:val="28"/>
          <w:szCs w:val="21"/>
        </w:rPr>
      </w:pPr>
      <w:r>
        <w:rPr>
          <w:sz w:val="28"/>
          <w:szCs w:val="21"/>
          <w:lang w:eastAsia="zh-CN"/>
        </w:rPr>
        <w:t>2</w:t>
      </w:r>
      <w:r>
        <w:rPr>
          <w:rFonts w:hint="eastAsia"/>
          <w:sz w:val="28"/>
          <w:szCs w:val="21"/>
          <w:lang w:eastAsia="zh-CN"/>
        </w:rPr>
        <w:t>、</w:t>
      </w:r>
      <w:r>
        <w:rPr>
          <w:rFonts w:hint="eastAsia"/>
          <w:sz w:val="28"/>
          <w:szCs w:val="21"/>
        </w:rPr>
        <w:t>利率债</w:t>
      </w:r>
    </w:p>
    <w:p w14:paraId="57F5B859" w14:textId="1A7BCDC3" w:rsidR="00D948D7" w:rsidRDefault="00882FA5" w:rsidP="006C1830">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本周</w:t>
      </w:r>
      <w:proofErr w:type="gramStart"/>
      <w:r w:rsidR="005A2EBC">
        <w:rPr>
          <w:rFonts w:ascii="华文楷体" w:hAnsi="华文楷体" w:hint="eastAsia"/>
          <w:sz w:val="24"/>
          <w:szCs w:val="24"/>
          <w:lang w:eastAsia="zh-CN"/>
        </w:rPr>
        <w:t>利率</w:t>
      </w:r>
      <w:r w:rsidR="005A2EBC">
        <w:rPr>
          <w:rFonts w:ascii="华文楷体" w:hAnsi="华文楷体"/>
          <w:sz w:val="24"/>
          <w:szCs w:val="24"/>
          <w:lang w:eastAsia="zh-CN"/>
        </w:rPr>
        <w:t>债</w:t>
      </w:r>
      <w:r w:rsidR="00176815">
        <w:rPr>
          <w:rFonts w:ascii="华文楷体" w:hAnsi="华文楷体" w:hint="eastAsia"/>
          <w:sz w:val="24"/>
          <w:szCs w:val="24"/>
          <w:lang w:eastAsia="zh-CN"/>
        </w:rPr>
        <w:t>各</w:t>
      </w:r>
      <w:r w:rsidR="000544C9">
        <w:rPr>
          <w:rFonts w:ascii="华文楷体" w:hAnsi="华文楷体" w:hint="eastAsia"/>
          <w:sz w:val="24"/>
          <w:szCs w:val="24"/>
          <w:lang w:eastAsia="zh-CN"/>
        </w:rPr>
        <w:t>主要</w:t>
      </w:r>
      <w:proofErr w:type="gramEnd"/>
      <w:r w:rsidR="000544C9">
        <w:rPr>
          <w:rFonts w:ascii="华文楷体" w:hAnsi="华文楷体" w:hint="eastAsia"/>
          <w:sz w:val="24"/>
          <w:szCs w:val="24"/>
          <w:lang w:eastAsia="zh-CN"/>
        </w:rPr>
        <w:t>期限利率</w:t>
      </w:r>
      <w:r w:rsidR="00176815">
        <w:rPr>
          <w:rFonts w:ascii="华文楷体" w:hAnsi="华文楷体" w:hint="eastAsia"/>
          <w:sz w:val="24"/>
          <w:szCs w:val="24"/>
          <w:lang w:eastAsia="zh-CN"/>
        </w:rPr>
        <w:t>小幅下行</w:t>
      </w:r>
      <w:r w:rsidR="00A31796">
        <w:rPr>
          <w:rFonts w:ascii="华文楷体" w:hAnsi="华文楷体" w:hint="eastAsia"/>
          <w:sz w:val="24"/>
          <w:szCs w:val="24"/>
          <w:lang w:eastAsia="zh-CN"/>
        </w:rPr>
        <w:t>，</w:t>
      </w:r>
      <w:r w:rsidR="00A327C0">
        <w:rPr>
          <w:rFonts w:ascii="华文楷体" w:hAnsi="华文楷体" w:hint="eastAsia"/>
          <w:sz w:val="24"/>
          <w:szCs w:val="24"/>
          <w:lang w:eastAsia="zh-CN"/>
        </w:rPr>
        <w:t>期限利差</w:t>
      </w:r>
      <w:r w:rsidR="00A31796">
        <w:rPr>
          <w:rFonts w:ascii="华文楷体" w:hAnsi="华文楷体" w:hint="eastAsia"/>
          <w:sz w:val="24"/>
          <w:szCs w:val="24"/>
          <w:lang w:eastAsia="zh-CN"/>
        </w:rPr>
        <w:t>仍</w:t>
      </w:r>
      <w:r w:rsidR="00176815">
        <w:rPr>
          <w:rFonts w:ascii="华文楷体" w:hAnsi="华文楷体" w:hint="eastAsia"/>
          <w:sz w:val="24"/>
          <w:szCs w:val="24"/>
          <w:lang w:eastAsia="zh-CN"/>
        </w:rPr>
        <w:t>维持低位震荡</w:t>
      </w:r>
      <w:r w:rsidR="00F62F43">
        <w:rPr>
          <w:rFonts w:ascii="华文楷体" w:hAnsi="华文楷体" w:hint="eastAsia"/>
          <w:sz w:val="24"/>
          <w:szCs w:val="24"/>
          <w:lang w:eastAsia="zh-CN"/>
        </w:rPr>
        <w:t>，</w:t>
      </w:r>
      <w:r w:rsidR="00A327C0">
        <w:rPr>
          <w:rFonts w:ascii="华文楷体" w:hAnsi="华文楷体" w:hint="eastAsia"/>
          <w:sz w:val="24"/>
          <w:szCs w:val="24"/>
          <w:lang w:eastAsia="zh-CN"/>
        </w:rPr>
        <w:t>国债10年和1Y期限利差</w:t>
      </w:r>
      <w:r w:rsidR="00F62F43">
        <w:rPr>
          <w:rFonts w:ascii="华文楷体" w:hAnsi="华文楷体" w:hint="eastAsia"/>
          <w:sz w:val="24"/>
          <w:szCs w:val="24"/>
          <w:lang w:eastAsia="zh-CN"/>
        </w:rPr>
        <w:t>在</w:t>
      </w:r>
      <w:r w:rsidR="00E73151">
        <w:rPr>
          <w:rFonts w:ascii="华文楷体" w:hAnsi="华文楷体"/>
          <w:sz w:val="24"/>
          <w:szCs w:val="24"/>
          <w:lang w:eastAsia="zh-CN"/>
        </w:rPr>
        <w:t>3</w:t>
      </w:r>
      <w:r w:rsidR="00176815">
        <w:rPr>
          <w:rFonts w:ascii="华文楷体" w:hAnsi="华文楷体"/>
          <w:sz w:val="24"/>
          <w:szCs w:val="24"/>
          <w:lang w:eastAsia="zh-CN"/>
        </w:rPr>
        <w:t>9</w:t>
      </w:r>
      <w:r w:rsidR="002F2A1A">
        <w:rPr>
          <w:rFonts w:ascii="华文楷体" w:hAnsi="华文楷体" w:hint="eastAsia"/>
          <w:sz w:val="24"/>
          <w:szCs w:val="24"/>
          <w:lang w:eastAsia="zh-CN"/>
        </w:rPr>
        <w:t>BP</w:t>
      </w:r>
      <w:r w:rsidR="00F62F43">
        <w:rPr>
          <w:rFonts w:ascii="华文楷体" w:hAnsi="华文楷体" w:hint="eastAsia"/>
          <w:sz w:val="24"/>
          <w:szCs w:val="24"/>
          <w:lang w:eastAsia="zh-CN"/>
        </w:rPr>
        <w:t>，</w:t>
      </w:r>
      <w:proofErr w:type="gramStart"/>
      <w:r w:rsidR="00F62F43">
        <w:rPr>
          <w:rFonts w:ascii="华文楷体" w:hAnsi="华文楷体" w:hint="eastAsia"/>
          <w:sz w:val="24"/>
          <w:szCs w:val="24"/>
          <w:lang w:eastAsia="zh-CN"/>
        </w:rPr>
        <w:t>国开债</w:t>
      </w:r>
      <w:proofErr w:type="gramEnd"/>
      <w:r w:rsidR="00F62F43">
        <w:rPr>
          <w:rFonts w:ascii="华文楷体" w:hAnsi="华文楷体" w:hint="eastAsia"/>
          <w:sz w:val="24"/>
          <w:szCs w:val="24"/>
          <w:lang w:eastAsia="zh-CN"/>
        </w:rPr>
        <w:t>10Y与1Y利差在</w:t>
      </w:r>
      <w:r w:rsidR="00A31796">
        <w:rPr>
          <w:rFonts w:ascii="华文楷体" w:hAnsi="华文楷体" w:hint="eastAsia"/>
          <w:sz w:val="24"/>
          <w:szCs w:val="24"/>
          <w:lang w:eastAsia="zh-CN"/>
        </w:rPr>
        <w:t>70</w:t>
      </w:r>
      <w:r w:rsidR="00F62F43">
        <w:rPr>
          <w:rFonts w:ascii="华文楷体" w:hAnsi="华文楷体" w:hint="eastAsia"/>
          <w:sz w:val="24"/>
          <w:szCs w:val="24"/>
          <w:lang w:eastAsia="zh-CN"/>
        </w:rPr>
        <w:t>BP</w:t>
      </w:r>
      <w:r w:rsidR="006C1830">
        <w:rPr>
          <w:rFonts w:ascii="华文楷体" w:hAnsi="华文楷体"/>
          <w:sz w:val="24"/>
          <w:szCs w:val="24"/>
          <w:lang w:eastAsia="zh-CN"/>
        </w:rPr>
        <w:t>。</w:t>
      </w:r>
      <w:r w:rsidR="0092340D">
        <w:rPr>
          <w:rFonts w:ascii="华文楷体" w:hAnsi="华文楷体" w:hint="eastAsia"/>
          <w:sz w:val="24"/>
          <w:szCs w:val="24"/>
          <w:lang w:eastAsia="zh-CN"/>
        </w:rPr>
        <w:t>最终，本</w:t>
      </w:r>
      <w:r>
        <w:rPr>
          <w:rFonts w:ascii="华文楷体" w:hAnsi="华文楷体" w:hint="eastAsia"/>
          <w:sz w:val="24"/>
          <w:szCs w:val="24"/>
          <w:lang w:eastAsia="zh-CN"/>
        </w:rPr>
        <w:t>周</w:t>
      </w:r>
      <w:r w:rsidR="00202D86">
        <w:rPr>
          <w:rFonts w:ascii="华文楷体" w:hAnsi="华文楷体" w:hint="eastAsia"/>
          <w:sz w:val="24"/>
          <w:szCs w:val="24"/>
          <w:lang w:eastAsia="zh-CN"/>
        </w:rPr>
        <w:t>1</w:t>
      </w:r>
      <w:r w:rsidR="00202D86">
        <w:rPr>
          <w:rFonts w:ascii="华文楷体" w:hAnsi="华文楷体"/>
          <w:sz w:val="24"/>
          <w:szCs w:val="24"/>
          <w:lang w:eastAsia="zh-CN"/>
        </w:rPr>
        <w:t>0</w:t>
      </w:r>
      <w:r w:rsidR="00202D86">
        <w:rPr>
          <w:rFonts w:ascii="华文楷体" w:hAnsi="华文楷体" w:hint="eastAsia"/>
          <w:sz w:val="24"/>
          <w:szCs w:val="24"/>
          <w:lang w:eastAsia="zh-CN"/>
        </w:rPr>
        <w:t>Y国债</w:t>
      </w:r>
      <w:r w:rsidR="00176815">
        <w:rPr>
          <w:rFonts w:ascii="华文楷体" w:hAnsi="华文楷体" w:hint="eastAsia"/>
          <w:sz w:val="24"/>
          <w:szCs w:val="24"/>
          <w:lang w:eastAsia="zh-CN"/>
        </w:rPr>
        <w:t>下行</w:t>
      </w:r>
      <w:r w:rsidR="00A31796">
        <w:rPr>
          <w:rFonts w:ascii="华文楷体" w:hAnsi="华文楷体" w:hint="eastAsia"/>
          <w:sz w:val="24"/>
          <w:szCs w:val="24"/>
          <w:lang w:eastAsia="zh-CN"/>
        </w:rPr>
        <w:t>3.5</w:t>
      </w:r>
      <w:r w:rsidR="0092340D">
        <w:rPr>
          <w:rFonts w:ascii="华文楷体" w:hAnsi="华文楷体" w:hint="eastAsia"/>
          <w:sz w:val="24"/>
          <w:szCs w:val="24"/>
          <w:lang w:eastAsia="zh-CN"/>
        </w:rPr>
        <w:t>BP，10Y</w:t>
      </w:r>
      <w:r w:rsidR="00202D86">
        <w:rPr>
          <w:rFonts w:ascii="华文楷体" w:hAnsi="华文楷体" w:hint="eastAsia"/>
          <w:sz w:val="24"/>
          <w:szCs w:val="24"/>
          <w:lang w:eastAsia="zh-CN"/>
        </w:rPr>
        <w:t>国开</w:t>
      </w:r>
      <w:r w:rsidR="00176815">
        <w:rPr>
          <w:rFonts w:ascii="华文楷体" w:hAnsi="华文楷体" w:hint="eastAsia"/>
          <w:sz w:val="24"/>
          <w:szCs w:val="24"/>
          <w:lang w:eastAsia="zh-CN"/>
        </w:rPr>
        <w:t>下行3</w:t>
      </w:r>
      <w:r w:rsidR="00176815">
        <w:rPr>
          <w:rFonts w:ascii="华文楷体" w:hAnsi="华文楷体"/>
          <w:sz w:val="24"/>
          <w:szCs w:val="24"/>
          <w:lang w:eastAsia="zh-CN"/>
        </w:rPr>
        <w:t>.</w:t>
      </w:r>
      <w:r w:rsidR="00A31796">
        <w:rPr>
          <w:rFonts w:ascii="华文楷体" w:hAnsi="华文楷体" w:hint="eastAsia"/>
          <w:sz w:val="24"/>
          <w:szCs w:val="24"/>
          <w:lang w:eastAsia="zh-CN"/>
        </w:rPr>
        <w:t>7</w:t>
      </w:r>
      <w:r w:rsidR="00202D86">
        <w:rPr>
          <w:rFonts w:ascii="华文楷体" w:hAnsi="华文楷体" w:hint="eastAsia"/>
          <w:sz w:val="24"/>
          <w:szCs w:val="24"/>
          <w:lang w:eastAsia="zh-CN"/>
        </w:rPr>
        <w:t>BP</w:t>
      </w:r>
      <w:r w:rsidR="0092340D">
        <w:rPr>
          <w:rFonts w:ascii="华文楷体" w:hAnsi="华文楷体" w:hint="eastAsia"/>
          <w:sz w:val="24"/>
          <w:szCs w:val="24"/>
          <w:lang w:eastAsia="zh-CN"/>
        </w:rPr>
        <w:t>，</w:t>
      </w:r>
      <w:r w:rsidR="003848B1">
        <w:rPr>
          <w:rFonts w:ascii="华文楷体" w:hAnsi="华文楷体" w:hint="eastAsia"/>
          <w:sz w:val="24"/>
          <w:szCs w:val="24"/>
          <w:lang w:eastAsia="zh-CN"/>
        </w:rPr>
        <w:t>10Y</w:t>
      </w:r>
      <w:proofErr w:type="gramStart"/>
      <w:r w:rsidR="003848B1">
        <w:rPr>
          <w:rFonts w:ascii="华文楷体" w:hAnsi="华文楷体" w:hint="eastAsia"/>
          <w:sz w:val="24"/>
          <w:szCs w:val="24"/>
          <w:lang w:eastAsia="zh-CN"/>
        </w:rPr>
        <w:t>期限国开债</w:t>
      </w:r>
      <w:proofErr w:type="gramEnd"/>
      <w:r w:rsidR="003848B1">
        <w:rPr>
          <w:rFonts w:ascii="华文楷体" w:hAnsi="华文楷体" w:hint="eastAsia"/>
          <w:sz w:val="24"/>
          <w:szCs w:val="24"/>
          <w:lang w:eastAsia="zh-CN"/>
        </w:rPr>
        <w:t>和国</w:t>
      </w:r>
      <w:proofErr w:type="gramStart"/>
      <w:r w:rsidR="003848B1">
        <w:rPr>
          <w:rFonts w:ascii="华文楷体" w:hAnsi="华文楷体" w:hint="eastAsia"/>
          <w:sz w:val="24"/>
          <w:szCs w:val="24"/>
          <w:lang w:eastAsia="zh-CN"/>
        </w:rPr>
        <w:t>债利差至</w:t>
      </w:r>
      <w:proofErr w:type="gramEnd"/>
      <w:r w:rsidR="00E73151">
        <w:rPr>
          <w:rFonts w:ascii="华文楷体" w:hAnsi="华文楷体"/>
          <w:sz w:val="24"/>
          <w:szCs w:val="24"/>
          <w:lang w:eastAsia="zh-CN"/>
        </w:rPr>
        <w:t>4</w:t>
      </w:r>
      <w:r w:rsidR="00A31796">
        <w:rPr>
          <w:rFonts w:ascii="华文楷体" w:hAnsi="华文楷体" w:hint="eastAsia"/>
          <w:sz w:val="24"/>
          <w:szCs w:val="24"/>
          <w:lang w:eastAsia="zh-CN"/>
        </w:rPr>
        <w:t>4</w:t>
      </w:r>
      <w:r w:rsidR="00176815">
        <w:rPr>
          <w:rFonts w:ascii="华文楷体" w:hAnsi="华文楷体"/>
          <w:sz w:val="24"/>
          <w:szCs w:val="24"/>
          <w:lang w:eastAsia="zh-CN"/>
        </w:rPr>
        <w:t>B</w:t>
      </w:r>
      <w:r w:rsidR="003848B1">
        <w:rPr>
          <w:rFonts w:ascii="华文楷体" w:hAnsi="华文楷体" w:hint="eastAsia"/>
          <w:sz w:val="24"/>
          <w:szCs w:val="24"/>
          <w:lang w:eastAsia="zh-CN"/>
        </w:rPr>
        <w:t>P</w:t>
      </w:r>
      <w:r w:rsidR="00202D86">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26C17AB1" w14:textId="77777777" w:rsidTr="00202D86">
        <w:trPr>
          <w:jc w:val="center"/>
        </w:trPr>
        <w:tc>
          <w:tcPr>
            <w:tcW w:w="4939" w:type="dxa"/>
            <w:vAlign w:val="center"/>
          </w:tcPr>
          <w:p w14:paraId="6C73AA55" w14:textId="11937E54" w:rsidR="00E0626C" w:rsidRPr="006A5F34" w:rsidRDefault="00E0626C" w:rsidP="00BA168E">
            <w:pPr>
              <w:pStyle w:val="ChartHeading"/>
              <w:jc w:val="both"/>
            </w:pPr>
            <w:r w:rsidRPr="006A5F34">
              <w:rPr>
                <w:rFonts w:hint="eastAsia"/>
              </w:rPr>
              <w:t>图表</w:t>
            </w:r>
            <w:r w:rsidRPr="006A5F34">
              <w:t xml:space="preserve">. </w:t>
            </w:r>
            <w:r>
              <w:rPr>
                <w:rFonts w:hint="eastAsia"/>
              </w:rPr>
              <w:t>国债收益率曲线和变化</w:t>
            </w:r>
          </w:p>
        </w:tc>
        <w:tc>
          <w:tcPr>
            <w:tcW w:w="4938" w:type="dxa"/>
            <w:vAlign w:val="center"/>
          </w:tcPr>
          <w:p w14:paraId="2C5A7EDC" w14:textId="7D7F9BC1" w:rsidR="00E0626C" w:rsidRPr="006A5F34" w:rsidRDefault="00E0626C" w:rsidP="009A2BA0">
            <w:pPr>
              <w:pStyle w:val="ChartHeading"/>
              <w:jc w:val="both"/>
            </w:pPr>
            <w:r w:rsidRPr="006A5F34">
              <w:rPr>
                <w:rFonts w:hint="eastAsia"/>
              </w:rPr>
              <w:t>图表</w:t>
            </w:r>
            <w:r w:rsidRPr="006A5F34">
              <w:t xml:space="preserve">. </w:t>
            </w:r>
            <w:proofErr w:type="gramStart"/>
            <w:r>
              <w:rPr>
                <w:rFonts w:hint="eastAsia"/>
              </w:rPr>
              <w:t>国开债收益率曲线</w:t>
            </w:r>
            <w:proofErr w:type="gramEnd"/>
            <w:r>
              <w:rPr>
                <w:rFonts w:hint="eastAsia"/>
              </w:rPr>
              <w:t>和变化</w:t>
            </w:r>
          </w:p>
        </w:tc>
      </w:tr>
      <w:tr w:rsidR="00E0626C" w:rsidRPr="006A5F34" w14:paraId="1094FBBD" w14:textId="77777777" w:rsidTr="00A31796">
        <w:tblPrEx>
          <w:tblCellMar>
            <w:left w:w="108" w:type="dxa"/>
            <w:right w:w="108" w:type="dxa"/>
          </w:tblCellMar>
        </w:tblPrEx>
        <w:trPr>
          <w:jc w:val="center"/>
        </w:trPr>
        <w:tc>
          <w:tcPr>
            <w:tcW w:w="4939" w:type="dxa"/>
            <w:vAlign w:val="center"/>
          </w:tcPr>
          <w:p w14:paraId="678C97B0" w14:textId="4DE0B0DB" w:rsidR="00E0626C" w:rsidRPr="007E0340" w:rsidRDefault="00A31796" w:rsidP="002104B2">
            <w:pPr>
              <w:rPr>
                <w:noProof/>
              </w:rPr>
            </w:pPr>
            <w:r>
              <w:rPr>
                <w:noProof/>
              </w:rPr>
              <w:drawing>
                <wp:inline distT="0" distB="0" distL="0" distR="0" wp14:anchorId="3FED9FD2" wp14:editId="1025EFBF">
                  <wp:extent cx="2999105" cy="1721434"/>
                  <wp:effectExtent l="0" t="0" r="0" b="0"/>
                  <wp:docPr id="12" name="图表 12">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0200-000006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c>
          <w:tcPr>
            <w:tcW w:w="4938" w:type="dxa"/>
            <w:vAlign w:val="center"/>
          </w:tcPr>
          <w:p w14:paraId="17A42E68" w14:textId="728E5717" w:rsidR="00E0626C" w:rsidRPr="007E0340" w:rsidRDefault="00A31796" w:rsidP="009A2BA0">
            <w:pPr>
              <w:jc w:val="center"/>
              <w:rPr>
                <w:noProof/>
                <w:szCs w:val="18"/>
              </w:rPr>
            </w:pPr>
            <w:r>
              <w:rPr>
                <w:noProof/>
              </w:rPr>
              <w:drawing>
                <wp:inline distT="0" distB="0" distL="0" distR="0" wp14:anchorId="59B00038" wp14:editId="29C832F2">
                  <wp:extent cx="2998470" cy="1743278"/>
                  <wp:effectExtent l="0" t="0" r="0" b="0"/>
                  <wp:docPr id="4" name="图表 4">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03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r>
      <w:tr w:rsidR="00E0626C" w:rsidRPr="006A5F34" w14:paraId="70E50E5B" w14:textId="77777777" w:rsidTr="00202D86">
        <w:trPr>
          <w:trHeight w:val="64"/>
          <w:jc w:val="center"/>
        </w:trPr>
        <w:tc>
          <w:tcPr>
            <w:tcW w:w="4939" w:type="dxa"/>
            <w:vAlign w:val="center"/>
          </w:tcPr>
          <w:p w14:paraId="3E8A3EBA"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589540D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1E64B73D" w14:textId="1D9B94CF" w:rsidR="00E0626C" w:rsidRDefault="00E0626C" w:rsidP="009A2BA0">
      <w:pPr>
        <w:pStyle w:val="Body-text"/>
        <w:spacing w:after="0"/>
        <w:rPr>
          <w:lang w:eastAsia="zh-CN"/>
        </w:rPr>
      </w:pPr>
    </w:p>
    <w:p w14:paraId="18D67482" w14:textId="3EDA3EA7" w:rsidR="00E0626C" w:rsidRPr="00C73E5D" w:rsidRDefault="00E0626C" w:rsidP="009A2BA0">
      <w:pPr>
        <w:pStyle w:val="Header2"/>
        <w:rPr>
          <w:rFonts w:eastAsia="PMingLiU"/>
          <w:sz w:val="28"/>
          <w:szCs w:val="21"/>
        </w:rPr>
      </w:pPr>
      <w:r>
        <w:rPr>
          <w:sz w:val="28"/>
          <w:szCs w:val="21"/>
          <w:lang w:eastAsia="zh-CN"/>
        </w:rPr>
        <w:t>3</w:t>
      </w:r>
      <w:r>
        <w:rPr>
          <w:rFonts w:hint="eastAsia"/>
          <w:sz w:val="28"/>
          <w:szCs w:val="21"/>
          <w:lang w:eastAsia="zh-CN"/>
        </w:rPr>
        <w:t>、</w:t>
      </w:r>
      <w:r>
        <w:rPr>
          <w:rFonts w:hint="eastAsia"/>
          <w:sz w:val="28"/>
          <w:szCs w:val="21"/>
        </w:rPr>
        <w:t>信用债</w:t>
      </w:r>
    </w:p>
    <w:p w14:paraId="33FDD8BC" w14:textId="76C18724" w:rsidR="00D97370" w:rsidRPr="00D97370" w:rsidRDefault="00305223" w:rsidP="00DA6CA4">
      <w:pPr>
        <w:pStyle w:val="Body-text"/>
        <w:spacing w:after="240"/>
        <w:ind w:firstLineChars="200" w:firstLine="480"/>
        <w:rPr>
          <w:rFonts w:ascii="华文楷体" w:hAnsi="华文楷体"/>
          <w:sz w:val="24"/>
          <w:szCs w:val="24"/>
          <w:lang w:eastAsia="zh-CN"/>
        </w:rPr>
      </w:pPr>
      <w:r w:rsidRPr="00305223">
        <w:rPr>
          <w:rFonts w:ascii="华文楷体" w:hAnsi="华文楷体" w:hint="eastAsia"/>
          <w:sz w:val="24"/>
          <w:szCs w:val="24"/>
          <w:lang w:eastAsia="zh-CN"/>
        </w:rPr>
        <w:t>信用债</w:t>
      </w:r>
      <w:r w:rsidR="003F59A9">
        <w:rPr>
          <w:rFonts w:ascii="华文楷体" w:hAnsi="华文楷体" w:hint="eastAsia"/>
          <w:sz w:val="24"/>
          <w:szCs w:val="24"/>
          <w:lang w:eastAsia="zh-CN"/>
        </w:rPr>
        <w:t>方面</w:t>
      </w:r>
      <w:r w:rsidR="004C6CBF">
        <w:rPr>
          <w:rFonts w:ascii="华文楷体" w:hAnsi="华文楷体" w:hint="eastAsia"/>
          <w:sz w:val="24"/>
          <w:szCs w:val="24"/>
          <w:lang w:eastAsia="zh-CN"/>
        </w:rPr>
        <w:t>表现</w:t>
      </w:r>
      <w:r w:rsidR="003F59A9">
        <w:rPr>
          <w:rFonts w:ascii="华文楷体" w:hAnsi="华文楷体" w:hint="eastAsia"/>
          <w:sz w:val="24"/>
          <w:szCs w:val="24"/>
          <w:lang w:eastAsia="zh-CN"/>
        </w:rPr>
        <w:t>，</w:t>
      </w:r>
      <w:r w:rsidR="00602D14">
        <w:rPr>
          <w:rFonts w:ascii="华文楷体" w:hAnsi="华文楷体" w:hint="eastAsia"/>
          <w:sz w:val="24"/>
          <w:szCs w:val="24"/>
          <w:lang w:eastAsia="zh-CN"/>
        </w:rPr>
        <w:t>本周情绪持续修复，除3Y企业债外，其他主要品种中AAA评级修复程度略好于AA+品种。</w:t>
      </w:r>
      <w:r w:rsidR="00DA6CA4">
        <w:rPr>
          <w:rFonts w:ascii="华文楷体" w:hAnsi="华文楷体" w:hint="eastAsia"/>
          <w:sz w:val="24"/>
          <w:szCs w:val="24"/>
          <w:lang w:eastAsia="zh-CN"/>
        </w:rPr>
        <w:t>市场表现</w:t>
      </w:r>
      <w:r w:rsidR="00E817DF">
        <w:rPr>
          <w:rFonts w:ascii="华文楷体" w:hAnsi="华文楷体"/>
          <w:sz w:val="24"/>
          <w:szCs w:val="24"/>
          <w:lang w:eastAsia="zh-CN"/>
        </w:rPr>
        <w:t>，</w:t>
      </w:r>
      <w:r w:rsidR="003F59A9">
        <w:rPr>
          <w:rFonts w:ascii="华文楷体" w:hAnsi="华文楷体" w:hint="eastAsia"/>
          <w:sz w:val="24"/>
          <w:szCs w:val="24"/>
          <w:lang w:eastAsia="zh-CN"/>
        </w:rPr>
        <w:t>1</w:t>
      </w:r>
      <w:r w:rsidR="003F59A9">
        <w:rPr>
          <w:rFonts w:ascii="华文楷体" w:hAnsi="华文楷体"/>
          <w:sz w:val="24"/>
          <w:szCs w:val="24"/>
          <w:lang w:eastAsia="zh-CN"/>
        </w:rPr>
        <w:t>Y</w:t>
      </w:r>
      <w:r w:rsidRPr="00305223">
        <w:rPr>
          <w:rFonts w:ascii="华文楷体" w:hAnsi="华文楷体" w:hint="eastAsia"/>
          <w:sz w:val="24"/>
          <w:szCs w:val="24"/>
          <w:lang w:eastAsia="zh-CN"/>
        </w:rPr>
        <w:t>中</w:t>
      </w:r>
      <w:r w:rsidR="00851C6B">
        <w:rPr>
          <w:rFonts w:ascii="华文楷体" w:hAnsi="华文楷体" w:hint="eastAsia"/>
          <w:sz w:val="24"/>
          <w:szCs w:val="24"/>
          <w:lang w:eastAsia="zh-CN"/>
        </w:rPr>
        <w:t>短期票据品种</w:t>
      </w:r>
      <w:r w:rsidR="00602D14">
        <w:rPr>
          <w:rFonts w:ascii="华文楷体" w:hAnsi="华文楷体" w:hint="eastAsia"/>
          <w:sz w:val="24"/>
          <w:szCs w:val="24"/>
          <w:lang w:eastAsia="zh-CN"/>
        </w:rPr>
        <w:t>下行8BP左右</w:t>
      </w:r>
      <w:r w:rsidR="003F59A9">
        <w:rPr>
          <w:rFonts w:ascii="华文楷体" w:hAnsi="华文楷体" w:hint="eastAsia"/>
          <w:sz w:val="24"/>
          <w:szCs w:val="24"/>
          <w:lang w:eastAsia="zh-CN"/>
        </w:rPr>
        <w:t>、</w:t>
      </w:r>
      <w:r w:rsidR="00DA6CA4">
        <w:rPr>
          <w:rFonts w:ascii="华文楷体" w:hAnsi="华文楷体" w:hint="eastAsia"/>
          <w:sz w:val="24"/>
          <w:szCs w:val="24"/>
          <w:lang w:eastAsia="zh-CN"/>
        </w:rPr>
        <w:t>3</w:t>
      </w:r>
      <w:r w:rsidR="00DA6CA4">
        <w:rPr>
          <w:rFonts w:ascii="华文楷体" w:hAnsi="华文楷体"/>
          <w:sz w:val="24"/>
          <w:szCs w:val="24"/>
          <w:lang w:eastAsia="zh-CN"/>
        </w:rPr>
        <w:t>Y</w:t>
      </w:r>
      <w:r w:rsidR="00DA6CA4">
        <w:rPr>
          <w:rFonts w:ascii="华文楷体" w:hAnsi="华文楷体" w:hint="eastAsia"/>
          <w:sz w:val="24"/>
          <w:szCs w:val="24"/>
          <w:lang w:eastAsia="zh-CN"/>
        </w:rPr>
        <w:t>中票</w:t>
      </w:r>
      <w:r w:rsidR="00602D14">
        <w:rPr>
          <w:rFonts w:ascii="华文楷体" w:hAnsi="华文楷体" w:hint="eastAsia"/>
          <w:sz w:val="24"/>
          <w:szCs w:val="24"/>
          <w:lang w:eastAsia="zh-CN"/>
        </w:rPr>
        <w:t>下行3BP左右， 3Y企业债品种表现相对好于同期限中票、城投债。</w:t>
      </w:r>
      <w:r w:rsidR="00DA6CA4">
        <w:rPr>
          <w:rFonts w:ascii="华文楷体" w:hAnsi="华文楷体" w:hint="eastAsia"/>
          <w:sz w:val="24"/>
          <w:szCs w:val="24"/>
          <w:lang w:eastAsia="zh-CN"/>
        </w:rPr>
        <w:t>具体来看</w:t>
      </w:r>
      <w:r w:rsidR="00602D14">
        <w:rPr>
          <w:rFonts w:ascii="华文楷体" w:hAnsi="华文楷体" w:hint="eastAsia"/>
          <w:sz w:val="24"/>
          <w:szCs w:val="24"/>
          <w:lang w:eastAsia="zh-CN"/>
        </w:rPr>
        <w:t>收益率分位数，</w:t>
      </w:r>
      <w:r w:rsidR="00305C7B">
        <w:rPr>
          <w:rFonts w:ascii="华文楷体" w:hAnsi="华文楷体" w:hint="eastAsia"/>
          <w:sz w:val="24"/>
          <w:szCs w:val="24"/>
          <w:lang w:eastAsia="zh-CN"/>
        </w:rPr>
        <w:t>1Y品种</w:t>
      </w:r>
      <w:r w:rsidR="009929B6">
        <w:rPr>
          <w:rFonts w:ascii="华文楷体" w:hAnsi="华文楷体" w:hint="eastAsia"/>
          <w:sz w:val="24"/>
          <w:szCs w:val="24"/>
          <w:lang w:eastAsia="zh-CN"/>
        </w:rPr>
        <w:t>收益率分位数</w:t>
      </w:r>
      <w:r w:rsidR="00DA6CA4">
        <w:rPr>
          <w:rFonts w:ascii="华文楷体" w:hAnsi="华文楷体" w:hint="eastAsia"/>
          <w:sz w:val="24"/>
          <w:szCs w:val="24"/>
          <w:lang w:eastAsia="zh-CN"/>
        </w:rPr>
        <w:t>在4</w:t>
      </w:r>
      <w:r w:rsidR="00DA6CA4">
        <w:rPr>
          <w:rFonts w:ascii="华文楷体" w:hAnsi="华文楷体"/>
          <w:sz w:val="24"/>
          <w:szCs w:val="24"/>
          <w:lang w:eastAsia="zh-CN"/>
        </w:rPr>
        <w:t>5</w:t>
      </w:r>
      <w:r w:rsidR="00DA6CA4">
        <w:rPr>
          <w:rFonts w:ascii="华文楷体" w:hAnsi="华文楷体" w:hint="eastAsia"/>
          <w:sz w:val="24"/>
          <w:szCs w:val="24"/>
          <w:lang w:eastAsia="zh-CN"/>
        </w:rPr>
        <w:t>%</w:t>
      </w:r>
      <w:r w:rsidR="009929B6">
        <w:rPr>
          <w:rFonts w:ascii="华文楷体" w:hAnsi="华文楷体" w:hint="eastAsia"/>
          <w:sz w:val="24"/>
          <w:szCs w:val="24"/>
          <w:lang w:eastAsia="zh-CN"/>
        </w:rPr>
        <w:t>水平；</w:t>
      </w:r>
      <w:r w:rsidR="00305C7B">
        <w:rPr>
          <w:rFonts w:ascii="华文楷体" w:hAnsi="华文楷体" w:hint="eastAsia"/>
          <w:sz w:val="24"/>
          <w:szCs w:val="24"/>
          <w:lang w:eastAsia="zh-CN"/>
        </w:rPr>
        <w:t>3Y品种</w:t>
      </w:r>
      <w:r w:rsidR="009929B6">
        <w:rPr>
          <w:rFonts w:ascii="华文楷体" w:hAnsi="华文楷体" w:hint="eastAsia"/>
          <w:sz w:val="24"/>
          <w:szCs w:val="24"/>
          <w:lang w:eastAsia="zh-CN"/>
        </w:rPr>
        <w:t>收益率分位数在</w:t>
      </w:r>
      <w:r w:rsidR="00DA6CA4">
        <w:rPr>
          <w:rFonts w:ascii="华文楷体" w:hAnsi="华文楷体" w:hint="eastAsia"/>
          <w:sz w:val="24"/>
          <w:szCs w:val="24"/>
          <w:lang w:eastAsia="zh-CN"/>
        </w:rPr>
        <w:t>3</w:t>
      </w:r>
      <w:r w:rsidR="00DA6CA4">
        <w:rPr>
          <w:rFonts w:ascii="华文楷体" w:hAnsi="华文楷体"/>
          <w:sz w:val="24"/>
          <w:szCs w:val="24"/>
          <w:lang w:eastAsia="zh-CN"/>
        </w:rPr>
        <w:t>0</w:t>
      </w:r>
      <w:r w:rsidR="00DA6CA4">
        <w:rPr>
          <w:rFonts w:ascii="华文楷体" w:hAnsi="华文楷体" w:hint="eastAsia"/>
          <w:sz w:val="24"/>
          <w:szCs w:val="24"/>
          <w:lang w:eastAsia="zh-CN"/>
        </w:rPr>
        <w:t>-</w:t>
      </w:r>
      <w:r w:rsidR="009929B6">
        <w:rPr>
          <w:rFonts w:ascii="华文楷体" w:hAnsi="华文楷体" w:hint="eastAsia"/>
          <w:sz w:val="24"/>
          <w:szCs w:val="24"/>
          <w:lang w:eastAsia="zh-CN"/>
        </w:rPr>
        <w:t>4</w:t>
      </w:r>
      <w:r w:rsidR="009929B6">
        <w:rPr>
          <w:rFonts w:ascii="华文楷体" w:hAnsi="华文楷体"/>
          <w:sz w:val="24"/>
          <w:szCs w:val="24"/>
          <w:lang w:eastAsia="zh-CN"/>
        </w:rPr>
        <w:t>0</w:t>
      </w:r>
      <w:r w:rsidR="009929B6">
        <w:rPr>
          <w:rFonts w:ascii="华文楷体" w:hAnsi="华文楷体" w:hint="eastAsia"/>
          <w:sz w:val="24"/>
          <w:szCs w:val="24"/>
          <w:lang w:eastAsia="zh-CN"/>
        </w:rPr>
        <w:t>%</w:t>
      </w:r>
      <w:r w:rsidR="00DA6CA4">
        <w:rPr>
          <w:rFonts w:ascii="华文楷体" w:hAnsi="华文楷体" w:hint="eastAsia"/>
          <w:sz w:val="24"/>
          <w:szCs w:val="24"/>
          <w:lang w:eastAsia="zh-CN"/>
        </w:rPr>
        <w:t>区间</w:t>
      </w:r>
      <w:r w:rsidR="009929B6">
        <w:rPr>
          <w:rFonts w:ascii="华文楷体" w:hAnsi="华文楷体" w:hint="eastAsia"/>
          <w:sz w:val="24"/>
          <w:szCs w:val="24"/>
          <w:lang w:eastAsia="zh-CN"/>
        </w:rPr>
        <w:t>。5</w:t>
      </w:r>
      <w:r w:rsidR="009929B6">
        <w:rPr>
          <w:rFonts w:ascii="华文楷体" w:hAnsi="华文楷体"/>
          <w:sz w:val="24"/>
          <w:szCs w:val="24"/>
          <w:lang w:eastAsia="zh-CN"/>
        </w:rPr>
        <w:t>Y</w:t>
      </w:r>
      <w:r w:rsidR="009929B6">
        <w:rPr>
          <w:rFonts w:ascii="华文楷体" w:hAnsi="华文楷体" w:hint="eastAsia"/>
          <w:sz w:val="24"/>
          <w:szCs w:val="24"/>
          <w:lang w:eastAsia="zh-CN"/>
        </w:rPr>
        <w:t>及7</w:t>
      </w:r>
      <w:r w:rsidR="009929B6">
        <w:rPr>
          <w:rFonts w:ascii="华文楷体" w:hAnsi="华文楷体"/>
          <w:sz w:val="24"/>
          <w:szCs w:val="24"/>
          <w:lang w:eastAsia="zh-CN"/>
        </w:rPr>
        <w:t>Y</w:t>
      </w:r>
      <w:r w:rsidR="009929B6">
        <w:rPr>
          <w:rFonts w:ascii="华文楷体" w:hAnsi="华文楷体" w:hint="eastAsia"/>
          <w:sz w:val="24"/>
          <w:szCs w:val="24"/>
          <w:lang w:eastAsia="zh-CN"/>
        </w:rPr>
        <w:t>等</w:t>
      </w:r>
      <w:r w:rsidR="00B344C0">
        <w:rPr>
          <w:rFonts w:ascii="华文楷体" w:hAnsi="华文楷体" w:hint="eastAsia"/>
          <w:sz w:val="24"/>
          <w:szCs w:val="24"/>
          <w:lang w:eastAsia="zh-CN"/>
        </w:rPr>
        <w:t>中长期</w:t>
      </w:r>
      <w:proofErr w:type="gramStart"/>
      <w:r w:rsidR="00B344C0">
        <w:rPr>
          <w:rFonts w:ascii="华文楷体" w:hAnsi="华文楷体" w:hint="eastAsia"/>
          <w:sz w:val="24"/>
          <w:szCs w:val="24"/>
          <w:lang w:eastAsia="zh-CN"/>
        </w:rPr>
        <w:t>限品种</w:t>
      </w:r>
      <w:proofErr w:type="gramEnd"/>
      <w:r w:rsidR="00B344C0">
        <w:rPr>
          <w:rFonts w:ascii="华文楷体" w:hAnsi="华文楷体" w:hint="eastAsia"/>
          <w:sz w:val="24"/>
          <w:szCs w:val="24"/>
          <w:lang w:eastAsia="zh-CN"/>
        </w:rPr>
        <w:t>处于2</w:t>
      </w:r>
      <w:r w:rsidR="00B344C0">
        <w:rPr>
          <w:rFonts w:ascii="华文楷体" w:hAnsi="华文楷体"/>
          <w:sz w:val="24"/>
          <w:szCs w:val="24"/>
          <w:lang w:eastAsia="zh-CN"/>
        </w:rPr>
        <w:t>0</w:t>
      </w:r>
      <w:r w:rsidR="00B344C0">
        <w:rPr>
          <w:rFonts w:ascii="华文楷体" w:hAnsi="华文楷体" w:hint="eastAsia"/>
          <w:sz w:val="24"/>
          <w:szCs w:val="24"/>
          <w:lang w:eastAsia="zh-CN"/>
        </w:rPr>
        <w:t>-</w:t>
      </w:r>
      <w:r w:rsidR="00602D14">
        <w:rPr>
          <w:rFonts w:ascii="华文楷体" w:hAnsi="华文楷体" w:hint="eastAsia"/>
          <w:sz w:val="24"/>
          <w:szCs w:val="24"/>
          <w:lang w:eastAsia="zh-CN"/>
        </w:rPr>
        <w:t>3</w:t>
      </w:r>
      <w:r w:rsidR="00B344C0">
        <w:rPr>
          <w:rFonts w:ascii="华文楷体" w:hAnsi="华文楷体"/>
          <w:sz w:val="24"/>
          <w:szCs w:val="24"/>
          <w:lang w:eastAsia="zh-CN"/>
        </w:rPr>
        <w:t>0</w:t>
      </w:r>
      <w:r w:rsidR="00B344C0">
        <w:rPr>
          <w:rFonts w:ascii="华文楷体" w:hAnsi="华文楷体" w:hint="eastAsia"/>
          <w:sz w:val="24"/>
          <w:szCs w:val="24"/>
          <w:lang w:eastAsia="zh-CN"/>
        </w:rPr>
        <w:t>%分位数。</w:t>
      </w:r>
    </w:p>
    <w:tbl>
      <w:tblPr>
        <w:tblW w:w="9713" w:type="dxa"/>
        <w:jc w:val="center"/>
        <w:tblCellMar>
          <w:left w:w="0" w:type="dxa"/>
          <w:right w:w="0" w:type="dxa"/>
        </w:tblCellMar>
        <w:tblLook w:val="01E0" w:firstRow="1" w:lastRow="1" w:firstColumn="1" w:lastColumn="1" w:noHBand="0" w:noVBand="0"/>
      </w:tblPr>
      <w:tblGrid>
        <w:gridCol w:w="9778"/>
      </w:tblGrid>
      <w:tr w:rsidR="00E0626C" w:rsidRPr="00F966B6" w14:paraId="5602CC82" w14:textId="77777777" w:rsidTr="00220902">
        <w:trPr>
          <w:trHeight w:val="360"/>
          <w:jc w:val="center"/>
        </w:trPr>
        <w:tc>
          <w:tcPr>
            <w:tcW w:w="9713" w:type="dxa"/>
            <w:vAlign w:val="center"/>
          </w:tcPr>
          <w:p w14:paraId="1C0DBC70" w14:textId="4A8BBE5E" w:rsidR="00E0626C" w:rsidRPr="006A5F34" w:rsidRDefault="00E0626C" w:rsidP="009A2BA0">
            <w:pPr>
              <w:pStyle w:val="ChartHeading"/>
              <w:jc w:val="both"/>
            </w:pPr>
            <w:r w:rsidRPr="006A5F34">
              <w:rPr>
                <w:rFonts w:hint="eastAsia"/>
              </w:rPr>
              <w:lastRenderedPageBreak/>
              <w:t>图表</w:t>
            </w:r>
            <w:r w:rsidRPr="006A5F34">
              <w:t xml:space="preserve">. </w:t>
            </w:r>
            <w:r w:rsidR="00F966B6">
              <w:rPr>
                <w:rFonts w:hint="eastAsia"/>
              </w:rPr>
              <w:t>信用债收益率、利差变化情况</w:t>
            </w:r>
          </w:p>
        </w:tc>
      </w:tr>
      <w:tr w:rsidR="00E0626C" w:rsidRPr="006A5F34" w14:paraId="1114B583" w14:textId="77777777" w:rsidTr="00220902">
        <w:tblPrEx>
          <w:tblCellMar>
            <w:left w:w="108" w:type="dxa"/>
            <w:right w:w="108" w:type="dxa"/>
          </w:tblCellMar>
        </w:tblPrEx>
        <w:trPr>
          <w:trHeight w:val="4663"/>
          <w:jc w:val="center"/>
        </w:trPr>
        <w:tc>
          <w:tcPr>
            <w:tcW w:w="9713" w:type="dxa"/>
            <w:vAlign w:val="center"/>
          </w:tcPr>
          <w:tbl>
            <w:tblPr>
              <w:tblW w:w="9552" w:type="dxa"/>
              <w:tblLook w:val="04A0" w:firstRow="1" w:lastRow="0" w:firstColumn="1" w:lastColumn="0" w:noHBand="0" w:noVBand="1"/>
            </w:tblPr>
            <w:tblGrid>
              <w:gridCol w:w="1304"/>
              <w:gridCol w:w="892"/>
              <w:gridCol w:w="892"/>
              <w:gridCol w:w="892"/>
              <w:gridCol w:w="891"/>
              <w:gridCol w:w="1117"/>
              <w:gridCol w:w="891"/>
              <w:gridCol w:w="891"/>
              <w:gridCol w:w="891"/>
              <w:gridCol w:w="891"/>
            </w:tblGrid>
            <w:tr w:rsidR="00F65C05" w:rsidRPr="00F65C05" w14:paraId="646C33EB" w14:textId="77777777" w:rsidTr="00867890">
              <w:trPr>
                <w:trHeight w:val="374"/>
              </w:trPr>
              <w:tc>
                <w:tcPr>
                  <w:tcW w:w="1304" w:type="dxa"/>
                  <w:tcBorders>
                    <w:top w:val="nil"/>
                    <w:left w:val="nil"/>
                    <w:bottom w:val="single" w:sz="12" w:space="0" w:color="FFFFFF"/>
                    <w:right w:val="single" w:sz="8" w:space="0" w:color="FFFFFF"/>
                  </w:tcBorders>
                  <w:shd w:val="clear" w:color="000000" w:fill="F79646"/>
                  <w:noWrap/>
                  <w:vAlign w:val="center"/>
                  <w:hideMark/>
                </w:tcPr>
                <w:p w14:paraId="1EF6FA96" w14:textId="77777777" w:rsidR="00F65C05" w:rsidRPr="00F65C05" w:rsidRDefault="00F65C05" w:rsidP="00F65C05">
                  <w:pPr>
                    <w:widowControl/>
                    <w:jc w:val="center"/>
                    <w:rPr>
                      <w:rFonts w:ascii="楷体" w:eastAsia="楷体" w:hAnsi="楷体" w:cs="宋体"/>
                      <w:b/>
                      <w:bCs/>
                      <w:color w:val="FFFFFF"/>
                      <w:kern w:val="0"/>
                      <w:sz w:val="20"/>
                      <w:szCs w:val="20"/>
                    </w:rPr>
                  </w:pPr>
                  <w:r w:rsidRPr="00F65C05">
                    <w:rPr>
                      <w:rFonts w:ascii="楷体" w:eastAsia="楷体" w:hAnsi="楷体" w:cs="宋体" w:hint="eastAsia"/>
                      <w:b/>
                      <w:bCs/>
                      <w:color w:val="FFFFFF"/>
                      <w:kern w:val="0"/>
                      <w:sz w:val="20"/>
                      <w:szCs w:val="20"/>
                    </w:rPr>
                    <w:t>收益率(%)</w:t>
                  </w:r>
                </w:p>
              </w:tc>
              <w:tc>
                <w:tcPr>
                  <w:tcW w:w="892" w:type="dxa"/>
                  <w:tcBorders>
                    <w:top w:val="nil"/>
                    <w:left w:val="nil"/>
                    <w:bottom w:val="single" w:sz="12" w:space="0" w:color="FFFFFF"/>
                    <w:right w:val="single" w:sz="8" w:space="0" w:color="FFFFFF"/>
                  </w:tcBorders>
                  <w:shd w:val="clear" w:color="000000" w:fill="F79646"/>
                  <w:noWrap/>
                  <w:vAlign w:val="center"/>
                  <w:hideMark/>
                </w:tcPr>
                <w:p w14:paraId="03F8072A" w14:textId="77777777" w:rsidR="00F65C05" w:rsidRPr="00F65C05" w:rsidRDefault="00F65C05" w:rsidP="00F65C05">
                  <w:pPr>
                    <w:widowControl/>
                    <w:jc w:val="center"/>
                    <w:rPr>
                      <w:rFonts w:ascii="楷体" w:eastAsia="楷体" w:hAnsi="楷体" w:cs="宋体"/>
                      <w:b/>
                      <w:bCs/>
                      <w:color w:val="FFFFFF"/>
                      <w:kern w:val="0"/>
                      <w:sz w:val="20"/>
                      <w:szCs w:val="20"/>
                    </w:rPr>
                  </w:pPr>
                  <w:r w:rsidRPr="00F65C05">
                    <w:rPr>
                      <w:rFonts w:ascii="楷体" w:eastAsia="楷体" w:hAnsi="楷体" w:cs="宋体" w:hint="eastAsia"/>
                      <w:b/>
                      <w:bCs/>
                      <w:color w:val="FFFFFF"/>
                      <w:kern w:val="0"/>
                      <w:sz w:val="20"/>
                      <w:szCs w:val="20"/>
                    </w:rPr>
                    <w:t>AAA</w:t>
                  </w:r>
                </w:p>
              </w:tc>
              <w:tc>
                <w:tcPr>
                  <w:tcW w:w="892" w:type="dxa"/>
                  <w:tcBorders>
                    <w:top w:val="nil"/>
                    <w:left w:val="nil"/>
                    <w:bottom w:val="single" w:sz="12" w:space="0" w:color="FFFFFF"/>
                    <w:right w:val="single" w:sz="8" w:space="0" w:color="FFFFFF"/>
                  </w:tcBorders>
                  <w:shd w:val="clear" w:color="000000" w:fill="F79646"/>
                  <w:noWrap/>
                  <w:vAlign w:val="center"/>
                  <w:hideMark/>
                </w:tcPr>
                <w:p w14:paraId="5D379259" w14:textId="77777777" w:rsidR="00F65C05" w:rsidRPr="00F65C05" w:rsidRDefault="00F65C05" w:rsidP="00F65C05">
                  <w:pPr>
                    <w:widowControl/>
                    <w:jc w:val="center"/>
                    <w:rPr>
                      <w:rFonts w:ascii="楷体" w:eastAsia="楷体" w:hAnsi="楷体" w:cs="宋体"/>
                      <w:b/>
                      <w:bCs/>
                      <w:color w:val="FFFFFF"/>
                      <w:kern w:val="0"/>
                      <w:sz w:val="20"/>
                      <w:szCs w:val="20"/>
                    </w:rPr>
                  </w:pPr>
                  <w:r w:rsidRPr="00F65C05">
                    <w:rPr>
                      <w:rFonts w:ascii="楷体" w:eastAsia="楷体" w:hAnsi="楷体" w:cs="宋体" w:hint="eastAsia"/>
                      <w:b/>
                      <w:bCs/>
                      <w:color w:val="FFFFFF"/>
                      <w:kern w:val="0"/>
                      <w:sz w:val="20"/>
                      <w:szCs w:val="20"/>
                    </w:rPr>
                    <w:t>AA+</w:t>
                  </w:r>
                </w:p>
              </w:tc>
              <w:tc>
                <w:tcPr>
                  <w:tcW w:w="892" w:type="dxa"/>
                  <w:tcBorders>
                    <w:top w:val="nil"/>
                    <w:left w:val="nil"/>
                    <w:bottom w:val="single" w:sz="12" w:space="0" w:color="FFFFFF"/>
                    <w:right w:val="single" w:sz="8" w:space="0" w:color="FFFFFF"/>
                  </w:tcBorders>
                  <w:shd w:val="clear" w:color="000000" w:fill="F79646"/>
                  <w:noWrap/>
                  <w:vAlign w:val="center"/>
                  <w:hideMark/>
                </w:tcPr>
                <w:p w14:paraId="37F65419" w14:textId="77777777" w:rsidR="00F65C05" w:rsidRPr="00F65C05" w:rsidRDefault="00F65C05" w:rsidP="00F65C05">
                  <w:pPr>
                    <w:widowControl/>
                    <w:jc w:val="center"/>
                    <w:rPr>
                      <w:rFonts w:ascii="楷体" w:eastAsia="楷体" w:hAnsi="楷体" w:cs="宋体"/>
                      <w:b/>
                      <w:bCs/>
                      <w:color w:val="FFFFFF"/>
                      <w:kern w:val="0"/>
                      <w:sz w:val="20"/>
                      <w:szCs w:val="20"/>
                    </w:rPr>
                  </w:pPr>
                  <w:r w:rsidRPr="00F65C05">
                    <w:rPr>
                      <w:rFonts w:ascii="楷体" w:eastAsia="楷体" w:hAnsi="楷体" w:cs="宋体" w:hint="eastAsia"/>
                      <w:b/>
                      <w:bCs/>
                      <w:color w:val="FFFFFF"/>
                      <w:kern w:val="0"/>
                      <w:sz w:val="20"/>
                      <w:szCs w:val="20"/>
                    </w:rPr>
                    <w:t>AA</w:t>
                  </w:r>
                </w:p>
              </w:tc>
              <w:tc>
                <w:tcPr>
                  <w:tcW w:w="891" w:type="dxa"/>
                  <w:tcBorders>
                    <w:top w:val="nil"/>
                    <w:left w:val="nil"/>
                    <w:bottom w:val="single" w:sz="12" w:space="0" w:color="FFFFFF"/>
                    <w:right w:val="single" w:sz="8" w:space="0" w:color="FFFFFF"/>
                  </w:tcBorders>
                  <w:shd w:val="clear" w:color="000000" w:fill="F79646"/>
                  <w:noWrap/>
                  <w:vAlign w:val="center"/>
                  <w:hideMark/>
                </w:tcPr>
                <w:p w14:paraId="00050EEA" w14:textId="77777777" w:rsidR="00F65C05" w:rsidRPr="00F65C05" w:rsidRDefault="00F65C05" w:rsidP="00F65C05">
                  <w:pPr>
                    <w:widowControl/>
                    <w:jc w:val="center"/>
                    <w:rPr>
                      <w:rFonts w:ascii="楷体" w:eastAsia="楷体" w:hAnsi="楷体" w:cs="宋体"/>
                      <w:b/>
                      <w:bCs/>
                      <w:color w:val="FFFFFF"/>
                      <w:kern w:val="0"/>
                      <w:sz w:val="20"/>
                      <w:szCs w:val="20"/>
                    </w:rPr>
                  </w:pPr>
                  <w:r w:rsidRPr="00F65C05">
                    <w:rPr>
                      <w:rFonts w:ascii="楷体" w:eastAsia="楷体" w:hAnsi="楷体" w:cs="宋体" w:hint="eastAsia"/>
                      <w:b/>
                      <w:bCs/>
                      <w:color w:val="FFFFFF"/>
                      <w:kern w:val="0"/>
                      <w:sz w:val="20"/>
                      <w:szCs w:val="20"/>
                    </w:rPr>
                    <w:t>AA-</w:t>
                  </w:r>
                </w:p>
              </w:tc>
              <w:tc>
                <w:tcPr>
                  <w:tcW w:w="1117" w:type="dxa"/>
                  <w:tcBorders>
                    <w:top w:val="nil"/>
                    <w:left w:val="nil"/>
                    <w:bottom w:val="single" w:sz="12" w:space="0" w:color="FFFFFF"/>
                    <w:right w:val="single" w:sz="8" w:space="0" w:color="FFFFFF"/>
                  </w:tcBorders>
                  <w:shd w:val="clear" w:color="000000" w:fill="F79646"/>
                  <w:noWrap/>
                  <w:vAlign w:val="center"/>
                  <w:hideMark/>
                </w:tcPr>
                <w:p w14:paraId="5D19D397" w14:textId="77777777" w:rsidR="00F65C05" w:rsidRPr="00F65C05" w:rsidRDefault="00F65C05" w:rsidP="00F65C05">
                  <w:pPr>
                    <w:widowControl/>
                    <w:jc w:val="center"/>
                    <w:rPr>
                      <w:rFonts w:ascii="楷体" w:eastAsia="楷体" w:hAnsi="楷体" w:cs="宋体"/>
                      <w:b/>
                      <w:bCs/>
                      <w:color w:val="FFFFFF"/>
                      <w:kern w:val="0"/>
                      <w:sz w:val="20"/>
                      <w:szCs w:val="20"/>
                    </w:rPr>
                  </w:pPr>
                  <w:r w:rsidRPr="00F65C05">
                    <w:rPr>
                      <w:rFonts w:ascii="楷体" w:eastAsia="楷体" w:hAnsi="楷体" w:cs="宋体" w:hint="eastAsia"/>
                      <w:b/>
                      <w:bCs/>
                      <w:color w:val="FFFFFF"/>
                      <w:kern w:val="0"/>
                      <w:sz w:val="20"/>
                      <w:szCs w:val="20"/>
                    </w:rPr>
                    <w:t>息差</w:t>
                  </w:r>
                </w:p>
              </w:tc>
              <w:tc>
                <w:tcPr>
                  <w:tcW w:w="891" w:type="dxa"/>
                  <w:tcBorders>
                    <w:top w:val="nil"/>
                    <w:left w:val="nil"/>
                    <w:bottom w:val="single" w:sz="12" w:space="0" w:color="FFFFFF"/>
                    <w:right w:val="single" w:sz="8" w:space="0" w:color="FFFFFF"/>
                  </w:tcBorders>
                  <w:shd w:val="clear" w:color="000000" w:fill="F79646"/>
                  <w:noWrap/>
                  <w:vAlign w:val="center"/>
                  <w:hideMark/>
                </w:tcPr>
                <w:p w14:paraId="42D7249E" w14:textId="77777777" w:rsidR="00F65C05" w:rsidRPr="00F65C05" w:rsidRDefault="00F65C05" w:rsidP="00F65C05">
                  <w:pPr>
                    <w:widowControl/>
                    <w:jc w:val="center"/>
                    <w:rPr>
                      <w:rFonts w:ascii="楷体" w:eastAsia="楷体" w:hAnsi="楷体" w:cs="宋体"/>
                      <w:b/>
                      <w:bCs/>
                      <w:color w:val="FFFFFF"/>
                      <w:kern w:val="0"/>
                      <w:sz w:val="20"/>
                      <w:szCs w:val="20"/>
                    </w:rPr>
                  </w:pPr>
                  <w:r w:rsidRPr="00F65C05">
                    <w:rPr>
                      <w:rFonts w:ascii="楷体" w:eastAsia="楷体" w:hAnsi="楷体" w:cs="宋体" w:hint="eastAsia"/>
                      <w:b/>
                      <w:bCs/>
                      <w:color w:val="FFFFFF"/>
                      <w:kern w:val="0"/>
                      <w:sz w:val="20"/>
                      <w:szCs w:val="20"/>
                    </w:rPr>
                    <w:t>AAA</w:t>
                  </w:r>
                </w:p>
              </w:tc>
              <w:tc>
                <w:tcPr>
                  <w:tcW w:w="891" w:type="dxa"/>
                  <w:tcBorders>
                    <w:top w:val="nil"/>
                    <w:left w:val="nil"/>
                    <w:bottom w:val="single" w:sz="12" w:space="0" w:color="FFFFFF"/>
                    <w:right w:val="single" w:sz="8" w:space="0" w:color="FFFFFF"/>
                  </w:tcBorders>
                  <w:shd w:val="clear" w:color="000000" w:fill="F79646"/>
                  <w:noWrap/>
                  <w:vAlign w:val="center"/>
                  <w:hideMark/>
                </w:tcPr>
                <w:p w14:paraId="52A4A427" w14:textId="77777777" w:rsidR="00F65C05" w:rsidRPr="00F65C05" w:rsidRDefault="00F65C05" w:rsidP="00F65C05">
                  <w:pPr>
                    <w:widowControl/>
                    <w:jc w:val="center"/>
                    <w:rPr>
                      <w:rFonts w:ascii="楷体" w:eastAsia="楷体" w:hAnsi="楷体" w:cs="宋体"/>
                      <w:b/>
                      <w:bCs/>
                      <w:color w:val="FFFFFF"/>
                      <w:kern w:val="0"/>
                      <w:sz w:val="20"/>
                      <w:szCs w:val="20"/>
                    </w:rPr>
                  </w:pPr>
                  <w:r w:rsidRPr="00F65C05">
                    <w:rPr>
                      <w:rFonts w:ascii="楷体" w:eastAsia="楷体" w:hAnsi="楷体" w:cs="宋体" w:hint="eastAsia"/>
                      <w:b/>
                      <w:bCs/>
                      <w:color w:val="FFFFFF"/>
                      <w:kern w:val="0"/>
                      <w:sz w:val="20"/>
                      <w:szCs w:val="20"/>
                    </w:rPr>
                    <w:t>AA+</w:t>
                  </w:r>
                </w:p>
              </w:tc>
              <w:tc>
                <w:tcPr>
                  <w:tcW w:w="891" w:type="dxa"/>
                  <w:tcBorders>
                    <w:top w:val="nil"/>
                    <w:left w:val="nil"/>
                    <w:bottom w:val="single" w:sz="12" w:space="0" w:color="FFFFFF"/>
                    <w:right w:val="single" w:sz="8" w:space="0" w:color="FFFFFF"/>
                  </w:tcBorders>
                  <w:shd w:val="clear" w:color="000000" w:fill="F79646"/>
                  <w:noWrap/>
                  <w:vAlign w:val="center"/>
                  <w:hideMark/>
                </w:tcPr>
                <w:p w14:paraId="113A5572" w14:textId="77777777" w:rsidR="00F65C05" w:rsidRPr="00F65C05" w:rsidRDefault="00F65C05" w:rsidP="00F65C05">
                  <w:pPr>
                    <w:widowControl/>
                    <w:jc w:val="center"/>
                    <w:rPr>
                      <w:rFonts w:ascii="楷体" w:eastAsia="楷体" w:hAnsi="楷体" w:cs="宋体"/>
                      <w:b/>
                      <w:bCs/>
                      <w:color w:val="FFFFFF"/>
                      <w:kern w:val="0"/>
                      <w:sz w:val="20"/>
                      <w:szCs w:val="20"/>
                    </w:rPr>
                  </w:pPr>
                  <w:r w:rsidRPr="00F65C05">
                    <w:rPr>
                      <w:rFonts w:ascii="楷体" w:eastAsia="楷体" w:hAnsi="楷体" w:cs="宋体" w:hint="eastAsia"/>
                      <w:b/>
                      <w:bCs/>
                      <w:color w:val="FFFFFF"/>
                      <w:kern w:val="0"/>
                      <w:sz w:val="20"/>
                      <w:szCs w:val="20"/>
                    </w:rPr>
                    <w:t>AA</w:t>
                  </w:r>
                </w:p>
              </w:tc>
              <w:tc>
                <w:tcPr>
                  <w:tcW w:w="891" w:type="dxa"/>
                  <w:tcBorders>
                    <w:top w:val="nil"/>
                    <w:left w:val="nil"/>
                    <w:bottom w:val="single" w:sz="12" w:space="0" w:color="FFFFFF"/>
                    <w:right w:val="single" w:sz="8" w:space="0" w:color="FFFFFF"/>
                  </w:tcBorders>
                  <w:shd w:val="clear" w:color="000000" w:fill="F79646"/>
                  <w:noWrap/>
                  <w:vAlign w:val="center"/>
                  <w:hideMark/>
                </w:tcPr>
                <w:p w14:paraId="05ECB1C3" w14:textId="77777777" w:rsidR="00F65C05" w:rsidRPr="00F65C05" w:rsidRDefault="00F65C05" w:rsidP="00F65C05">
                  <w:pPr>
                    <w:widowControl/>
                    <w:jc w:val="center"/>
                    <w:rPr>
                      <w:rFonts w:ascii="楷体" w:eastAsia="楷体" w:hAnsi="楷体" w:cs="宋体"/>
                      <w:b/>
                      <w:bCs/>
                      <w:color w:val="FFFFFF"/>
                      <w:kern w:val="0"/>
                      <w:sz w:val="20"/>
                      <w:szCs w:val="20"/>
                    </w:rPr>
                  </w:pPr>
                  <w:r w:rsidRPr="00F65C05">
                    <w:rPr>
                      <w:rFonts w:ascii="楷体" w:eastAsia="楷体" w:hAnsi="楷体" w:cs="宋体" w:hint="eastAsia"/>
                      <w:b/>
                      <w:bCs/>
                      <w:color w:val="FFFFFF"/>
                      <w:kern w:val="0"/>
                      <w:sz w:val="20"/>
                      <w:szCs w:val="20"/>
                    </w:rPr>
                    <w:t>AA-</w:t>
                  </w:r>
                </w:p>
              </w:tc>
            </w:tr>
            <w:tr w:rsidR="00F65C05" w:rsidRPr="00F65C05" w14:paraId="2EAF72E4" w14:textId="77777777" w:rsidTr="00867890">
              <w:trPr>
                <w:trHeight w:val="414"/>
              </w:trPr>
              <w:tc>
                <w:tcPr>
                  <w:tcW w:w="1304" w:type="dxa"/>
                  <w:tcBorders>
                    <w:top w:val="nil"/>
                    <w:left w:val="nil"/>
                    <w:bottom w:val="single" w:sz="8" w:space="0" w:color="FFFFFF"/>
                    <w:right w:val="single" w:sz="8" w:space="0" w:color="FFFFFF"/>
                  </w:tcBorders>
                  <w:shd w:val="clear" w:color="000000" w:fill="FCD5B4"/>
                  <w:noWrap/>
                  <w:vAlign w:val="center"/>
                  <w:hideMark/>
                </w:tcPr>
                <w:p w14:paraId="2610B369" w14:textId="77777777" w:rsidR="00F65C05" w:rsidRPr="00F65C05" w:rsidRDefault="00F65C05" w:rsidP="00F65C05">
                  <w:pPr>
                    <w:widowControl/>
                    <w:jc w:val="center"/>
                    <w:rPr>
                      <w:rFonts w:ascii="楷体" w:eastAsia="楷体" w:hAnsi="楷体" w:cs="宋体"/>
                      <w:color w:val="000000"/>
                      <w:kern w:val="0"/>
                      <w:sz w:val="20"/>
                      <w:szCs w:val="20"/>
                    </w:rPr>
                  </w:pPr>
                  <w:r w:rsidRPr="00F65C05">
                    <w:rPr>
                      <w:rFonts w:ascii="楷体" w:eastAsia="楷体" w:hAnsi="楷体" w:cs="宋体" w:hint="eastAsia"/>
                      <w:color w:val="000000"/>
                      <w:kern w:val="0"/>
                      <w:sz w:val="20"/>
                      <w:szCs w:val="20"/>
                    </w:rPr>
                    <w:t>CP</w:t>
                  </w:r>
                </w:p>
              </w:tc>
              <w:tc>
                <w:tcPr>
                  <w:tcW w:w="892" w:type="dxa"/>
                  <w:tcBorders>
                    <w:top w:val="nil"/>
                    <w:left w:val="nil"/>
                    <w:bottom w:val="single" w:sz="8" w:space="0" w:color="FFFFFF"/>
                    <w:right w:val="single" w:sz="8" w:space="0" w:color="FFFFFF"/>
                  </w:tcBorders>
                  <w:shd w:val="clear" w:color="000000" w:fill="FCD5B4"/>
                  <w:noWrap/>
                  <w:vAlign w:val="center"/>
                  <w:hideMark/>
                </w:tcPr>
                <w:p w14:paraId="69BF9257"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3.46 </w:t>
                  </w:r>
                </w:p>
              </w:tc>
              <w:tc>
                <w:tcPr>
                  <w:tcW w:w="892" w:type="dxa"/>
                  <w:tcBorders>
                    <w:top w:val="nil"/>
                    <w:left w:val="nil"/>
                    <w:bottom w:val="single" w:sz="8" w:space="0" w:color="FFFFFF"/>
                    <w:right w:val="single" w:sz="8" w:space="0" w:color="FFFFFF"/>
                  </w:tcBorders>
                  <w:shd w:val="clear" w:color="000000" w:fill="FCD5B4"/>
                  <w:noWrap/>
                  <w:vAlign w:val="center"/>
                  <w:hideMark/>
                </w:tcPr>
                <w:p w14:paraId="755E1394"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3.73 </w:t>
                  </w:r>
                </w:p>
              </w:tc>
              <w:tc>
                <w:tcPr>
                  <w:tcW w:w="892" w:type="dxa"/>
                  <w:tcBorders>
                    <w:top w:val="nil"/>
                    <w:left w:val="nil"/>
                    <w:bottom w:val="single" w:sz="8" w:space="0" w:color="FFFFFF"/>
                    <w:right w:val="single" w:sz="8" w:space="0" w:color="FFFFFF"/>
                  </w:tcBorders>
                  <w:shd w:val="clear" w:color="000000" w:fill="FCD5B4"/>
                  <w:noWrap/>
                  <w:vAlign w:val="center"/>
                  <w:hideMark/>
                </w:tcPr>
                <w:p w14:paraId="35221E43"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3.99 </w:t>
                  </w:r>
                </w:p>
              </w:tc>
              <w:tc>
                <w:tcPr>
                  <w:tcW w:w="891" w:type="dxa"/>
                  <w:tcBorders>
                    <w:top w:val="nil"/>
                    <w:left w:val="nil"/>
                    <w:bottom w:val="single" w:sz="8" w:space="0" w:color="FFFFFF"/>
                    <w:right w:val="single" w:sz="8" w:space="0" w:color="FFFFFF"/>
                  </w:tcBorders>
                  <w:shd w:val="clear" w:color="000000" w:fill="FCD5B4"/>
                  <w:noWrap/>
                  <w:vAlign w:val="center"/>
                  <w:hideMark/>
                </w:tcPr>
                <w:p w14:paraId="78EFAFCD"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6.04 </w:t>
                  </w:r>
                </w:p>
              </w:tc>
              <w:tc>
                <w:tcPr>
                  <w:tcW w:w="1117" w:type="dxa"/>
                  <w:tcBorders>
                    <w:top w:val="nil"/>
                    <w:left w:val="nil"/>
                    <w:bottom w:val="single" w:sz="8" w:space="0" w:color="FFFFFF"/>
                    <w:right w:val="single" w:sz="8" w:space="0" w:color="FFFFFF"/>
                  </w:tcBorders>
                  <w:shd w:val="clear" w:color="000000" w:fill="FCD5B4"/>
                  <w:noWrap/>
                  <w:vAlign w:val="center"/>
                  <w:hideMark/>
                </w:tcPr>
                <w:p w14:paraId="1E3845E8" w14:textId="77777777" w:rsidR="00F65C05" w:rsidRPr="00F65C05" w:rsidRDefault="00F65C05" w:rsidP="00F65C05">
                  <w:pPr>
                    <w:widowControl/>
                    <w:jc w:val="center"/>
                    <w:rPr>
                      <w:rFonts w:ascii="楷体" w:eastAsia="楷体" w:hAnsi="楷体" w:cs="宋体"/>
                      <w:color w:val="000000"/>
                      <w:kern w:val="0"/>
                      <w:sz w:val="20"/>
                      <w:szCs w:val="20"/>
                    </w:rPr>
                  </w:pPr>
                  <w:r w:rsidRPr="00F65C05">
                    <w:rPr>
                      <w:rFonts w:ascii="楷体" w:eastAsia="楷体" w:hAnsi="楷体" w:cs="宋体" w:hint="eastAsia"/>
                      <w:color w:val="000000"/>
                      <w:kern w:val="0"/>
                      <w:sz w:val="20"/>
                      <w:szCs w:val="20"/>
                    </w:rPr>
                    <w:t>CP</w:t>
                  </w:r>
                </w:p>
              </w:tc>
              <w:tc>
                <w:tcPr>
                  <w:tcW w:w="891" w:type="dxa"/>
                  <w:tcBorders>
                    <w:top w:val="nil"/>
                    <w:left w:val="nil"/>
                    <w:bottom w:val="single" w:sz="8" w:space="0" w:color="FFFFFF"/>
                    <w:right w:val="single" w:sz="8" w:space="0" w:color="FFFFFF"/>
                  </w:tcBorders>
                  <w:shd w:val="clear" w:color="000000" w:fill="FCD5B4"/>
                  <w:noWrap/>
                  <w:vAlign w:val="center"/>
                  <w:hideMark/>
                </w:tcPr>
                <w:p w14:paraId="6FDEA7A0"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0.59 </w:t>
                  </w:r>
                </w:p>
              </w:tc>
              <w:tc>
                <w:tcPr>
                  <w:tcW w:w="891" w:type="dxa"/>
                  <w:tcBorders>
                    <w:top w:val="nil"/>
                    <w:left w:val="nil"/>
                    <w:bottom w:val="single" w:sz="8" w:space="0" w:color="FFFFFF"/>
                    <w:right w:val="single" w:sz="8" w:space="0" w:color="FFFFFF"/>
                  </w:tcBorders>
                  <w:shd w:val="clear" w:color="000000" w:fill="FCD5B4"/>
                  <w:noWrap/>
                  <w:vAlign w:val="center"/>
                  <w:hideMark/>
                </w:tcPr>
                <w:p w14:paraId="4BD196DE"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0.86 </w:t>
                  </w:r>
                </w:p>
              </w:tc>
              <w:tc>
                <w:tcPr>
                  <w:tcW w:w="891" w:type="dxa"/>
                  <w:tcBorders>
                    <w:top w:val="nil"/>
                    <w:left w:val="nil"/>
                    <w:bottom w:val="single" w:sz="8" w:space="0" w:color="FFFFFF"/>
                    <w:right w:val="single" w:sz="8" w:space="0" w:color="FFFFFF"/>
                  </w:tcBorders>
                  <w:shd w:val="clear" w:color="000000" w:fill="FCD5B4"/>
                  <w:noWrap/>
                  <w:vAlign w:val="center"/>
                  <w:hideMark/>
                </w:tcPr>
                <w:p w14:paraId="4295924C"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1.12 </w:t>
                  </w:r>
                </w:p>
              </w:tc>
              <w:tc>
                <w:tcPr>
                  <w:tcW w:w="891" w:type="dxa"/>
                  <w:tcBorders>
                    <w:top w:val="nil"/>
                    <w:left w:val="nil"/>
                    <w:bottom w:val="single" w:sz="8" w:space="0" w:color="FFFFFF"/>
                    <w:right w:val="single" w:sz="8" w:space="0" w:color="FFFFFF"/>
                  </w:tcBorders>
                  <w:shd w:val="clear" w:color="000000" w:fill="FCD5B4"/>
                  <w:noWrap/>
                  <w:vAlign w:val="center"/>
                  <w:hideMark/>
                </w:tcPr>
                <w:p w14:paraId="7F1A4AAB"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3.17 </w:t>
                  </w:r>
                </w:p>
              </w:tc>
            </w:tr>
            <w:tr w:rsidR="00F65C05" w:rsidRPr="00F65C05" w14:paraId="6373DC81" w14:textId="77777777" w:rsidTr="00867890">
              <w:trPr>
                <w:trHeight w:val="393"/>
              </w:trPr>
              <w:tc>
                <w:tcPr>
                  <w:tcW w:w="1304" w:type="dxa"/>
                  <w:tcBorders>
                    <w:top w:val="nil"/>
                    <w:left w:val="nil"/>
                    <w:bottom w:val="single" w:sz="8" w:space="0" w:color="FFFFFF"/>
                    <w:right w:val="single" w:sz="8" w:space="0" w:color="FFFFFF"/>
                  </w:tcBorders>
                  <w:shd w:val="clear" w:color="000000" w:fill="FDE9D9"/>
                  <w:noWrap/>
                  <w:vAlign w:val="center"/>
                  <w:hideMark/>
                </w:tcPr>
                <w:p w14:paraId="1BD7568B" w14:textId="77777777" w:rsidR="00F65C05" w:rsidRPr="00F65C05" w:rsidRDefault="00F65C05" w:rsidP="00F65C05">
                  <w:pPr>
                    <w:widowControl/>
                    <w:jc w:val="center"/>
                    <w:rPr>
                      <w:rFonts w:ascii="楷体" w:eastAsia="楷体" w:hAnsi="楷体" w:cs="宋体"/>
                      <w:color w:val="000000"/>
                      <w:kern w:val="0"/>
                      <w:sz w:val="20"/>
                      <w:szCs w:val="20"/>
                    </w:rPr>
                  </w:pPr>
                  <w:r w:rsidRPr="00F65C05">
                    <w:rPr>
                      <w:rFonts w:ascii="楷体" w:eastAsia="楷体" w:hAnsi="楷体" w:cs="宋体" w:hint="eastAsia"/>
                      <w:color w:val="000000"/>
                      <w:kern w:val="0"/>
                      <w:sz w:val="20"/>
                      <w:szCs w:val="20"/>
                    </w:rPr>
                    <w:t>MTN3Y</w:t>
                  </w:r>
                </w:p>
              </w:tc>
              <w:tc>
                <w:tcPr>
                  <w:tcW w:w="892" w:type="dxa"/>
                  <w:tcBorders>
                    <w:top w:val="nil"/>
                    <w:left w:val="nil"/>
                    <w:bottom w:val="single" w:sz="8" w:space="0" w:color="FFFFFF"/>
                    <w:right w:val="single" w:sz="8" w:space="0" w:color="FFFFFF"/>
                  </w:tcBorders>
                  <w:shd w:val="clear" w:color="000000" w:fill="FDE9D9"/>
                  <w:noWrap/>
                  <w:vAlign w:val="center"/>
                  <w:hideMark/>
                </w:tcPr>
                <w:p w14:paraId="2F1FD170"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3.81 </w:t>
                  </w:r>
                </w:p>
              </w:tc>
              <w:tc>
                <w:tcPr>
                  <w:tcW w:w="892" w:type="dxa"/>
                  <w:tcBorders>
                    <w:top w:val="nil"/>
                    <w:left w:val="nil"/>
                    <w:bottom w:val="single" w:sz="8" w:space="0" w:color="FFFFFF"/>
                    <w:right w:val="single" w:sz="8" w:space="0" w:color="FFFFFF"/>
                  </w:tcBorders>
                  <w:shd w:val="clear" w:color="000000" w:fill="FDE9D9"/>
                  <w:noWrap/>
                  <w:vAlign w:val="center"/>
                  <w:hideMark/>
                </w:tcPr>
                <w:p w14:paraId="72B27F57"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4.14 </w:t>
                  </w:r>
                </w:p>
              </w:tc>
              <w:tc>
                <w:tcPr>
                  <w:tcW w:w="892" w:type="dxa"/>
                  <w:tcBorders>
                    <w:top w:val="nil"/>
                    <w:left w:val="nil"/>
                    <w:bottom w:val="single" w:sz="8" w:space="0" w:color="FFFFFF"/>
                    <w:right w:val="single" w:sz="8" w:space="0" w:color="FFFFFF"/>
                  </w:tcBorders>
                  <w:shd w:val="clear" w:color="000000" w:fill="FDE9D9"/>
                  <w:noWrap/>
                  <w:vAlign w:val="center"/>
                  <w:hideMark/>
                </w:tcPr>
                <w:p w14:paraId="44CC1BA6"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4.44 </w:t>
                  </w:r>
                </w:p>
              </w:tc>
              <w:tc>
                <w:tcPr>
                  <w:tcW w:w="891" w:type="dxa"/>
                  <w:tcBorders>
                    <w:top w:val="nil"/>
                    <w:left w:val="nil"/>
                    <w:bottom w:val="single" w:sz="8" w:space="0" w:color="FFFFFF"/>
                    <w:right w:val="single" w:sz="8" w:space="0" w:color="FFFFFF"/>
                  </w:tcBorders>
                  <w:shd w:val="clear" w:color="000000" w:fill="FDE9D9"/>
                  <w:noWrap/>
                  <w:vAlign w:val="center"/>
                  <w:hideMark/>
                </w:tcPr>
                <w:p w14:paraId="654D90A2"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6.54 </w:t>
                  </w:r>
                </w:p>
              </w:tc>
              <w:tc>
                <w:tcPr>
                  <w:tcW w:w="1117" w:type="dxa"/>
                  <w:tcBorders>
                    <w:top w:val="nil"/>
                    <w:left w:val="nil"/>
                    <w:bottom w:val="single" w:sz="8" w:space="0" w:color="FFFFFF"/>
                    <w:right w:val="single" w:sz="8" w:space="0" w:color="FFFFFF"/>
                  </w:tcBorders>
                  <w:shd w:val="clear" w:color="000000" w:fill="FDE9D9"/>
                  <w:noWrap/>
                  <w:vAlign w:val="center"/>
                  <w:hideMark/>
                </w:tcPr>
                <w:p w14:paraId="6BB2952E" w14:textId="77777777" w:rsidR="00F65C05" w:rsidRPr="00F65C05" w:rsidRDefault="00F65C05" w:rsidP="00F65C05">
                  <w:pPr>
                    <w:widowControl/>
                    <w:jc w:val="center"/>
                    <w:rPr>
                      <w:rFonts w:ascii="楷体" w:eastAsia="楷体" w:hAnsi="楷体" w:cs="宋体"/>
                      <w:color w:val="000000"/>
                      <w:kern w:val="0"/>
                      <w:sz w:val="20"/>
                      <w:szCs w:val="20"/>
                    </w:rPr>
                  </w:pPr>
                  <w:r w:rsidRPr="00F65C05">
                    <w:rPr>
                      <w:rFonts w:ascii="楷体" w:eastAsia="楷体" w:hAnsi="楷体" w:cs="宋体" w:hint="eastAsia"/>
                      <w:color w:val="000000"/>
                      <w:kern w:val="0"/>
                      <w:sz w:val="20"/>
                      <w:szCs w:val="20"/>
                    </w:rPr>
                    <w:t>MTN3Y</w:t>
                  </w:r>
                </w:p>
              </w:tc>
              <w:tc>
                <w:tcPr>
                  <w:tcW w:w="891" w:type="dxa"/>
                  <w:tcBorders>
                    <w:top w:val="nil"/>
                    <w:left w:val="nil"/>
                    <w:bottom w:val="single" w:sz="8" w:space="0" w:color="FFFFFF"/>
                    <w:right w:val="single" w:sz="8" w:space="0" w:color="FFFFFF"/>
                  </w:tcBorders>
                  <w:shd w:val="clear" w:color="000000" w:fill="FDE9D9"/>
                  <w:noWrap/>
                  <w:vAlign w:val="center"/>
                  <w:hideMark/>
                </w:tcPr>
                <w:p w14:paraId="3D11E8FE"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0.77 </w:t>
                  </w:r>
                </w:p>
              </w:tc>
              <w:tc>
                <w:tcPr>
                  <w:tcW w:w="891" w:type="dxa"/>
                  <w:tcBorders>
                    <w:top w:val="nil"/>
                    <w:left w:val="nil"/>
                    <w:bottom w:val="single" w:sz="8" w:space="0" w:color="FFFFFF"/>
                    <w:right w:val="single" w:sz="8" w:space="0" w:color="FFFFFF"/>
                  </w:tcBorders>
                  <w:shd w:val="clear" w:color="000000" w:fill="FDE9D9"/>
                  <w:noWrap/>
                  <w:vAlign w:val="center"/>
                  <w:hideMark/>
                </w:tcPr>
                <w:p w14:paraId="732425AC"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1.10 </w:t>
                  </w:r>
                </w:p>
              </w:tc>
              <w:tc>
                <w:tcPr>
                  <w:tcW w:w="891" w:type="dxa"/>
                  <w:tcBorders>
                    <w:top w:val="nil"/>
                    <w:left w:val="nil"/>
                    <w:bottom w:val="single" w:sz="8" w:space="0" w:color="FFFFFF"/>
                    <w:right w:val="single" w:sz="8" w:space="0" w:color="FFFFFF"/>
                  </w:tcBorders>
                  <w:shd w:val="clear" w:color="000000" w:fill="FDE9D9"/>
                  <w:noWrap/>
                  <w:vAlign w:val="center"/>
                  <w:hideMark/>
                </w:tcPr>
                <w:p w14:paraId="4CC629AD"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1.40 </w:t>
                  </w:r>
                </w:p>
              </w:tc>
              <w:tc>
                <w:tcPr>
                  <w:tcW w:w="891" w:type="dxa"/>
                  <w:tcBorders>
                    <w:top w:val="nil"/>
                    <w:left w:val="nil"/>
                    <w:bottom w:val="single" w:sz="8" w:space="0" w:color="FFFFFF"/>
                    <w:right w:val="single" w:sz="8" w:space="0" w:color="FFFFFF"/>
                  </w:tcBorders>
                  <w:shd w:val="clear" w:color="000000" w:fill="FDE9D9"/>
                  <w:noWrap/>
                  <w:vAlign w:val="center"/>
                  <w:hideMark/>
                </w:tcPr>
                <w:p w14:paraId="6939A4CB"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3.50 </w:t>
                  </w:r>
                </w:p>
              </w:tc>
            </w:tr>
            <w:tr w:rsidR="00F65C05" w:rsidRPr="00F65C05" w14:paraId="3AABE69C" w14:textId="77777777" w:rsidTr="00867890">
              <w:trPr>
                <w:trHeight w:val="393"/>
              </w:trPr>
              <w:tc>
                <w:tcPr>
                  <w:tcW w:w="1304" w:type="dxa"/>
                  <w:tcBorders>
                    <w:top w:val="nil"/>
                    <w:left w:val="nil"/>
                    <w:bottom w:val="single" w:sz="8" w:space="0" w:color="FFFFFF"/>
                    <w:right w:val="single" w:sz="8" w:space="0" w:color="FFFFFF"/>
                  </w:tcBorders>
                  <w:shd w:val="clear" w:color="000000" w:fill="FCD5B4"/>
                  <w:noWrap/>
                  <w:vAlign w:val="center"/>
                  <w:hideMark/>
                </w:tcPr>
                <w:p w14:paraId="6EDF3C1E" w14:textId="77777777" w:rsidR="00F65C05" w:rsidRPr="00F65C05" w:rsidRDefault="00F65C05" w:rsidP="00F65C05">
                  <w:pPr>
                    <w:widowControl/>
                    <w:jc w:val="center"/>
                    <w:rPr>
                      <w:rFonts w:ascii="楷体" w:eastAsia="楷体" w:hAnsi="楷体" w:cs="宋体"/>
                      <w:color w:val="000000"/>
                      <w:kern w:val="0"/>
                      <w:sz w:val="20"/>
                      <w:szCs w:val="20"/>
                    </w:rPr>
                  </w:pPr>
                  <w:r w:rsidRPr="00F65C05">
                    <w:rPr>
                      <w:rFonts w:ascii="楷体" w:eastAsia="楷体" w:hAnsi="楷体" w:cs="宋体" w:hint="eastAsia"/>
                      <w:color w:val="000000"/>
                      <w:kern w:val="0"/>
                      <w:sz w:val="20"/>
                      <w:szCs w:val="20"/>
                    </w:rPr>
                    <w:t>MTN5Y</w:t>
                  </w:r>
                </w:p>
              </w:tc>
              <w:tc>
                <w:tcPr>
                  <w:tcW w:w="892" w:type="dxa"/>
                  <w:tcBorders>
                    <w:top w:val="nil"/>
                    <w:left w:val="nil"/>
                    <w:bottom w:val="single" w:sz="8" w:space="0" w:color="FFFFFF"/>
                    <w:right w:val="single" w:sz="8" w:space="0" w:color="FFFFFF"/>
                  </w:tcBorders>
                  <w:shd w:val="clear" w:color="000000" w:fill="FCD5B4"/>
                  <w:noWrap/>
                  <w:vAlign w:val="center"/>
                  <w:hideMark/>
                </w:tcPr>
                <w:p w14:paraId="05124363"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3.96 </w:t>
                  </w:r>
                </w:p>
              </w:tc>
              <w:tc>
                <w:tcPr>
                  <w:tcW w:w="892" w:type="dxa"/>
                  <w:tcBorders>
                    <w:top w:val="nil"/>
                    <w:left w:val="nil"/>
                    <w:bottom w:val="single" w:sz="8" w:space="0" w:color="FFFFFF"/>
                    <w:right w:val="single" w:sz="8" w:space="0" w:color="FFFFFF"/>
                  </w:tcBorders>
                  <w:shd w:val="clear" w:color="000000" w:fill="FCD5B4"/>
                  <w:noWrap/>
                  <w:vAlign w:val="center"/>
                  <w:hideMark/>
                </w:tcPr>
                <w:p w14:paraId="28AFE371"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4.27 </w:t>
                  </w:r>
                </w:p>
              </w:tc>
              <w:tc>
                <w:tcPr>
                  <w:tcW w:w="892" w:type="dxa"/>
                  <w:tcBorders>
                    <w:top w:val="nil"/>
                    <w:left w:val="nil"/>
                    <w:bottom w:val="single" w:sz="8" w:space="0" w:color="FFFFFF"/>
                    <w:right w:val="single" w:sz="8" w:space="0" w:color="FFFFFF"/>
                  </w:tcBorders>
                  <w:shd w:val="clear" w:color="000000" w:fill="FCD5B4"/>
                  <w:noWrap/>
                  <w:vAlign w:val="center"/>
                  <w:hideMark/>
                </w:tcPr>
                <w:p w14:paraId="7EB51B8C"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4.66 </w:t>
                  </w:r>
                </w:p>
              </w:tc>
              <w:tc>
                <w:tcPr>
                  <w:tcW w:w="891" w:type="dxa"/>
                  <w:tcBorders>
                    <w:top w:val="nil"/>
                    <w:left w:val="nil"/>
                    <w:bottom w:val="single" w:sz="8" w:space="0" w:color="FFFFFF"/>
                    <w:right w:val="single" w:sz="8" w:space="0" w:color="FFFFFF"/>
                  </w:tcBorders>
                  <w:shd w:val="clear" w:color="000000" w:fill="FCD5B4"/>
                  <w:noWrap/>
                  <w:vAlign w:val="center"/>
                  <w:hideMark/>
                </w:tcPr>
                <w:p w14:paraId="04EEBE3A"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6.83 </w:t>
                  </w:r>
                </w:p>
              </w:tc>
              <w:tc>
                <w:tcPr>
                  <w:tcW w:w="1117" w:type="dxa"/>
                  <w:tcBorders>
                    <w:top w:val="nil"/>
                    <w:left w:val="nil"/>
                    <w:bottom w:val="single" w:sz="8" w:space="0" w:color="FFFFFF"/>
                    <w:right w:val="single" w:sz="8" w:space="0" w:color="FFFFFF"/>
                  </w:tcBorders>
                  <w:shd w:val="clear" w:color="000000" w:fill="FCD5B4"/>
                  <w:noWrap/>
                  <w:vAlign w:val="center"/>
                  <w:hideMark/>
                </w:tcPr>
                <w:p w14:paraId="56046DFE" w14:textId="77777777" w:rsidR="00F65C05" w:rsidRPr="00F65C05" w:rsidRDefault="00F65C05" w:rsidP="00F65C05">
                  <w:pPr>
                    <w:widowControl/>
                    <w:jc w:val="center"/>
                    <w:rPr>
                      <w:rFonts w:ascii="楷体" w:eastAsia="楷体" w:hAnsi="楷体" w:cs="宋体"/>
                      <w:color w:val="000000"/>
                      <w:kern w:val="0"/>
                      <w:sz w:val="20"/>
                      <w:szCs w:val="20"/>
                    </w:rPr>
                  </w:pPr>
                  <w:r w:rsidRPr="00F65C05">
                    <w:rPr>
                      <w:rFonts w:ascii="楷体" w:eastAsia="楷体" w:hAnsi="楷体" w:cs="宋体" w:hint="eastAsia"/>
                      <w:color w:val="000000"/>
                      <w:kern w:val="0"/>
                      <w:sz w:val="20"/>
                      <w:szCs w:val="20"/>
                    </w:rPr>
                    <w:t>MTN5Y</w:t>
                  </w:r>
                </w:p>
              </w:tc>
              <w:tc>
                <w:tcPr>
                  <w:tcW w:w="891" w:type="dxa"/>
                  <w:tcBorders>
                    <w:top w:val="nil"/>
                    <w:left w:val="nil"/>
                    <w:bottom w:val="single" w:sz="8" w:space="0" w:color="FFFFFF"/>
                    <w:right w:val="single" w:sz="8" w:space="0" w:color="FFFFFF"/>
                  </w:tcBorders>
                  <w:shd w:val="clear" w:color="000000" w:fill="FCD5B4"/>
                  <w:noWrap/>
                  <w:vAlign w:val="center"/>
                  <w:hideMark/>
                </w:tcPr>
                <w:p w14:paraId="02FC8896"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0.85 </w:t>
                  </w:r>
                </w:p>
              </w:tc>
              <w:tc>
                <w:tcPr>
                  <w:tcW w:w="891" w:type="dxa"/>
                  <w:tcBorders>
                    <w:top w:val="nil"/>
                    <w:left w:val="nil"/>
                    <w:bottom w:val="single" w:sz="8" w:space="0" w:color="FFFFFF"/>
                    <w:right w:val="single" w:sz="8" w:space="0" w:color="FFFFFF"/>
                  </w:tcBorders>
                  <w:shd w:val="clear" w:color="000000" w:fill="FCD5B4"/>
                  <w:noWrap/>
                  <w:vAlign w:val="center"/>
                  <w:hideMark/>
                </w:tcPr>
                <w:p w14:paraId="2D1097C5"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1.16 </w:t>
                  </w:r>
                </w:p>
              </w:tc>
              <w:tc>
                <w:tcPr>
                  <w:tcW w:w="891" w:type="dxa"/>
                  <w:tcBorders>
                    <w:top w:val="nil"/>
                    <w:left w:val="nil"/>
                    <w:bottom w:val="single" w:sz="8" w:space="0" w:color="FFFFFF"/>
                    <w:right w:val="single" w:sz="8" w:space="0" w:color="FFFFFF"/>
                  </w:tcBorders>
                  <w:shd w:val="clear" w:color="000000" w:fill="FCD5B4"/>
                  <w:noWrap/>
                  <w:vAlign w:val="center"/>
                  <w:hideMark/>
                </w:tcPr>
                <w:p w14:paraId="709B19A9"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1.55 </w:t>
                  </w:r>
                </w:p>
              </w:tc>
              <w:tc>
                <w:tcPr>
                  <w:tcW w:w="891" w:type="dxa"/>
                  <w:tcBorders>
                    <w:top w:val="nil"/>
                    <w:left w:val="nil"/>
                    <w:bottom w:val="single" w:sz="8" w:space="0" w:color="FFFFFF"/>
                    <w:right w:val="single" w:sz="8" w:space="0" w:color="FFFFFF"/>
                  </w:tcBorders>
                  <w:shd w:val="clear" w:color="000000" w:fill="FCD5B4"/>
                  <w:noWrap/>
                  <w:vAlign w:val="center"/>
                  <w:hideMark/>
                </w:tcPr>
                <w:p w14:paraId="093468FA"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3.72 </w:t>
                  </w:r>
                </w:p>
              </w:tc>
            </w:tr>
            <w:tr w:rsidR="00F65C05" w:rsidRPr="00F65C05" w14:paraId="405C14A4" w14:textId="77777777" w:rsidTr="00867890">
              <w:trPr>
                <w:trHeight w:val="393"/>
              </w:trPr>
              <w:tc>
                <w:tcPr>
                  <w:tcW w:w="1304" w:type="dxa"/>
                  <w:tcBorders>
                    <w:top w:val="nil"/>
                    <w:left w:val="nil"/>
                    <w:bottom w:val="single" w:sz="8" w:space="0" w:color="FFFFFF"/>
                    <w:right w:val="single" w:sz="8" w:space="0" w:color="FFFFFF"/>
                  </w:tcBorders>
                  <w:shd w:val="clear" w:color="000000" w:fill="FDE9D9"/>
                  <w:noWrap/>
                  <w:vAlign w:val="center"/>
                  <w:hideMark/>
                </w:tcPr>
                <w:p w14:paraId="6FBAB374" w14:textId="77777777" w:rsidR="00F65C05" w:rsidRPr="00F65C05" w:rsidRDefault="00F65C05" w:rsidP="00F65C05">
                  <w:pPr>
                    <w:widowControl/>
                    <w:jc w:val="center"/>
                    <w:rPr>
                      <w:rFonts w:ascii="楷体" w:eastAsia="楷体" w:hAnsi="楷体" w:cs="宋体"/>
                      <w:color w:val="000000"/>
                      <w:kern w:val="0"/>
                      <w:sz w:val="20"/>
                      <w:szCs w:val="20"/>
                    </w:rPr>
                  </w:pPr>
                  <w:r w:rsidRPr="00F65C05">
                    <w:rPr>
                      <w:rFonts w:ascii="楷体" w:eastAsia="楷体" w:hAnsi="楷体" w:cs="宋体" w:hint="eastAsia"/>
                      <w:color w:val="000000"/>
                      <w:kern w:val="0"/>
                      <w:sz w:val="20"/>
                      <w:szCs w:val="20"/>
                    </w:rPr>
                    <w:t>企业债3Y</w:t>
                  </w:r>
                </w:p>
              </w:tc>
              <w:tc>
                <w:tcPr>
                  <w:tcW w:w="892" w:type="dxa"/>
                  <w:tcBorders>
                    <w:top w:val="nil"/>
                    <w:left w:val="nil"/>
                    <w:bottom w:val="single" w:sz="8" w:space="0" w:color="FFFFFF"/>
                    <w:right w:val="single" w:sz="8" w:space="0" w:color="FFFFFF"/>
                  </w:tcBorders>
                  <w:shd w:val="clear" w:color="000000" w:fill="FDE9D9"/>
                  <w:noWrap/>
                  <w:vAlign w:val="center"/>
                  <w:hideMark/>
                </w:tcPr>
                <w:p w14:paraId="68835F9A"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3.77 </w:t>
                  </w:r>
                </w:p>
              </w:tc>
              <w:tc>
                <w:tcPr>
                  <w:tcW w:w="892" w:type="dxa"/>
                  <w:tcBorders>
                    <w:top w:val="nil"/>
                    <w:left w:val="nil"/>
                    <w:bottom w:val="single" w:sz="8" w:space="0" w:color="FFFFFF"/>
                    <w:right w:val="single" w:sz="8" w:space="0" w:color="FFFFFF"/>
                  </w:tcBorders>
                  <w:shd w:val="clear" w:color="000000" w:fill="FDE9D9"/>
                  <w:noWrap/>
                  <w:vAlign w:val="center"/>
                  <w:hideMark/>
                </w:tcPr>
                <w:p w14:paraId="12F77788"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4.03 </w:t>
                  </w:r>
                </w:p>
              </w:tc>
              <w:tc>
                <w:tcPr>
                  <w:tcW w:w="892" w:type="dxa"/>
                  <w:tcBorders>
                    <w:top w:val="nil"/>
                    <w:left w:val="nil"/>
                    <w:bottom w:val="single" w:sz="8" w:space="0" w:color="FFFFFF"/>
                    <w:right w:val="single" w:sz="8" w:space="0" w:color="FFFFFF"/>
                  </w:tcBorders>
                  <w:shd w:val="clear" w:color="000000" w:fill="FDE9D9"/>
                  <w:noWrap/>
                  <w:vAlign w:val="center"/>
                  <w:hideMark/>
                </w:tcPr>
                <w:p w14:paraId="3AB1550D"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4.37 </w:t>
                  </w:r>
                </w:p>
              </w:tc>
              <w:tc>
                <w:tcPr>
                  <w:tcW w:w="891" w:type="dxa"/>
                  <w:tcBorders>
                    <w:top w:val="nil"/>
                    <w:left w:val="nil"/>
                    <w:bottom w:val="single" w:sz="8" w:space="0" w:color="FFFFFF"/>
                    <w:right w:val="single" w:sz="8" w:space="0" w:color="FFFFFF"/>
                  </w:tcBorders>
                  <w:shd w:val="clear" w:color="000000" w:fill="FDE9D9"/>
                  <w:noWrap/>
                  <w:vAlign w:val="center"/>
                  <w:hideMark/>
                </w:tcPr>
                <w:p w14:paraId="4018B9DA"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6.47 </w:t>
                  </w:r>
                </w:p>
              </w:tc>
              <w:tc>
                <w:tcPr>
                  <w:tcW w:w="1117" w:type="dxa"/>
                  <w:tcBorders>
                    <w:top w:val="nil"/>
                    <w:left w:val="nil"/>
                    <w:bottom w:val="single" w:sz="8" w:space="0" w:color="FFFFFF"/>
                    <w:right w:val="single" w:sz="8" w:space="0" w:color="FFFFFF"/>
                  </w:tcBorders>
                  <w:shd w:val="clear" w:color="000000" w:fill="FDE9D9"/>
                  <w:noWrap/>
                  <w:vAlign w:val="center"/>
                  <w:hideMark/>
                </w:tcPr>
                <w:p w14:paraId="0F9EA9C7" w14:textId="77777777" w:rsidR="00F65C05" w:rsidRPr="00F65C05" w:rsidRDefault="00F65C05" w:rsidP="00F65C05">
                  <w:pPr>
                    <w:widowControl/>
                    <w:jc w:val="center"/>
                    <w:rPr>
                      <w:rFonts w:ascii="楷体" w:eastAsia="楷体" w:hAnsi="楷体" w:cs="宋体"/>
                      <w:color w:val="000000"/>
                      <w:kern w:val="0"/>
                      <w:sz w:val="20"/>
                      <w:szCs w:val="20"/>
                    </w:rPr>
                  </w:pPr>
                  <w:r w:rsidRPr="00F65C05">
                    <w:rPr>
                      <w:rFonts w:ascii="楷体" w:eastAsia="楷体" w:hAnsi="楷体" w:cs="宋体" w:hint="eastAsia"/>
                      <w:color w:val="000000"/>
                      <w:kern w:val="0"/>
                      <w:sz w:val="20"/>
                      <w:szCs w:val="20"/>
                    </w:rPr>
                    <w:t>企业债3Y</w:t>
                  </w:r>
                </w:p>
              </w:tc>
              <w:tc>
                <w:tcPr>
                  <w:tcW w:w="891" w:type="dxa"/>
                  <w:tcBorders>
                    <w:top w:val="nil"/>
                    <w:left w:val="nil"/>
                    <w:bottom w:val="single" w:sz="8" w:space="0" w:color="FFFFFF"/>
                    <w:right w:val="single" w:sz="8" w:space="0" w:color="FFFFFF"/>
                  </w:tcBorders>
                  <w:shd w:val="clear" w:color="000000" w:fill="FDE9D9"/>
                  <w:noWrap/>
                  <w:vAlign w:val="center"/>
                  <w:hideMark/>
                </w:tcPr>
                <w:p w14:paraId="54E3F901"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0.74 </w:t>
                  </w:r>
                </w:p>
              </w:tc>
              <w:tc>
                <w:tcPr>
                  <w:tcW w:w="891" w:type="dxa"/>
                  <w:tcBorders>
                    <w:top w:val="nil"/>
                    <w:left w:val="nil"/>
                    <w:bottom w:val="single" w:sz="8" w:space="0" w:color="FFFFFF"/>
                    <w:right w:val="single" w:sz="8" w:space="0" w:color="FFFFFF"/>
                  </w:tcBorders>
                  <w:shd w:val="clear" w:color="000000" w:fill="FDE9D9"/>
                  <w:noWrap/>
                  <w:vAlign w:val="center"/>
                  <w:hideMark/>
                </w:tcPr>
                <w:p w14:paraId="48D480AB"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1.00 </w:t>
                  </w:r>
                </w:p>
              </w:tc>
              <w:tc>
                <w:tcPr>
                  <w:tcW w:w="891" w:type="dxa"/>
                  <w:tcBorders>
                    <w:top w:val="nil"/>
                    <w:left w:val="nil"/>
                    <w:bottom w:val="single" w:sz="8" w:space="0" w:color="FFFFFF"/>
                    <w:right w:val="single" w:sz="8" w:space="0" w:color="FFFFFF"/>
                  </w:tcBorders>
                  <w:shd w:val="clear" w:color="000000" w:fill="FDE9D9"/>
                  <w:noWrap/>
                  <w:vAlign w:val="center"/>
                  <w:hideMark/>
                </w:tcPr>
                <w:p w14:paraId="1B58E9C7"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1.34 </w:t>
                  </w:r>
                </w:p>
              </w:tc>
              <w:tc>
                <w:tcPr>
                  <w:tcW w:w="891" w:type="dxa"/>
                  <w:tcBorders>
                    <w:top w:val="nil"/>
                    <w:left w:val="nil"/>
                    <w:bottom w:val="single" w:sz="8" w:space="0" w:color="FFFFFF"/>
                    <w:right w:val="single" w:sz="8" w:space="0" w:color="FFFFFF"/>
                  </w:tcBorders>
                  <w:shd w:val="clear" w:color="000000" w:fill="FDE9D9"/>
                  <w:noWrap/>
                  <w:vAlign w:val="center"/>
                  <w:hideMark/>
                </w:tcPr>
                <w:p w14:paraId="3D0D3FF9"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3.44 </w:t>
                  </w:r>
                </w:p>
              </w:tc>
            </w:tr>
            <w:tr w:rsidR="00F65C05" w:rsidRPr="00F65C05" w14:paraId="0AB99E47" w14:textId="77777777" w:rsidTr="00867890">
              <w:trPr>
                <w:trHeight w:val="393"/>
              </w:trPr>
              <w:tc>
                <w:tcPr>
                  <w:tcW w:w="1304" w:type="dxa"/>
                  <w:tcBorders>
                    <w:top w:val="nil"/>
                    <w:left w:val="nil"/>
                    <w:bottom w:val="single" w:sz="8" w:space="0" w:color="FFFFFF"/>
                    <w:right w:val="single" w:sz="8" w:space="0" w:color="FFFFFF"/>
                  </w:tcBorders>
                  <w:shd w:val="clear" w:color="000000" w:fill="FCD5B4"/>
                  <w:noWrap/>
                  <w:vAlign w:val="center"/>
                  <w:hideMark/>
                </w:tcPr>
                <w:p w14:paraId="2790A19C" w14:textId="77777777" w:rsidR="00F65C05" w:rsidRPr="00F65C05" w:rsidRDefault="00F65C05" w:rsidP="00F65C05">
                  <w:pPr>
                    <w:widowControl/>
                    <w:jc w:val="center"/>
                    <w:rPr>
                      <w:rFonts w:ascii="楷体" w:eastAsia="楷体" w:hAnsi="楷体" w:cs="宋体"/>
                      <w:color w:val="000000"/>
                      <w:kern w:val="0"/>
                      <w:sz w:val="20"/>
                      <w:szCs w:val="20"/>
                    </w:rPr>
                  </w:pPr>
                  <w:r w:rsidRPr="00F65C05">
                    <w:rPr>
                      <w:rFonts w:ascii="楷体" w:eastAsia="楷体" w:hAnsi="楷体" w:cs="宋体" w:hint="eastAsia"/>
                      <w:color w:val="000000"/>
                      <w:kern w:val="0"/>
                      <w:sz w:val="20"/>
                      <w:szCs w:val="20"/>
                    </w:rPr>
                    <w:t>企业债5Y</w:t>
                  </w:r>
                </w:p>
              </w:tc>
              <w:tc>
                <w:tcPr>
                  <w:tcW w:w="892" w:type="dxa"/>
                  <w:tcBorders>
                    <w:top w:val="nil"/>
                    <w:left w:val="nil"/>
                    <w:bottom w:val="single" w:sz="8" w:space="0" w:color="FFFFFF"/>
                    <w:right w:val="single" w:sz="8" w:space="0" w:color="FFFFFF"/>
                  </w:tcBorders>
                  <w:shd w:val="clear" w:color="000000" w:fill="FCD5B4"/>
                  <w:noWrap/>
                  <w:vAlign w:val="center"/>
                  <w:hideMark/>
                </w:tcPr>
                <w:p w14:paraId="7294A2D4"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3.96 </w:t>
                  </w:r>
                </w:p>
              </w:tc>
              <w:tc>
                <w:tcPr>
                  <w:tcW w:w="892" w:type="dxa"/>
                  <w:tcBorders>
                    <w:top w:val="nil"/>
                    <w:left w:val="nil"/>
                    <w:bottom w:val="single" w:sz="8" w:space="0" w:color="FFFFFF"/>
                    <w:right w:val="single" w:sz="8" w:space="0" w:color="FFFFFF"/>
                  </w:tcBorders>
                  <w:shd w:val="clear" w:color="000000" w:fill="FCD5B4"/>
                  <w:noWrap/>
                  <w:vAlign w:val="center"/>
                  <w:hideMark/>
                </w:tcPr>
                <w:p w14:paraId="4B3791F5"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4.27 </w:t>
                  </w:r>
                </w:p>
              </w:tc>
              <w:tc>
                <w:tcPr>
                  <w:tcW w:w="892" w:type="dxa"/>
                  <w:tcBorders>
                    <w:top w:val="nil"/>
                    <w:left w:val="nil"/>
                    <w:bottom w:val="single" w:sz="8" w:space="0" w:color="FFFFFF"/>
                    <w:right w:val="single" w:sz="8" w:space="0" w:color="FFFFFF"/>
                  </w:tcBorders>
                  <w:shd w:val="clear" w:color="000000" w:fill="FCD5B4"/>
                  <w:noWrap/>
                  <w:vAlign w:val="center"/>
                  <w:hideMark/>
                </w:tcPr>
                <w:p w14:paraId="2DE7300F"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4.66 </w:t>
                  </w:r>
                </w:p>
              </w:tc>
              <w:tc>
                <w:tcPr>
                  <w:tcW w:w="891" w:type="dxa"/>
                  <w:tcBorders>
                    <w:top w:val="nil"/>
                    <w:left w:val="nil"/>
                    <w:bottom w:val="single" w:sz="8" w:space="0" w:color="FFFFFF"/>
                    <w:right w:val="single" w:sz="8" w:space="0" w:color="FFFFFF"/>
                  </w:tcBorders>
                  <w:shd w:val="clear" w:color="000000" w:fill="FCD5B4"/>
                  <w:noWrap/>
                  <w:vAlign w:val="center"/>
                  <w:hideMark/>
                </w:tcPr>
                <w:p w14:paraId="192B70F0"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6.83 </w:t>
                  </w:r>
                </w:p>
              </w:tc>
              <w:tc>
                <w:tcPr>
                  <w:tcW w:w="1117" w:type="dxa"/>
                  <w:tcBorders>
                    <w:top w:val="nil"/>
                    <w:left w:val="nil"/>
                    <w:bottom w:val="single" w:sz="8" w:space="0" w:color="FFFFFF"/>
                    <w:right w:val="single" w:sz="8" w:space="0" w:color="FFFFFF"/>
                  </w:tcBorders>
                  <w:shd w:val="clear" w:color="000000" w:fill="FCD5B4"/>
                  <w:noWrap/>
                  <w:vAlign w:val="center"/>
                  <w:hideMark/>
                </w:tcPr>
                <w:p w14:paraId="32987796" w14:textId="77777777" w:rsidR="00F65C05" w:rsidRPr="00F65C05" w:rsidRDefault="00F65C05" w:rsidP="00F65C05">
                  <w:pPr>
                    <w:widowControl/>
                    <w:jc w:val="center"/>
                    <w:rPr>
                      <w:rFonts w:ascii="楷体" w:eastAsia="楷体" w:hAnsi="楷体" w:cs="宋体"/>
                      <w:color w:val="000000"/>
                      <w:kern w:val="0"/>
                      <w:sz w:val="20"/>
                      <w:szCs w:val="20"/>
                    </w:rPr>
                  </w:pPr>
                  <w:r w:rsidRPr="00F65C05">
                    <w:rPr>
                      <w:rFonts w:ascii="楷体" w:eastAsia="楷体" w:hAnsi="楷体" w:cs="宋体" w:hint="eastAsia"/>
                      <w:color w:val="000000"/>
                      <w:kern w:val="0"/>
                      <w:sz w:val="20"/>
                      <w:szCs w:val="20"/>
                    </w:rPr>
                    <w:t>企业债5Y</w:t>
                  </w:r>
                </w:p>
              </w:tc>
              <w:tc>
                <w:tcPr>
                  <w:tcW w:w="891" w:type="dxa"/>
                  <w:tcBorders>
                    <w:top w:val="nil"/>
                    <w:left w:val="nil"/>
                    <w:bottom w:val="single" w:sz="8" w:space="0" w:color="FFFFFF"/>
                    <w:right w:val="single" w:sz="8" w:space="0" w:color="FFFFFF"/>
                  </w:tcBorders>
                  <w:shd w:val="clear" w:color="000000" w:fill="FCD5B4"/>
                  <w:noWrap/>
                  <w:vAlign w:val="center"/>
                  <w:hideMark/>
                </w:tcPr>
                <w:p w14:paraId="1E308B83"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0.85 </w:t>
                  </w:r>
                </w:p>
              </w:tc>
              <w:tc>
                <w:tcPr>
                  <w:tcW w:w="891" w:type="dxa"/>
                  <w:tcBorders>
                    <w:top w:val="nil"/>
                    <w:left w:val="nil"/>
                    <w:bottom w:val="single" w:sz="8" w:space="0" w:color="FFFFFF"/>
                    <w:right w:val="single" w:sz="8" w:space="0" w:color="FFFFFF"/>
                  </w:tcBorders>
                  <w:shd w:val="clear" w:color="000000" w:fill="FCD5B4"/>
                  <w:noWrap/>
                  <w:vAlign w:val="center"/>
                  <w:hideMark/>
                </w:tcPr>
                <w:p w14:paraId="4764E825"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1.16 </w:t>
                  </w:r>
                </w:p>
              </w:tc>
              <w:tc>
                <w:tcPr>
                  <w:tcW w:w="891" w:type="dxa"/>
                  <w:tcBorders>
                    <w:top w:val="nil"/>
                    <w:left w:val="nil"/>
                    <w:bottom w:val="single" w:sz="8" w:space="0" w:color="FFFFFF"/>
                    <w:right w:val="single" w:sz="8" w:space="0" w:color="FFFFFF"/>
                  </w:tcBorders>
                  <w:shd w:val="clear" w:color="000000" w:fill="FCD5B4"/>
                  <w:noWrap/>
                  <w:vAlign w:val="center"/>
                  <w:hideMark/>
                </w:tcPr>
                <w:p w14:paraId="052ABF31"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1.55 </w:t>
                  </w:r>
                </w:p>
              </w:tc>
              <w:tc>
                <w:tcPr>
                  <w:tcW w:w="891" w:type="dxa"/>
                  <w:tcBorders>
                    <w:top w:val="nil"/>
                    <w:left w:val="nil"/>
                    <w:bottom w:val="single" w:sz="8" w:space="0" w:color="FFFFFF"/>
                    <w:right w:val="single" w:sz="8" w:space="0" w:color="FFFFFF"/>
                  </w:tcBorders>
                  <w:shd w:val="clear" w:color="000000" w:fill="FCD5B4"/>
                  <w:noWrap/>
                  <w:vAlign w:val="center"/>
                  <w:hideMark/>
                </w:tcPr>
                <w:p w14:paraId="53F575EB"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3.72 </w:t>
                  </w:r>
                </w:p>
              </w:tc>
            </w:tr>
            <w:tr w:rsidR="00F65C05" w:rsidRPr="00F65C05" w14:paraId="4DEADB1B" w14:textId="77777777" w:rsidTr="00867890">
              <w:trPr>
                <w:trHeight w:val="393"/>
              </w:trPr>
              <w:tc>
                <w:tcPr>
                  <w:tcW w:w="1304" w:type="dxa"/>
                  <w:tcBorders>
                    <w:top w:val="nil"/>
                    <w:left w:val="nil"/>
                    <w:bottom w:val="single" w:sz="8" w:space="0" w:color="FFFFFF"/>
                    <w:right w:val="single" w:sz="8" w:space="0" w:color="FFFFFF"/>
                  </w:tcBorders>
                  <w:shd w:val="clear" w:color="000000" w:fill="FDE9D9"/>
                  <w:noWrap/>
                  <w:vAlign w:val="center"/>
                  <w:hideMark/>
                </w:tcPr>
                <w:p w14:paraId="0DF9BE79" w14:textId="77777777" w:rsidR="00F65C05" w:rsidRPr="00F65C05" w:rsidRDefault="00F65C05" w:rsidP="00F65C05">
                  <w:pPr>
                    <w:widowControl/>
                    <w:jc w:val="center"/>
                    <w:rPr>
                      <w:rFonts w:ascii="楷体" w:eastAsia="楷体" w:hAnsi="楷体" w:cs="宋体"/>
                      <w:color w:val="000000"/>
                      <w:kern w:val="0"/>
                      <w:sz w:val="20"/>
                      <w:szCs w:val="20"/>
                    </w:rPr>
                  </w:pPr>
                  <w:r w:rsidRPr="00F65C05">
                    <w:rPr>
                      <w:rFonts w:ascii="楷体" w:eastAsia="楷体" w:hAnsi="楷体" w:cs="宋体" w:hint="eastAsia"/>
                      <w:color w:val="000000"/>
                      <w:kern w:val="0"/>
                      <w:sz w:val="20"/>
                      <w:szCs w:val="20"/>
                    </w:rPr>
                    <w:t>企业债7Y</w:t>
                  </w:r>
                </w:p>
              </w:tc>
              <w:tc>
                <w:tcPr>
                  <w:tcW w:w="892" w:type="dxa"/>
                  <w:tcBorders>
                    <w:top w:val="nil"/>
                    <w:left w:val="nil"/>
                    <w:bottom w:val="single" w:sz="8" w:space="0" w:color="FFFFFF"/>
                    <w:right w:val="single" w:sz="8" w:space="0" w:color="FFFFFF"/>
                  </w:tcBorders>
                  <w:shd w:val="clear" w:color="000000" w:fill="FDE9D9"/>
                  <w:noWrap/>
                  <w:vAlign w:val="center"/>
                  <w:hideMark/>
                </w:tcPr>
                <w:p w14:paraId="410CCFAB"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4.14 </w:t>
                  </w:r>
                </w:p>
              </w:tc>
              <w:tc>
                <w:tcPr>
                  <w:tcW w:w="892" w:type="dxa"/>
                  <w:tcBorders>
                    <w:top w:val="nil"/>
                    <w:left w:val="nil"/>
                    <w:bottom w:val="single" w:sz="8" w:space="0" w:color="FFFFFF"/>
                    <w:right w:val="single" w:sz="8" w:space="0" w:color="FFFFFF"/>
                  </w:tcBorders>
                  <w:shd w:val="clear" w:color="000000" w:fill="FDE9D9"/>
                  <w:noWrap/>
                  <w:vAlign w:val="center"/>
                  <w:hideMark/>
                </w:tcPr>
                <w:p w14:paraId="2387B74D"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4.48 </w:t>
                  </w:r>
                </w:p>
              </w:tc>
              <w:tc>
                <w:tcPr>
                  <w:tcW w:w="892" w:type="dxa"/>
                  <w:tcBorders>
                    <w:top w:val="nil"/>
                    <w:left w:val="nil"/>
                    <w:bottom w:val="single" w:sz="8" w:space="0" w:color="FFFFFF"/>
                    <w:right w:val="single" w:sz="8" w:space="0" w:color="FFFFFF"/>
                  </w:tcBorders>
                  <w:shd w:val="clear" w:color="000000" w:fill="FDE9D9"/>
                  <w:noWrap/>
                  <w:vAlign w:val="center"/>
                  <w:hideMark/>
                </w:tcPr>
                <w:p w14:paraId="288FD932"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4.89 </w:t>
                  </w:r>
                </w:p>
              </w:tc>
              <w:tc>
                <w:tcPr>
                  <w:tcW w:w="891" w:type="dxa"/>
                  <w:tcBorders>
                    <w:top w:val="nil"/>
                    <w:left w:val="nil"/>
                    <w:bottom w:val="single" w:sz="8" w:space="0" w:color="FFFFFF"/>
                    <w:right w:val="single" w:sz="8" w:space="0" w:color="FFFFFF"/>
                  </w:tcBorders>
                  <w:shd w:val="clear" w:color="000000" w:fill="FDE9D9"/>
                  <w:noWrap/>
                  <w:vAlign w:val="center"/>
                  <w:hideMark/>
                </w:tcPr>
                <w:p w14:paraId="318C0CEF"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7.07 </w:t>
                  </w:r>
                </w:p>
              </w:tc>
              <w:tc>
                <w:tcPr>
                  <w:tcW w:w="1117" w:type="dxa"/>
                  <w:tcBorders>
                    <w:top w:val="nil"/>
                    <w:left w:val="nil"/>
                    <w:bottom w:val="single" w:sz="8" w:space="0" w:color="FFFFFF"/>
                    <w:right w:val="single" w:sz="8" w:space="0" w:color="FFFFFF"/>
                  </w:tcBorders>
                  <w:shd w:val="clear" w:color="000000" w:fill="FDE9D9"/>
                  <w:noWrap/>
                  <w:vAlign w:val="center"/>
                  <w:hideMark/>
                </w:tcPr>
                <w:p w14:paraId="64D90862" w14:textId="77777777" w:rsidR="00F65C05" w:rsidRPr="00F65C05" w:rsidRDefault="00F65C05" w:rsidP="00F65C05">
                  <w:pPr>
                    <w:widowControl/>
                    <w:jc w:val="center"/>
                    <w:rPr>
                      <w:rFonts w:ascii="楷体" w:eastAsia="楷体" w:hAnsi="楷体" w:cs="宋体"/>
                      <w:color w:val="000000"/>
                      <w:kern w:val="0"/>
                      <w:sz w:val="20"/>
                      <w:szCs w:val="20"/>
                    </w:rPr>
                  </w:pPr>
                  <w:r w:rsidRPr="00F65C05">
                    <w:rPr>
                      <w:rFonts w:ascii="楷体" w:eastAsia="楷体" w:hAnsi="楷体" w:cs="宋体" w:hint="eastAsia"/>
                      <w:color w:val="000000"/>
                      <w:kern w:val="0"/>
                      <w:sz w:val="20"/>
                      <w:szCs w:val="20"/>
                    </w:rPr>
                    <w:t>企业债7Y</w:t>
                  </w:r>
                </w:p>
              </w:tc>
              <w:tc>
                <w:tcPr>
                  <w:tcW w:w="891" w:type="dxa"/>
                  <w:tcBorders>
                    <w:top w:val="nil"/>
                    <w:left w:val="nil"/>
                    <w:bottom w:val="single" w:sz="8" w:space="0" w:color="FFFFFF"/>
                    <w:right w:val="single" w:sz="8" w:space="0" w:color="FFFFFF"/>
                  </w:tcBorders>
                  <w:shd w:val="clear" w:color="000000" w:fill="FDE9D9"/>
                  <w:noWrap/>
                  <w:vAlign w:val="center"/>
                  <w:hideMark/>
                </w:tcPr>
                <w:p w14:paraId="75239674"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0.87 </w:t>
                  </w:r>
                </w:p>
              </w:tc>
              <w:tc>
                <w:tcPr>
                  <w:tcW w:w="891" w:type="dxa"/>
                  <w:tcBorders>
                    <w:top w:val="nil"/>
                    <w:left w:val="nil"/>
                    <w:bottom w:val="single" w:sz="8" w:space="0" w:color="FFFFFF"/>
                    <w:right w:val="single" w:sz="8" w:space="0" w:color="FFFFFF"/>
                  </w:tcBorders>
                  <w:shd w:val="clear" w:color="000000" w:fill="FDE9D9"/>
                  <w:noWrap/>
                  <w:vAlign w:val="center"/>
                  <w:hideMark/>
                </w:tcPr>
                <w:p w14:paraId="714FCDD5"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1.21 </w:t>
                  </w:r>
                </w:p>
              </w:tc>
              <w:tc>
                <w:tcPr>
                  <w:tcW w:w="891" w:type="dxa"/>
                  <w:tcBorders>
                    <w:top w:val="nil"/>
                    <w:left w:val="nil"/>
                    <w:bottom w:val="single" w:sz="8" w:space="0" w:color="FFFFFF"/>
                    <w:right w:val="single" w:sz="8" w:space="0" w:color="FFFFFF"/>
                  </w:tcBorders>
                  <w:shd w:val="clear" w:color="000000" w:fill="FDE9D9"/>
                  <w:noWrap/>
                  <w:vAlign w:val="center"/>
                  <w:hideMark/>
                </w:tcPr>
                <w:p w14:paraId="1D986196"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1.62 </w:t>
                  </w:r>
                </w:p>
              </w:tc>
              <w:tc>
                <w:tcPr>
                  <w:tcW w:w="891" w:type="dxa"/>
                  <w:tcBorders>
                    <w:top w:val="nil"/>
                    <w:left w:val="nil"/>
                    <w:bottom w:val="single" w:sz="8" w:space="0" w:color="FFFFFF"/>
                    <w:right w:val="single" w:sz="8" w:space="0" w:color="FFFFFF"/>
                  </w:tcBorders>
                  <w:shd w:val="clear" w:color="000000" w:fill="FDE9D9"/>
                  <w:noWrap/>
                  <w:vAlign w:val="center"/>
                  <w:hideMark/>
                </w:tcPr>
                <w:p w14:paraId="79E47F0C"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3.80 </w:t>
                  </w:r>
                </w:p>
              </w:tc>
            </w:tr>
            <w:tr w:rsidR="00F65C05" w:rsidRPr="00F65C05" w14:paraId="059DCC8E" w14:textId="77777777" w:rsidTr="00867890">
              <w:trPr>
                <w:trHeight w:val="393"/>
              </w:trPr>
              <w:tc>
                <w:tcPr>
                  <w:tcW w:w="1304" w:type="dxa"/>
                  <w:tcBorders>
                    <w:top w:val="nil"/>
                    <w:left w:val="nil"/>
                    <w:bottom w:val="single" w:sz="8" w:space="0" w:color="FFFFFF"/>
                    <w:right w:val="single" w:sz="8" w:space="0" w:color="FFFFFF"/>
                  </w:tcBorders>
                  <w:shd w:val="clear" w:color="000000" w:fill="FCD5B4"/>
                  <w:noWrap/>
                  <w:vAlign w:val="center"/>
                  <w:hideMark/>
                </w:tcPr>
                <w:p w14:paraId="45E47C71" w14:textId="77777777" w:rsidR="00F65C05" w:rsidRPr="00F65C05" w:rsidRDefault="00F65C05" w:rsidP="00F65C05">
                  <w:pPr>
                    <w:widowControl/>
                    <w:jc w:val="center"/>
                    <w:rPr>
                      <w:rFonts w:ascii="楷体" w:eastAsia="楷体" w:hAnsi="楷体" w:cs="宋体"/>
                      <w:color w:val="000000"/>
                      <w:kern w:val="0"/>
                      <w:sz w:val="20"/>
                      <w:szCs w:val="20"/>
                    </w:rPr>
                  </w:pPr>
                  <w:proofErr w:type="gramStart"/>
                  <w:r w:rsidRPr="00F65C05">
                    <w:rPr>
                      <w:rFonts w:ascii="楷体" w:eastAsia="楷体" w:hAnsi="楷体" w:cs="宋体" w:hint="eastAsia"/>
                      <w:color w:val="000000"/>
                      <w:kern w:val="0"/>
                      <w:sz w:val="20"/>
                      <w:szCs w:val="20"/>
                    </w:rPr>
                    <w:t>城投债</w:t>
                  </w:r>
                  <w:proofErr w:type="gramEnd"/>
                  <w:r w:rsidRPr="00F65C05">
                    <w:rPr>
                      <w:rFonts w:ascii="楷体" w:eastAsia="楷体" w:hAnsi="楷体" w:cs="宋体" w:hint="eastAsia"/>
                      <w:color w:val="000000"/>
                      <w:kern w:val="0"/>
                      <w:sz w:val="20"/>
                      <w:szCs w:val="20"/>
                    </w:rPr>
                    <w:t>3Y</w:t>
                  </w:r>
                </w:p>
              </w:tc>
              <w:tc>
                <w:tcPr>
                  <w:tcW w:w="892" w:type="dxa"/>
                  <w:tcBorders>
                    <w:top w:val="nil"/>
                    <w:left w:val="nil"/>
                    <w:bottom w:val="single" w:sz="8" w:space="0" w:color="FFFFFF"/>
                    <w:right w:val="single" w:sz="8" w:space="0" w:color="FFFFFF"/>
                  </w:tcBorders>
                  <w:shd w:val="clear" w:color="000000" w:fill="FCD5B4"/>
                  <w:noWrap/>
                  <w:vAlign w:val="center"/>
                  <w:hideMark/>
                </w:tcPr>
                <w:p w14:paraId="6986C886"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3.79 </w:t>
                  </w:r>
                </w:p>
              </w:tc>
              <w:tc>
                <w:tcPr>
                  <w:tcW w:w="892" w:type="dxa"/>
                  <w:tcBorders>
                    <w:top w:val="nil"/>
                    <w:left w:val="nil"/>
                    <w:bottom w:val="single" w:sz="8" w:space="0" w:color="FFFFFF"/>
                    <w:right w:val="single" w:sz="8" w:space="0" w:color="FFFFFF"/>
                  </w:tcBorders>
                  <w:shd w:val="clear" w:color="000000" w:fill="FCD5B4"/>
                  <w:noWrap/>
                  <w:vAlign w:val="center"/>
                  <w:hideMark/>
                </w:tcPr>
                <w:p w14:paraId="72C7B5D6"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4.03 </w:t>
                  </w:r>
                </w:p>
              </w:tc>
              <w:tc>
                <w:tcPr>
                  <w:tcW w:w="892" w:type="dxa"/>
                  <w:tcBorders>
                    <w:top w:val="nil"/>
                    <w:left w:val="nil"/>
                    <w:bottom w:val="single" w:sz="8" w:space="0" w:color="FFFFFF"/>
                    <w:right w:val="single" w:sz="8" w:space="0" w:color="FFFFFF"/>
                  </w:tcBorders>
                  <w:shd w:val="clear" w:color="000000" w:fill="FCD5B4"/>
                  <w:noWrap/>
                  <w:vAlign w:val="center"/>
                  <w:hideMark/>
                </w:tcPr>
                <w:p w14:paraId="7297C7ED"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4.30 </w:t>
                  </w:r>
                </w:p>
              </w:tc>
              <w:tc>
                <w:tcPr>
                  <w:tcW w:w="891" w:type="dxa"/>
                  <w:tcBorders>
                    <w:top w:val="nil"/>
                    <w:left w:val="nil"/>
                    <w:bottom w:val="single" w:sz="8" w:space="0" w:color="FFFFFF"/>
                    <w:right w:val="single" w:sz="8" w:space="0" w:color="FFFFFF"/>
                  </w:tcBorders>
                  <w:shd w:val="clear" w:color="000000" w:fill="FCD5B4"/>
                  <w:noWrap/>
                  <w:vAlign w:val="center"/>
                  <w:hideMark/>
                </w:tcPr>
                <w:p w14:paraId="43DDD299"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5.97 </w:t>
                  </w:r>
                </w:p>
              </w:tc>
              <w:tc>
                <w:tcPr>
                  <w:tcW w:w="1117" w:type="dxa"/>
                  <w:tcBorders>
                    <w:top w:val="nil"/>
                    <w:left w:val="nil"/>
                    <w:bottom w:val="single" w:sz="8" w:space="0" w:color="FFFFFF"/>
                    <w:right w:val="single" w:sz="8" w:space="0" w:color="FFFFFF"/>
                  </w:tcBorders>
                  <w:shd w:val="clear" w:color="000000" w:fill="FCD5B4"/>
                  <w:noWrap/>
                  <w:vAlign w:val="center"/>
                  <w:hideMark/>
                </w:tcPr>
                <w:p w14:paraId="2FE50908" w14:textId="77777777" w:rsidR="00F65C05" w:rsidRPr="00F65C05" w:rsidRDefault="00F65C05" w:rsidP="00F65C05">
                  <w:pPr>
                    <w:widowControl/>
                    <w:jc w:val="center"/>
                    <w:rPr>
                      <w:rFonts w:ascii="楷体" w:eastAsia="楷体" w:hAnsi="楷体" w:cs="宋体"/>
                      <w:color w:val="000000"/>
                      <w:kern w:val="0"/>
                      <w:sz w:val="20"/>
                      <w:szCs w:val="20"/>
                    </w:rPr>
                  </w:pPr>
                  <w:proofErr w:type="gramStart"/>
                  <w:r w:rsidRPr="00F65C05">
                    <w:rPr>
                      <w:rFonts w:ascii="楷体" w:eastAsia="楷体" w:hAnsi="楷体" w:cs="宋体" w:hint="eastAsia"/>
                      <w:color w:val="000000"/>
                      <w:kern w:val="0"/>
                      <w:sz w:val="20"/>
                      <w:szCs w:val="20"/>
                    </w:rPr>
                    <w:t>城投债</w:t>
                  </w:r>
                  <w:proofErr w:type="gramEnd"/>
                  <w:r w:rsidRPr="00F65C05">
                    <w:rPr>
                      <w:rFonts w:ascii="楷体" w:eastAsia="楷体" w:hAnsi="楷体" w:cs="宋体" w:hint="eastAsia"/>
                      <w:color w:val="000000"/>
                      <w:kern w:val="0"/>
                      <w:sz w:val="20"/>
                      <w:szCs w:val="20"/>
                    </w:rPr>
                    <w:t>3Y</w:t>
                  </w:r>
                </w:p>
              </w:tc>
              <w:tc>
                <w:tcPr>
                  <w:tcW w:w="891" w:type="dxa"/>
                  <w:tcBorders>
                    <w:top w:val="nil"/>
                    <w:left w:val="nil"/>
                    <w:bottom w:val="single" w:sz="8" w:space="0" w:color="FFFFFF"/>
                    <w:right w:val="single" w:sz="8" w:space="0" w:color="FFFFFF"/>
                  </w:tcBorders>
                  <w:shd w:val="clear" w:color="000000" w:fill="FCD5B4"/>
                  <w:noWrap/>
                  <w:vAlign w:val="center"/>
                  <w:hideMark/>
                </w:tcPr>
                <w:p w14:paraId="00983C65"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0.75 </w:t>
                  </w:r>
                </w:p>
              </w:tc>
              <w:tc>
                <w:tcPr>
                  <w:tcW w:w="891" w:type="dxa"/>
                  <w:tcBorders>
                    <w:top w:val="nil"/>
                    <w:left w:val="nil"/>
                    <w:bottom w:val="single" w:sz="8" w:space="0" w:color="FFFFFF"/>
                    <w:right w:val="single" w:sz="8" w:space="0" w:color="FFFFFF"/>
                  </w:tcBorders>
                  <w:shd w:val="clear" w:color="000000" w:fill="FCD5B4"/>
                  <w:noWrap/>
                  <w:vAlign w:val="center"/>
                  <w:hideMark/>
                </w:tcPr>
                <w:p w14:paraId="6B51A2EA"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0.99 </w:t>
                  </w:r>
                </w:p>
              </w:tc>
              <w:tc>
                <w:tcPr>
                  <w:tcW w:w="891" w:type="dxa"/>
                  <w:tcBorders>
                    <w:top w:val="nil"/>
                    <w:left w:val="nil"/>
                    <w:bottom w:val="single" w:sz="8" w:space="0" w:color="FFFFFF"/>
                    <w:right w:val="single" w:sz="8" w:space="0" w:color="FFFFFF"/>
                  </w:tcBorders>
                  <w:shd w:val="clear" w:color="000000" w:fill="FCD5B4"/>
                  <w:noWrap/>
                  <w:vAlign w:val="center"/>
                  <w:hideMark/>
                </w:tcPr>
                <w:p w14:paraId="35E3DC00"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1.27 </w:t>
                  </w:r>
                </w:p>
              </w:tc>
              <w:tc>
                <w:tcPr>
                  <w:tcW w:w="891" w:type="dxa"/>
                  <w:tcBorders>
                    <w:top w:val="nil"/>
                    <w:left w:val="nil"/>
                    <w:bottom w:val="single" w:sz="8" w:space="0" w:color="FFFFFF"/>
                    <w:right w:val="single" w:sz="8" w:space="0" w:color="FFFFFF"/>
                  </w:tcBorders>
                  <w:shd w:val="clear" w:color="000000" w:fill="FCD5B4"/>
                  <w:noWrap/>
                  <w:vAlign w:val="center"/>
                  <w:hideMark/>
                </w:tcPr>
                <w:p w14:paraId="017BCE16"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2.94 </w:t>
                  </w:r>
                </w:p>
              </w:tc>
            </w:tr>
            <w:tr w:rsidR="00F65C05" w:rsidRPr="00F65C05" w14:paraId="33DA0AC5" w14:textId="77777777" w:rsidTr="00867890">
              <w:trPr>
                <w:trHeight w:val="393"/>
              </w:trPr>
              <w:tc>
                <w:tcPr>
                  <w:tcW w:w="1304" w:type="dxa"/>
                  <w:tcBorders>
                    <w:top w:val="nil"/>
                    <w:left w:val="nil"/>
                    <w:bottom w:val="single" w:sz="8" w:space="0" w:color="FFFFFF"/>
                    <w:right w:val="single" w:sz="8" w:space="0" w:color="FFFFFF"/>
                  </w:tcBorders>
                  <w:shd w:val="clear" w:color="000000" w:fill="FDE9D9"/>
                  <w:noWrap/>
                  <w:vAlign w:val="center"/>
                  <w:hideMark/>
                </w:tcPr>
                <w:p w14:paraId="11BD1DA9" w14:textId="77777777" w:rsidR="00F65C05" w:rsidRPr="00F65C05" w:rsidRDefault="00F65C05" w:rsidP="00F65C05">
                  <w:pPr>
                    <w:widowControl/>
                    <w:jc w:val="center"/>
                    <w:rPr>
                      <w:rFonts w:ascii="楷体" w:eastAsia="楷体" w:hAnsi="楷体" w:cs="宋体"/>
                      <w:color w:val="000000"/>
                      <w:kern w:val="0"/>
                      <w:sz w:val="20"/>
                      <w:szCs w:val="20"/>
                    </w:rPr>
                  </w:pPr>
                  <w:proofErr w:type="gramStart"/>
                  <w:r w:rsidRPr="00F65C05">
                    <w:rPr>
                      <w:rFonts w:ascii="楷体" w:eastAsia="楷体" w:hAnsi="楷体" w:cs="宋体" w:hint="eastAsia"/>
                      <w:color w:val="000000"/>
                      <w:kern w:val="0"/>
                      <w:sz w:val="20"/>
                      <w:szCs w:val="20"/>
                    </w:rPr>
                    <w:t>城投债</w:t>
                  </w:r>
                  <w:proofErr w:type="gramEnd"/>
                  <w:r w:rsidRPr="00F65C05">
                    <w:rPr>
                      <w:rFonts w:ascii="楷体" w:eastAsia="楷体" w:hAnsi="楷体" w:cs="宋体" w:hint="eastAsia"/>
                      <w:color w:val="000000"/>
                      <w:kern w:val="0"/>
                      <w:sz w:val="20"/>
                      <w:szCs w:val="20"/>
                    </w:rPr>
                    <w:t>5Y</w:t>
                  </w:r>
                </w:p>
              </w:tc>
              <w:tc>
                <w:tcPr>
                  <w:tcW w:w="892" w:type="dxa"/>
                  <w:tcBorders>
                    <w:top w:val="nil"/>
                    <w:left w:val="nil"/>
                    <w:bottom w:val="single" w:sz="8" w:space="0" w:color="FFFFFF"/>
                    <w:right w:val="single" w:sz="8" w:space="0" w:color="FFFFFF"/>
                  </w:tcBorders>
                  <w:shd w:val="clear" w:color="000000" w:fill="FDE9D9"/>
                  <w:noWrap/>
                  <w:vAlign w:val="center"/>
                  <w:hideMark/>
                </w:tcPr>
                <w:p w14:paraId="1F27929A"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3.96 </w:t>
                  </w:r>
                </w:p>
              </w:tc>
              <w:tc>
                <w:tcPr>
                  <w:tcW w:w="892" w:type="dxa"/>
                  <w:tcBorders>
                    <w:top w:val="nil"/>
                    <w:left w:val="nil"/>
                    <w:bottom w:val="single" w:sz="8" w:space="0" w:color="FFFFFF"/>
                    <w:right w:val="single" w:sz="8" w:space="0" w:color="FFFFFF"/>
                  </w:tcBorders>
                  <w:shd w:val="clear" w:color="000000" w:fill="FDE9D9"/>
                  <w:noWrap/>
                  <w:vAlign w:val="center"/>
                  <w:hideMark/>
                </w:tcPr>
                <w:p w14:paraId="4C2FECFA"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4.19 </w:t>
                  </w:r>
                </w:p>
              </w:tc>
              <w:tc>
                <w:tcPr>
                  <w:tcW w:w="892" w:type="dxa"/>
                  <w:tcBorders>
                    <w:top w:val="nil"/>
                    <w:left w:val="nil"/>
                    <w:bottom w:val="single" w:sz="8" w:space="0" w:color="FFFFFF"/>
                    <w:right w:val="single" w:sz="8" w:space="0" w:color="FFFFFF"/>
                  </w:tcBorders>
                  <w:shd w:val="clear" w:color="000000" w:fill="FDE9D9"/>
                  <w:noWrap/>
                  <w:vAlign w:val="center"/>
                  <w:hideMark/>
                </w:tcPr>
                <w:p w14:paraId="65A3065D"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4.43 </w:t>
                  </w:r>
                </w:p>
              </w:tc>
              <w:tc>
                <w:tcPr>
                  <w:tcW w:w="891" w:type="dxa"/>
                  <w:tcBorders>
                    <w:top w:val="nil"/>
                    <w:left w:val="nil"/>
                    <w:bottom w:val="single" w:sz="8" w:space="0" w:color="FFFFFF"/>
                    <w:right w:val="single" w:sz="8" w:space="0" w:color="FFFFFF"/>
                  </w:tcBorders>
                  <w:shd w:val="clear" w:color="000000" w:fill="FDE9D9"/>
                  <w:noWrap/>
                  <w:vAlign w:val="center"/>
                  <w:hideMark/>
                </w:tcPr>
                <w:p w14:paraId="3A380BEE"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6.66 </w:t>
                  </w:r>
                </w:p>
              </w:tc>
              <w:tc>
                <w:tcPr>
                  <w:tcW w:w="1117" w:type="dxa"/>
                  <w:tcBorders>
                    <w:top w:val="nil"/>
                    <w:left w:val="nil"/>
                    <w:bottom w:val="single" w:sz="8" w:space="0" w:color="FFFFFF"/>
                    <w:right w:val="single" w:sz="8" w:space="0" w:color="FFFFFF"/>
                  </w:tcBorders>
                  <w:shd w:val="clear" w:color="000000" w:fill="FDE9D9"/>
                  <w:noWrap/>
                  <w:vAlign w:val="center"/>
                  <w:hideMark/>
                </w:tcPr>
                <w:p w14:paraId="132E83C1" w14:textId="77777777" w:rsidR="00F65C05" w:rsidRPr="00F65C05" w:rsidRDefault="00F65C05" w:rsidP="00F65C05">
                  <w:pPr>
                    <w:widowControl/>
                    <w:jc w:val="center"/>
                    <w:rPr>
                      <w:rFonts w:ascii="楷体" w:eastAsia="楷体" w:hAnsi="楷体" w:cs="宋体"/>
                      <w:color w:val="000000"/>
                      <w:kern w:val="0"/>
                      <w:sz w:val="20"/>
                      <w:szCs w:val="20"/>
                    </w:rPr>
                  </w:pPr>
                  <w:proofErr w:type="gramStart"/>
                  <w:r w:rsidRPr="00F65C05">
                    <w:rPr>
                      <w:rFonts w:ascii="楷体" w:eastAsia="楷体" w:hAnsi="楷体" w:cs="宋体" w:hint="eastAsia"/>
                      <w:color w:val="000000"/>
                      <w:kern w:val="0"/>
                      <w:sz w:val="20"/>
                      <w:szCs w:val="20"/>
                    </w:rPr>
                    <w:t>城投债</w:t>
                  </w:r>
                  <w:proofErr w:type="gramEnd"/>
                  <w:r w:rsidRPr="00F65C05">
                    <w:rPr>
                      <w:rFonts w:ascii="楷体" w:eastAsia="楷体" w:hAnsi="楷体" w:cs="宋体" w:hint="eastAsia"/>
                      <w:color w:val="000000"/>
                      <w:kern w:val="0"/>
                      <w:sz w:val="20"/>
                      <w:szCs w:val="20"/>
                    </w:rPr>
                    <w:t>5Y</w:t>
                  </w:r>
                </w:p>
              </w:tc>
              <w:tc>
                <w:tcPr>
                  <w:tcW w:w="891" w:type="dxa"/>
                  <w:tcBorders>
                    <w:top w:val="nil"/>
                    <w:left w:val="nil"/>
                    <w:bottom w:val="single" w:sz="8" w:space="0" w:color="FFFFFF"/>
                    <w:right w:val="single" w:sz="8" w:space="0" w:color="FFFFFF"/>
                  </w:tcBorders>
                  <w:shd w:val="clear" w:color="000000" w:fill="FDE9D9"/>
                  <w:noWrap/>
                  <w:vAlign w:val="center"/>
                  <w:hideMark/>
                </w:tcPr>
                <w:p w14:paraId="7A8131DE"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0.84 </w:t>
                  </w:r>
                </w:p>
              </w:tc>
              <w:tc>
                <w:tcPr>
                  <w:tcW w:w="891" w:type="dxa"/>
                  <w:tcBorders>
                    <w:top w:val="nil"/>
                    <w:left w:val="nil"/>
                    <w:bottom w:val="single" w:sz="8" w:space="0" w:color="FFFFFF"/>
                    <w:right w:val="single" w:sz="8" w:space="0" w:color="FFFFFF"/>
                  </w:tcBorders>
                  <w:shd w:val="clear" w:color="000000" w:fill="FDE9D9"/>
                  <w:noWrap/>
                  <w:vAlign w:val="center"/>
                  <w:hideMark/>
                </w:tcPr>
                <w:p w14:paraId="4962F8AD"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1.07 </w:t>
                  </w:r>
                </w:p>
              </w:tc>
              <w:tc>
                <w:tcPr>
                  <w:tcW w:w="891" w:type="dxa"/>
                  <w:tcBorders>
                    <w:top w:val="nil"/>
                    <w:left w:val="nil"/>
                    <w:bottom w:val="single" w:sz="8" w:space="0" w:color="FFFFFF"/>
                    <w:right w:val="single" w:sz="8" w:space="0" w:color="FFFFFF"/>
                  </w:tcBorders>
                  <w:shd w:val="clear" w:color="000000" w:fill="FDE9D9"/>
                  <w:noWrap/>
                  <w:vAlign w:val="center"/>
                  <w:hideMark/>
                </w:tcPr>
                <w:p w14:paraId="74EAD565"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1.32 </w:t>
                  </w:r>
                </w:p>
              </w:tc>
              <w:tc>
                <w:tcPr>
                  <w:tcW w:w="891" w:type="dxa"/>
                  <w:tcBorders>
                    <w:top w:val="nil"/>
                    <w:left w:val="nil"/>
                    <w:bottom w:val="single" w:sz="8" w:space="0" w:color="FFFFFF"/>
                    <w:right w:val="single" w:sz="8" w:space="0" w:color="FFFFFF"/>
                  </w:tcBorders>
                  <w:shd w:val="clear" w:color="000000" w:fill="FDE9D9"/>
                  <w:noWrap/>
                  <w:vAlign w:val="center"/>
                  <w:hideMark/>
                </w:tcPr>
                <w:p w14:paraId="700967A5"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3.55 </w:t>
                  </w:r>
                </w:p>
              </w:tc>
            </w:tr>
            <w:tr w:rsidR="00F65C05" w:rsidRPr="00F65C05" w14:paraId="14B72A08" w14:textId="77777777" w:rsidTr="00867890">
              <w:trPr>
                <w:trHeight w:val="393"/>
              </w:trPr>
              <w:tc>
                <w:tcPr>
                  <w:tcW w:w="1304" w:type="dxa"/>
                  <w:tcBorders>
                    <w:top w:val="nil"/>
                    <w:left w:val="nil"/>
                    <w:bottom w:val="nil"/>
                    <w:right w:val="nil"/>
                  </w:tcBorders>
                  <w:shd w:val="clear" w:color="000000" w:fill="FCD5B4"/>
                  <w:noWrap/>
                  <w:vAlign w:val="center"/>
                  <w:hideMark/>
                </w:tcPr>
                <w:p w14:paraId="4EDBFBB6" w14:textId="77777777" w:rsidR="00F65C05" w:rsidRPr="00F65C05" w:rsidRDefault="00F65C05" w:rsidP="00F65C05">
                  <w:pPr>
                    <w:widowControl/>
                    <w:jc w:val="center"/>
                    <w:rPr>
                      <w:rFonts w:ascii="楷体" w:eastAsia="楷体" w:hAnsi="楷体" w:cs="宋体"/>
                      <w:color w:val="000000"/>
                      <w:kern w:val="0"/>
                      <w:sz w:val="20"/>
                      <w:szCs w:val="20"/>
                    </w:rPr>
                  </w:pPr>
                  <w:proofErr w:type="gramStart"/>
                  <w:r w:rsidRPr="00F65C05">
                    <w:rPr>
                      <w:rFonts w:ascii="楷体" w:eastAsia="楷体" w:hAnsi="楷体" w:cs="宋体" w:hint="eastAsia"/>
                      <w:color w:val="000000"/>
                      <w:kern w:val="0"/>
                      <w:sz w:val="20"/>
                      <w:szCs w:val="20"/>
                    </w:rPr>
                    <w:t>城投债</w:t>
                  </w:r>
                  <w:proofErr w:type="gramEnd"/>
                  <w:r w:rsidRPr="00F65C05">
                    <w:rPr>
                      <w:rFonts w:ascii="楷体" w:eastAsia="楷体" w:hAnsi="楷体" w:cs="宋体" w:hint="eastAsia"/>
                      <w:color w:val="000000"/>
                      <w:kern w:val="0"/>
                      <w:sz w:val="20"/>
                      <w:szCs w:val="20"/>
                    </w:rPr>
                    <w:t>7Y</w:t>
                  </w:r>
                </w:p>
              </w:tc>
              <w:tc>
                <w:tcPr>
                  <w:tcW w:w="892" w:type="dxa"/>
                  <w:tcBorders>
                    <w:top w:val="nil"/>
                    <w:left w:val="nil"/>
                    <w:bottom w:val="single" w:sz="8" w:space="0" w:color="FFFFFF"/>
                    <w:right w:val="single" w:sz="8" w:space="0" w:color="FFFFFF"/>
                  </w:tcBorders>
                  <w:shd w:val="clear" w:color="000000" w:fill="FCD5B4"/>
                  <w:noWrap/>
                  <w:vAlign w:val="center"/>
                  <w:hideMark/>
                </w:tcPr>
                <w:p w14:paraId="68544E48"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4.21 </w:t>
                  </w:r>
                </w:p>
              </w:tc>
              <w:tc>
                <w:tcPr>
                  <w:tcW w:w="892" w:type="dxa"/>
                  <w:tcBorders>
                    <w:top w:val="nil"/>
                    <w:left w:val="nil"/>
                    <w:bottom w:val="single" w:sz="8" w:space="0" w:color="FFFFFF"/>
                    <w:right w:val="single" w:sz="8" w:space="0" w:color="FFFFFF"/>
                  </w:tcBorders>
                  <w:shd w:val="clear" w:color="000000" w:fill="FCD5B4"/>
                  <w:noWrap/>
                  <w:vAlign w:val="center"/>
                  <w:hideMark/>
                </w:tcPr>
                <w:p w14:paraId="054BFFD8"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4.44 </w:t>
                  </w:r>
                </w:p>
              </w:tc>
              <w:tc>
                <w:tcPr>
                  <w:tcW w:w="892" w:type="dxa"/>
                  <w:tcBorders>
                    <w:top w:val="nil"/>
                    <w:left w:val="nil"/>
                    <w:bottom w:val="single" w:sz="8" w:space="0" w:color="FFFFFF"/>
                    <w:right w:val="single" w:sz="8" w:space="0" w:color="FFFFFF"/>
                  </w:tcBorders>
                  <w:shd w:val="clear" w:color="000000" w:fill="FCD5B4"/>
                  <w:noWrap/>
                  <w:vAlign w:val="center"/>
                  <w:hideMark/>
                </w:tcPr>
                <w:p w14:paraId="4FA2B338"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4.78 </w:t>
                  </w:r>
                </w:p>
              </w:tc>
              <w:tc>
                <w:tcPr>
                  <w:tcW w:w="891" w:type="dxa"/>
                  <w:tcBorders>
                    <w:top w:val="nil"/>
                    <w:left w:val="nil"/>
                    <w:bottom w:val="single" w:sz="8" w:space="0" w:color="FFFFFF"/>
                    <w:right w:val="single" w:sz="8" w:space="0" w:color="FFFFFF"/>
                  </w:tcBorders>
                  <w:shd w:val="clear" w:color="000000" w:fill="FCD5B4"/>
                  <w:noWrap/>
                  <w:vAlign w:val="center"/>
                  <w:hideMark/>
                </w:tcPr>
                <w:p w14:paraId="2FC25C90"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7.17 </w:t>
                  </w:r>
                </w:p>
              </w:tc>
              <w:tc>
                <w:tcPr>
                  <w:tcW w:w="1117" w:type="dxa"/>
                  <w:tcBorders>
                    <w:top w:val="nil"/>
                    <w:left w:val="nil"/>
                    <w:bottom w:val="nil"/>
                    <w:right w:val="nil"/>
                  </w:tcBorders>
                  <w:shd w:val="clear" w:color="000000" w:fill="FCD5B4"/>
                  <w:noWrap/>
                  <w:vAlign w:val="center"/>
                  <w:hideMark/>
                </w:tcPr>
                <w:p w14:paraId="4E65C565" w14:textId="77777777" w:rsidR="00F65C05" w:rsidRPr="00F65C05" w:rsidRDefault="00F65C05" w:rsidP="00F65C05">
                  <w:pPr>
                    <w:widowControl/>
                    <w:jc w:val="center"/>
                    <w:rPr>
                      <w:rFonts w:ascii="楷体" w:eastAsia="楷体" w:hAnsi="楷体" w:cs="宋体"/>
                      <w:color w:val="000000"/>
                      <w:kern w:val="0"/>
                      <w:sz w:val="20"/>
                      <w:szCs w:val="20"/>
                    </w:rPr>
                  </w:pPr>
                  <w:proofErr w:type="gramStart"/>
                  <w:r w:rsidRPr="00F65C05">
                    <w:rPr>
                      <w:rFonts w:ascii="楷体" w:eastAsia="楷体" w:hAnsi="楷体" w:cs="宋体" w:hint="eastAsia"/>
                      <w:color w:val="000000"/>
                      <w:kern w:val="0"/>
                      <w:sz w:val="20"/>
                      <w:szCs w:val="20"/>
                    </w:rPr>
                    <w:t>城投债</w:t>
                  </w:r>
                  <w:proofErr w:type="gramEnd"/>
                  <w:r w:rsidRPr="00F65C05">
                    <w:rPr>
                      <w:rFonts w:ascii="楷体" w:eastAsia="楷体" w:hAnsi="楷体" w:cs="宋体" w:hint="eastAsia"/>
                      <w:color w:val="000000"/>
                      <w:kern w:val="0"/>
                      <w:sz w:val="20"/>
                      <w:szCs w:val="20"/>
                    </w:rPr>
                    <w:t>7Y</w:t>
                  </w:r>
                </w:p>
              </w:tc>
              <w:tc>
                <w:tcPr>
                  <w:tcW w:w="891" w:type="dxa"/>
                  <w:tcBorders>
                    <w:top w:val="nil"/>
                    <w:left w:val="nil"/>
                    <w:bottom w:val="single" w:sz="8" w:space="0" w:color="FFFFFF"/>
                    <w:right w:val="single" w:sz="8" w:space="0" w:color="FFFFFF"/>
                  </w:tcBorders>
                  <w:shd w:val="clear" w:color="000000" w:fill="FCD5B4"/>
                  <w:noWrap/>
                  <w:vAlign w:val="center"/>
                  <w:hideMark/>
                </w:tcPr>
                <w:p w14:paraId="31529FAA"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0.94 </w:t>
                  </w:r>
                </w:p>
              </w:tc>
              <w:tc>
                <w:tcPr>
                  <w:tcW w:w="891" w:type="dxa"/>
                  <w:tcBorders>
                    <w:top w:val="nil"/>
                    <w:left w:val="nil"/>
                    <w:bottom w:val="single" w:sz="8" w:space="0" w:color="FFFFFF"/>
                    <w:right w:val="single" w:sz="8" w:space="0" w:color="FFFFFF"/>
                  </w:tcBorders>
                  <w:shd w:val="clear" w:color="000000" w:fill="FCD5B4"/>
                  <w:noWrap/>
                  <w:vAlign w:val="center"/>
                  <w:hideMark/>
                </w:tcPr>
                <w:p w14:paraId="49C40CC8"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1.17 </w:t>
                  </w:r>
                </w:p>
              </w:tc>
              <w:tc>
                <w:tcPr>
                  <w:tcW w:w="891" w:type="dxa"/>
                  <w:tcBorders>
                    <w:top w:val="nil"/>
                    <w:left w:val="nil"/>
                    <w:bottom w:val="single" w:sz="8" w:space="0" w:color="FFFFFF"/>
                    <w:right w:val="single" w:sz="8" w:space="0" w:color="FFFFFF"/>
                  </w:tcBorders>
                  <w:shd w:val="clear" w:color="000000" w:fill="FCD5B4"/>
                  <w:noWrap/>
                  <w:vAlign w:val="center"/>
                  <w:hideMark/>
                </w:tcPr>
                <w:p w14:paraId="012B2E33"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1.51 </w:t>
                  </w:r>
                </w:p>
              </w:tc>
              <w:tc>
                <w:tcPr>
                  <w:tcW w:w="891" w:type="dxa"/>
                  <w:tcBorders>
                    <w:top w:val="nil"/>
                    <w:left w:val="nil"/>
                    <w:bottom w:val="single" w:sz="8" w:space="0" w:color="FFFFFF"/>
                    <w:right w:val="single" w:sz="8" w:space="0" w:color="FFFFFF"/>
                  </w:tcBorders>
                  <w:shd w:val="clear" w:color="000000" w:fill="FCD5B4"/>
                  <w:noWrap/>
                  <w:vAlign w:val="center"/>
                  <w:hideMark/>
                </w:tcPr>
                <w:p w14:paraId="70981053"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3.90 </w:t>
                  </w:r>
                </w:p>
              </w:tc>
            </w:tr>
            <w:tr w:rsidR="00F65C05" w:rsidRPr="00F65C05" w14:paraId="156AB1D6" w14:textId="77777777" w:rsidTr="00867890">
              <w:trPr>
                <w:trHeight w:val="393"/>
              </w:trPr>
              <w:tc>
                <w:tcPr>
                  <w:tcW w:w="1304" w:type="dxa"/>
                  <w:tcBorders>
                    <w:top w:val="nil"/>
                    <w:left w:val="nil"/>
                    <w:bottom w:val="single" w:sz="12" w:space="0" w:color="FFFFFF"/>
                    <w:right w:val="single" w:sz="8" w:space="0" w:color="FFFFFF"/>
                  </w:tcBorders>
                  <w:shd w:val="clear" w:color="000000" w:fill="F79646"/>
                  <w:noWrap/>
                  <w:vAlign w:val="center"/>
                  <w:hideMark/>
                </w:tcPr>
                <w:p w14:paraId="2E72752C" w14:textId="77777777" w:rsidR="00F65C05" w:rsidRPr="00F65C05" w:rsidRDefault="00F65C05" w:rsidP="00F65C05">
                  <w:pPr>
                    <w:widowControl/>
                    <w:jc w:val="center"/>
                    <w:rPr>
                      <w:rFonts w:ascii="楷体" w:eastAsia="楷体" w:hAnsi="楷体" w:cs="宋体"/>
                      <w:b/>
                      <w:bCs/>
                      <w:color w:val="FFFFFF"/>
                      <w:kern w:val="0"/>
                      <w:sz w:val="20"/>
                      <w:szCs w:val="20"/>
                    </w:rPr>
                  </w:pPr>
                  <w:proofErr w:type="gramStart"/>
                  <w:r w:rsidRPr="00F65C05">
                    <w:rPr>
                      <w:rFonts w:ascii="楷体" w:eastAsia="楷体" w:hAnsi="楷体" w:cs="宋体" w:hint="eastAsia"/>
                      <w:b/>
                      <w:bCs/>
                      <w:color w:val="FFFFFF"/>
                      <w:kern w:val="0"/>
                      <w:sz w:val="20"/>
                      <w:szCs w:val="20"/>
                    </w:rPr>
                    <w:t>周变化</w:t>
                  </w:r>
                  <w:proofErr w:type="gramEnd"/>
                  <w:r w:rsidRPr="00F65C05">
                    <w:rPr>
                      <w:rFonts w:ascii="楷体" w:eastAsia="楷体" w:hAnsi="楷体" w:cs="宋体" w:hint="eastAsia"/>
                      <w:b/>
                      <w:bCs/>
                      <w:color w:val="FFFFFF"/>
                      <w:kern w:val="0"/>
                      <w:sz w:val="20"/>
                      <w:szCs w:val="20"/>
                    </w:rPr>
                    <w:t>(BP)</w:t>
                  </w:r>
                </w:p>
              </w:tc>
              <w:tc>
                <w:tcPr>
                  <w:tcW w:w="892" w:type="dxa"/>
                  <w:tcBorders>
                    <w:top w:val="nil"/>
                    <w:left w:val="nil"/>
                    <w:bottom w:val="single" w:sz="12" w:space="0" w:color="FFFFFF"/>
                    <w:right w:val="single" w:sz="8" w:space="0" w:color="FFFFFF"/>
                  </w:tcBorders>
                  <w:shd w:val="clear" w:color="000000" w:fill="F79646"/>
                  <w:noWrap/>
                  <w:vAlign w:val="center"/>
                  <w:hideMark/>
                </w:tcPr>
                <w:p w14:paraId="7805DA3E" w14:textId="77777777" w:rsidR="00F65C05" w:rsidRPr="00F65C05" w:rsidRDefault="00F65C05" w:rsidP="00F65C05">
                  <w:pPr>
                    <w:widowControl/>
                    <w:jc w:val="center"/>
                    <w:rPr>
                      <w:rFonts w:ascii="楷体" w:eastAsia="楷体" w:hAnsi="楷体" w:cs="宋体"/>
                      <w:b/>
                      <w:bCs/>
                      <w:color w:val="FFFFFF"/>
                      <w:kern w:val="0"/>
                      <w:sz w:val="20"/>
                      <w:szCs w:val="20"/>
                    </w:rPr>
                  </w:pPr>
                  <w:r w:rsidRPr="00F65C05">
                    <w:rPr>
                      <w:rFonts w:ascii="楷体" w:eastAsia="楷体" w:hAnsi="楷体" w:cs="宋体" w:hint="eastAsia"/>
                      <w:b/>
                      <w:bCs/>
                      <w:color w:val="FFFFFF"/>
                      <w:kern w:val="0"/>
                      <w:sz w:val="20"/>
                      <w:szCs w:val="20"/>
                    </w:rPr>
                    <w:t>AAA</w:t>
                  </w:r>
                </w:p>
              </w:tc>
              <w:tc>
                <w:tcPr>
                  <w:tcW w:w="892" w:type="dxa"/>
                  <w:tcBorders>
                    <w:top w:val="nil"/>
                    <w:left w:val="nil"/>
                    <w:bottom w:val="single" w:sz="12" w:space="0" w:color="FFFFFF"/>
                    <w:right w:val="single" w:sz="8" w:space="0" w:color="FFFFFF"/>
                  </w:tcBorders>
                  <w:shd w:val="clear" w:color="000000" w:fill="F79646"/>
                  <w:noWrap/>
                  <w:vAlign w:val="center"/>
                  <w:hideMark/>
                </w:tcPr>
                <w:p w14:paraId="139284BF" w14:textId="77777777" w:rsidR="00F65C05" w:rsidRPr="00F65C05" w:rsidRDefault="00F65C05" w:rsidP="00F65C05">
                  <w:pPr>
                    <w:widowControl/>
                    <w:jc w:val="center"/>
                    <w:rPr>
                      <w:rFonts w:ascii="楷体" w:eastAsia="楷体" w:hAnsi="楷体" w:cs="宋体"/>
                      <w:b/>
                      <w:bCs/>
                      <w:color w:val="FFFFFF"/>
                      <w:kern w:val="0"/>
                      <w:sz w:val="20"/>
                      <w:szCs w:val="20"/>
                    </w:rPr>
                  </w:pPr>
                  <w:r w:rsidRPr="00F65C05">
                    <w:rPr>
                      <w:rFonts w:ascii="楷体" w:eastAsia="楷体" w:hAnsi="楷体" w:cs="宋体" w:hint="eastAsia"/>
                      <w:b/>
                      <w:bCs/>
                      <w:color w:val="FFFFFF"/>
                      <w:kern w:val="0"/>
                      <w:sz w:val="20"/>
                      <w:szCs w:val="20"/>
                    </w:rPr>
                    <w:t>AA+</w:t>
                  </w:r>
                </w:p>
              </w:tc>
              <w:tc>
                <w:tcPr>
                  <w:tcW w:w="892" w:type="dxa"/>
                  <w:tcBorders>
                    <w:top w:val="nil"/>
                    <w:left w:val="nil"/>
                    <w:bottom w:val="single" w:sz="12" w:space="0" w:color="FFFFFF"/>
                    <w:right w:val="single" w:sz="8" w:space="0" w:color="FFFFFF"/>
                  </w:tcBorders>
                  <w:shd w:val="clear" w:color="000000" w:fill="F79646"/>
                  <w:noWrap/>
                  <w:vAlign w:val="center"/>
                  <w:hideMark/>
                </w:tcPr>
                <w:p w14:paraId="76FB4F8D" w14:textId="77777777" w:rsidR="00F65C05" w:rsidRPr="00F65C05" w:rsidRDefault="00F65C05" w:rsidP="00F65C05">
                  <w:pPr>
                    <w:widowControl/>
                    <w:jc w:val="center"/>
                    <w:rPr>
                      <w:rFonts w:ascii="楷体" w:eastAsia="楷体" w:hAnsi="楷体" w:cs="宋体"/>
                      <w:b/>
                      <w:bCs/>
                      <w:color w:val="FFFFFF"/>
                      <w:kern w:val="0"/>
                      <w:sz w:val="20"/>
                      <w:szCs w:val="20"/>
                    </w:rPr>
                  </w:pPr>
                  <w:r w:rsidRPr="00F65C05">
                    <w:rPr>
                      <w:rFonts w:ascii="楷体" w:eastAsia="楷体" w:hAnsi="楷体" w:cs="宋体" w:hint="eastAsia"/>
                      <w:b/>
                      <w:bCs/>
                      <w:color w:val="FFFFFF"/>
                      <w:kern w:val="0"/>
                      <w:sz w:val="20"/>
                      <w:szCs w:val="20"/>
                    </w:rPr>
                    <w:t>AA</w:t>
                  </w:r>
                </w:p>
              </w:tc>
              <w:tc>
                <w:tcPr>
                  <w:tcW w:w="891" w:type="dxa"/>
                  <w:tcBorders>
                    <w:top w:val="nil"/>
                    <w:left w:val="nil"/>
                    <w:bottom w:val="single" w:sz="12" w:space="0" w:color="FFFFFF"/>
                    <w:right w:val="single" w:sz="8" w:space="0" w:color="FFFFFF"/>
                  </w:tcBorders>
                  <w:shd w:val="clear" w:color="000000" w:fill="F79646"/>
                  <w:noWrap/>
                  <w:vAlign w:val="center"/>
                  <w:hideMark/>
                </w:tcPr>
                <w:p w14:paraId="2227CEF5" w14:textId="77777777" w:rsidR="00F65C05" w:rsidRPr="00F65C05" w:rsidRDefault="00F65C05" w:rsidP="00F65C05">
                  <w:pPr>
                    <w:widowControl/>
                    <w:jc w:val="center"/>
                    <w:rPr>
                      <w:rFonts w:ascii="楷体" w:eastAsia="楷体" w:hAnsi="楷体" w:cs="宋体"/>
                      <w:b/>
                      <w:bCs/>
                      <w:color w:val="FFFFFF"/>
                      <w:kern w:val="0"/>
                      <w:sz w:val="20"/>
                      <w:szCs w:val="20"/>
                    </w:rPr>
                  </w:pPr>
                  <w:r w:rsidRPr="00F65C05">
                    <w:rPr>
                      <w:rFonts w:ascii="楷体" w:eastAsia="楷体" w:hAnsi="楷体" w:cs="宋体" w:hint="eastAsia"/>
                      <w:b/>
                      <w:bCs/>
                      <w:color w:val="FFFFFF"/>
                      <w:kern w:val="0"/>
                      <w:sz w:val="20"/>
                      <w:szCs w:val="20"/>
                    </w:rPr>
                    <w:t>AA-</w:t>
                  </w:r>
                </w:p>
              </w:tc>
              <w:tc>
                <w:tcPr>
                  <w:tcW w:w="1117" w:type="dxa"/>
                  <w:tcBorders>
                    <w:top w:val="nil"/>
                    <w:left w:val="nil"/>
                    <w:bottom w:val="single" w:sz="12" w:space="0" w:color="FFFFFF"/>
                    <w:right w:val="single" w:sz="8" w:space="0" w:color="FFFFFF"/>
                  </w:tcBorders>
                  <w:shd w:val="clear" w:color="000000" w:fill="F79646"/>
                  <w:noWrap/>
                  <w:vAlign w:val="center"/>
                  <w:hideMark/>
                </w:tcPr>
                <w:p w14:paraId="6C3B54DC" w14:textId="77777777" w:rsidR="00F65C05" w:rsidRPr="00F65C05" w:rsidRDefault="00F65C05" w:rsidP="00F65C05">
                  <w:pPr>
                    <w:widowControl/>
                    <w:jc w:val="center"/>
                    <w:rPr>
                      <w:rFonts w:ascii="楷体" w:eastAsia="楷体" w:hAnsi="楷体" w:cs="宋体"/>
                      <w:b/>
                      <w:bCs/>
                      <w:color w:val="FFFFFF"/>
                      <w:kern w:val="0"/>
                      <w:sz w:val="20"/>
                      <w:szCs w:val="20"/>
                    </w:rPr>
                  </w:pPr>
                  <w:r w:rsidRPr="00F65C05">
                    <w:rPr>
                      <w:rFonts w:ascii="楷体" w:eastAsia="楷体" w:hAnsi="楷体" w:cs="宋体" w:hint="eastAsia"/>
                      <w:b/>
                      <w:bCs/>
                      <w:color w:val="FFFFFF"/>
                      <w:kern w:val="0"/>
                      <w:sz w:val="20"/>
                      <w:szCs w:val="20"/>
                    </w:rPr>
                    <w:t>息差</w:t>
                  </w:r>
                </w:p>
              </w:tc>
              <w:tc>
                <w:tcPr>
                  <w:tcW w:w="891" w:type="dxa"/>
                  <w:tcBorders>
                    <w:top w:val="nil"/>
                    <w:left w:val="nil"/>
                    <w:bottom w:val="single" w:sz="12" w:space="0" w:color="FFFFFF"/>
                    <w:right w:val="single" w:sz="8" w:space="0" w:color="FFFFFF"/>
                  </w:tcBorders>
                  <w:shd w:val="clear" w:color="000000" w:fill="F79646"/>
                  <w:noWrap/>
                  <w:vAlign w:val="center"/>
                  <w:hideMark/>
                </w:tcPr>
                <w:p w14:paraId="3B335D2E" w14:textId="77777777" w:rsidR="00F65C05" w:rsidRPr="00F65C05" w:rsidRDefault="00F65C05" w:rsidP="00F65C05">
                  <w:pPr>
                    <w:widowControl/>
                    <w:jc w:val="center"/>
                    <w:rPr>
                      <w:rFonts w:ascii="楷体" w:eastAsia="楷体" w:hAnsi="楷体" w:cs="宋体"/>
                      <w:b/>
                      <w:bCs/>
                      <w:color w:val="FFFFFF"/>
                      <w:kern w:val="0"/>
                      <w:sz w:val="20"/>
                      <w:szCs w:val="20"/>
                    </w:rPr>
                  </w:pPr>
                  <w:r w:rsidRPr="00F65C05">
                    <w:rPr>
                      <w:rFonts w:ascii="楷体" w:eastAsia="楷体" w:hAnsi="楷体" w:cs="宋体" w:hint="eastAsia"/>
                      <w:b/>
                      <w:bCs/>
                      <w:color w:val="FFFFFF"/>
                      <w:kern w:val="0"/>
                      <w:sz w:val="20"/>
                      <w:szCs w:val="20"/>
                    </w:rPr>
                    <w:t>AAA</w:t>
                  </w:r>
                </w:p>
              </w:tc>
              <w:tc>
                <w:tcPr>
                  <w:tcW w:w="891" w:type="dxa"/>
                  <w:tcBorders>
                    <w:top w:val="nil"/>
                    <w:left w:val="nil"/>
                    <w:bottom w:val="single" w:sz="12" w:space="0" w:color="FFFFFF"/>
                    <w:right w:val="single" w:sz="8" w:space="0" w:color="FFFFFF"/>
                  </w:tcBorders>
                  <w:shd w:val="clear" w:color="000000" w:fill="F79646"/>
                  <w:noWrap/>
                  <w:vAlign w:val="center"/>
                  <w:hideMark/>
                </w:tcPr>
                <w:p w14:paraId="3C8A7EDC" w14:textId="77777777" w:rsidR="00F65C05" w:rsidRPr="00F65C05" w:rsidRDefault="00F65C05" w:rsidP="00F65C05">
                  <w:pPr>
                    <w:widowControl/>
                    <w:jc w:val="center"/>
                    <w:rPr>
                      <w:rFonts w:ascii="楷体" w:eastAsia="楷体" w:hAnsi="楷体" w:cs="宋体"/>
                      <w:b/>
                      <w:bCs/>
                      <w:color w:val="FFFFFF"/>
                      <w:kern w:val="0"/>
                      <w:sz w:val="20"/>
                      <w:szCs w:val="20"/>
                    </w:rPr>
                  </w:pPr>
                  <w:r w:rsidRPr="00F65C05">
                    <w:rPr>
                      <w:rFonts w:ascii="楷体" w:eastAsia="楷体" w:hAnsi="楷体" w:cs="宋体" w:hint="eastAsia"/>
                      <w:b/>
                      <w:bCs/>
                      <w:color w:val="FFFFFF"/>
                      <w:kern w:val="0"/>
                      <w:sz w:val="20"/>
                      <w:szCs w:val="20"/>
                    </w:rPr>
                    <w:t>AA+</w:t>
                  </w:r>
                </w:p>
              </w:tc>
              <w:tc>
                <w:tcPr>
                  <w:tcW w:w="891" w:type="dxa"/>
                  <w:tcBorders>
                    <w:top w:val="nil"/>
                    <w:left w:val="nil"/>
                    <w:bottom w:val="single" w:sz="12" w:space="0" w:color="FFFFFF"/>
                    <w:right w:val="single" w:sz="8" w:space="0" w:color="FFFFFF"/>
                  </w:tcBorders>
                  <w:shd w:val="clear" w:color="000000" w:fill="F79646"/>
                  <w:noWrap/>
                  <w:vAlign w:val="center"/>
                  <w:hideMark/>
                </w:tcPr>
                <w:p w14:paraId="28318CE6" w14:textId="77777777" w:rsidR="00F65C05" w:rsidRPr="00F65C05" w:rsidRDefault="00F65C05" w:rsidP="00F65C05">
                  <w:pPr>
                    <w:widowControl/>
                    <w:jc w:val="center"/>
                    <w:rPr>
                      <w:rFonts w:ascii="楷体" w:eastAsia="楷体" w:hAnsi="楷体" w:cs="宋体"/>
                      <w:b/>
                      <w:bCs/>
                      <w:color w:val="FFFFFF"/>
                      <w:kern w:val="0"/>
                      <w:sz w:val="20"/>
                      <w:szCs w:val="20"/>
                    </w:rPr>
                  </w:pPr>
                  <w:r w:rsidRPr="00F65C05">
                    <w:rPr>
                      <w:rFonts w:ascii="楷体" w:eastAsia="楷体" w:hAnsi="楷体" w:cs="宋体" w:hint="eastAsia"/>
                      <w:b/>
                      <w:bCs/>
                      <w:color w:val="FFFFFF"/>
                      <w:kern w:val="0"/>
                      <w:sz w:val="20"/>
                      <w:szCs w:val="20"/>
                    </w:rPr>
                    <w:t>AA</w:t>
                  </w:r>
                </w:p>
              </w:tc>
              <w:tc>
                <w:tcPr>
                  <w:tcW w:w="891" w:type="dxa"/>
                  <w:tcBorders>
                    <w:top w:val="nil"/>
                    <w:left w:val="nil"/>
                    <w:bottom w:val="single" w:sz="12" w:space="0" w:color="FFFFFF"/>
                    <w:right w:val="single" w:sz="8" w:space="0" w:color="FFFFFF"/>
                  </w:tcBorders>
                  <w:shd w:val="clear" w:color="000000" w:fill="F79646"/>
                  <w:noWrap/>
                  <w:vAlign w:val="center"/>
                  <w:hideMark/>
                </w:tcPr>
                <w:p w14:paraId="0FF71844" w14:textId="77777777" w:rsidR="00F65C05" w:rsidRPr="00F65C05" w:rsidRDefault="00F65C05" w:rsidP="00F65C05">
                  <w:pPr>
                    <w:widowControl/>
                    <w:jc w:val="center"/>
                    <w:rPr>
                      <w:rFonts w:ascii="楷体" w:eastAsia="楷体" w:hAnsi="楷体" w:cs="宋体"/>
                      <w:b/>
                      <w:bCs/>
                      <w:color w:val="FFFFFF"/>
                      <w:kern w:val="0"/>
                      <w:sz w:val="20"/>
                      <w:szCs w:val="20"/>
                    </w:rPr>
                  </w:pPr>
                  <w:r w:rsidRPr="00F65C05">
                    <w:rPr>
                      <w:rFonts w:ascii="楷体" w:eastAsia="楷体" w:hAnsi="楷体" w:cs="宋体" w:hint="eastAsia"/>
                      <w:b/>
                      <w:bCs/>
                      <w:color w:val="FFFFFF"/>
                      <w:kern w:val="0"/>
                      <w:sz w:val="20"/>
                      <w:szCs w:val="20"/>
                    </w:rPr>
                    <w:t>AA-</w:t>
                  </w:r>
                </w:p>
              </w:tc>
            </w:tr>
            <w:tr w:rsidR="00F65C05" w:rsidRPr="00F65C05" w14:paraId="19D4FCB2" w14:textId="77777777" w:rsidTr="00867890">
              <w:trPr>
                <w:trHeight w:val="414"/>
              </w:trPr>
              <w:tc>
                <w:tcPr>
                  <w:tcW w:w="1304" w:type="dxa"/>
                  <w:tcBorders>
                    <w:top w:val="nil"/>
                    <w:left w:val="nil"/>
                    <w:bottom w:val="single" w:sz="8" w:space="0" w:color="FFFFFF"/>
                    <w:right w:val="single" w:sz="8" w:space="0" w:color="FFFFFF"/>
                  </w:tcBorders>
                  <w:shd w:val="clear" w:color="000000" w:fill="FCD5B4"/>
                  <w:noWrap/>
                  <w:vAlign w:val="center"/>
                  <w:hideMark/>
                </w:tcPr>
                <w:p w14:paraId="39351D02" w14:textId="77777777" w:rsidR="00F65C05" w:rsidRPr="00F65C05" w:rsidRDefault="00F65C05" w:rsidP="00F65C05">
                  <w:pPr>
                    <w:widowControl/>
                    <w:jc w:val="center"/>
                    <w:rPr>
                      <w:rFonts w:ascii="楷体" w:eastAsia="楷体" w:hAnsi="楷体" w:cs="宋体"/>
                      <w:color w:val="000000"/>
                      <w:kern w:val="0"/>
                      <w:sz w:val="20"/>
                      <w:szCs w:val="20"/>
                    </w:rPr>
                  </w:pPr>
                  <w:r w:rsidRPr="00F65C05">
                    <w:rPr>
                      <w:rFonts w:ascii="楷体" w:eastAsia="楷体" w:hAnsi="楷体" w:cs="宋体" w:hint="eastAsia"/>
                      <w:color w:val="000000"/>
                      <w:kern w:val="0"/>
                      <w:sz w:val="20"/>
                      <w:szCs w:val="20"/>
                    </w:rPr>
                    <w:t>CP</w:t>
                  </w:r>
                </w:p>
              </w:tc>
              <w:tc>
                <w:tcPr>
                  <w:tcW w:w="892" w:type="dxa"/>
                  <w:tcBorders>
                    <w:top w:val="nil"/>
                    <w:left w:val="nil"/>
                    <w:bottom w:val="single" w:sz="8" w:space="0" w:color="FFFFFF"/>
                    <w:right w:val="single" w:sz="8" w:space="0" w:color="FFFFFF"/>
                  </w:tcBorders>
                  <w:shd w:val="clear" w:color="000000" w:fill="FCD5B4"/>
                  <w:noWrap/>
                  <w:vAlign w:val="center"/>
                  <w:hideMark/>
                </w:tcPr>
                <w:p w14:paraId="45A6AD65"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FF0000"/>
                      <w:kern w:val="0"/>
                      <w:szCs w:val="21"/>
                    </w:rPr>
                    <w:t xml:space="preserve">-7.5 </w:t>
                  </w:r>
                </w:p>
              </w:tc>
              <w:tc>
                <w:tcPr>
                  <w:tcW w:w="892" w:type="dxa"/>
                  <w:tcBorders>
                    <w:top w:val="nil"/>
                    <w:left w:val="nil"/>
                    <w:bottom w:val="single" w:sz="8" w:space="0" w:color="FFFFFF"/>
                    <w:right w:val="single" w:sz="8" w:space="0" w:color="FFFFFF"/>
                  </w:tcBorders>
                  <w:shd w:val="clear" w:color="000000" w:fill="FCD5B4"/>
                  <w:noWrap/>
                  <w:vAlign w:val="center"/>
                  <w:hideMark/>
                </w:tcPr>
                <w:p w14:paraId="2656C31A"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FF0000"/>
                      <w:kern w:val="0"/>
                      <w:szCs w:val="21"/>
                    </w:rPr>
                    <w:t xml:space="preserve">-8.5 </w:t>
                  </w:r>
                </w:p>
              </w:tc>
              <w:tc>
                <w:tcPr>
                  <w:tcW w:w="892" w:type="dxa"/>
                  <w:tcBorders>
                    <w:top w:val="nil"/>
                    <w:left w:val="nil"/>
                    <w:bottom w:val="single" w:sz="8" w:space="0" w:color="FFFFFF"/>
                    <w:right w:val="single" w:sz="8" w:space="0" w:color="FFFFFF"/>
                  </w:tcBorders>
                  <w:shd w:val="clear" w:color="000000" w:fill="FCD5B4"/>
                  <w:noWrap/>
                  <w:vAlign w:val="center"/>
                  <w:hideMark/>
                </w:tcPr>
                <w:p w14:paraId="698773E4"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FF0000"/>
                      <w:kern w:val="0"/>
                      <w:szCs w:val="21"/>
                    </w:rPr>
                    <w:t xml:space="preserve">-7.5 </w:t>
                  </w:r>
                </w:p>
              </w:tc>
              <w:tc>
                <w:tcPr>
                  <w:tcW w:w="891" w:type="dxa"/>
                  <w:tcBorders>
                    <w:top w:val="nil"/>
                    <w:left w:val="nil"/>
                    <w:bottom w:val="single" w:sz="8" w:space="0" w:color="FFFFFF"/>
                    <w:right w:val="single" w:sz="8" w:space="0" w:color="FFFFFF"/>
                  </w:tcBorders>
                  <w:shd w:val="clear" w:color="000000" w:fill="FCD5B4"/>
                  <w:noWrap/>
                  <w:vAlign w:val="center"/>
                  <w:hideMark/>
                </w:tcPr>
                <w:p w14:paraId="0C75DB8E"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FF0000"/>
                      <w:kern w:val="0"/>
                      <w:szCs w:val="21"/>
                    </w:rPr>
                    <w:t xml:space="preserve">-7.5 </w:t>
                  </w:r>
                </w:p>
              </w:tc>
              <w:tc>
                <w:tcPr>
                  <w:tcW w:w="1117" w:type="dxa"/>
                  <w:tcBorders>
                    <w:top w:val="nil"/>
                    <w:left w:val="nil"/>
                    <w:bottom w:val="single" w:sz="8" w:space="0" w:color="FFFFFF"/>
                    <w:right w:val="single" w:sz="8" w:space="0" w:color="FFFFFF"/>
                  </w:tcBorders>
                  <w:shd w:val="clear" w:color="000000" w:fill="FCD5B4"/>
                  <w:noWrap/>
                  <w:vAlign w:val="center"/>
                  <w:hideMark/>
                </w:tcPr>
                <w:p w14:paraId="20749561" w14:textId="77777777" w:rsidR="00F65C05" w:rsidRPr="00F65C05" w:rsidRDefault="00F65C05" w:rsidP="00F65C05">
                  <w:pPr>
                    <w:widowControl/>
                    <w:jc w:val="center"/>
                    <w:rPr>
                      <w:rFonts w:ascii="楷体" w:eastAsia="楷体" w:hAnsi="楷体" w:cs="宋体"/>
                      <w:color w:val="000000"/>
                      <w:kern w:val="0"/>
                      <w:sz w:val="20"/>
                      <w:szCs w:val="20"/>
                    </w:rPr>
                  </w:pPr>
                  <w:r w:rsidRPr="00F65C05">
                    <w:rPr>
                      <w:rFonts w:ascii="楷体" w:eastAsia="楷体" w:hAnsi="楷体" w:cs="宋体" w:hint="eastAsia"/>
                      <w:color w:val="000000"/>
                      <w:kern w:val="0"/>
                      <w:sz w:val="20"/>
                      <w:szCs w:val="20"/>
                    </w:rPr>
                    <w:t>CP</w:t>
                  </w:r>
                </w:p>
              </w:tc>
              <w:tc>
                <w:tcPr>
                  <w:tcW w:w="891" w:type="dxa"/>
                  <w:tcBorders>
                    <w:top w:val="nil"/>
                    <w:left w:val="nil"/>
                    <w:bottom w:val="single" w:sz="8" w:space="0" w:color="FFFFFF"/>
                    <w:right w:val="single" w:sz="8" w:space="0" w:color="FFFFFF"/>
                  </w:tcBorders>
                  <w:shd w:val="clear" w:color="000000" w:fill="FCD5B4"/>
                  <w:noWrap/>
                  <w:vAlign w:val="center"/>
                  <w:hideMark/>
                </w:tcPr>
                <w:p w14:paraId="339365F5"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FF0000"/>
                      <w:kern w:val="0"/>
                      <w:szCs w:val="21"/>
                    </w:rPr>
                    <w:t xml:space="preserve">-3.6 </w:t>
                  </w:r>
                </w:p>
              </w:tc>
              <w:tc>
                <w:tcPr>
                  <w:tcW w:w="891" w:type="dxa"/>
                  <w:tcBorders>
                    <w:top w:val="nil"/>
                    <w:left w:val="nil"/>
                    <w:bottom w:val="single" w:sz="8" w:space="0" w:color="FFFFFF"/>
                    <w:right w:val="single" w:sz="8" w:space="0" w:color="FFFFFF"/>
                  </w:tcBorders>
                  <w:shd w:val="clear" w:color="000000" w:fill="FCD5B4"/>
                  <w:noWrap/>
                  <w:vAlign w:val="center"/>
                  <w:hideMark/>
                </w:tcPr>
                <w:p w14:paraId="38BB38ED"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FF0000"/>
                      <w:kern w:val="0"/>
                      <w:szCs w:val="21"/>
                    </w:rPr>
                    <w:t xml:space="preserve">-4.6 </w:t>
                  </w:r>
                </w:p>
              </w:tc>
              <w:tc>
                <w:tcPr>
                  <w:tcW w:w="891" w:type="dxa"/>
                  <w:tcBorders>
                    <w:top w:val="nil"/>
                    <w:left w:val="nil"/>
                    <w:bottom w:val="single" w:sz="8" w:space="0" w:color="FFFFFF"/>
                    <w:right w:val="single" w:sz="8" w:space="0" w:color="FFFFFF"/>
                  </w:tcBorders>
                  <w:shd w:val="clear" w:color="000000" w:fill="FCD5B4"/>
                  <w:noWrap/>
                  <w:vAlign w:val="center"/>
                  <w:hideMark/>
                </w:tcPr>
                <w:p w14:paraId="0183BC89"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FF0000"/>
                      <w:kern w:val="0"/>
                      <w:szCs w:val="21"/>
                    </w:rPr>
                    <w:t xml:space="preserve">-3.6 </w:t>
                  </w:r>
                </w:p>
              </w:tc>
              <w:tc>
                <w:tcPr>
                  <w:tcW w:w="891" w:type="dxa"/>
                  <w:tcBorders>
                    <w:top w:val="nil"/>
                    <w:left w:val="nil"/>
                    <w:bottom w:val="single" w:sz="8" w:space="0" w:color="FFFFFF"/>
                    <w:right w:val="single" w:sz="8" w:space="0" w:color="FFFFFF"/>
                  </w:tcBorders>
                  <w:shd w:val="clear" w:color="000000" w:fill="FCD5B4"/>
                  <w:noWrap/>
                  <w:vAlign w:val="center"/>
                  <w:hideMark/>
                </w:tcPr>
                <w:p w14:paraId="35E47E7B"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FF0000"/>
                      <w:kern w:val="0"/>
                      <w:szCs w:val="21"/>
                    </w:rPr>
                    <w:t xml:space="preserve">-3.6 </w:t>
                  </w:r>
                </w:p>
              </w:tc>
            </w:tr>
            <w:tr w:rsidR="00F65C05" w:rsidRPr="00F65C05" w14:paraId="52A2A717" w14:textId="77777777" w:rsidTr="00867890">
              <w:trPr>
                <w:trHeight w:val="393"/>
              </w:trPr>
              <w:tc>
                <w:tcPr>
                  <w:tcW w:w="1304" w:type="dxa"/>
                  <w:tcBorders>
                    <w:top w:val="nil"/>
                    <w:left w:val="nil"/>
                    <w:bottom w:val="single" w:sz="8" w:space="0" w:color="FFFFFF"/>
                    <w:right w:val="single" w:sz="8" w:space="0" w:color="FFFFFF"/>
                  </w:tcBorders>
                  <w:shd w:val="clear" w:color="000000" w:fill="FDE9D9"/>
                  <w:noWrap/>
                  <w:vAlign w:val="center"/>
                  <w:hideMark/>
                </w:tcPr>
                <w:p w14:paraId="1AEEE699" w14:textId="77777777" w:rsidR="00F65C05" w:rsidRPr="00F65C05" w:rsidRDefault="00F65C05" w:rsidP="00F65C05">
                  <w:pPr>
                    <w:widowControl/>
                    <w:jc w:val="center"/>
                    <w:rPr>
                      <w:rFonts w:ascii="楷体" w:eastAsia="楷体" w:hAnsi="楷体" w:cs="宋体"/>
                      <w:color w:val="000000"/>
                      <w:kern w:val="0"/>
                      <w:sz w:val="20"/>
                      <w:szCs w:val="20"/>
                    </w:rPr>
                  </w:pPr>
                  <w:r w:rsidRPr="00F65C05">
                    <w:rPr>
                      <w:rFonts w:ascii="楷体" w:eastAsia="楷体" w:hAnsi="楷体" w:cs="宋体" w:hint="eastAsia"/>
                      <w:color w:val="000000"/>
                      <w:kern w:val="0"/>
                      <w:sz w:val="20"/>
                      <w:szCs w:val="20"/>
                    </w:rPr>
                    <w:t>MTN3Y</w:t>
                  </w:r>
                </w:p>
              </w:tc>
              <w:tc>
                <w:tcPr>
                  <w:tcW w:w="892" w:type="dxa"/>
                  <w:tcBorders>
                    <w:top w:val="nil"/>
                    <w:left w:val="nil"/>
                    <w:bottom w:val="single" w:sz="8" w:space="0" w:color="FFFFFF"/>
                    <w:right w:val="single" w:sz="8" w:space="0" w:color="FFFFFF"/>
                  </w:tcBorders>
                  <w:shd w:val="clear" w:color="000000" w:fill="FDE9D9"/>
                  <w:noWrap/>
                  <w:vAlign w:val="center"/>
                  <w:hideMark/>
                </w:tcPr>
                <w:p w14:paraId="5A113C52"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FF0000"/>
                      <w:kern w:val="0"/>
                      <w:szCs w:val="21"/>
                    </w:rPr>
                    <w:t xml:space="preserve">-3.3 </w:t>
                  </w:r>
                </w:p>
              </w:tc>
              <w:tc>
                <w:tcPr>
                  <w:tcW w:w="892" w:type="dxa"/>
                  <w:tcBorders>
                    <w:top w:val="nil"/>
                    <w:left w:val="nil"/>
                    <w:bottom w:val="single" w:sz="8" w:space="0" w:color="FFFFFF"/>
                    <w:right w:val="single" w:sz="8" w:space="0" w:color="FFFFFF"/>
                  </w:tcBorders>
                  <w:shd w:val="clear" w:color="000000" w:fill="FDE9D9"/>
                  <w:noWrap/>
                  <w:vAlign w:val="center"/>
                  <w:hideMark/>
                </w:tcPr>
                <w:p w14:paraId="6243ED3B"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FF0000"/>
                      <w:kern w:val="0"/>
                      <w:szCs w:val="21"/>
                    </w:rPr>
                    <w:t xml:space="preserve">-3.3 </w:t>
                  </w:r>
                </w:p>
              </w:tc>
              <w:tc>
                <w:tcPr>
                  <w:tcW w:w="892" w:type="dxa"/>
                  <w:tcBorders>
                    <w:top w:val="nil"/>
                    <w:left w:val="nil"/>
                    <w:bottom w:val="single" w:sz="8" w:space="0" w:color="FFFFFF"/>
                    <w:right w:val="single" w:sz="8" w:space="0" w:color="FFFFFF"/>
                  </w:tcBorders>
                  <w:shd w:val="clear" w:color="000000" w:fill="FDE9D9"/>
                  <w:noWrap/>
                  <w:vAlign w:val="center"/>
                  <w:hideMark/>
                </w:tcPr>
                <w:p w14:paraId="62F0C94C"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FF0000"/>
                      <w:kern w:val="0"/>
                      <w:szCs w:val="21"/>
                    </w:rPr>
                    <w:t xml:space="preserve">-2.3 </w:t>
                  </w:r>
                </w:p>
              </w:tc>
              <w:tc>
                <w:tcPr>
                  <w:tcW w:w="891" w:type="dxa"/>
                  <w:tcBorders>
                    <w:top w:val="nil"/>
                    <w:left w:val="nil"/>
                    <w:bottom w:val="single" w:sz="8" w:space="0" w:color="FFFFFF"/>
                    <w:right w:val="single" w:sz="8" w:space="0" w:color="FFFFFF"/>
                  </w:tcBorders>
                  <w:shd w:val="clear" w:color="000000" w:fill="FDE9D9"/>
                  <w:noWrap/>
                  <w:vAlign w:val="center"/>
                  <w:hideMark/>
                </w:tcPr>
                <w:p w14:paraId="4A6752C8"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FF0000"/>
                      <w:kern w:val="0"/>
                      <w:szCs w:val="21"/>
                    </w:rPr>
                    <w:t xml:space="preserve">-2.3 </w:t>
                  </w:r>
                </w:p>
              </w:tc>
              <w:tc>
                <w:tcPr>
                  <w:tcW w:w="1117" w:type="dxa"/>
                  <w:tcBorders>
                    <w:top w:val="nil"/>
                    <w:left w:val="nil"/>
                    <w:bottom w:val="single" w:sz="8" w:space="0" w:color="FFFFFF"/>
                    <w:right w:val="single" w:sz="8" w:space="0" w:color="FFFFFF"/>
                  </w:tcBorders>
                  <w:shd w:val="clear" w:color="000000" w:fill="FDE9D9"/>
                  <w:noWrap/>
                  <w:vAlign w:val="center"/>
                  <w:hideMark/>
                </w:tcPr>
                <w:p w14:paraId="78DFAB41" w14:textId="77777777" w:rsidR="00F65C05" w:rsidRPr="00F65C05" w:rsidRDefault="00F65C05" w:rsidP="00F65C05">
                  <w:pPr>
                    <w:widowControl/>
                    <w:jc w:val="center"/>
                    <w:rPr>
                      <w:rFonts w:ascii="楷体" w:eastAsia="楷体" w:hAnsi="楷体" w:cs="宋体"/>
                      <w:color w:val="000000"/>
                      <w:kern w:val="0"/>
                      <w:sz w:val="20"/>
                      <w:szCs w:val="20"/>
                    </w:rPr>
                  </w:pPr>
                  <w:r w:rsidRPr="00F65C05">
                    <w:rPr>
                      <w:rFonts w:ascii="楷体" w:eastAsia="楷体" w:hAnsi="楷体" w:cs="宋体" w:hint="eastAsia"/>
                      <w:color w:val="000000"/>
                      <w:kern w:val="0"/>
                      <w:sz w:val="20"/>
                      <w:szCs w:val="20"/>
                    </w:rPr>
                    <w:t>MTN3Y</w:t>
                  </w:r>
                </w:p>
              </w:tc>
              <w:tc>
                <w:tcPr>
                  <w:tcW w:w="891" w:type="dxa"/>
                  <w:tcBorders>
                    <w:top w:val="nil"/>
                    <w:left w:val="nil"/>
                    <w:bottom w:val="single" w:sz="8" w:space="0" w:color="FFFFFF"/>
                    <w:right w:val="single" w:sz="8" w:space="0" w:color="FFFFFF"/>
                  </w:tcBorders>
                  <w:shd w:val="clear" w:color="000000" w:fill="FDE9D9"/>
                  <w:noWrap/>
                  <w:vAlign w:val="center"/>
                  <w:hideMark/>
                </w:tcPr>
                <w:p w14:paraId="37B9CC55"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1.6 </w:t>
                  </w:r>
                </w:p>
              </w:tc>
              <w:tc>
                <w:tcPr>
                  <w:tcW w:w="891" w:type="dxa"/>
                  <w:tcBorders>
                    <w:top w:val="nil"/>
                    <w:left w:val="nil"/>
                    <w:bottom w:val="single" w:sz="8" w:space="0" w:color="FFFFFF"/>
                    <w:right w:val="single" w:sz="8" w:space="0" w:color="FFFFFF"/>
                  </w:tcBorders>
                  <w:shd w:val="clear" w:color="000000" w:fill="FDE9D9"/>
                  <w:noWrap/>
                  <w:vAlign w:val="center"/>
                  <w:hideMark/>
                </w:tcPr>
                <w:p w14:paraId="6DE0AC1F"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1.6 </w:t>
                  </w:r>
                </w:p>
              </w:tc>
              <w:tc>
                <w:tcPr>
                  <w:tcW w:w="891" w:type="dxa"/>
                  <w:tcBorders>
                    <w:top w:val="nil"/>
                    <w:left w:val="nil"/>
                    <w:bottom w:val="single" w:sz="8" w:space="0" w:color="FFFFFF"/>
                    <w:right w:val="single" w:sz="8" w:space="0" w:color="FFFFFF"/>
                  </w:tcBorders>
                  <w:shd w:val="clear" w:color="000000" w:fill="FDE9D9"/>
                  <w:noWrap/>
                  <w:vAlign w:val="center"/>
                  <w:hideMark/>
                </w:tcPr>
                <w:p w14:paraId="5F3819E5"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2.6 </w:t>
                  </w:r>
                </w:p>
              </w:tc>
              <w:tc>
                <w:tcPr>
                  <w:tcW w:w="891" w:type="dxa"/>
                  <w:tcBorders>
                    <w:top w:val="nil"/>
                    <w:left w:val="nil"/>
                    <w:bottom w:val="single" w:sz="8" w:space="0" w:color="FFFFFF"/>
                    <w:right w:val="single" w:sz="8" w:space="0" w:color="FFFFFF"/>
                  </w:tcBorders>
                  <w:shd w:val="clear" w:color="000000" w:fill="FDE9D9"/>
                  <w:noWrap/>
                  <w:vAlign w:val="center"/>
                  <w:hideMark/>
                </w:tcPr>
                <w:p w14:paraId="0646511E"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2.6 </w:t>
                  </w:r>
                </w:p>
              </w:tc>
            </w:tr>
            <w:tr w:rsidR="00F65C05" w:rsidRPr="00F65C05" w14:paraId="11D4E092" w14:textId="77777777" w:rsidTr="00867890">
              <w:trPr>
                <w:trHeight w:val="393"/>
              </w:trPr>
              <w:tc>
                <w:tcPr>
                  <w:tcW w:w="1304" w:type="dxa"/>
                  <w:tcBorders>
                    <w:top w:val="nil"/>
                    <w:left w:val="nil"/>
                    <w:bottom w:val="single" w:sz="8" w:space="0" w:color="FFFFFF"/>
                    <w:right w:val="single" w:sz="8" w:space="0" w:color="FFFFFF"/>
                  </w:tcBorders>
                  <w:shd w:val="clear" w:color="000000" w:fill="FCD5B4"/>
                  <w:noWrap/>
                  <w:vAlign w:val="center"/>
                  <w:hideMark/>
                </w:tcPr>
                <w:p w14:paraId="44F10A3A" w14:textId="77777777" w:rsidR="00F65C05" w:rsidRPr="00F65C05" w:rsidRDefault="00F65C05" w:rsidP="00F65C05">
                  <w:pPr>
                    <w:widowControl/>
                    <w:jc w:val="center"/>
                    <w:rPr>
                      <w:rFonts w:ascii="楷体" w:eastAsia="楷体" w:hAnsi="楷体" w:cs="宋体"/>
                      <w:color w:val="000000"/>
                      <w:kern w:val="0"/>
                      <w:sz w:val="20"/>
                      <w:szCs w:val="20"/>
                    </w:rPr>
                  </w:pPr>
                  <w:r w:rsidRPr="00F65C05">
                    <w:rPr>
                      <w:rFonts w:ascii="楷体" w:eastAsia="楷体" w:hAnsi="楷体" w:cs="宋体" w:hint="eastAsia"/>
                      <w:color w:val="000000"/>
                      <w:kern w:val="0"/>
                      <w:sz w:val="20"/>
                      <w:szCs w:val="20"/>
                    </w:rPr>
                    <w:t>MTN5Y</w:t>
                  </w:r>
                </w:p>
              </w:tc>
              <w:tc>
                <w:tcPr>
                  <w:tcW w:w="892" w:type="dxa"/>
                  <w:tcBorders>
                    <w:top w:val="nil"/>
                    <w:left w:val="nil"/>
                    <w:bottom w:val="single" w:sz="8" w:space="0" w:color="FFFFFF"/>
                    <w:right w:val="single" w:sz="8" w:space="0" w:color="FFFFFF"/>
                  </w:tcBorders>
                  <w:shd w:val="clear" w:color="000000" w:fill="FCD5B4"/>
                  <w:noWrap/>
                  <w:vAlign w:val="center"/>
                  <w:hideMark/>
                </w:tcPr>
                <w:p w14:paraId="6E2229FC"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FF0000"/>
                      <w:kern w:val="0"/>
                      <w:szCs w:val="21"/>
                    </w:rPr>
                    <w:t xml:space="preserve">-9.0 </w:t>
                  </w:r>
                </w:p>
              </w:tc>
              <w:tc>
                <w:tcPr>
                  <w:tcW w:w="892" w:type="dxa"/>
                  <w:tcBorders>
                    <w:top w:val="nil"/>
                    <w:left w:val="nil"/>
                    <w:bottom w:val="single" w:sz="8" w:space="0" w:color="FFFFFF"/>
                    <w:right w:val="single" w:sz="8" w:space="0" w:color="FFFFFF"/>
                  </w:tcBorders>
                  <w:shd w:val="clear" w:color="000000" w:fill="FCD5B4"/>
                  <w:noWrap/>
                  <w:vAlign w:val="center"/>
                  <w:hideMark/>
                </w:tcPr>
                <w:p w14:paraId="2FB19D5D"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FF0000"/>
                      <w:kern w:val="0"/>
                      <w:szCs w:val="21"/>
                    </w:rPr>
                    <w:t xml:space="preserve">-5.0 </w:t>
                  </w:r>
                </w:p>
              </w:tc>
              <w:tc>
                <w:tcPr>
                  <w:tcW w:w="892" w:type="dxa"/>
                  <w:tcBorders>
                    <w:top w:val="nil"/>
                    <w:left w:val="nil"/>
                    <w:bottom w:val="single" w:sz="8" w:space="0" w:color="FFFFFF"/>
                    <w:right w:val="single" w:sz="8" w:space="0" w:color="FFFFFF"/>
                  </w:tcBorders>
                  <w:shd w:val="clear" w:color="000000" w:fill="FCD5B4"/>
                  <w:noWrap/>
                  <w:vAlign w:val="center"/>
                  <w:hideMark/>
                </w:tcPr>
                <w:p w14:paraId="4BEEB327"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FF0000"/>
                      <w:kern w:val="0"/>
                      <w:szCs w:val="21"/>
                    </w:rPr>
                    <w:t xml:space="preserve">-7.0 </w:t>
                  </w:r>
                </w:p>
              </w:tc>
              <w:tc>
                <w:tcPr>
                  <w:tcW w:w="891" w:type="dxa"/>
                  <w:tcBorders>
                    <w:top w:val="nil"/>
                    <w:left w:val="nil"/>
                    <w:bottom w:val="single" w:sz="8" w:space="0" w:color="FFFFFF"/>
                    <w:right w:val="single" w:sz="8" w:space="0" w:color="FFFFFF"/>
                  </w:tcBorders>
                  <w:shd w:val="clear" w:color="000000" w:fill="FCD5B4"/>
                  <w:noWrap/>
                  <w:vAlign w:val="center"/>
                  <w:hideMark/>
                </w:tcPr>
                <w:p w14:paraId="1F5BCC1E"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FF0000"/>
                      <w:kern w:val="0"/>
                      <w:szCs w:val="21"/>
                    </w:rPr>
                    <w:t xml:space="preserve">-7.0 </w:t>
                  </w:r>
                </w:p>
              </w:tc>
              <w:tc>
                <w:tcPr>
                  <w:tcW w:w="1117" w:type="dxa"/>
                  <w:tcBorders>
                    <w:top w:val="nil"/>
                    <w:left w:val="nil"/>
                    <w:bottom w:val="single" w:sz="8" w:space="0" w:color="FFFFFF"/>
                    <w:right w:val="single" w:sz="8" w:space="0" w:color="FFFFFF"/>
                  </w:tcBorders>
                  <w:shd w:val="clear" w:color="000000" w:fill="FCD5B4"/>
                  <w:noWrap/>
                  <w:vAlign w:val="center"/>
                  <w:hideMark/>
                </w:tcPr>
                <w:p w14:paraId="1FB2526C" w14:textId="77777777" w:rsidR="00F65C05" w:rsidRPr="00F65C05" w:rsidRDefault="00F65C05" w:rsidP="00F65C05">
                  <w:pPr>
                    <w:widowControl/>
                    <w:jc w:val="center"/>
                    <w:rPr>
                      <w:rFonts w:ascii="楷体" w:eastAsia="楷体" w:hAnsi="楷体" w:cs="宋体"/>
                      <w:color w:val="000000"/>
                      <w:kern w:val="0"/>
                      <w:sz w:val="20"/>
                      <w:szCs w:val="20"/>
                    </w:rPr>
                  </w:pPr>
                  <w:r w:rsidRPr="00F65C05">
                    <w:rPr>
                      <w:rFonts w:ascii="楷体" w:eastAsia="楷体" w:hAnsi="楷体" w:cs="宋体" w:hint="eastAsia"/>
                      <w:color w:val="000000"/>
                      <w:kern w:val="0"/>
                      <w:sz w:val="20"/>
                      <w:szCs w:val="20"/>
                    </w:rPr>
                    <w:t>MTN5Y</w:t>
                  </w:r>
                </w:p>
              </w:tc>
              <w:tc>
                <w:tcPr>
                  <w:tcW w:w="891" w:type="dxa"/>
                  <w:tcBorders>
                    <w:top w:val="nil"/>
                    <w:left w:val="nil"/>
                    <w:bottom w:val="single" w:sz="8" w:space="0" w:color="FFFFFF"/>
                    <w:right w:val="single" w:sz="8" w:space="0" w:color="FFFFFF"/>
                  </w:tcBorders>
                  <w:shd w:val="clear" w:color="000000" w:fill="FCD5B4"/>
                  <w:noWrap/>
                  <w:vAlign w:val="center"/>
                  <w:hideMark/>
                </w:tcPr>
                <w:p w14:paraId="1710C391"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FF0000"/>
                      <w:kern w:val="0"/>
                      <w:szCs w:val="21"/>
                    </w:rPr>
                    <w:t xml:space="preserve">-5.3 </w:t>
                  </w:r>
                </w:p>
              </w:tc>
              <w:tc>
                <w:tcPr>
                  <w:tcW w:w="891" w:type="dxa"/>
                  <w:tcBorders>
                    <w:top w:val="nil"/>
                    <w:left w:val="nil"/>
                    <w:bottom w:val="single" w:sz="8" w:space="0" w:color="FFFFFF"/>
                    <w:right w:val="single" w:sz="8" w:space="0" w:color="FFFFFF"/>
                  </w:tcBorders>
                  <w:shd w:val="clear" w:color="000000" w:fill="FCD5B4"/>
                  <w:noWrap/>
                  <w:vAlign w:val="center"/>
                  <w:hideMark/>
                </w:tcPr>
                <w:p w14:paraId="792B4C57"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FF0000"/>
                      <w:kern w:val="0"/>
                      <w:szCs w:val="21"/>
                    </w:rPr>
                    <w:t xml:space="preserve">-1.3 </w:t>
                  </w:r>
                </w:p>
              </w:tc>
              <w:tc>
                <w:tcPr>
                  <w:tcW w:w="891" w:type="dxa"/>
                  <w:tcBorders>
                    <w:top w:val="nil"/>
                    <w:left w:val="nil"/>
                    <w:bottom w:val="single" w:sz="8" w:space="0" w:color="FFFFFF"/>
                    <w:right w:val="single" w:sz="8" w:space="0" w:color="FFFFFF"/>
                  </w:tcBorders>
                  <w:shd w:val="clear" w:color="000000" w:fill="FCD5B4"/>
                  <w:noWrap/>
                  <w:vAlign w:val="center"/>
                  <w:hideMark/>
                </w:tcPr>
                <w:p w14:paraId="0D1CAE6E"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FF0000"/>
                      <w:kern w:val="0"/>
                      <w:szCs w:val="21"/>
                    </w:rPr>
                    <w:t xml:space="preserve">-3.3 </w:t>
                  </w:r>
                </w:p>
              </w:tc>
              <w:tc>
                <w:tcPr>
                  <w:tcW w:w="891" w:type="dxa"/>
                  <w:tcBorders>
                    <w:top w:val="nil"/>
                    <w:left w:val="nil"/>
                    <w:bottom w:val="single" w:sz="8" w:space="0" w:color="FFFFFF"/>
                    <w:right w:val="single" w:sz="8" w:space="0" w:color="FFFFFF"/>
                  </w:tcBorders>
                  <w:shd w:val="clear" w:color="000000" w:fill="FCD5B4"/>
                  <w:noWrap/>
                  <w:vAlign w:val="center"/>
                  <w:hideMark/>
                </w:tcPr>
                <w:p w14:paraId="205C5927"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FF0000"/>
                      <w:kern w:val="0"/>
                      <w:szCs w:val="21"/>
                    </w:rPr>
                    <w:t xml:space="preserve">-3.3 </w:t>
                  </w:r>
                </w:p>
              </w:tc>
            </w:tr>
            <w:tr w:rsidR="00F65C05" w:rsidRPr="00F65C05" w14:paraId="1722F4F4" w14:textId="77777777" w:rsidTr="00867890">
              <w:trPr>
                <w:trHeight w:val="393"/>
              </w:trPr>
              <w:tc>
                <w:tcPr>
                  <w:tcW w:w="1304" w:type="dxa"/>
                  <w:tcBorders>
                    <w:top w:val="nil"/>
                    <w:left w:val="nil"/>
                    <w:bottom w:val="single" w:sz="8" w:space="0" w:color="FFFFFF"/>
                    <w:right w:val="single" w:sz="8" w:space="0" w:color="FFFFFF"/>
                  </w:tcBorders>
                  <w:shd w:val="clear" w:color="000000" w:fill="FDE9D9"/>
                  <w:noWrap/>
                  <w:vAlign w:val="center"/>
                  <w:hideMark/>
                </w:tcPr>
                <w:p w14:paraId="2EB80BBE" w14:textId="77777777" w:rsidR="00F65C05" w:rsidRPr="00F65C05" w:rsidRDefault="00F65C05" w:rsidP="00F65C05">
                  <w:pPr>
                    <w:widowControl/>
                    <w:jc w:val="center"/>
                    <w:rPr>
                      <w:rFonts w:ascii="楷体" w:eastAsia="楷体" w:hAnsi="楷体" w:cs="宋体"/>
                      <w:color w:val="000000"/>
                      <w:kern w:val="0"/>
                      <w:sz w:val="20"/>
                      <w:szCs w:val="20"/>
                    </w:rPr>
                  </w:pPr>
                  <w:r w:rsidRPr="00F65C05">
                    <w:rPr>
                      <w:rFonts w:ascii="楷体" w:eastAsia="楷体" w:hAnsi="楷体" w:cs="宋体" w:hint="eastAsia"/>
                      <w:color w:val="000000"/>
                      <w:kern w:val="0"/>
                      <w:sz w:val="20"/>
                      <w:szCs w:val="20"/>
                    </w:rPr>
                    <w:t>企业债3Y</w:t>
                  </w:r>
                </w:p>
              </w:tc>
              <w:tc>
                <w:tcPr>
                  <w:tcW w:w="892" w:type="dxa"/>
                  <w:tcBorders>
                    <w:top w:val="nil"/>
                    <w:left w:val="nil"/>
                    <w:bottom w:val="single" w:sz="8" w:space="0" w:color="FFFFFF"/>
                    <w:right w:val="single" w:sz="8" w:space="0" w:color="FFFFFF"/>
                  </w:tcBorders>
                  <w:shd w:val="clear" w:color="000000" w:fill="FDE9D9"/>
                  <w:noWrap/>
                  <w:vAlign w:val="center"/>
                  <w:hideMark/>
                </w:tcPr>
                <w:p w14:paraId="65A75588"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FF0000"/>
                      <w:kern w:val="0"/>
                      <w:szCs w:val="21"/>
                    </w:rPr>
                    <w:t xml:space="preserve">-5.3 </w:t>
                  </w:r>
                </w:p>
              </w:tc>
              <w:tc>
                <w:tcPr>
                  <w:tcW w:w="892" w:type="dxa"/>
                  <w:tcBorders>
                    <w:top w:val="nil"/>
                    <w:left w:val="nil"/>
                    <w:bottom w:val="single" w:sz="8" w:space="0" w:color="FFFFFF"/>
                    <w:right w:val="single" w:sz="8" w:space="0" w:color="FFFFFF"/>
                  </w:tcBorders>
                  <w:shd w:val="clear" w:color="000000" w:fill="FDE9D9"/>
                  <w:noWrap/>
                  <w:vAlign w:val="center"/>
                  <w:hideMark/>
                </w:tcPr>
                <w:p w14:paraId="5F89369E"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FF0000"/>
                      <w:kern w:val="0"/>
                      <w:szCs w:val="21"/>
                    </w:rPr>
                    <w:t xml:space="preserve">-12.3 </w:t>
                  </w:r>
                </w:p>
              </w:tc>
              <w:tc>
                <w:tcPr>
                  <w:tcW w:w="892" w:type="dxa"/>
                  <w:tcBorders>
                    <w:top w:val="nil"/>
                    <w:left w:val="nil"/>
                    <w:bottom w:val="single" w:sz="8" w:space="0" w:color="FFFFFF"/>
                    <w:right w:val="single" w:sz="8" w:space="0" w:color="FFFFFF"/>
                  </w:tcBorders>
                  <w:shd w:val="clear" w:color="000000" w:fill="FDE9D9"/>
                  <w:noWrap/>
                  <w:vAlign w:val="center"/>
                  <w:hideMark/>
                </w:tcPr>
                <w:p w14:paraId="2E01410A"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FF0000"/>
                      <w:kern w:val="0"/>
                      <w:szCs w:val="21"/>
                    </w:rPr>
                    <w:t xml:space="preserve">-7.3 </w:t>
                  </w:r>
                </w:p>
              </w:tc>
              <w:tc>
                <w:tcPr>
                  <w:tcW w:w="891" w:type="dxa"/>
                  <w:tcBorders>
                    <w:top w:val="nil"/>
                    <w:left w:val="nil"/>
                    <w:bottom w:val="single" w:sz="8" w:space="0" w:color="FFFFFF"/>
                    <w:right w:val="single" w:sz="8" w:space="0" w:color="FFFFFF"/>
                  </w:tcBorders>
                  <w:shd w:val="clear" w:color="000000" w:fill="FDE9D9"/>
                  <w:noWrap/>
                  <w:vAlign w:val="center"/>
                  <w:hideMark/>
                </w:tcPr>
                <w:p w14:paraId="0128D6DB"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FF0000"/>
                      <w:kern w:val="0"/>
                      <w:szCs w:val="21"/>
                    </w:rPr>
                    <w:t xml:space="preserve">-7.3 </w:t>
                  </w:r>
                </w:p>
              </w:tc>
              <w:tc>
                <w:tcPr>
                  <w:tcW w:w="1117" w:type="dxa"/>
                  <w:tcBorders>
                    <w:top w:val="nil"/>
                    <w:left w:val="nil"/>
                    <w:bottom w:val="single" w:sz="8" w:space="0" w:color="FFFFFF"/>
                    <w:right w:val="single" w:sz="8" w:space="0" w:color="FFFFFF"/>
                  </w:tcBorders>
                  <w:shd w:val="clear" w:color="000000" w:fill="FDE9D9"/>
                  <w:noWrap/>
                  <w:vAlign w:val="center"/>
                  <w:hideMark/>
                </w:tcPr>
                <w:p w14:paraId="16C74835" w14:textId="77777777" w:rsidR="00F65C05" w:rsidRPr="00F65C05" w:rsidRDefault="00F65C05" w:rsidP="00F65C05">
                  <w:pPr>
                    <w:widowControl/>
                    <w:jc w:val="center"/>
                    <w:rPr>
                      <w:rFonts w:ascii="楷体" w:eastAsia="楷体" w:hAnsi="楷体" w:cs="宋体"/>
                      <w:color w:val="000000"/>
                      <w:kern w:val="0"/>
                      <w:sz w:val="20"/>
                      <w:szCs w:val="20"/>
                    </w:rPr>
                  </w:pPr>
                  <w:r w:rsidRPr="00F65C05">
                    <w:rPr>
                      <w:rFonts w:ascii="楷体" w:eastAsia="楷体" w:hAnsi="楷体" w:cs="宋体" w:hint="eastAsia"/>
                      <w:color w:val="000000"/>
                      <w:kern w:val="0"/>
                      <w:sz w:val="20"/>
                      <w:szCs w:val="20"/>
                    </w:rPr>
                    <w:t>企业债3Y</w:t>
                  </w:r>
                </w:p>
              </w:tc>
              <w:tc>
                <w:tcPr>
                  <w:tcW w:w="891" w:type="dxa"/>
                  <w:tcBorders>
                    <w:top w:val="nil"/>
                    <w:left w:val="nil"/>
                    <w:bottom w:val="single" w:sz="8" w:space="0" w:color="FFFFFF"/>
                    <w:right w:val="single" w:sz="8" w:space="0" w:color="FFFFFF"/>
                  </w:tcBorders>
                  <w:shd w:val="clear" w:color="000000" w:fill="FDE9D9"/>
                  <w:noWrap/>
                  <w:vAlign w:val="center"/>
                  <w:hideMark/>
                </w:tcPr>
                <w:p w14:paraId="7629D904"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FF0000"/>
                      <w:kern w:val="0"/>
                      <w:szCs w:val="21"/>
                    </w:rPr>
                    <w:t xml:space="preserve">-0.4 </w:t>
                  </w:r>
                </w:p>
              </w:tc>
              <w:tc>
                <w:tcPr>
                  <w:tcW w:w="891" w:type="dxa"/>
                  <w:tcBorders>
                    <w:top w:val="nil"/>
                    <w:left w:val="nil"/>
                    <w:bottom w:val="single" w:sz="8" w:space="0" w:color="FFFFFF"/>
                    <w:right w:val="single" w:sz="8" w:space="0" w:color="FFFFFF"/>
                  </w:tcBorders>
                  <w:shd w:val="clear" w:color="000000" w:fill="FDE9D9"/>
                  <w:noWrap/>
                  <w:vAlign w:val="center"/>
                  <w:hideMark/>
                </w:tcPr>
                <w:p w14:paraId="3E7769E6"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FF0000"/>
                      <w:kern w:val="0"/>
                      <w:szCs w:val="21"/>
                    </w:rPr>
                    <w:t xml:space="preserve">-7.4 </w:t>
                  </w:r>
                </w:p>
              </w:tc>
              <w:tc>
                <w:tcPr>
                  <w:tcW w:w="891" w:type="dxa"/>
                  <w:tcBorders>
                    <w:top w:val="nil"/>
                    <w:left w:val="nil"/>
                    <w:bottom w:val="single" w:sz="8" w:space="0" w:color="FFFFFF"/>
                    <w:right w:val="single" w:sz="8" w:space="0" w:color="FFFFFF"/>
                  </w:tcBorders>
                  <w:shd w:val="clear" w:color="000000" w:fill="FDE9D9"/>
                  <w:noWrap/>
                  <w:vAlign w:val="center"/>
                  <w:hideMark/>
                </w:tcPr>
                <w:p w14:paraId="06266CF5"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FF0000"/>
                      <w:kern w:val="0"/>
                      <w:szCs w:val="21"/>
                    </w:rPr>
                    <w:t xml:space="preserve">-2.4 </w:t>
                  </w:r>
                </w:p>
              </w:tc>
              <w:tc>
                <w:tcPr>
                  <w:tcW w:w="891" w:type="dxa"/>
                  <w:tcBorders>
                    <w:top w:val="nil"/>
                    <w:left w:val="nil"/>
                    <w:bottom w:val="single" w:sz="8" w:space="0" w:color="FFFFFF"/>
                    <w:right w:val="single" w:sz="8" w:space="0" w:color="FFFFFF"/>
                  </w:tcBorders>
                  <w:shd w:val="clear" w:color="000000" w:fill="FDE9D9"/>
                  <w:noWrap/>
                  <w:vAlign w:val="center"/>
                  <w:hideMark/>
                </w:tcPr>
                <w:p w14:paraId="0B2EA2A9"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FF0000"/>
                      <w:kern w:val="0"/>
                      <w:szCs w:val="21"/>
                    </w:rPr>
                    <w:t xml:space="preserve">-2.4 </w:t>
                  </w:r>
                </w:p>
              </w:tc>
            </w:tr>
            <w:tr w:rsidR="00F65C05" w:rsidRPr="00F65C05" w14:paraId="3DF6976C" w14:textId="77777777" w:rsidTr="00867890">
              <w:trPr>
                <w:trHeight w:val="393"/>
              </w:trPr>
              <w:tc>
                <w:tcPr>
                  <w:tcW w:w="1304" w:type="dxa"/>
                  <w:tcBorders>
                    <w:top w:val="nil"/>
                    <w:left w:val="nil"/>
                    <w:bottom w:val="single" w:sz="8" w:space="0" w:color="FFFFFF"/>
                    <w:right w:val="single" w:sz="8" w:space="0" w:color="FFFFFF"/>
                  </w:tcBorders>
                  <w:shd w:val="clear" w:color="000000" w:fill="FCD5B4"/>
                  <w:noWrap/>
                  <w:vAlign w:val="center"/>
                  <w:hideMark/>
                </w:tcPr>
                <w:p w14:paraId="331BFA06" w14:textId="77777777" w:rsidR="00F65C05" w:rsidRPr="00F65C05" w:rsidRDefault="00F65C05" w:rsidP="00F65C05">
                  <w:pPr>
                    <w:widowControl/>
                    <w:jc w:val="center"/>
                    <w:rPr>
                      <w:rFonts w:ascii="楷体" w:eastAsia="楷体" w:hAnsi="楷体" w:cs="宋体"/>
                      <w:color w:val="000000"/>
                      <w:kern w:val="0"/>
                      <w:sz w:val="20"/>
                      <w:szCs w:val="20"/>
                    </w:rPr>
                  </w:pPr>
                  <w:r w:rsidRPr="00F65C05">
                    <w:rPr>
                      <w:rFonts w:ascii="楷体" w:eastAsia="楷体" w:hAnsi="楷体" w:cs="宋体" w:hint="eastAsia"/>
                      <w:color w:val="000000"/>
                      <w:kern w:val="0"/>
                      <w:sz w:val="20"/>
                      <w:szCs w:val="20"/>
                    </w:rPr>
                    <w:t>企业债5Y</w:t>
                  </w:r>
                </w:p>
              </w:tc>
              <w:tc>
                <w:tcPr>
                  <w:tcW w:w="892" w:type="dxa"/>
                  <w:tcBorders>
                    <w:top w:val="nil"/>
                    <w:left w:val="nil"/>
                    <w:bottom w:val="single" w:sz="8" w:space="0" w:color="FFFFFF"/>
                    <w:right w:val="single" w:sz="8" w:space="0" w:color="FFFFFF"/>
                  </w:tcBorders>
                  <w:shd w:val="clear" w:color="000000" w:fill="FCD5B4"/>
                  <w:noWrap/>
                  <w:vAlign w:val="center"/>
                  <w:hideMark/>
                </w:tcPr>
                <w:p w14:paraId="535399A9"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FF0000"/>
                      <w:kern w:val="0"/>
                      <w:szCs w:val="21"/>
                    </w:rPr>
                    <w:t xml:space="preserve">-8.2 </w:t>
                  </w:r>
                </w:p>
              </w:tc>
              <w:tc>
                <w:tcPr>
                  <w:tcW w:w="892" w:type="dxa"/>
                  <w:tcBorders>
                    <w:top w:val="nil"/>
                    <w:left w:val="nil"/>
                    <w:bottom w:val="single" w:sz="8" w:space="0" w:color="FFFFFF"/>
                    <w:right w:val="single" w:sz="8" w:space="0" w:color="FFFFFF"/>
                  </w:tcBorders>
                  <w:shd w:val="clear" w:color="000000" w:fill="FCD5B4"/>
                  <w:noWrap/>
                  <w:vAlign w:val="center"/>
                  <w:hideMark/>
                </w:tcPr>
                <w:p w14:paraId="493ACE4C"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FF0000"/>
                      <w:kern w:val="0"/>
                      <w:szCs w:val="21"/>
                    </w:rPr>
                    <w:t xml:space="preserve">-2.2 </w:t>
                  </w:r>
                </w:p>
              </w:tc>
              <w:tc>
                <w:tcPr>
                  <w:tcW w:w="892" w:type="dxa"/>
                  <w:tcBorders>
                    <w:top w:val="nil"/>
                    <w:left w:val="nil"/>
                    <w:bottom w:val="single" w:sz="8" w:space="0" w:color="FFFFFF"/>
                    <w:right w:val="single" w:sz="8" w:space="0" w:color="FFFFFF"/>
                  </w:tcBorders>
                  <w:shd w:val="clear" w:color="000000" w:fill="FCD5B4"/>
                  <w:noWrap/>
                  <w:vAlign w:val="center"/>
                  <w:hideMark/>
                </w:tcPr>
                <w:p w14:paraId="700914A5"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FF0000"/>
                      <w:kern w:val="0"/>
                      <w:szCs w:val="21"/>
                    </w:rPr>
                    <w:t xml:space="preserve">-4.2 </w:t>
                  </w:r>
                </w:p>
              </w:tc>
              <w:tc>
                <w:tcPr>
                  <w:tcW w:w="891" w:type="dxa"/>
                  <w:tcBorders>
                    <w:top w:val="nil"/>
                    <w:left w:val="nil"/>
                    <w:bottom w:val="single" w:sz="8" w:space="0" w:color="FFFFFF"/>
                    <w:right w:val="single" w:sz="8" w:space="0" w:color="FFFFFF"/>
                  </w:tcBorders>
                  <w:shd w:val="clear" w:color="000000" w:fill="FCD5B4"/>
                  <w:noWrap/>
                  <w:vAlign w:val="center"/>
                  <w:hideMark/>
                </w:tcPr>
                <w:p w14:paraId="2769F262"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FF0000"/>
                      <w:kern w:val="0"/>
                      <w:szCs w:val="21"/>
                    </w:rPr>
                    <w:t xml:space="preserve">-4.2 </w:t>
                  </w:r>
                </w:p>
              </w:tc>
              <w:tc>
                <w:tcPr>
                  <w:tcW w:w="1117" w:type="dxa"/>
                  <w:tcBorders>
                    <w:top w:val="nil"/>
                    <w:left w:val="nil"/>
                    <w:bottom w:val="single" w:sz="8" w:space="0" w:color="FFFFFF"/>
                    <w:right w:val="single" w:sz="8" w:space="0" w:color="FFFFFF"/>
                  </w:tcBorders>
                  <w:shd w:val="clear" w:color="000000" w:fill="FCD5B4"/>
                  <w:noWrap/>
                  <w:vAlign w:val="center"/>
                  <w:hideMark/>
                </w:tcPr>
                <w:p w14:paraId="26845792" w14:textId="77777777" w:rsidR="00F65C05" w:rsidRPr="00F65C05" w:rsidRDefault="00F65C05" w:rsidP="00F65C05">
                  <w:pPr>
                    <w:widowControl/>
                    <w:jc w:val="center"/>
                    <w:rPr>
                      <w:rFonts w:ascii="楷体" w:eastAsia="楷体" w:hAnsi="楷体" w:cs="宋体"/>
                      <w:color w:val="000000"/>
                      <w:kern w:val="0"/>
                      <w:sz w:val="20"/>
                      <w:szCs w:val="20"/>
                    </w:rPr>
                  </w:pPr>
                  <w:r w:rsidRPr="00F65C05">
                    <w:rPr>
                      <w:rFonts w:ascii="楷体" w:eastAsia="楷体" w:hAnsi="楷体" w:cs="宋体" w:hint="eastAsia"/>
                      <w:color w:val="000000"/>
                      <w:kern w:val="0"/>
                      <w:sz w:val="20"/>
                      <w:szCs w:val="20"/>
                    </w:rPr>
                    <w:t>企业债5Y</w:t>
                  </w:r>
                </w:p>
              </w:tc>
              <w:tc>
                <w:tcPr>
                  <w:tcW w:w="891" w:type="dxa"/>
                  <w:tcBorders>
                    <w:top w:val="nil"/>
                    <w:left w:val="nil"/>
                    <w:bottom w:val="single" w:sz="8" w:space="0" w:color="FFFFFF"/>
                    <w:right w:val="single" w:sz="8" w:space="0" w:color="FFFFFF"/>
                  </w:tcBorders>
                  <w:shd w:val="clear" w:color="000000" w:fill="FCD5B4"/>
                  <w:noWrap/>
                  <w:vAlign w:val="center"/>
                  <w:hideMark/>
                </w:tcPr>
                <w:p w14:paraId="3E2037D5"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FF0000"/>
                      <w:kern w:val="0"/>
                      <w:szCs w:val="21"/>
                    </w:rPr>
                    <w:t xml:space="preserve">-4.6 </w:t>
                  </w:r>
                </w:p>
              </w:tc>
              <w:tc>
                <w:tcPr>
                  <w:tcW w:w="891" w:type="dxa"/>
                  <w:tcBorders>
                    <w:top w:val="nil"/>
                    <w:left w:val="nil"/>
                    <w:bottom w:val="single" w:sz="8" w:space="0" w:color="FFFFFF"/>
                    <w:right w:val="single" w:sz="8" w:space="0" w:color="FFFFFF"/>
                  </w:tcBorders>
                  <w:shd w:val="clear" w:color="000000" w:fill="FCD5B4"/>
                  <w:noWrap/>
                  <w:vAlign w:val="center"/>
                  <w:hideMark/>
                </w:tcPr>
                <w:p w14:paraId="750ABE44"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1.4 </w:t>
                  </w:r>
                </w:p>
              </w:tc>
              <w:tc>
                <w:tcPr>
                  <w:tcW w:w="891" w:type="dxa"/>
                  <w:tcBorders>
                    <w:top w:val="nil"/>
                    <w:left w:val="nil"/>
                    <w:bottom w:val="single" w:sz="8" w:space="0" w:color="FFFFFF"/>
                    <w:right w:val="single" w:sz="8" w:space="0" w:color="FFFFFF"/>
                  </w:tcBorders>
                  <w:shd w:val="clear" w:color="000000" w:fill="FCD5B4"/>
                  <w:noWrap/>
                  <w:vAlign w:val="center"/>
                  <w:hideMark/>
                </w:tcPr>
                <w:p w14:paraId="38323961"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FF0000"/>
                      <w:kern w:val="0"/>
                      <w:szCs w:val="21"/>
                    </w:rPr>
                    <w:t xml:space="preserve">-0.6 </w:t>
                  </w:r>
                </w:p>
              </w:tc>
              <w:tc>
                <w:tcPr>
                  <w:tcW w:w="891" w:type="dxa"/>
                  <w:tcBorders>
                    <w:top w:val="nil"/>
                    <w:left w:val="nil"/>
                    <w:bottom w:val="single" w:sz="8" w:space="0" w:color="FFFFFF"/>
                    <w:right w:val="single" w:sz="8" w:space="0" w:color="FFFFFF"/>
                  </w:tcBorders>
                  <w:shd w:val="clear" w:color="000000" w:fill="FCD5B4"/>
                  <w:noWrap/>
                  <w:vAlign w:val="center"/>
                  <w:hideMark/>
                </w:tcPr>
                <w:p w14:paraId="79D00FAF"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FF0000"/>
                      <w:kern w:val="0"/>
                      <w:szCs w:val="21"/>
                    </w:rPr>
                    <w:t xml:space="preserve">-0.6 </w:t>
                  </w:r>
                </w:p>
              </w:tc>
            </w:tr>
            <w:tr w:rsidR="00F65C05" w:rsidRPr="00F65C05" w14:paraId="30420BDB" w14:textId="77777777" w:rsidTr="00867890">
              <w:trPr>
                <w:trHeight w:val="393"/>
              </w:trPr>
              <w:tc>
                <w:tcPr>
                  <w:tcW w:w="1304" w:type="dxa"/>
                  <w:tcBorders>
                    <w:top w:val="nil"/>
                    <w:left w:val="nil"/>
                    <w:bottom w:val="single" w:sz="8" w:space="0" w:color="FFFFFF"/>
                    <w:right w:val="single" w:sz="8" w:space="0" w:color="FFFFFF"/>
                  </w:tcBorders>
                  <w:shd w:val="clear" w:color="000000" w:fill="FDE9D9"/>
                  <w:noWrap/>
                  <w:vAlign w:val="center"/>
                  <w:hideMark/>
                </w:tcPr>
                <w:p w14:paraId="381BE4F9" w14:textId="77777777" w:rsidR="00F65C05" w:rsidRPr="00F65C05" w:rsidRDefault="00F65C05" w:rsidP="00F65C05">
                  <w:pPr>
                    <w:widowControl/>
                    <w:jc w:val="center"/>
                    <w:rPr>
                      <w:rFonts w:ascii="楷体" w:eastAsia="楷体" w:hAnsi="楷体" w:cs="宋体"/>
                      <w:color w:val="000000"/>
                      <w:kern w:val="0"/>
                      <w:sz w:val="20"/>
                      <w:szCs w:val="20"/>
                    </w:rPr>
                  </w:pPr>
                  <w:r w:rsidRPr="00F65C05">
                    <w:rPr>
                      <w:rFonts w:ascii="楷体" w:eastAsia="楷体" w:hAnsi="楷体" w:cs="宋体" w:hint="eastAsia"/>
                      <w:color w:val="000000"/>
                      <w:kern w:val="0"/>
                      <w:sz w:val="20"/>
                      <w:szCs w:val="20"/>
                    </w:rPr>
                    <w:t>企业债7Y</w:t>
                  </w:r>
                </w:p>
              </w:tc>
              <w:tc>
                <w:tcPr>
                  <w:tcW w:w="892" w:type="dxa"/>
                  <w:tcBorders>
                    <w:top w:val="nil"/>
                    <w:left w:val="nil"/>
                    <w:bottom w:val="single" w:sz="8" w:space="0" w:color="FFFFFF"/>
                    <w:right w:val="single" w:sz="8" w:space="0" w:color="FFFFFF"/>
                  </w:tcBorders>
                  <w:shd w:val="clear" w:color="000000" w:fill="FDE9D9"/>
                  <w:noWrap/>
                  <w:vAlign w:val="center"/>
                  <w:hideMark/>
                </w:tcPr>
                <w:p w14:paraId="212BFD06"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FF0000"/>
                      <w:kern w:val="0"/>
                      <w:szCs w:val="21"/>
                    </w:rPr>
                    <w:t xml:space="preserve">-8.2 </w:t>
                  </w:r>
                </w:p>
              </w:tc>
              <w:tc>
                <w:tcPr>
                  <w:tcW w:w="892" w:type="dxa"/>
                  <w:tcBorders>
                    <w:top w:val="nil"/>
                    <w:left w:val="nil"/>
                    <w:bottom w:val="single" w:sz="8" w:space="0" w:color="FFFFFF"/>
                    <w:right w:val="single" w:sz="8" w:space="0" w:color="FFFFFF"/>
                  </w:tcBorders>
                  <w:shd w:val="clear" w:color="000000" w:fill="FDE9D9"/>
                  <w:noWrap/>
                  <w:vAlign w:val="center"/>
                  <w:hideMark/>
                </w:tcPr>
                <w:p w14:paraId="2F969D7B"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FF0000"/>
                      <w:kern w:val="0"/>
                      <w:szCs w:val="21"/>
                    </w:rPr>
                    <w:t xml:space="preserve">-4.2 </w:t>
                  </w:r>
                </w:p>
              </w:tc>
              <w:tc>
                <w:tcPr>
                  <w:tcW w:w="892" w:type="dxa"/>
                  <w:tcBorders>
                    <w:top w:val="nil"/>
                    <w:left w:val="nil"/>
                    <w:bottom w:val="single" w:sz="8" w:space="0" w:color="FFFFFF"/>
                    <w:right w:val="single" w:sz="8" w:space="0" w:color="FFFFFF"/>
                  </w:tcBorders>
                  <w:shd w:val="clear" w:color="000000" w:fill="FDE9D9"/>
                  <w:noWrap/>
                  <w:vAlign w:val="center"/>
                  <w:hideMark/>
                </w:tcPr>
                <w:p w14:paraId="40244A68"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FF0000"/>
                      <w:kern w:val="0"/>
                      <w:szCs w:val="21"/>
                    </w:rPr>
                    <w:t xml:space="preserve">-7.2 </w:t>
                  </w:r>
                </w:p>
              </w:tc>
              <w:tc>
                <w:tcPr>
                  <w:tcW w:w="891" w:type="dxa"/>
                  <w:tcBorders>
                    <w:top w:val="nil"/>
                    <w:left w:val="nil"/>
                    <w:bottom w:val="single" w:sz="8" w:space="0" w:color="FFFFFF"/>
                    <w:right w:val="single" w:sz="8" w:space="0" w:color="FFFFFF"/>
                  </w:tcBorders>
                  <w:shd w:val="clear" w:color="000000" w:fill="FDE9D9"/>
                  <w:noWrap/>
                  <w:vAlign w:val="center"/>
                  <w:hideMark/>
                </w:tcPr>
                <w:p w14:paraId="4B473FA3"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FF0000"/>
                      <w:kern w:val="0"/>
                      <w:szCs w:val="21"/>
                    </w:rPr>
                    <w:t xml:space="preserve">-7.2 </w:t>
                  </w:r>
                </w:p>
              </w:tc>
              <w:tc>
                <w:tcPr>
                  <w:tcW w:w="1117" w:type="dxa"/>
                  <w:tcBorders>
                    <w:top w:val="nil"/>
                    <w:left w:val="nil"/>
                    <w:bottom w:val="single" w:sz="8" w:space="0" w:color="FFFFFF"/>
                    <w:right w:val="single" w:sz="8" w:space="0" w:color="FFFFFF"/>
                  </w:tcBorders>
                  <w:shd w:val="clear" w:color="000000" w:fill="FDE9D9"/>
                  <w:noWrap/>
                  <w:vAlign w:val="center"/>
                  <w:hideMark/>
                </w:tcPr>
                <w:p w14:paraId="0761317A" w14:textId="77777777" w:rsidR="00F65C05" w:rsidRPr="00F65C05" w:rsidRDefault="00F65C05" w:rsidP="00F65C05">
                  <w:pPr>
                    <w:widowControl/>
                    <w:jc w:val="center"/>
                    <w:rPr>
                      <w:rFonts w:ascii="楷体" w:eastAsia="楷体" w:hAnsi="楷体" w:cs="宋体"/>
                      <w:color w:val="000000"/>
                      <w:kern w:val="0"/>
                      <w:sz w:val="20"/>
                      <w:szCs w:val="20"/>
                    </w:rPr>
                  </w:pPr>
                  <w:r w:rsidRPr="00F65C05">
                    <w:rPr>
                      <w:rFonts w:ascii="楷体" w:eastAsia="楷体" w:hAnsi="楷体" w:cs="宋体" w:hint="eastAsia"/>
                      <w:color w:val="000000"/>
                      <w:kern w:val="0"/>
                      <w:sz w:val="20"/>
                      <w:szCs w:val="20"/>
                    </w:rPr>
                    <w:t>企业债7Y</w:t>
                  </w:r>
                </w:p>
              </w:tc>
              <w:tc>
                <w:tcPr>
                  <w:tcW w:w="891" w:type="dxa"/>
                  <w:tcBorders>
                    <w:top w:val="nil"/>
                    <w:left w:val="nil"/>
                    <w:bottom w:val="single" w:sz="8" w:space="0" w:color="FFFFFF"/>
                    <w:right w:val="single" w:sz="8" w:space="0" w:color="FFFFFF"/>
                  </w:tcBorders>
                  <w:shd w:val="clear" w:color="000000" w:fill="FDE9D9"/>
                  <w:noWrap/>
                  <w:vAlign w:val="center"/>
                  <w:hideMark/>
                </w:tcPr>
                <w:p w14:paraId="36B3BFF5"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FF0000"/>
                      <w:kern w:val="0"/>
                      <w:szCs w:val="21"/>
                    </w:rPr>
                    <w:t xml:space="preserve">-3.3 </w:t>
                  </w:r>
                </w:p>
              </w:tc>
              <w:tc>
                <w:tcPr>
                  <w:tcW w:w="891" w:type="dxa"/>
                  <w:tcBorders>
                    <w:top w:val="nil"/>
                    <w:left w:val="nil"/>
                    <w:bottom w:val="single" w:sz="8" w:space="0" w:color="FFFFFF"/>
                    <w:right w:val="single" w:sz="8" w:space="0" w:color="FFFFFF"/>
                  </w:tcBorders>
                  <w:shd w:val="clear" w:color="000000" w:fill="FDE9D9"/>
                  <w:noWrap/>
                  <w:vAlign w:val="center"/>
                  <w:hideMark/>
                </w:tcPr>
                <w:p w14:paraId="28D7DB0B"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0.7 </w:t>
                  </w:r>
                </w:p>
              </w:tc>
              <w:tc>
                <w:tcPr>
                  <w:tcW w:w="891" w:type="dxa"/>
                  <w:tcBorders>
                    <w:top w:val="nil"/>
                    <w:left w:val="nil"/>
                    <w:bottom w:val="single" w:sz="8" w:space="0" w:color="FFFFFF"/>
                    <w:right w:val="single" w:sz="8" w:space="0" w:color="FFFFFF"/>
                  </w:tcBorders>
                  <w:shd w:val="clear" w:color="000000" w:fill="FDE9D9"/>
                  <w:noWrap/>
                  <w:vAlign w:val="center"/>
                  <w:hideMark/>
                </w:tcPr>
                <w:p w14:paraId="7BFB01F2"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FF0000"/>
                      <w:kern w:val="0"/>
                      <w:szCs w:val="21"/>
                    </w:rPr>
                    <w:t xml:space="preserve">-2.3 </w:t>
                  </w:r>
                </w:p>
              </w:tc>
              <w:tc>
                <w:tcPr>
                  <w:tcW w:w="891" w:type="dxa"/>
                  <w:tcBorders>
                    <w:top w:val="nil"/>
                    <w:left w:val="nil"/>
                    <w:bottom w:val="single" w:sz="8" w:space="0" w:color="FFFFFF"/>
                    <w:right w:val="single" w:sz="8" w:space="0" w:color="FFFFFF"/>
                  </w:tcBorders>
                  <w:shd w:val="clear" w:color="000000" w:fill="FDE9D9"/>
                  <w:noWrap/>
                  <w:vAlign w:val="center"/>
                  <w:hideMark/>
                </w:tcPr>
                <w:p w14:paraId="67868FA8"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FF0000"/>
                      <w:kern w:val="0"/>
                      <w:szCs w:val="21"/>
                    </w:rPr>
                    <w:t xml:space="preserve">-2.3 </w:t>
                  </w:r>
                </w:p>
              </w:tc>
            </w:tr>
            <w:tr w:rsidR="00F65C05" w:rsidRPr="00F65C05" w14:paraId="7E178F64" w14:textId="77777777" w:rsidTr="00867890">
              <w:trPr>
                <w:trHeight w:val="393"/>
              </w:trPr>
              <w:tc>
                <w:tcPr>
                  <w:tcW w:w="1304" w:type="dxa"/>
                  <w:tcBorders>
                    <w:top w:val="nil"/>
                    <w:left w:val="nil"/>
                    <w:bottom w:val="single" w:sz="8" w:space="0" w:color="FFFFFF"/>
                    <w:right w:val="single" w:sz="8" w:space="0" w:color="FFFFFF"/>
                  </w:tcBorders>
                  <w:shd w:val="clear" w:color="000000" w:fill="FCD5B4"/>
                  <w:noWrap/>
                  <w:vAlign w:val="center"/>
                  <w:hideMark/>
                </w:tcPr>
                <w:p w14:paraId="70CD92A5" w14:textId="77777777" w:rsidR="00F65C05" w:rsidRPr="00F65C05" w:rsidRDefault="00F65C05" w:rsidP="00F65C05">
                  <w:pPr>
                    <w:widowControl/>
                    <w:jc w:val="center"/>
                    <w:rPr>
                      <w:rFonts w:ascii="楷体" w:eastAsia="楷体" w:hAnsi="楷体" w:cs="宋体"/>
                      <w:color w:val="000000"/>
                      <w:kern w:val="0"/>
                      <w:sz w:val="20"/>
                      <w:szCs w:val="20"/>
                    </w:rPr>
                  </w:pPr>
                  <w:proofErr w:type="gramStart"/>
                  <w:r w:rsidRPr="00F65C05">
                    <w:rPr>
                      <w:rFonts w:ascii="楷体" w:eastAsia="楷体" w:hAnsi="楷体" w:cs="宋体" w:hint="eastAsia"/>
                      <w:color w:val="000000"/>
                      <w:kern w:val="0"/>
                      <w:sz w:val="20"/>
                      <w:szCs w:val="20"/>
                    </w:rPr>
                    <w:t>城投债</w:t>
                  </w:r>
                  <w:proofErr w:type="gramEnd"/>
                  <w:r w:rsidRPr="00F65C05">
                    <w:rPr>
                      <w:rFonts w:ascii="楷体" w:eastAsia="楷体" w:hAnsi="楷体" w:cs="宋体" w:hint="eastAsia"/>
                      <w:color w:val="000000"/>
                      <w:kern w:val="0"/>
                      <w:sz w:val="20"/>
                      <w:szCs w:val="20"/>
                    </w:rPr>
                    <w:t>3Y</w:t>
                  </w:r>
                </w:p>
              </w:tc>
              <w:tc>
                <w:tcPr>
                  <w:tcW w:w="892" w:type="dxa"/>
                  <w:tcBorders>
                    <w:top w:val="nil"/>
                    <w:left w:val="nil"/>
                    <w:bottom w:val="single" w:sz="8" w:space="0" w:color="FFFFFF"/>
                    <w:right w:val="single" w:sz="8" w:space="0" w:color="FFFFFF"/>
                  </w:tcBorders>
                  <w:shd w:val="clear" w:color="000000" w:fill="FCD5B4"/>
                  <w:noWrap/>
                  <w:vAlign w:val="center"/>
                  <w:hideMark/>
                </w:tcPr>
                <w:p w14:paraId="197FA5BA"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FF0000"/>
                      <w:kern w:val="0"/>
                      <w:szCs w:val="21"/>
                    </w:rPr>
                    <w:t xml:space="preserve">-6.3 </w:t>
                  </w:r>
                </w:p>
              </w:tc>
              <w:tc>
                <w:tcPr>
                  <w:tcW w:w="892" w:type="dxa"/>
                  <w:tcBorders>
                    <w:top w:val="nil"/>
                    <w:left w:val="nil"/>
                    <w:bottom w:val="single" w:sz="8" w:space="0" w:color="FFFFFF"/>
                    <w:right w:val="single" w:sz="8" w:space="0" w:color="FFFFFF"/>
                  </w:tcBorders>
                  <w:shd w:val="clear" w:color="000000" w:fill="FCD5B4"/>
                  <w:noWrap/>
                  <w:vAlign w:val="center"/>
                  <w:hideMark/>
                </w:tcPr>
                <w:p w14:paraId="510585B2"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FF0000"/>
                      <w:kern w:val="0"/>
                      <w:szCs w:val="21"/>
                    </w:rPr>
                    <w:t xml:space="preserve">-5.3 </w:t>
                  </w:r>
                </w:p>
              </w:tc>
              <w:tc>
                <w:tcPr>
                  <w:tcW w:w="892" w:type="dxa"/>
                  <w:tcBorders>
                    <w:top w:val="nil"/>
                    <w:left w:val="nil"/>
                    <w:bottom w:val="single" w:sz="8" w:space="0" w:color="FFFFFF"/>
                    <w:right w:val="single" w:sz="8" w:space="0" w:color="FFFFFF"/>
                  </w:tcBorders>
                  <w:shd w:val="clear" w:color="000000" w:fill="FCD5B4"/>
                  <w:noWrap/>
                  <w:vAlign w:val="center"/>
                  <w:hideMark/>
                </w:tcPr>
                <w:p w14:paraId="5BE6CF2F"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FF0000"/>
                      <w:kern w:val="0"/>
                      <w:szCs w:val="21"/>
                    </w:rPr>
                    <w:t xml:space="preserve">-2.3 </w:t>
                  </w:r>
                </w:p>
              </w:tc>
              <w:tc>
                <w:tcPr>
                  <w:tcW w:w="891" w:type="dxa"/>
                  <w:tcBorders>
                    <w:top w:val="nil"/>
                    <w:left w:val="nil"/>
                    <w:bottom w:val="single" w:sz="8" w:space="0" w:color="FFFFFF"/>
                    <w:right w:val="single" w:sz="8" w:space="0" w:color="FFFFFF"/>
                  </w:tcBorders>
                  <w:shd w:val="clear" w:color="000000" w:fill="FCD5B4"/>
                  <w:noWrap/>
                  <w:vAlign w:val="center"/>
                  <w:hideMark/>
                </w:tcPr>
                <w:p w14:paraId="40A72FE4"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3.7 </w:t>
                  </w:r>
                </w:p>
              </w:tc>
              <w:tc>
                <w:tcPr>
                  <w:tcW w:w="1117" w:type="dxa"/>
                  <w:tcBorders>
                    <w:top w:val="nil"/>
                    <w:left w:val="nil"/>
                    <w:bottom w:val="single" w:sz="8" w:space="0" w:color="FFFFFF"/>
                    <w:right w:val="single" w:sz="8" w:space="0" w:color="FFFFFF"/>
                  </w:tcBorders>
                  <w:shd w:val="clear" w:color="000000" w:fill="FCD5B4"/>
                  <w:noWrap/>
                  <w:vAlign w:val="center"/>
                  <w:hideMark/>
                </w:tcPr>
                <w:p w14:paraId="68E5144B" w14:textId="77777777" w:rsidR="00F65C05" w:rsidRPr="00F65C05" w:rsidRDefault="00F65C05" w:rsidP="00F65C05">
                  <w:pPr>
                    <w:widowControl/>
                    <w:jc w:val="center"/>
                    <w:rPr>
                      <w:rFonts w:ascii="楷体" w:eastAsia="楷体" w:hAnsi="楷体" w:cs="宋体"/>
                      <w:color w:val="000000"/>
                      <w:kern w:val="0"/>
                      <w:sz w:val="20"/>
                      <w:szCs w:val="20"/>
                    </w:rPr>
                  </w:pPr>
                  <w:proofErr w:type="gramStart"/>
                  <w:r w:rsidRPr="00F65C05">
                    <w:rPr>
                      <w:rFonts w:ascii="楷体" w:eastAsia="楷体" w:hAnsi="楷体" w:cs="宋体" w:hint="eastAsia"/>
                      <w:color w:val="000000"/>
                      <w:kern w:val="0"/>
                      <w:sz w:val="20"/>
                      <w:szCs w:val="20"/>
                    </w:rPr>
                    <w:t>城投债</w:t>
                  </w:r>
                  <w:proofErr w:type="gramEnd"/>
                  <w:r w:rsidRPr="00F65C05">
                    <w:rPr>
                      <w:rFonts w:ascii="楷体" w:eastAsia="楷体" w:hAnsi="楷体" w:cs="宋体" w:hint="eastAsia"/>
                      <w:color w:val="000000"/>
                      <w:kern w:val="0"/>
                      <w:sz w:val="20"/>
                      <w:szCs w:val="20"/>
                    </w:rPr>
                    <w:t>3Y</w:t>
                  </w:r>
                </w:p>
              </w:tc>
              <w:tc>
                <w:tcPr>
                  <w:tcW w:w="891" w:type="dxa"/>
                  <w:tcBorders>
                    <w:top w:val="nil"/>
                    <w:left w:val="nil"/>
                    <w:bottom w:val="single" w:sz="8" w:space="0" w:color="FFFFFF"/>
                    <w:right w:val="single" w:sz="8" w:space="0" w:color="FFFFFF"/>
                  </w:tcBorders>
                  <w:shd w:val="clear" w:color="000000" w:fill="FCD5B4"/>
                  <w:noWrap/>
                  <w:vAlign w:val="center"/>
                  <w:hideMark/>
                </w:tcPr>
                <w:p w14:paraId="3748729D"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FF0000"/>
                      <w:kern w:val="0"/>
                      <w:szCs w:val="21"/>
                    </w:rPr>
                    <w:t xml:space="preserve">-1.4 </w:t>
                  </w:r>
                </w:p>
              </w:tc>
              <w:tc>
                <w:tcPr>
                  <w:tcW w:w="891" w:type="dxa"/>
                  <w:tcBorders>
                    <w:top w:val="nil"/>
                    <w:left w:val="nil"/>
                    <w:bottom w:val="single" w:sz="8" w:space="0" w:color="FFFFFF"/>
                    <w:right w:val="single" w:sz="8" w:space="0" w:color="FFFFFF"/>
                  </w:tcBorders>
                  <w:shd w:val="clear" w:color="000000" w:fill="FCD5B4"/>
                  <w:noWrap/>
                  <w:vAlign w:val="center"/>
                  <w:hideMark/>
                </w:tcPr>
                <w:p w14:paraId="7161C40E"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FF0000"/>
                      <w:kern w:val="0"/>
                      <w:szCs w:val="21"/>
                    </w:rPr>
                    <w:t xml:space="preserve">-0.4 </w:t>
                  </w:r>
                </w:p>
              </w:tc>
              <w:tc>
                <w:tcPr>
                  <w:tcW w:w="891" w:type="dxa"/>
                  <w:tcBorders>
                    <w:top w:val="nil"/>
                    <w:left w:val="nil"/>
                    <w:bottom w:val="single" w:sz="8" w:space="0" w:color="FFFFFF"/>
                    <w:right w:val="single" w:sz="8" w:space="0" w:color="FFFFFF"/>
                  </w:tcBorders>
                  <w:shd w:val="clear" w:color="000000" w:fill="FCD5B4"/>
                  <w:noWrap/>
                  <w:vAlign w:val="center"/>
                  <w:hideMark/>
                </w:tcPr>
                <w:p w14:paraId="4EAB30D1"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2.6 </w:t>
                  </w:r>
                </w:p>
              </w:tc>
              <w:tc>
                <w:tcPr>
                  <w:tcW w:w="891" w:type="dxa"/>
                  <w:tcBorders>
                    <w:top w:val="nil"/>
                    <w:left w:val="nil"/>
                    <w:bottom w:val="single" w:sz="8" w:space="0" w:color="FFFFFF"/>
                    <w:right w:val="single" w:sz="8" w:space="0" w:color="FFFFFF"/>
                  </w:tcBorders>
                  <w:shd w:val="clear" w:color="000000" w:fill="FCD5B4"/>
                  <w:noWrap/>
                  <w:vAlign w:val="center"/>
                  <w:hideMark/>
                </w:tcPr>
                <w:p w14:paraId="187C92C7"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8.6 </w:t>
                  </w:r>
                </w:p>
              </w:tc>
            </w:tr>
            <w:tr w:rsidR="00F65C05" w:rsidRPr="00F65C05" w14:paraId="48199F74" w14:textId="77777777" w:rsidTr="00867890">
              <w:trPr>
                <w:trHeight w:val="393"/>
              </w:trPr>
              <w:tc>
                <w:tcPr>
                  <w:tcW w:w="1304" w:type="dxa"/>
                  <w:tcBorders>
                    <w:top w:val="nil"/>
                    <w:left w:val="nil"/>
                    <w:bottom w:val="single" w:sz="8" w:space="0" w:color="FFFFFF"/>
                    <w:right w:val="single" w:sz="8" w:space="0" w:color="FFFFFF"/>
                  </w:tcBorders>
                  <w:shd w:val="clear" w:color="000000" w:fill="FDE9D9"/>
                  <w:noWrap/>
                  <w:vAlign w:val="center"/>
                  <w:hideMark/>
                </w:tcPr>
                <w:p w14:paraId="68E4EAE2" w14:textId="77777777" w:rsidR="00F65C05" w:rsidRPr="00F65C05" w:rsidRDefault="00F65C05" w:rsidP="00F65C05">
                  <w:pPr>
                    <w:widowControl/>
                    <w:jc w:val="center"/>
                    <w:rPr>
                      <w:rFonts w:ascii="楷体" w:eastAsia="楷体" w:hAnsi="楷体" w:cs="宋体"/>
                      <w:color w:val="000000"/>
                      <w:kern w:val="0"/>
                      <w:sz w:val="20"/>
                      <w:szCs w:val="20"/>
                    </w:rPr>
                  </w:pPr>
                  <w:proofErr w:type="gramStart"/>
                  <w:r w:rsidRPr="00F65C05">
                    <w:rPr>
                      <w:rFonts w:ascii="楷体" w:eastAsia="楷体" w:hAnsi="楷体" w:cs="宋体" w:hint="eastAsia"/>
                      <w:color w:val="000000"/>
                      <w:kern w:val="0"/>
                      <w:sz w:val="20"/>
                      <w:szCs w:val="20"/>
                    </w:rPr>
                    <w:t>城投债</w:t>
                  </w:r>
                  <w:proofErr w:type="gramEnd"/>
                  <w:r w:rsidRPr="00F65C05">
                    <w:rPr>
                      <w:rFonts w:ascii="楷体" w:eastAsia="楷体" w:hAnsi="楷体" w:cs="宋体" w:hint="eastAsia"/>
                      <w:color w:val="000000"/>
                      <w:kern w:val="0"/>
                      <w:sz w:val="20"/>
                      <w:szCs w:val="20"/>
                    </w:rPr>
                    <w:t>5Y</w:t>
                  </w:r>
                </w:p>
              </w:tc>
              <w:tc>
                <w:tcPr>
                  <w:tcW w:w="892" w:type="dxa"/>
                  <w:tcBorders>
                    <w:top w:val="nil"/>
                    <w:left w:val="nil"/>
                    <w:bottom w:val="single" w:sz="8" w:space="0" w:color="FFFFFF"/>
                    <w:right w:val="single" w:sz="8" w:space="0" w:color="FFFFFF"/>
                  </w:tcBorders>
                  <w:shd w:val="clear" w:color="000000" w:fill="FDE9D9"/>
                  <w:noWrap/>
                  <w:vAlign w:val="center"/>
                  <w:hideMark/>
                </w:tcPr>
                <w:p w14:paraId="3113CE2C"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FF0000"/>
                      <w:kern w:val="0"/>
                      <w:szCs w:val="21"/>
                    </w:rPr>
                    <w:t xml:space="preserve">-6.2 </w:t>
                  </w:r>
                </w:p>
              </w:tc>
              <w:tc>
                <w:tcPr>
                  <w:tcW w:w="892" w:type="dxa"/>
                  <w:tcBorders>
                    <w:top w:val="nil"/>
                    <w:left w:val="nil"/>
                    <w:bottom w:val="single" w:sz="8" w:space="0" w:color="FFFFFF"/>
                    <w:right w:val="single" w:sz="8" w:space="0" w:color="FFFFFF"/>
                  </w:tcBorders>
                  <w:shd w:val="clear" w:color="000000" w:fill="FDE9D9"/>
                  <w:noWrap/>
                  <w:vAlign w:val="center"/>
                  <w:hideMark/>
                </w:tcPr>
                <w:p w14:paraId="5FD9414E"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FF0000"/>
                      <w:kern w:val="0"/>
                      <w:szCs w:val="21"/>
                    </w:rPr>
                    <w:t xml:space="preserve">-5.1 </w:t>
                  </w:r>
                </w:p>
              </w:tc>
              <w:tc>
                <w:tcPr>
                  <w:tcW w:w="892" w:type="dxa"/>
                  <w:tcBorders>
                    <w:top w:val="nil"/>
                    <w:left w:val="nil"/>
                    <w:bottom w:val="single" w:sz="8" w:space="0" w:color="FFFFFF"/>
                    <w:right w:val="single" w:sz="8" w:space="0" w:color="FFFFFF"/>
                  </w:tcBorders>
                  <w:shd w:val="clear" w:color="000000" w:fill="FDE9D9"/>
                  <w:noWrap/>
                  <w:vAlign w:val="center"/>
                  <w:hideMark/>
                </w:tcPr>
                <w:p w14:paraId="2CAB2694"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FF0000"/>
                      <w:kern w:val="0"/>
                      <w:szCs w:val="21"/>
                    </w:rPr>
                    <w:t xml:space="preserve">-4.1 </w:t>
                  </w:r>
                </w:p>
              </w:tc>
              <w:tc>
                <w:tcPr>
                  <w:tcW w:w="891" w:type="dxa"/>
                  <w:tcBorders>
                    <w:top w:val="nil"/>
                    <w:left w:val="nil"/>
                    <w:bottom w:val="single" w:sz="8" w:space="0" w:color="FFFFFF"/>
                    <w:right w:val="single" w:sz="8" w:space="0" w:color="FFFFFF"/>
                  </w:tcBorders>
                  <w:shd w:val="clear" w:color="000000" w:fill="FDE9D9"/>
                  <w:noWrap/>
                  <w:vAlign w:val="center"/>
                  <w:hideMark/>
                </w:tcPr>
                <w:p w14:paraId="3CF3BC0E"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FF0000"/>
                      <w:kern w:val="0"/>
                      <w:szCs w:val="21"/>
                    </w:rPr>
                    <w:t xml:space="preserve">-3.2 </w:t>
                  </w:r>
                </w:p>
              </w:tc>
              <w:tc>
                <w:tcPr>
                  <w:tcW w:w="1117" w:type="dxa"/>
                  <w:tcBorders>
                    <w:top w:val="nil"/>
                    <w:left w:val="nil"/>
                    <w:bottom w:val="single" w:sz="8" w:space="0" w:color="FFFFFF"/>
                    <w:right w:val="single" w:sz="8" w:space="0" w:color="FFFFFF"/>
                  </w:tcBorders>
                  <w:shd w:val="clear" w:color="000000" w:fill="FDE9D9"/>
                  <w:noWrap/>
                  <w:vAlign w:val="center"/>
                  <w:hideMark/>
                </w:tcPr>
                <w:p w14:paraId="6D823914" w14:textId="77777777" w:rsidR="00F65C05" w:rsidRPr="00F65C05" w:rsidRDefault="00F65C05" w:rsidP="00F65C05">
                  <w:pPr>
                    <w:widowControl/>
                    <w:jc w:val="center"/>
                    <w:rPr>
                      <w:rFonts w:ascii="楷体" w:eastAsia="楷体" w:hAnsi="楷体" w:cs="宋体"/>
                      <w:color w:val="000000"/>
                      <w:kern w:val="0"/>
                      <w:sz w:val="20"/>
                      <w:szCs w:val="20"/>
                    </w:rPr>
                  </w:pPr>
                  <w:proofErr w:type="gramStart"/>
                  <w:r w:rsidRPr="00F65C05">
                    <w:rPr>
                      <w:rFonts w:ascii="楷体" w:eastAsia="楷体" w:hAnsi="楷体" w:cs="宋体" w:hint="eastAsia"/>
                      <w:color w:val="000000"/>
                      <w:kern w:val="0"/>
                      <w:sz w:val="20"/>
                      <w:szCs w:val="20"/>
                    </w:rPr>
                    <w:t>城投债</w:t>
                  </w:r>
                  <w:proofErr w:type="gramEnd"/>
                  <w:r w:rsidRPr="00F65C05">
                    <w:rPr>
                      <w:rFonts w:ascii="楷体" w:eastAsia="楷体" w:hAnsi="楷体" w:cs="宋体" w:hint="eastAsia"/>
                      <w:color w:val="000000"/>
                      <w:kern w:val="0"/>
                      <w:sz w:val="20"/>
                      <w:szCs w:val="20"/>
                    </w:rPr>
                    <w:t>5Y</w:t>
                  </w:r>
                </w:p>
              </w:tc>
              <w:tc>
                <w:tcPr>
                  <w:tcW w:w="891" w:type="dxa"/>
                  <w:tcBorders>
                    <w:top w:val="nil"/>
                    <w:left w:val="nil"/>
                    <w:bottom w:val="single" w:sz="8" w:space="0" w:color="FFFFFF"/>
                    <w:right w:val="single" w:sz="8" w:space="0" w:color="FFFFFF"/>
                  </w:tcBorders>
                  <w:shd w:val="clear" w:color="000000" w:fill="FDE9D9"/>
                  <w:noWrap/>
                  <w:vAlign w:val="center"/>
                  <w:hideMark/>
                </w:tcPr>
                <w:p w14:paraId="37D4A5DC"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FF0000"/>
                      <w:kern w:val="0"/>
                      <w:szCs w:val="21"/>
                    </w:rPr>
                    <w:t xml:space="preserve">-2.5 </w:t>
                  </w:r>
                </w:p>
              </w:tc>
              <w:tc>
                <w:tcPr>
                  <w:tcW w:w="891" w:type="dxa"/>
                  <w:tcBorders>
                    <w:top w:val="nil"/>
                    <w:left w:val="nil"/>
                    <w:bottom w:val="single" w:sz="8" w:space="0" w:color="FFFFFF"/>
                    <w:right w:val="single" w:sz="8" w:space="0" w:color="FFFFFF"/>
                  </w:tcBorders>
                  <w:shd w:val="clear" w:color="000000" w:fill="FDE9D9"/>
                  <w:noWrap/>
                  <w:vAlign w:val="center"/>
                  <w:hideMark/>
                </w:tcPr>
                <w:p w14:paraId="73EBAA7B"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FF0000"/>
                      <w:kern w:val="0"/>
                      <w:szCs w:val="21"/>
                    </w:rPr>
                    <w:t xml:space="preserve">-1.5 </w:t>
                  </w:r>
                </w:p>
              </w:tc>
              <w:tc>
                <w:tcPr>
                  <w:tcW w:w="891" w:type="dxa"/>
                  <w:tcBorders>
                    <w:top w:val="nil"/>
                    <w:left w:val="nil"/>
                    <w:bottom w:val="single" w:sz="8" w:space="0" w:color="FFFFFF"/>
                    <w:right w:val="single" w:sz="8" w:space="0" w:color="FFFFFF"/>
                  </w:tcBorders>
                  <w:shd w:val="clear" w:color="000000" w:fill="FDE9D9"/>
                  <w:noWrap/>
                  <w:vAlign w:val="center"/>
                  <w:hideMark/>
                </w:tcPr>
                <w:p w14:paraId="32F82E6A"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FF0000"/>
                      <w:kern w:val="0"/>
                      <w:szCs w:val="21"/>
                    </w:rPr>
                    <w:t xml:space="preserve">-0.5 </w:t>
                  </w:r>
                </w:p>
              </w:tc>
              <w:tc>
                <w:tcPr>
                  <w:tcW w:w="891" w:type="dxa"/>
                  <w:tcBorders>
                    <w:top w:val="nil"/>
                    <w:left w:val="nil"/>
                    <w:bottom w:val="single" w:sz="8" w:space="0" w:color="FFFFFF"/>
                    <w:right w:val="single" w:sz="8" w:space="0" w:color="FFFFFF"/>
                  </w:tcBorders>
                  <w:shd w:val="clear" w:color="000000" w:fill="FDE9D9"/>
                  <w:noWrap/>
                  <w:vAlign w:val="center"/>
                  <w:hideMark/>
                </w:tcPr>
                <w:p w14:paraId="76196A8D"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0.5 </w:t>
                  </w:r>
                </w:p>
              </w:tc>
            </w:tr>
            <w:tr w:rsidR="00F65C05" w:rsidRPr="00F65C05" w14:paraId="5C6E352C" w14:textId="77777777" w:rsidTr="00867890">
              <w:trPr>
                <w:trHeight w:val="393"/>
              </w:trPr>
              <w:tc>
                <w:tcPr>
                  <w:tcW w:w="1304" w:type="dxa"/>
                  <w:tcBorders>
                    <w:top w:val="nil"/>
                    <w:left w:val="nil"/>
                    <w:bottom w:val="nil"/>
                    <w:right w:val="nil"/>
                  </w:tcBorders>
                  <w:shd w:val="clear" w:color="000000" w:fill="FCD5B4"/>
                  <w:noWrap/>
                  <w:vAlign w:val="center"/>
                  <w:hideMark/>
                </w:tcPr>
                <w:p w14:paraId="1A070547" w14:textId="77777777" w:rsidR="00F65C05" w:rsidRPr="00F65C05" w:rsidRDefault="00F65C05" w:rsidP="00F65C05">
                  <w:pPr>
                    <w:widowControl/>
                    <w:jc w:val="center"/>
                    <w:rPr>
                      <w:rFonts w:ascii="楷体" w:eastAsia="楷体" w:hAnsi="楷体" w:cs="宋体"/>
                      <w:color w:val="000000"/>
                      <w:kern w:val="0"/>
                      <w:sz w:val="20"/>
                      <w:szCs w:val="20"/>
                    </w:rPr>
                  </w:pPr>
                  <w:proofErr w:type="gramStart"/>
                  <w:r w:rsidRPr="00F65C05">
                    <w:rPr>
                      <w:rFonts w:ascii="楷体" w:eastAsia="楷体" w:hAnsi="楷体" w:cs="宋体" w:hint="eastAsia"/>
                      <w:color w:val="000000"/>
                      <w:kern w:val="0"/>
                      <w:sz w:val="20"/>
                      <w:szCs w:val="20"/>
                    </w:rPr>
                    <w:t>城投债</w:t>
                  </w:r>
                  <w:proofErr w:type="gramEnd"/>
                  <w:r w:rsidRPr="00F65C05">
                    <w:rPr>
                      <w:rFonts w:ascii="楷体" w:eastAsia="楷体" w:hAnsi="楷体" w:cs="宋体" w:hint="eastAsia"/>
                      <w:color w:val="000000"/>
                      <w:kern w:val="0"/>
                      <w:sz w:val="20"/>
                      <w:szCs w:val="20"/>
                    </w:rPr>
                    <w:t>7Y</w:t>
                  </w:r>
                </w:p>
              </w:tc>
              <w:tc>
                <w:tcPr>
                  <w:tcW w:w="892" w:type="dxa"/>
                  <w:tcBorders>
                    <w:top w:val="nil"/>
                    <w:left w:val="nil"/>
                    <w:bottom w:val="single" w:sz="8" w:space="0" w:color="FFFFFF"/>
                    <w:right w:val="single" w:sz="8" w:space="0" w:color="FFFFFF"/>
                  </w:tcBorders>
                  <w:shd w:val="clear" w:color="000000" w:fill="FCD5B4"/>
                  <w:noWrap/>
                  <w:vAlign w:val="center"/>
                  <w:hideMark/>
                </w:tcPr>
                <w:p w14:paraId="1A6229FF"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FF0000"/>
                      <w:kern w:val="0"/>
                      <w:szCs w:val="21"/>
                    </w:rPr>
                    <w:t xml:space="preserve">-4.8 </w:t>
                  </w:r>
                </w:p>
              </w:tc>
              <w:tc>
                <w:tcPr>
                  <w:tcW w:w="892" w:type="dxa"/>
                  <w:tcBorders>
                    <w:top w:val="nil"/>
                    <w:left w:val="nil"/>
                    <w:bottom w:val="single" w:sz="8" w:space="0" w:color="FFFFFF"/>
                    <w:right w:val="single" w:sz="8" w:space="0" w:color="FFFFFF"/>
                  </w:tcBorders>
                  <w:shd w:val="clear" w:color="000000" w:fill="FCD5B4"/>
                  <w:noWrap/>
                  <w:vAlign w:val="center"/>
                  <w:hideMark/>
                </w:tcPr>
                <w:p w14:paraId="42F1CDC4"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FF0000"/>
                      <w:kern w:val="0"/>
                      <w:szCs w:val="21"/>
                    </w:rPr>
                    <w:t xml:space="preserve">-3.8 </w:t>
                  </w:r>
                </w:p>
              </w:tc>
              <w:tc>
                <w:tcPr>
                  <w:tcW w:w="892" w:type="dxa"/>
                  <w:tcBorders>
                    <w:top w:val="nil"/>
                    <w:left w:val="nil"/>
                    <w:bottom w:val="single" w:sz="8" w:space="0" w:color="FFFFFF"/>
                    <w:right w:val="single" w:sz="8" w:space="0" w:color="FFFFFF"/>
                  </w:tcBorders>
                  <w:shd w:val="clear" w:color="000000" w:fill="FCD5B4"/>
                  <w:noWrap/>
                  <w:vAlign w:val="center"/>
                  <w:hideMark/>
                </w:tcPr>
                <w:p w14:paraId="516F9F89"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FF0000"/>
                      <w:kern w:val="0"/>
                      <w:szCs w:val="21"/>
                    </w:rPr>
                    <w:t xml:space="preserve">-2.8 </w:t>
                  </w:r>
                </w:p>
              </w:tc>
              <w:tc>
                <w:tcPr>
                  <w:tcW w:w="891" w:type="dxa"/>
                  <w:tcBorders>
                    <w:top w:val="nil"/>
                    <w:left w:val="nil"/>
                    <w:bottom w:val="single" w:sz="8" w:space="0" w:color="FFFFFF"/>
                    <w:right w:val="single" w:sz="8" w:space="0" w:color="FFFFFF"/>
                  </w:tcBorders>
                  <w:shd w:val="clear" w:color="000000" w:fill="FCD5B4"/>
                  <w:noWrap/>
                  <w:vAlign w:val="center"/>
                  <w:hideMark/>
                </w:tcPr>
                <w:p w14:paraId="4248219D"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0.2 </w:t>
                  </w:r>
                </w:p>
              </w:tc>
              <w:tc>
                <w:tcPr>
                  <w:tcW w:w="1117" w:type="dxa"/>
                  <w:tcBorders>
                    <w:top w:val="nil"/>
                    <w:left w:val="nil"/>
                    <w:bottom w:val="nil"/>
                    <w:right w:val="nil"/>
                  </w:tcBorders>
                  <w:shd w:val="clear" w:color="000000" w:fill="FCD5B4"/>
                  <w:noWrap/>
                  <w:vAlign w:val="center"/>
                  <w:hideMark/>
                </w:tcPr>
                <w:p w14:paraId="643E4B84" w14:textId="77777777" w:rsidR="00F65C05" w:rsidRPr="00F65C05" w:rsidRDefault="00F65C05" w:rsidP="00F65C05">
                  <w:pPr>
                    <w:widowControl/>
                    <w:jc w:val="center"/>
                    <w:rPr>
                      <w:rFonts w:ascii="楷体" w:eastAsia="楷体" w:hAnsi="楷体" w:cs="宋体"/>
                      <w:color w:val="000000"/>
                      <w:kern w:val="0"/>
                      <w:sz w:val="20"/>
                      <w:szCs w:val="20"/>
                    </w:rPr>
                  </w:pPr>
                  <w:proofErr w:type="gramStart"/>
                  <w:r w:rsidRPr="00F65C05">
                    <w:rPr>
                      <w:rFonts w:ascii="楷体" w:eastAsia="楷体" w:hAnsi="楷体" w:cs="宋体" w:hint="eastAsia"/>
                      <w:color w:val="000000"/>
                      <w:kern w:val="0"/>
                      <w:sz w:val="20"/>
                      <w:szCs w:val="20"/>
                    </w:rPr>
                    <w:t>城投债</w:t>
                  </w:r>
                  <w:proofErr w:type="gramEnd"/>
                  <w:r w:rsidRPr="00F65C05">
                    <w:rPr>
                      <w:rFonts w:ascii="楷体" w:eastAsia="楷体" w:hAnsi="楷体" w:cs="宋体" w:hint="eastAsia"/>
                      <w:color w:val="000000"/>
                      <w:kern w:val="0"/>
                      <w:sz w:val="20"/>
                      <w:szCs w:val="20"/>
                    </w:rPr>
                    <w:t>7Y</w:t>
                  </w:r>
                </w:p>
              </w:tc>
              <w:tc>
                <w:tcPr>
                  <w:tcW w:w="891" w:type="dxa"/>
                  <w:tcBorders>
                    <w:top w:val="nil"/>
                    <w:left w:val="nil"/>
                    <w:bottom w:val="single" w:sz="8" w:space="0" w:color="FFFFFF"/>
                    <w:right w:val="single" w:sz="8" w:space="0" w:color="FFFFFF"/>
                  </w:tcBorders>
                  <w:shd w:val="clear" w:color="000000" w:fill="FCD5B4"/>
                  <w:noWrap/>
                  <w:vAlign w:val="center"/>
                  <w:hideMark/>
                </w:tcPr>
                <w:p w14:paraId="44E3EBBB"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0.1 </w:t>
                  </w:r>
                </w:p>
              </w:tc>
              <w:tc>
                <w:tcPr>
                  <w:tcW w:w="891" w:type="dxa"/>
                  <w:tcBorders>
                    <w:top w:val="nil"/>
                    <w:left w:val="nil"/>
                    <w:bottom w:val="single" w:sz="8" w:space="0" w:color="FFFFFF"/>
                    <w:right w:val="single" w:sz="8" w:space="0" w:color="FFFFFF"/>
                  </w:tcBorders>
                  <w:shd w:val="clear" w:color="000000" w:fill="FCD5B4"/>
                  <w:noWrap/>
                  <w:vAlign w:val="center"/>
                  <w:hideMark/>
                </w:tcPr>
                <w:p w14:paraId="76D74A89"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1.1 </w:t>
                  </w:r>
                </w:p>
              </w:tc>
              <w:tc>
                <w:tcPr>
                  <w:tcW w:w="891" w:type="dxa"/>
                  <w:tcBorders>
                    <w:top w:val="nil"/>
                    <w:left w:val="nil"/>
                    <w:bottom w:val="single" w:sz="8" w:space="0" w:color="FFFFFF"/>
                    <w:right w:val="single" w:sz="8" w:space="0" w:color="FFFFFF"/>
                  </w:tcBorders>
                  <w:shd w:val="clear" w:color="000000" w:fill="FCD5B4"/>
                  <w:noWrap/>
                  <w:vAlign w:val="center"/>
                  <w:hideMark/>
                </w:tcPr>
                <w:p w14:paraId="3C534F4C"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2.1 </w:t>
                  </w:r>
                </w:p>
              </w:tc>
              <w:tc>
                <w:tcPr>
                  <w:tcW w:w="891" w:type="dxa"/>
                  <w:tcBorders>
                    <w:top w:val="nil"/>
                    <w:left w:val="nil"/>
                    <w:bottom w:val="single" w:sz="8" w:space="0" w:color="FFFFFF"/>
                    <w:right w:val="single" w:sz="8" w:space="0" w:color="FFFFFF"/>
                  </w:tcBorders>
                  <w:shd w:val="clear" w:color="000000" w:fill="FCD5B4"/>
                  <w:noWrap/>
                  <w:vAlign w:val="center"/>
                  <w:hideMark/>
                </w:tcPr>
                <w:p w14:paraId="6315F53E"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 xml:space="preserve">5.1 </w:t>
                  </w:r>
                </w:p>
              </w:tc>
            </w:tr>
            <w:tr w:rsidR="00F65C05" w:rsidRPr="00F65C05" w14:paraId="1F74F56B" w14:textId="77777777" w:rsidTr="00867890">
              <w:trPr>
                <w:trHeight w:val="393"/>
              </w:trPr>
              <w:tc>
                <w:tcPr>
                  <w:tcW w:w="1304" w:type="dxa"/>
                  <w:tcBorders>
                    <w:top w:val="nil"/>
                    <w:left w:val="nil"/>
                    <w:bottom w:val="single" w:sz="12" w:space="0" w:color="FFFFFF"/>
                    <w:right w:val="single" w:sz="8" w:space="0" w:color="FFFFFF"/>
                  </w:tcBorders>
                  <w:shd w:val="clear" w:color="000000" w:fill="F79646"/>
                  <w:noWrap/>
                  <w:vAlign w:val="center"/>
                  <w:hideMark/>
                </w:tcPr>
                <w:p w14:paraId="2EE41CA5" w14:textId="77777777" w:rsidR="00F65C05" w:rsidRPr="00F65C05" w:rsidRDefault="00F65C05" w:rsidP="00F65C05">
                  <w:pPr>
                    <w:widowControl/>
                    <w:jc w:val="center"/>
                    <w:rPr>
                      <w:rFonts w:ascii="楷体" w:eastAsia="楷体" w:hAnsi="楷体" w:cs="宋体"/>
                      <w:b/>
                      <w:bCs/>
                      <w:color w:val="FFFFFF"/>
                      <w:kern w:val="0"/>
                      <w:sz w:val="20"/>
                      <w:szCs w:val="20"/>
                    </w:rPr>
                  </w:pPr>
                  <w:r w:rsidRPr="00F65C05">
                    <w:rPr>
                      <w:rFonts w:ascii="楷体" w:eastAsia="楷体" w:hAnsi="楷体" w:cs="宋体" w:hint="eastAsia"/>
                      <w:b/>
                      <w:bCs/>
                      <w:color w:val="FFFFFF"/>
                      <w:kern w:val="0"/>
                      <w:sz w:val="20"/>
                      <w:szCs w:val="20"/>
                    </w:rPr>
                    <w:t>收益率分位</w:t>
                  </w:r>
                </w:p>
              </w:tc>
              <w:tc>
                <w:tcPr>
                  <w:tcW w:w="892" w:type="dxa"/>
                  <w:tcBorders>
                    <w:top w:val="nil"/>
                    <w:left w:val="nil"/>
                    <w:bottom w:val="single" w:sz="12" w:space="0" w:color="FFFFFF"/>
                    <w:right w:val="single" w:sz="8" w:space="0" w:color="FFFFFF"/>
                  </w:tcBorders>
                  <w:shd w:val="clear" w:color="000000" w:fill="F79646"/>
                  <w:noWrap/>
                  <w:vAlign w:val="center"/>
                  <w:hideMark/>
                </w:tcPr>
                <w:p w14:paraId="002BC494" w14:textId="77777777" w:rsidR="00F65C05" w:rsidRPr="00F65C05" w:rsidRDefault="00F65C05" w:rsidP="00F65C05">
                  <w:pPr>
                    <w:widowControl/>
                    <w:jc w:val="center"/>
                    <w:rPr>
                      <w:rFonts w:ascii="楷体" w:eastAsia="楷体" w:hAnsi="楷体" w:cs="宋体"/>
                      <w:b/>
                      <w:bCs/>
                      <w:color w:val="FFFFFF"/>
                      <w:kern w:val="0"/>
                      <w:sz w:val="20"/>
                      <w:szCs w:val="20"/>
                    </w:rPr>
                  </w:pPr>
                  <w:r w:rsidRPr="00F65C05">
                    <w:rPr>
                      <w:rFonts w:ascii="楷体" w:eastAsia="楷体" w:hAnsi="楷体" w:cs="宋体" w:hint="eastAsia"/>
                      <w:b/>
                      <w:bCs/>
                      <w:color w:val="FFFFFF"/>
                      <w:kern w:val="0"/>
                      <w:sz w:val="20"/>
                      <w:szCs w:val="20"/>
                    </w:rPr>
                    <w:t>AAA</w:t>
                  </w:r>
                </w:p>
              </w:tc>
              <w:tc>
                <w:tcPr>
                  <w:tcW w:w="892" w:type="dxa"/>
                  <w:tcBorders>
                    <w:top w:val="nil"/>
                    <w:left w:val="nil"/>
                    <w:bottom w:val="single" w:sz="12" w:space="0" w:color="FFFFFF"/>
                    <w:right w:val="single" w:sz="8" w:space="0" w:color="FFFFFF"/>
                  </w:tcBorders>
                  <w:shd w:val="clear" w:color="000000" w:fill="F79646"/>
                  <w:noWrap/>
                  <w:vAlign w:val="center"/>
                  <w:hideMark/>
                </w:tcPr>
                <w:p w14:paraId="2A21250E" w14:textId="77777777" w:rsidR="00F65C05" w:rsidRPr="00F65C05" w:rsidRDefault="00F65C05" w:rsidP="00F65C05">
                  <w:pPr>
                    <w:widowControl/>
                    <w:jc w:val="center"/>
                    <w:rPr>
                      <w:rFonts w:ascii="楷体" w:eastAsia="楷体" w:hAnsi="楷体" w:cs="宋体"/>
                      <w:b/>
                      <w:bCs/>
                      <w:color w:val="FFFFFF"/>
                      <w:kern w:val="0"/>
                      <w:sz w:val="20"/>
                      <w:szCs w:val="20"/>
                    </w:rPr>
                  </w:pPr>
                  <w:r w:rsidRPr="00F65C05">
                    <w:rPr>
                      <w:rFonts w:ascii="楷体" w:eastAsia="楷体" w:hAnsi="楷体" w:cs="宋体" w:hint="eastAsia"/>
                      <w:b/>
                      <w:bCs/>
                      <w:color w:val="FFFFFF"/>
                      <w:kern w:val="0"/>
                      <w:sz w:val="20"/>
                      <w:szCs w:val="20"/>
                    </w:rPr>
                    <w:t>AA+</w:t>
                  </w:r>
                </w:p>
              </w:tc>
              <w:tc>
                <w:tcPr>
                  <w:tcW w:w="892" w:type="dxa"/>
                  <w:tcBorders>
                    <w:top w:val="nil"/>
                    <w:left w:val="nil"/>
                    <w:bottom w:val="single" w:sz="12" w:space="0" w:color="FFFFFF"/>
                    <w:right w:val="single" w:sz="8" w:space="0" w:color="FFFFFF"/>
                  </w:tcBorders>
                  <w:shd w:val="clear" w:color="000000" w:fill="F79646"/>
                  <w:noWrap/>
                  <w:vAlign w:val="center"/>
                  <w:hideMark/>
                </w:tcPr>
                <w:p w14:paraId="549741E8" w14:textId="77777777" w:rsidR="00F65C05" w:rsidRPr="00F65C05" w:rsidRDefault="00F65C05" w:rsidP="00F65C05">
                  <w:pPr>
                    <w:widowControl/>
                    <w:jc w:val="center"/>
                    <w:rPr>
                      <w:rFonts w:ascii="楷体" w:eastAsia="楷体" w:hAnsi="楷体" w:cs="宋体"/>
                      <w:b/>
                      <w:bCs/>
                      <w:color w:val="FFFFFF"/>
                      <w:kern w:val="0"/>
                      <w:sz w:val="20"/>
                      <w:szCs w:val="20"/>
                    </w:rPr>
                  </w:pPr>
                  <w:r w:rsidRPr="00F65C05">
                    <w:rPr>
                      <w:rFonts w:ascii="楷体" w:eastAsia="楷体" w:hAnsi="楷体" w:cs="宋体" w:hint="eastAsia"/>
                      <w:b/>
                      <w:bCs/>
                      <w:color w:val="FFFFFF"/>
                      <w:kern w:val="0"/>
                      <w:sz w:val="20"/>
                      <w:szCs w:val="20"/>
                    </w:rPr>
                    <w:t>AA</w:t>
                  </w:r>
                </w:p>
              </w:tc>
              <w:tc>
                <w:tcPr>
                  <w:tcW w:w="891" w:type="dxa"/>
                  <w:tcBorders>
                    <w:top w:val="nil"/>
                    <w:left w:val="nil"/>
                    <w:bottom w:val="single" w:sz="12" w:space="0" w:color="FFFFFF"/>
                    <w:right w:val="single" w:sz="8" w:space="0" w:color="FFFFFF"/>
                  </w:tcBorders>
                  <w:shd w:val="clear" w:color="000000" w:fill="F79646"/>
                  <w:noWrap/>
                  <w:vAlign w:val="center"/>
                  <w:hideMark/>
                </w:tcPr>
                <w:p w14:paraId="49C855DF" w14:textId="77777777" w:rsidR="00F65C05" w:rsidRPr="00F65C05" w:rsidRDefault="00F65C05" w:rsidP="00F65C05">
                  <w:pPr>
                    <w:widowControl/>
                    <w:jc w:val="center"/>
                    <w:rPr>
                      <w:rFonts w:ascii="楷体" w:eastAsia="楷体" w:hAnsi="楷体" w:cs="宋体"/>
                      <w:b/>
                      <w:bCs/>
                      <w:color w:val="FFFFFF"/>
                      <w:kern w:val="0"/>
                      <w:sz w:val="20"/>
                      <w:szCs w:val="20"/>
                    </w:rPr>
                  </w:pPr>
                  <w:r w:rsidRPr="00F65C05">
                    <w:rPr>
                      <w:rFonts w:ascii="楷体" w:eastAsia="楷体" w:hAnsi="楷体" w:cs="宋体" w:hint="eastAsia"/>
                      <w:b/>
                      <w:bCs/>
                      <w:color w:val="FFFFFF"/>
                      <w:kern w:val="0"/>
                      <w:sz w:val="20"/>
                      <w:szCs w:val="20"/>
                    </w:rPr>
                    <w:t>AA-</w:t>
                  </w:r>
                </w:p>
              </w:tc>
              <w:tc>
                <w:tcPr>
                  <w:tcW w:w="1117" w:type="dxa"/>
                  <w:tcBorders>
                    <w:top w:val="nil"/>
                    <w:left w:val="nil"/>
                    <w:bottom w:val="single" w:sz="12" w:space="0" w:color="FFFFFF"/>
                    <w:right w:val="single" w:sz="8" w:space="0" w:color="FFFFFF"/>
                  </w:tcBorders>
                  <w:shd w:val="clear" w:color="000000" w:fill="F79646"/>
                  <w:noWrap/>
                  <w:vAlign w:val="center"/>
                  <w:hideMark/>
                </w:tcPr>
                <w:p w14:paraId="259317C4" w14:textId="77777777" w:rsidR="00F65C05" w:rsidRPr="00F65C05" w:rsidRDefault="00F65C05" w:rsidP="00F65C05">
                  <w:pPr>
                    <w:widowControl/>
                    <w:jc w:val="center"/>
                    <w:rPr>
                      <w:rFonts w:ascii="楷体" w:eastAsia="楷体" w:hAnsi="楷体" w:cs="宋体"/>
                      <w:b/>
                      <w:bCs/>
                      <w:color w:val="FFFFFF"/>
                      <w:kern w:val="0"/>
                      <w:sz w:val="20"/>
                      <w:szCs w:val="20"/>
                    </w:rPr>
                  </w:pPr>
                  <w:r w:rsidRPr="00F65C05">
                    <w:rPr>
                      <w:rFonts w:ascii="楷体" w:eastAsia="楷体" w:hAnsi="楷体" w:cs="宋体" w:hint="eastAsia"/>
                      <w:b/>
                      <w:bCs/>
                      <w:color w:val="FFFFFF"/>
                      <w:kern w:val="0"/>
                      <w:sz w:val="20"/>
                      <w:szCs w:val="20"/>
                    </w:rPr>
                    <w:t>息差</w:t>
                  </w:r>
                </w:p>
              </w:tc>
              <w:tc>
                <w:tcPr>
                  <w:tcW w:w="891" w:type="dxa"/>
                  <w:tcBorders>
                    <w:top w:val="nil"/>
                    <w:left w:val="nil"/>
                    <w:bottom w:val="single" w:sz="12" w:space="0" w:color="FFFFFF"/>
                    <w:right w:val="single" w:sz="8" w:space="0" w:color="FFFFFF"/>
                  </w:tcBorders>
                  <w:shd w:val="clear" w:color="000000" w:fill="F79646"/>
                  <w:noWrap/>
                  <w:vAlign w:val="center"/>
                  <w:hideMark/>
                </w:tcPr>
                <w:p w14:paraId="1703862F" w14:textId="77777777" w:rsidR="00F65C05" w:rsidRPr="00F65C05" w:rsidRDefault="00F65C05" w:rsidP="00F65C05">
                  <w:pPr>
                    <w:widowControl/>
                    <w:jc w:val="center"/>
                    <w:rPr>
                      <w:rFonts w:ascii="楷体" w:eastAsia="楷体" w:hAnsi="楷体" w:cs="宋体"/>
                      <w:b/>
                      <w:bCs/>
                      <w:color w:val="FFFFFF"/>
                      <w:kern w:val="0"/>
                      <w:sz w:val="20"/>
                      <w:szCs w:val="20"/>
                    </w:rPr>
                  </w:pPr>
                  <w:r w:rsidRPr="00F65C05">
                    <w:rPr>
                      <w:rFonts w:ascii="楷体" w:eastAsia="楷体" w:hAnsi="楷体" w:cs="宋体" w:hint="eastAsia"/>
                      <w:b/>
                      <w:bCs/>
                      <w:color w:val="FFFFFF"/>
                      <w:kern w:val="0"/>
                      <w:sz w:val="20"/>
                      <w:szCs w:val="20"/>
                    </w:rPr>
                    <w:t>AAA</w:t>
                  </w:r>
                </w:p>
              </w:tc>
              <w:tc>
                <w:tcPr>
                  <w:tcW w:w="891" w:type="dxa"/>
                  <w:tcBorders>
                    <w:top w:val="nil"/>
                    <w:left w:val="nil"/>
                    <w:bottom w:val="single" w:sz="12" w:space="0" w:color="FFFFFF"/>
                    <w:right w:val="single" w:sz="8" w:space="0" w:color="FFFFFF"/>
                  </w:tcBorders>
                  <w:shd w:val="clear" w:color="000000" w:fill="F79646"/>
                  <w:noWrap/>
                  <w:vAlign w:val="center"/>
                  <w:hideMark/>
                </w:tcPr>
                <w:p w14:paraId="7D3F7397" w14:textId="77777777" w:rsidR="00F65C05" w:rsidRPr="00F65C05" w:rsidRDefault="00F65C05" w:rsidP="00F65C05">
                  <w:pPr>
                    <w:widowControl/>
                    <w:jc w:val="center"/>
                    <w:rPr>
                      <w:rFonts w:ascii="楷体" w:eastAsia="楷体" w:hAnsi="楷体" w:cs="宋体"/>
                      <w:b/>
                      <w:bCs/>
                      <w:color w:val="FFFFFF"/>
                      <w:kern w:val="0"/>
                      <w:sz w:val="20"/>
                      <w:szCs w:val="20"/>
                    </w:rPr>
                  </w:pPr>
                  <w:r w:rsidRPr="00F65C05">
                    <w:rPr>
                      <w:rFonts w:ascii="楷体" w:eastAsia="楷体" w:hAnsi="楷体" w:cs="宋体" w:hint="eastAsia"/>
                      <w:b/>
                      <w:bCs/>
                      <w:color w:val="FFFFFF"/>
                      <w:kern w:val="0"/>
                      <w:sz w:val="20"/>
                      <w:szCs w:val="20"/>
                    </w:rPr>
                    <w:t>AA+</w:t>
                  </w:r>
                </w:p>
              </w:tc>
              <w:tc>
                <w:tcPr>
                  <w:tcW w:w="891" w:type="dxa"/>
                  <w:tcBorders>
                    <w:top w:val="nil"/>
                    <w:left w:val="nil"/>
                    <w:bottom w:val="single" w:sz="12" w:space="0" w:color="FFFFFF"/>
                    <w:right w:val="single" w:sz="8" w:space="0" w:color="FFFFFF"/>
                  </w:tcBorders>
                  <w:shd w:val="clear" w:color="000000" w:fill="F79646"/>
                  <w:noWrap/>
                  <w:vAlign w:val="center"/>
                  <w:hideMark/>
                </w:tcPr>
                <w:p w14:paraId="064262BE" w14:textId="77777777" w:rsidR="00F65C05" w:rsidRPr="00F65C05" w:rsidRDefault="00F65C05" w:rsidP="00F65C05">
                  <w:pPr>
                    <w:widowControl/>
                    <w:jc w:val="center"/>
                    <w:rPr>
                      <w:rFonts w:ascii="楷体" w:eastAsia="楷体" w:hAnsi="楷体" w:cs="宋体"/>
                      <w:b/>
                      <w:bCs/>
                      <w:color w:val="FFFFFF"/>
                      <w:kern w:val="0"/>
                      <w:sz w:val="20"/>
                      <w:szCs w:val="20"/>
                    </w:rPr>
                  </w:pPr>
                  <w:r w:rsidRPr="00F65C05">
                    <w:rPr>
                      <w:rFonts w:ascii="楷体" w:eastAsia="楷体" w:hAnsi="楷体" w:cs="宋体" w:hint="eastAsia"/>
                      <w:b/>
                      <w:bCs/>
                      <w:color w:val="FFFFFF"/>
                      <w:kern w:val="0"/>
                      <w:sz w:val="20"/>
                      <w:szCs w:val="20"/>
                    </w:rPr>
                    <w:t>AA</w:t>
                  </w:r>
                </w:p>
              </w:tc>
              <w:tc>
                <w:tcPr>
                  <w:tcW w:w="891" w:type="dxa"/>
                  <w:tcBorders>
                    <w:top w:val="nil"/>
                    <w:left w:val="nil"/>
                    <w:bottom w:val="single" w:sz="12" w:space="0" w:color="FFFFFF"/>
                    <w:right w:val="single" w:sz="8" w:space="0" w:color="FFFFFF"/>
                  </w:tcBorders>
                  <w:shd w:val="clear" w:color="000000" w:fill="F79646"/>
                  <w:noWrap/>
                  <w:vAlign w:val="center"/>
                  <w:hideMark/>
                </w:tcPr>
                <w:p w14:paraId="3BD2C24E" w14:textId="77777777" w:rsidR="00F65C05" w:rsidRPr="00F65C05" w:rsidRDefault="00F65C05" w:rsidP="00F65C05">
                  <w:pPr>
                    <w:widowControl/>
                    <w:jc w:val="center"/>
                    <w:rPr>
                      <w:rFonts w:ascii="楷体" w:eastAsia="楷体" w:hAnsi="楷体" w:cs="宋体"/>
                      <w:b/>
                      <w:bCs/>
                      <w:color w:val="FFFFFF"/>
                      <w:kern w:val="0"/>
                      <w:sz w:val="20"/>
                      <w:szCs w:val="20"/>
                    </w:rPr>
                  </w:pPr>
                  <w:r w:rsidRPr="00F65C05">
                    <w:rPr>
                      <w:rFonts w:ascii="楷体" w:eastAsia="楷体" w:hAnsi="楷体" w:cs="宋体" w:hint="eastAsia"/>
                      <w:b/>
                      <w:bCs/>
                      <w:color w:val="FFFFFF"/>
                      <w:kern w:val="0"/>
                      <w:sz w:val="20"/>
                      <w:szCs w:val="20"/>
                    </w:rPr>
                    <w:t>AA-</w:t>
                  </w:r>
                </w:p>
              </w:tc>
            </w:tr>
            <w:tr w:rsidR="00F65C05" w:rsidRPr="00F65C05" w14:paraId="493A215A" w14:textId="77777777" w:rsidTr="00867890">
              <w:trPr>
                <w:trHeight w:val="414"/>
              </w:trPr>
              <w:tc>
                <w:tcPr>
                  <w:tcW w:w="1304" w:type="dxa"/>
                  <w:tcBorders>
                    <w:top w:val="nil"/>
                    <w:left w:val="nil"/>
                    <w:bottom w:val="single" w:sz="8" w:space="0" w:color="FFFFFF"/>
                    <w:right w:val="single" w:sz="8" w:space="0" w:color="FFFFFF"/>
                  </w:tcBorders>
                  <w:shd w:val="clear" w:color="000000" w:fill="FCD5B4"/>
                  <w:noWrap/>
                  <w:vAlign w:val="center"/>
                  <w:hideMark/>
                </w:tcPr>
                <w:p w14:paraId="64F7BD7F" w14:textId="77777777" w:rsidR="00F65C05" w:rsidRPr="00F65C05" w:rsidRDefault="00F65C05" w:rsidP="00F65C05">
                  <w:pPr>
                    <w:widowControl/>
                    <w:jc w:val="center"/>
                    <w:rPr>
                      <w:rFonts w:ascii="楷体" w:eastAsia="楷体" w:hAnsi="楷体" w:cs="宋体"/>
                      <w:color w:val="000000"/>
                      <w:kern w:val="0"/>
                      <w:sz w:val="20"/>
                      <w:szCs w:val="20"/>
                    </w:rPr>
                  </w:pPr>
                  <w:r w:rsidRPr="00F65C05">
                    <w:rPr>
                      <w:rFonts w:ascii="楷体" w:eastAsia="楷体" w:hAnsi="楷体" w:cs="宋体" w:hint="eastAsia"/>
                      <w:color w:val="000000"/>
                      <w:kern w:val="0"/>
                      <w:sz w:val="20"/>
                      <w:szCs w:val="20"/>
                    </w:rPr>
                    <w:t>CP</w:t>
                  </w:r>
                </w:p>
              </w:tc>
              <w:tc>
                <w:tcPr>
                  <w:tcW w:w="892" w:type="dxa"/>
                  <w:tcBorders>
                    <w:top w:val="nil"/>
                    <w:left w:val="nil"/>
                    <w:bottom w:val="single" w:sz="8" w:space="0" w:color="FFFFFF"/>
                    <w:right w:val="single" w:sz="8" w:space="0" w:color="FFFFFF"/>
                  </w:tcBorders>
                  <w:shd w:val="clear" w:color="000000" w:fill="FCD5B4"/>
                  <w:noWrap/>
                  <w:vAlign w:val="center"/>
                  <w:hideMark/>
                </w:tcPr>
                <w:p w14:paraId="0F2D90C0"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45%</w:t>
                  </w:r>
                </w:p>
              </w:tc>
              <w:tc>
                <w:tcPr>
                  <w:tcW w:w="892" w:type="dxa"/>
                  <w:tcBorders>
                    <w:top w:val="nil"/>
                    <w:left w:val="nil"/>
                    <w:bottom w:val="single" w:sz="8" w:space="0" w:color="FFFFFF"/>
                    <w:right w:val="single" w:sz="8" w:space="0" w:color="FFFFFF"/>
                  </w:tcBorders>
                  <w:shd w:val="clear" w:color="000000" w:fill="FCD5B4"/>
                  <w:noWrap/>
                  <w:vAlign w:val="center"/>
                  <w:hideMark/>
                </w:tcPr>
                <w:p w14:paraId="6216C088"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44%</w:t>
                  </w:r>
                </w:p>
              </w:tc>
              <w:tc>
                <w:tcPr>
                  <w:tcW w:w="892" w:type="dxa"/>
                  <w:tcBorders>
                    <w:top w:val="nil"/>
                    <w:left w:val="nil"/>
                    <w:bottom w:val="single" w:sz="8" w:space="0" w:color="FFFFFF"/>
                    <w:right w:val="single" w:sz="8" w:space="0" w:color="FFFFFF"/>
                  </w:tcBorders>
                  <w:shd w:val="clear" w:color="000000" w:fill="FCD5B4"/>
                  <w:noWrap/>
                  <w:vAlign w:val="center"/>
                  <w:hideMark/>
                </w:tcPr>
                <w:p w14:paraId="1DE516BF"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43%</w:t>
                  </w:r>
                </w:p>
              </w:tc>
              <w:tc>
                <w:tcPr>
                  <w:tcW w:w="891" w:type="dxa"/>
                  <w:tcBorders>
                    <w:top w:val="nil"/>
                    <w:left w:val="nil"/>
                    <w:bottom w:val="single" w:sz="8" w:space="0" w:color="FFFFFF"/>
                    <w:right w:val="single" w:sz="8" w:space="0" w:color="FFFFFF"/>
                  </w:tcBorders>
                  <w:shd w:val="clear" w:color="000000" w:fill="FCD5B4"/>
                  <w:noWrap/>
                  <w:vAlign w:val="center"/>
                  <w:hideMark/>
                </w:tcPr>
                <w:p w14:paraId="78A66218"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72%</w:t>
                  </w:r>
                </w:p>
              </w:tc>
              <w:tc>
                <w:tcPr>
                  <w:tcW w:w="1117" w:type="dxa"/>
                  <w:tcBorders>
                    <w:top w:val="nil"/>
                    <w:left w:val="nil"/>
                    <w:bottom w:val="single" w:sz="8" w:space="0" w:color="FFFFFF"/>
                    <w:right w:val="single" w:sz="8" w:space="0" w:color="FFFFFF"/>
                  </w:tcBorders>
                  <w:shd w:val="clear" w:color="000000" w:fill="FCD5B4"/>
                  <w:noWrap/>
                  <w:vAlign w:val="center"/>
                  <w:hideMark/>
                </w:tcPr>
                <w:p w14:paraId="220E2237" w14:textId="77777777" w:rsidR="00F65C05" w:rsidRPr="00F65C05" w:rsidRDefault="00F65C05" w:rsidP="00F65C05">
                  <w:pPr>
                    <w:widowControl/>
                    <w:jc w:val="center"/>
                    <w:rPr>
                      <w:rFonts w:ascii="楷体" w:eastAsia="楷体" w:hAnsi="楷体" w:cs="宋体"/>
                      <w:color w:val="000000"/>
                      <w:kern w:val="0"/>
                      <w:sz w:val="20"/>
                      <w:szCs w:val="20"/>
                    </w:rPr>
                  </w:pPr>
                  <w:r w:rsidRPr="00F65C05">
                    <w:rPr>
                      <w:rFonts w:ascii="楷体" w:eastAsia="楷体" w:hAnsi="楷体" w:cs="宋体" w:hint="eastAsia"/>
                      <w:color w:val="000000"/>
                      <w:kern w:val="0"/>
                      <w:sz w:val="20"/>
                      <w:szCs w:val="20"/>
                    </w:rPr>
                    <w:t>CP</w:t>
                  </w:r>
                </w:p>
              </w:tc>
              <w:tc>
                <w:tcPr>
                  <w:tcW w:w="891" w:type="dxa"/>
                  <w:tcBorders>
                    <w:top w:val="nil"/>
                    <w:left w:val="nil"/>
                    <w:bottom w:val="single" w:sz="8" w:space="0" w:color="FFFFFF"/>
                    <w:right w:val="single" w:sz="8" w:space="0" w:color="FFFFFF"/>
                  </w:tcBorders>
                  <w:shd w:val="clear" w:color="000000" w:fill="FCD5B4"/>
                  <w:noWrap/>
                  <w:vAlign w:val="center"/>
                  <w:hideMark/>
                </w:tcPr>
                <w:p w14:paraId="13435640"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10%</w:t>
                  </w:r>
                </w:p>
              </w:tc>
              <w:tc>
                <w:tcPr>
                  <w:tcW w:w="891" w:type="dxa"/>
                  <w:tcBorders>
                    <w:top w:val="nil"/>
                    <w:left w:val="nil"/>
                    <w:bottom w:val="single" w:sz="8" w:space="0" w:color="FFFFFF"/>
                    <w:right w:val="single" w:sz="8" w:space="0" w:color="FFFFFF"/>
                  </w:tcBorders>
                  <w:shd w:val="clear" w:color="000000" w:fill="FCD5B4"/>
                  <w:noWrap/>
                  <w:vAlign w:val="center"/>
                  <w:hideMark/>
                </w:tcPr>
                <w:p w14:paraId="1950868E"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17%</w:t>
                  </w:r>
                </w:p>
              </w:tc>
              <w:tc>
                <w:tcPr>
                  <w:tcW w:w="891" w:type="dxa"/>
                  <w:tcBorders>
                    <w:top w:val="nil"/>
                    <w:left w:val="nil"/>
                    <w:bottom w:val="single" w:sz="8" w:space="0" w:color="FFFFFF"/>
                    <w:right w:val="single" w:sz="8" w:space="0" w:color="FFFFFF"/>
                  </w:tcBorders>
                  <w:shd w:val="clear" w:color="000000" w:fill="FCD5B4"/>
                  <w:noWrap/>
                  <w:vAlign w:val="center"/>
                  <w:hideMark/>
                </w:tcPr>
                <w:p w14:paraId="4146BCFE"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20%</w:t>
                  </w:r>
                </w:p>
              </w:tc>
              <w:tc>
                <w:tcPr>
                  <w:tcW w:w="891" w:type="dxa"/>
                  <w:tcBorders>
                    <w:top w:val="nil"/>
                    <w:left w:val="nil"/>
                    <w:bottom w:val="single" w:sz="8" w:space="0" w:color="FFFFFF"/>
                    <w:right w:val="single" w:sz="8" w:space="0" w:color="FFFFFF"/>
                  </w:tcBorders>
                  <w:shd w:val="clear" w:color="000000" w:fill="FCD5B4"/>
                  <w:noWrap/>
                  <w:vAlign w:val="center"/>
                  <w:hideMark/>
                </w:tcPr>
                <w:p w14:paraId="51CD3A15"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74%</w:t>
                  </w:r>
                </w:p>
              </w:tc>
            </w:tr>
            <w:tr w:rsidR="00F65C05" w:rsidRPr="00F65C05" w14:paraId="30CC9EC5" w14:textId="77777777" w:rsidTr="00867890">
              <w:trPr>
                <w:trHeight w:val="393"/>
              </w:trPr>
              <w:tc>
                <w:tcPr>
                  <w:tcW w:w="1304" w:type="dxa"/>
                  <w:tcBorders>
                    <w:top w:val="nil"/>
                    <w:left w:val="nil"/>
                    <w:bottom w:val="single" w:sz="8" w:space="0" w:color="FFFFFF"/>
                    <w:right w:val="single" w:sz="8" w:space="0" w:color="FFFFFF"/>
                  </w:tcBorders>
                  <w:shd w:val="clear" w:color="000000" w:fill="FDE9D9"/>
                  <w:noWrap/>
                  <w:vAlign w:val="center"/>
                  <w:hideMark/>
                </w:tcPr>
                <w:p w14:paraId="561E5ED9" w14:textId="77777777" w:rsidR="00F65C05" w:rsidRPr="00F65C05" w:rsidRDefault="00F65C05" w:rsidP="00F65C05">
                  <w:pPr>
                    <w:widowControl/>
                    <w:jc w:val="center"/>
                    <w:rPr>
                      <w:rFonts w:ascii="楷体" w:eastAsia="楷体" w:hAnsi="楷体" w:cs="宋体"/>
                      <w:color w:val="000000"/>
                      <w:kern w:val="0"/>
                      <w:sz w:val="20"/>
                      <w:szCs w:val="20"/>
                    </w:rPr>
                  </w:pPr>
                  <w:r w:rsidRPr="00F65C05">
                    <w:rPr>
                      <w:rFonts w:ascii="楷体" w:eastAsia="楷体" w:hAnsi="楷体" w:cs="宋体" w:hint="eastAsia"/>
                      <w:color w:val="000000"/>
                      <w:kern w:val="0"/>
                      <w:sz w:val="20"/>
                      <w:szCs w:val="20"/>
                    </w:rPr>
                    <w:t>MTN3Y</w:t>
                  </w:r>
                </w:p>
              </w:tc>
              <w:tc>
                <w:tcPr>
                  <w:tcW w:w="892" w:type="dxa"/>
                  <w:tcBorders>
                    <w:top w:val="nil"/>
                    <w:left w:val="nil"/>
                    <w:bottom w:val="single" w:sz="8" w:space="0" w:color="FFFFFF"/>
                    <w:right w:val="single" w:sz="8" w:space="0" w:color="FFFFFF"/>
                  </w:tcBorders>
                  <w:shd w:val="clear" w:color="000000" w:fill="FDE9D9"/>
                  <w:noWrap/>
                  <w:vAlign w:val="center"/>
                  <w:hideMark/>
                </w:tcPr>
                <w:p w14:paraId="66298CE9"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38%</w:t>
                  </w:r>
                </w:p>
              </w:tc>
              <w:tc>
                <w:tcPr>
                  <w:tcW w:w="892" w:type="dxa"/>
                  <w:tcBorders>
                    <w:top w:val="nil"/>
                    <w:left w:val="nil"/>
                    <w:bottom w:val="single" w:sz="8" w:space="0" w:color="FFFFFF"/>
                    <w:right w:val="single" w:sz="8" w:space="0" w:color="FFFFFF"/>
                  </w:tcBorders>
                  <w:shd w:val="clear" w:color="000000" w:fill="FDE9D9"/>
                  <w:noWrap/>
                  <w:vAlign w:val="center"/>
                  <w:hideMark/>
                </w:tcPr>
                <w:p w14:paraId="630FBDEE"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39%</w:t>
                  </w:r>
                </w:p>
              </w:tc>
              <w:tc>
                <w:tcPr>
                  <w:tcW w:w="892" w:type="dxa"/>
                  <w:tcBorders>
                    <w:top w:val="nil"/>
                    <w:left w:val="nil"/>
                    <w:bottom w:val="single" w:sz="8" w:space="0" w:color="FFFFFF"/>
                    <w:right w:val="single" w:sz="8" w:space="0" w:color="FFFFFF"/>
                  </w:tcBorders>
                  <w:shd w:val="clear" w:color="000000" w:fill="FDE9D9"/>
                  <w:noWrap/>
                  <w:vAlign w:val="center"/>
                  <w:hideMark/>
                </w:tcPr>
                <w:p w14:paraId="6DF633E4"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37%</w:t>
                  </w:r>
                </w:p>
              </w:tc>
              <w:tc>
                <w:tcPr>
                  <w:tcW w:w="891" w:type="dxa"/>
                  <w:tcBorders>
                    <w:top w:val="nil"/>
                    <w:left w:val="nil"/>
                    <w:bottom w:val="single" w:sz="8" w:space="0" w:color="FFFFFF"/>
                    <w:right w:val="single" w:sz="8" w:space="0" w:color="FFFFFF"/>
                  </w:tcBorders>
                  <w:shd w:val="clear" w:color="000000" w:fill="FDE9D9"/>
                  <w:noWrap/>
                  <w:vAlign w:val="center"/>
                  <w:hideMark/>
                </w:tcPr>
                <w:p w14:paraId="1931A944"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70%</w:t>
                  </w:r>
                </w:p>
              </w:tc>
              <w:tc>
                <w:tcPr>
                  <w:tcW w:w="1117" w:type="dxa"/>
                  <w:tcBorders>
                    <w:top w:val="nil"/>
                    <w:left w:val="nil"/>
                    <w:bottom w:val="single" w:sz="8" w:space="0" w:color="FFFFFF"/>
                    <w:right w:val="single" w:sz="8" w:space="0" w:color="FFFFFF"/>
                  </w:tcBorders>
                  <w:shd w:val="clear" w:color="000000" w:fill="FDE9D9"/>
                  <w:noWrap/>
                  <w:vAlign w:val="center"/>
                  <w:hideMark/>
                </w:tcPr>
                <w:p w14:paraId="21375DDC" w14:textId="77777777" w:rsidR="00F65C05" w:rsidRPr="00F65C05" w:rsidRDefault="00F65C05" w:rsidP="00F65C05">
                  <w:pPr>
                    <w:widowControl/>
                    <w:jc w:val="center"/>
                    <w:rPr>
                      <w:rFonts w:ascii="楷体" w:eastAsia="楷体" w:hAnsi="楷体" w:cs="宋体"/>
                      <w:color w:val="000000"/>
                      <w:kern w:val="0"/>
                      <w:sz w:val="20"/>
                      <w:szCs w:val="20"/>
                    </w:rPr>
                  </w:pPr>
                  <w:r w:rsidRPr="00F65C05">
                    <w:rPr>
                      <w:rFonts w:ascii="楷体" w:eastAsia="楷体" w:hAnsi="楷体" w:cs="宋体" w:hint="eastAsia"/>
                      <w:color w:val="000000"/>
                      <w:kern w:val="0"/>
                      <w:sz w:val="20"/>
                      <w:szCs w:val="20"/>
                    </w:rPr>
                    <w:t>MTN3Y</w:t>
                  </w:r>
                </w:p>
              </w:tc>
              <w:tc>
                <w:tcPr>
                  <w:tcW w:w="891" w:type="dxa"/>
                  <w:tcBorders>
                    <w:top w:val="nil"/>
                    <w:left w:val="nil"/>
                    <w:bottom w:val="single" w:sz="8" w:space="0" w:color="FFFFFF"/>
                    <w:right w:val="single" w:sz="8" w:space="0" w:color="FFFFFF"/>
                  </w:tcBorders>
                  <w:shd w:val="clear" w:color="000000" w:fill="FDE9D9"/>
                  <w:noWrap/>
                  <w:vAlign w:val="center"/>
                  <w:hideMark/>
                </w:tcPr>
                <w:p w14:paraId="641897B0"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17%</w:t>
                  </w:r>
                </w:p>
              </w:tc>
              <w:tc>
                <w:tcPr>
                  <w:tcW w:w="891" w:type="dxa"/>
                  <w:tcBorders>
                    <w:top w:val="nil"/>
                    <w:left w:val="nil"/>
                    <w:bottom w:val="single" w:sz="8" w:space="0" w:color="FFFFFF"/>
                    <w:right w:val="single" w:sz="8" w:space="0" w:color="FFFFFF"/>
                  </w:tcBorders>
                  <w:shd w:val="clear" w:color="000000" w:fill="FDE9D9"/>
                  <w:noWrap/>
                  <w:vAlign w:val="center"/>
                  <w:hideMark/>
                </w:tcPr>
                <w:p w14:paraId="1E8021D1"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25%</w:t>
                  </w:r>
                </w:p>
              </w:tc>
              <w:tc>
                <w:tcPr>
                  <w:tcW w:w="891" w:type="dxa"/>
                  <w:tcBorders>
                    <w:top w:val="nil"/>
                    <w:left w:val="nil"/>
                    <w:bottom w:val="single" w:sz="8" w:space="0" w:color="FFFFFF"/>
                    <w:right w:val="single" w:sz="8" w:space="0" w:color="FFFFFF"/>
                  </w:tcBorders>
                  <w:shd w:val="clear" w:color="000000" w:fill="FDE9D9"/>
                  <w:noWrap/>
                  <w:vAlign w:val="center"/>
                  <w:hideMark/>
                </w:tcPr>
                <w:p w14:paraId="349E1177"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21%</w:t>
                  </w:r>
                </w:p>
              </w:tc>
              <w:tc>
                <w:tcPr>
                  <w:tcW w:w="891" w:type="dxa"/>
                  <w:tcBorders>
                    <w:top w:val="nil"/>
                    <w:left w:val="nil"/>
                    <w:bottom w:val="single" w:sz="8" w:space="0" w:color="FFFFFF"/>
                    <w:right w:val="single" w:sz="8" w:space="0" w:color="FFFFFF"/>
                  </w:tcBorders>
                  <w:shd w:val="clear" w:color="000000" w:fill="FDE9D9"/>
                  <w:noWrap/>
                  <w:vAlign w:val="center"/>
                  <w:hideMark/>
                </w:tcPr>
                <w:p w14:paraId="2F10C119"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77%</w:t>
                  </w:r>
                </w:p>
              </w:tc>
            </w:tr>
            <w:tr w:rsidR="00F65C05" w:rsidRPr="00F65C05" w14:paraId="61DA7B6C" w14:textId="77777777" w:rsidTr="00867890">
              <w:trPr>
                <w:trHeight w:val="393"/>
              </w:trPr>
              <w:tc>
                <w:tcPr>
                  <w:tcW w:w="1304" w:type="dxa"/>
                  <w:tcBorders>
                    <w:top w:val="nil"/>
                    <w:left w:val="nil"/>
                    <w:bottom w:val="single" w:sz="8" w:space="0" w:color="FFFFFF"/>
                    <w:right w:val="single" w:sz="8" w:space="0" w:color="FFFFFF"/>
                  </w:tcBorders>
                  <w:shd w:val="clear" w:color="000000" w:fill="FCD5B4"/>
                  <w:noWrap/>
                  <w:vAlign w:val="center"/>
                  <w:hideMark/>
                </w:tcPr>
                <w:p w14:paraId="34F3B85E" w14:textId="77777777" w:rsidR="00F65C05" w:rsidRPr="00F65C05" w:rsidRDefault="00F65C05" w:rsidP="00F65C05">
                  <w:pPr>
                    <w:widowControl/>
                    <w:jc w:val="center"/>
                    <w:rPr>
                      <w:rFonts w:ascii="楷体" w:eastAsia="楷体" w:hAnsi="楷体" w:cs="宋体"/>
                      <w:color w:val="000000"/>
                      <w:kern w:val="0"/>
                      <w:sz w:val="20"/>
                      <w:szCs w:val="20"/>
                    </w:rPr>
                  </w:pPr>
                  <w:r w:rsidRPr="00F65C05">
                    <w:rPr>
                      <w:rFonts w:ascii="楷体" w:eastAsia="楷体" w:hAnsi="楷体" w:cs="宋体" w:hint="eastAsia"/>
                      <w:color w:val="000000"/>
                      <w:kern w:val="0"/>
                      <w:sz w:val="20"/>
                      <w:szCs w:val="20"/>
                    </w:rPr>
                    <w:t>MTN5Y</w:t>
                  </w:r>
                </w:p>
              </w:tc>
              <w:tc>
                <w:tcPr>
                  <w:tcW w:w="892" w:type="dxa"/>
                  <w:tcBorders>
                    <w:top w:val="nil"/>
                    <w:left w:val="nil"/>
                    <w:bottom w:val="single" w:sz="8" w:space="0" w:color="FFFFFF"/>
                    <w:right w:val="single" w:sz="8" w:space="0" w:color="FFFFFF"/>
                  </w:tcBorders>
                  <w:shd w:val="clear" w:color="000000" w:fill="FCD5B4"/>
                  <w:noWrap/>
                  <w:vAlign w:val="center"/>
                  <w:hideMark/>
                </w:tcPr>
                <w:p w14:paraId="04F4CEF6"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27%</w:t>
                  </w:r>
                </w:p>
              </w:tc>
              <w:tc>
                <w:tcPr>
                  <w:tcW w:w="892" w:type="dxa"/>
                  <w:tcBorders>
                    <w:top w:val="nil"/>
                    <w:left w:val="nil"/>
                    <w:bottom w:val="single" w:sz="8" w:space="0" w:color="FFFFFF"/>
                    <w:right w:val="single" w:sz="8" w:space="0" w:color="FFFFFF"/>
                  </w:tcBorders>
                  <w:shd w:val="clear" w:color="000000" w:fill="FCD5B4"/>
                  <w:noWrap/>
                  <w:vAlign w:val="center"/>
                  <w:hideMark/>
                </w:tcPr>
                <w:p w14:paraId="3EB45A8E"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27%</w:t>
                  </w:r>
                </w:p>
              </w:tc>
              <w:tc>
                <w:tcPr>
                  <w:tcW w:w="892" w:type="dxa"/>
                  <w:tcBorders>
                    <w:top w:val="nil"/>
                    <w:left w:val="nil"/>
                    <w:bottom w:val="single" w:sz="8" w:space="0" w:color="FFFFFF"/>
                    <w:right w:val="single" w:sz="8" w:space="0" w:color="FFFFFF"/>
                  </w:tcBorders>
                  <w:shd w:val="clear" w:color="000000" w:fill="FCD5B4"/>
                  <w:noWrap/>
                  <w:vAlign w:val="center"/>
                  <w:hideMark/>
                </w:tcPr>
                <w:p w14:paraId="2802D35A"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26%</w:t>
                  </w:r>
                </w:p>
              </w:tc>
              <w:tc>
                <w:tcPr>
                  <w:tcW w:w="891" w:type="dxa"/>
                  <w:tcBorders>
                    <w:top w:val="nil"/>
                    <w:left w:val="nil"/>
                    <w:bottom w:val="single" w:sz="8" w:space="0" w:color="FFFFFF"/>
                    <w:right w:val="single" w:sz="8" w:space="0" w:color="FFFFFF"/>
                  </w:tcBorders>
                  <w:shd w:val="clear" w:color="000000" w:fill="FCD5B4"/>
                  <w:noWrap/>
                  <w:vAlign w:val="center"/>
                  <w:hideMark/>
                </w:tcPr>
                <w:p w14:paraId="0F72EE67"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64%</w:t>
                  </w:r>
                </w:p>
              </w:tc>
              <w:tc>
                <w:tcPr>
                  <w:tcW w:w="1117" w:type="dxa"/>
                  <w:tcBorders>
                    <w:top w:val="nil"/>
                    <w:left w:val="nil"/>
                    <w:bottom w:val="single" w:sz="8" w:space="0" w:color="FFFFFF"/>
                    <w:right w:val="single" w:sz="8" w:space="0" w:color="FFFFFF"/>
                  </w:tcBorders>
                  <w:shd w:val="clear" w:color="000000" w:fill="FCD5B4"/>
                  <w:noWrap/>
                  <w:vAlign w:val="center"/>
                  <w:hideMark/>
                </w:tcPr>
                <w:p w14:paraId="47309C91" w14:textId="77777777" w:rsidR="00F65C05" w:rsidRPr="00F65C05" w:rsidRDefault="00F65C05" w:rsidP="00F65C05">
                  <w:pPr>
                    <w:widowControl/>
                    <w:jc w:val="center"/>
                    <w:rPr>
                      <w:rFonts w:ascii="楷体" w:eastAsia="楷体" w:hAnsi="楷体" w:cs="宋体"/>
                      <w:color w:val="000000"/>
                      <w:kern w:val="0"/>
                      <w:sz w:val="20"/>
                      <w:szCs w:val="20"/>
                    </w:rPr>
                  </w:pPr>
                  <w:r w:rsidRPr="00F65C05">
                    <w:rPr>
                      <w:rFonts w:ascii="楷体" w:eastAsia="楷体" w:hAnsi="楷体" w:cs="宋体" w:hint="eastAsia"/>
                      <w:color w:val="000000"/>
                      <w:kern w:val="0"/>
                      <w:sz w:val="20"/>
                      <w:szCs w:val="20"/>
                    </w:rPr>
                    <w:t>MTN5Y</w:t>
                  </w:r>
                </w:p>
              </w:tc>
              <w:tc>
                <w:tcPr>
                  <w:tcW w:w="891" w:type="dxa"/>
                  <w:tcBorders>
                    <w:top w:val="nil"/>
                    <w:left w:val="nil"/>
                    <w:bottom w:val="single" w:sz="8" w:space="0" w:color="FFFFFF"/>
                    <w:right w:val="single" w:sz="8" w:space="0" w:color="FFFFFF"/>
                  </w:tcBorders>
                  <w:shd w:val="clear" w:color="000000" w:fill="FCD5B4"/>
                  <w:noWrap/>
                  <w:vAlign w:val="center"/>
                  <w:hideMark/>
                </w:tcPr>
                <w:p w14:paraId="2EF33487"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14%</w:t>
                  </w:r>
                </w:p>
              </w:tc>
              <w:tc>
                <w:tcPr>
                  <w:tcW w:w="891" w:type="dxa"/>
                  <w:tcBorders>
                    <w:top w:val="nil"/>
                    <w:left w:val="nil"/>
                    <w:bottom w:val="single" w:sz="8" w:space="0" w:color="FFFFFF"/>
                    <w:right w:val="single" w:sz="8" w:space="0" w:color="FFFFFF"/>
                  </w:tcBorders>
                  <w:shd w:val="clear" w:color="000000" w:fill="FCD5B4"/>
                  <w:noWrap/>
                  <w:vAlign w:val="center"/>
                  <w:hideMark/>
                </w:tcPr>
                <w:p w14:paraId="4332EE51"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14%</w:t>
                  </w:r>
                </w:p>
              </w:tc>
              <w:tc>
                <w:tcPr>
                  <w:tcW w:w="891" w:type="dxa"/>
                  <w:tcBorders>
                    <w:top w:val="nil"/>
                    <w:left w:val="nil"/>
                    <w:bottom w:val="single" w:sz="8" w:space="0" w:color="FFFFFF"/>
                    <w:right w:val="single" w:sz="8" w:space="0" w:color="FFFFFF"/>
                  </w:tcBorders>
                  <w:shd w:val="clear" w:color="000000" w:fill="FCD5B4"/>
                  <w:noWrap/>
                  <w:vAlign w:val="center"/>
                  <w:hideMark/>
                </w:tcPr>
                <w:p w14:paraId="13ED7A03"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11%</w:t>
                  </w:r>
                </w:p>
              </w:tc>
              <w:tc>
                <w:tcPr>
                  <w:tcW w:w="891" w:type="dxa"/>
                  <w:tcBorders>
                    <w:top w:val="nil"/>
                    <w:left w:val="nil"/>
                    <w:bottom w:val="single" w:sz="8" w:space="0" w:color="FFFFFF"/>
                    <w:right w:val="single" w:sz="8" w:space="0" w:color="FFFFFF"/>
                  </w:tcBorders>
                  <w:shd w:val="clear" w:color="000000" w:fill="FCD5B4"/>
                  <w:noWrap/>
                  <w:vAlign w:val="center"/>
                  <w:hideMark/>
                </w:tcPr>
                <w:p w14:paraId="186E7DBD"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67%</w:t>
                  </w:r>
                </w:p>
              </w:tc>
            </w:tr>
            <w:tr w:rsidR="00F65C05" w:rsidRPr="00F65C05" w14:paraId="69A16470" w14:textId="77777777" w:rsidTr="00867890">
              <w:trPr>
                <w:trHeight w:val="393"/>
              </w:trPr>
              <w:tc>
                <w:tcPr>
                  <w:tcW w:w="1304" w:type="dxa"/>
                  <w:tcBorders>
                    <w:top w:val="nil"/>
                    <w:left w:val="nil"/>
                    <w:bottom w:val="single" w:sz="8" w:space="0" w:color="FFFFFF"/>
                    <w:right w:val="single" w:sz="8" w:space="0" w:color="FFFFFF"/>
                  </w:tcBorders>
                  <w:shd w:val="clear" w:color="000000" w:fill="FDE9D9"/>
                  <w:noWrap/>
                  <w:vAlign w:val="center"/>
                  <w:hideMark/>
                </w:tcPr>
                <w:p w14:paraId="15BDCE2E" w14:textId="77777777" w:rsidR="00F65C05" w:rsidRPr="00F65C05" w:rsidRDefault="00F65C05" w:rsidP="00F65C05">
                  <w:pPr>
                    <w:widowControl/>
                    <w:jc w:val="center"/>
                    <w:rPr>
                      <w:rFonts w:ascii="楷体" w:eastAsia="楷体" w:hAnsi="楷体" w:cs="宋体"/>
                      <w:color w:val="000000"/>
                      <w:kern w:val="0"/>
                      <w:sz w:val="20"/>
                      <w:szCs w:val="20"/>
                    </w:rPr>
                  </w:pPr>
                  <w:r w:rsidRPr="00F65C05">
                    <w:rPr>
                      <w:rFonts w:ascii="楷体" w:eastAsia="楷体" w:hAnsi="楷体" w:cs="宋体" w:hint="eastAsia"/>
                      <w:color w:val="000000"/>
                      <w:kern w:val="0"/>
                      <w:sz w:val="20"/>
                      <w:szCs w:val="20"/>
                    </w:rPr>
                    <w:t>企业债3Y</w:t>
                  </w:r>
                </w:p>
              </w:tc>
              <w:tc>
                <w:tcPr>
                  <w:tcW w:w="892" w:type="dxa"/>
                  <w:tcBorders>
                    <w:top w:val="nil"/>
                    <w:left w:val="nil"/>
                    <w:bottom w:val="single" w:sz="8" w:space="0" w:color="FFFFFF"/>
                    <w:right w:val="single" w:sz="8" w:space="0" w:color="FFFFFF"/>
                  </w:tcBorders>
                  <w:shd w:val="clear" w:color="000000" w:fill="FDE9D9"/>
                  <w:noWrap/>
                  <w:vAlign w:val="center"/>
                  <w:hideMark/>
                </w:tcPr>
                <w:p w14:paraId="2D9B7C6D"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37%</w:t>
                  </w:r>
                </w:p>
              </w:tc>
              <w:tc>
                <w:tcPr>
                  <w:tcW w:w="892" w:type="dxa"/>
                  <w:tcBorders>
                    <w:top w:val="nil"/>
                    <w:left w:val="nil"/>
                    <w:bottom w:val="single" w:sz="8" w:space="0" w:color="FFFFFF"/>
                    <w:right w:val="single" w:sz="8" w:space="0" w:color="FFFFFF"/>
                  </w:tcBorders>
                  <w:shd w:val="clear" w:color="000000" w:fill="FDE9D9"/>
                  <w:noWrap/>
                  <w:vAlign w:val="center"/>
                  <w:hideMark/>
                </w:tcPr>
                <w:p w14:paraId="4101208A"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36%</w:t>
                  </w:r>
                </w:p>
              </w:tc>
              <w:tc>
                <w:tcPr>
                  <w:tcW w:w="892" w:type="dxa"/>
                  <w:tcBorders>
                    <w:top w:val="nil"/>
                    <w:left w:val="nil"/>
                    <w:bottom w:val="single" w:sz="8" w:space="0" w:color="FFFFFF"/>
                    <w:right w:val="single" w:sz="8" w:space="0" w:color="FFFFFF"/>
                  </w:tcBorders>
                  <w:shd w:val="clear" w:color="000000" w:fill="FDE9D9"/>
                  <w:noWrap/>
                  <w:vAlign w:val="center"/>
                  <w:hideMark/>
                </w:tcPr>
                <w:p w14:paraId="634A17C9"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33%</w:t>
                  </w:r>
                </w:p>
              </w:tc>
              <w:tc>
                <w:tcPr>
                  <w:tcW w:w="891" w:type="dxa"/>
                  <w:tcBorders>
                    <w:top w:val="nil"/>
                    <w:left w:val="nil"/>
                    <w:bottom w:val="single" w:sz="8" w:space="0" w:color="FFFFFF"/>
                    <w:right w:val="single" w:sz="8" w:space="0" w:color="FFFFFF"/>
                  </w:tcBorders>
                  <w:shd w:val="clear" w:color="000000" w:fill="FDE9D9"/>
                  <w:noWrap/>
                  <w:vAlign w:val="center"/>
                  <w:hideMark/>
                </w:tcPr>
                <w:p w14:paraId="2C7F6911"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67%</w:t>
                  </w:r>
                </w:p>
              </w:tc>
              <w:tc>
                <w:tcPr>
                  <w:tcW w:w="1117" w:type="dxa"/>
                  <w:tcBorders>
                    <w:top w:val="nil"/>
                    <w:left w:val="nil"/>
                    <w:bottom w:val="single" w:sz="8" w:space="0" w:color="FFFFFF"/>
                    <w:right w:val="single" w:sz="8" w:space="0" w:color="FFFFFF"/>
                  </w:tcBorders>
                  <w:shd w:val="clear" w:color="000000" w:fill="FDE9D9"/>
                  <w:noWrap/>
                  <w:vAlign w:val="center"/>
                  <w:hideMark/>
                </w:tcPr>
                <w:p w14:paraId="2EEE6BFF" w14:textId="77777777" w:rsidR="00F65C05" w:rsidRPr="00F65C05" w:rsidRDefault="00F65C05" w:rsidP="00F65C05">
                  <w:pPr>
                    <w:widowControl/>
                    <w:jc w:val="center"/>
                    <w:rPr>
                      <w:rFonts w:ascii="楷体" w:eastAsia="楷体" w:hAnsi="楷体" w:cs="宋体"/>
                      <w:color w:val="000000"/>
                      <w:kern w:val="0"/>
                      <w:sz w:val="20"/>
                      <w:szCs w:val="20"/>
                    </w:rPr>
                  </w:pPr>
                  <w:r w:rsidRPr="00F65C05">
                    <w:rPr>
                      <w:rFonts w:ascii="楷体" w:eastAsia="楷体" w:hAnsi="楷体" w:cs="宋体" w:hint="eastAsia"/>
                      <w:color w:val="000000"/>
                      <w:kern w:val="0"/>
                      <w:sz w:val="20"/>
                      <w:szCs w:val="20"/>
                    </w:rPr>
                    <w:t>企业债3Y</w:t>
                  </w:r>
                </w:p>
              </w:tc>
              <w:tc>
                <w:tcPr>
                  <w:tcW w:w="891" w:type="dxa"/>
                  <w:tcBorders>
                    <w:top w:val="nil"/>
                    <w:left w:val="nil"/>
                    <w:bottom w:val="single" w:sz="8" w:space="0" w:color="FFFFFF"/>
                    <w:right w:val="single" w:sz="8" w:space="0" w:color="FFFFFF"/>
                  </w:tcBorders>
                  <w:shd w:val="clear" w:color="000000" w:fill="FDE9D9"/>
                  <w:noWrap/>
                  <w:vAlign w:val="center"/>
                  <w:hideMark/>
                </w:tcPr>
                <w:p w14:paraId="0BB1DFAB"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16%</w:t>
                  </w:r>
                </w:p>
              </w:tc>
              <w:tc>
                <w:tcPr>
                  <w:tcW w:w="891" w:type="dxa"/>
                  <w:tcBorders>
                    <w:top w:val="nil"/>
                    <w:left w:val="nil"/>
                    <w:bottom w:val="single" w:sz="8" w:space="0" w:color="FFFFFF"/>
                    <w:right w:val="single" w:sz="8" w:space="0" w:color="FFFFFF"/>
                  </w:tcBorders>
                  <w:shd w:val="clear" w:color="000000" w:fill="FDE9D9"/>
                  <w:noWrap/>
                  <w:vAlign w:val="center"/>
                  <w:hideMark/>
                </w:tcPr>
                <w:p w14:paraId="41DE6848"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18%</w:t>
                  </w:r>
                </w:p>
              </w:tc>
              <w:tc>
                <w:tcPr>
                  <w:tcW w:w="891" w:type="dxa"/>
                  <w:tcBorders>
                    <w:top w:val="nil"/>
                    <w:left w:val="nil"/>
                    <w:bottom w:val="single" w:sz="8" w:space="0" w:color="FFFFFF"/>
                    <w:right w:val="single" w:sz="8" w:space="0" w:color="FFFFFF"/>
                  </w:tcBorders>
                  <w:shd w:val="clear" w:color="000000" w:fill="FDE9D9"/>
                  <w:noWrap/>
                  <w:vAlign w:val="center"/>
                  <w:hideMark/>
                </w:tcPr>
                <w:p w14:paraId="0C535EBD"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17%</w:t>
                  </w:r>
                </w:p>
              </w:tc>
              <w:tc>
                <w:tcPr>
                  <w:tcW w:w="891" w:type="dxa"/>
                  <w:tcBorders>
                    <w:top w:val="nil"/>
                    <w:left w:val="nil"/>
                    <w:bottom w:val="single" w:sz="8" w:space="0" w:color="FFFFFF"/>
                    <w:right w:val="single" w:sz="8" w:space="0" w:color="FFFFFF"/>
                  </w:tcBorders>
                  <w:shd w:val="clear" w:color="000000" w:fill="FDE9D9"/>
                  <w:noWrap/>
                  <w:vAlign w:val="center"/>
                  <w:hideMark/>
                </w:tcPr>
                <w:p w14:paraId="75661E32"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69%</w:t>
                  </w:r>
                </w:p>
              </w:tc>
            </w:tr>
            <w:tr w:rsidR="00F65C05" w:rsidRPr="00F65C05" w14:paraId="72F1ABB8" w14:textId="77777777" w:rsidTr="00867890">
              <w:trPr>
                <w:trHeight w:val="393"/>
              </w:trPr>
              <w:tc>
                <w:tcPr>
                  <w:tcW w:w="1304" w:type="dxa"/>
                  <w:tcBorders>
                    <w:top w:val="nil"/>
                    <w:left w:val="nil"/>
                    <w:bottom w:val="single" w:sz="8" w:space="0" w:color="FFFFFF"/>
                    <w:right w:val="single" w:sz="8" w:space="0" w:color="FFFFFF"/>
                  </w:tcBorders>
                  <w:shd w:val="clear" w:color="000000" w:fill="FCD5B4"/>
                  <w:noWrap/>
                  <w:vAlign w:val="center"/>
                  <w:hideMark/>
                </w:tcPr>
                <w:p w14:paraId="6F971BB0" w14:textId="77777777" w:rsidR="00F65C05" w:rsidRPr="00F65C05" w:rsidRDefault="00F65C05" w:rsidP="00F65C05">
                  <w:pPr>
                    <w:widowControl/>
                    <w:jc w:val="center"/>
                    <w:rPr>
                      <w:rFonts w:ascii="楷体" w:eastAsia="楷体" w:hAnsi="楷体" w:cs="宋体"/>
                      <w:color w:val="000000"/>
                      <w:kern w:val="0"/>
                      <w:sz w:val="20"/>
                      <w:szCs w:val="20"/>
                    </w:rPr>
                  </w:pPr>
                  <w:r w:rsidRPr="00F65C05">
                    <w:rPr>
                      <w:rFonts w:ascii="楷体" w:eastAsia="楷体" w:hAnsi="楷体" w:cs="宋体" w:hint="eastAsia"/>
                      <w:color w:val="000000"/>
                      <w:kern w:val="0"/>
                      <w:sz w:val="20"/>
                      <w:szCs w:val="20"/>
                    </w:rPr>
                    <w:t>企业债5Y</w:t>
                  </w:r>
                </w:p>
              </w:tc>
              <w:tc>
                <w:tcPr>
                  <w:tcW w:w="892" w:type="dxa"/>
                  <w:tcBorders>
                    <w:top w:val="nil"/>
                    <w:left w:val="nil"/>
                    <w:bottom w:val="single" w:sz="8" w:space="0" w:color="FFFFFF"/>
                    <w:right w:val="single" w:sz="8" w:space="0" w:color="FFFFFF"/>
                  </w:tcBorders>
                  <w:shd w:val="clear" w:color="000000" w:fill="FCD5B4"/>
                  <w:noWrap/>
                  <w:vAlign w:val="center"/>
                  <w:hideMark/>
                </w:tcPr>
                <w:p w14:paraId="130E2A92"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28%</w:t>
                  </w:r>
                </w:p>
              </w:tc>
              <w:tc>
                <w:tcPr>
                  <w:tcW w:w="892" w:type="dxa"/>
                  <w:tcBorders>
                    <w:top w:val="nil"/>
                    <w:left w:val="nil"/>
                    <w:bottom w:val="single" w:sz="8" w:space="0" w:color="FFFFFF"/>
                    <w:right w:val="single" w:sz="8" w:space="0" w:color="FFFFFF"/>
                  </w:tcBorders>
                  <w:shd w:val="clear" w:color="000000" w:fill="FCD5B4"/>
                  <w:noWrap/>
                  <w:vAlign w:val="center"/>
                  <w:hideMark/>
                </w:tcPr>
                <w:p w14:paraId="2183F1CA"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27%</w:t>
                  </w:r>
                </w:p>
              </w:tc>
              <w:tc>
                <w:tcPr>
                  <w:tcW w:w="892" w:type="dxa"/>
                  <w:tcBorders>
                    <w:top w:val="nil"/>
                    <w:left w:val="nil"/>
                    <w:bottom w:val="single" w:sz="8" w:space="0" w:color="FFFFFF"/>
                    <w:right w:val="single" w:sz="8" w:space="0" w:color="FFFFFF"/>
                  </w:tcBorders>
                  <w:shd w:val="clear" w:color="000000" w:fill="FCD5B4"/>
                  <w:noWrap/>
                  <w:vAlign w:val="center"/>
                  <w:hideMark/>
                </w:tcPr>
                <w:p w14:paraId="5DDFA88D"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25%</w:t>
                  </w:r>
                </w:p>
              </w:tc>
              <w:tc>
                <w:tcPr>
                  <w:tcW w:w="891" w:type="dxa"/>
                  <w:tcBorders>
                    <w:top w:val="nil"/>
                    <w:left w:val="nil"/>
                    <w:bottom w:val="single" w:sz="8" w:space="0" w:color="FFFFFF"/>
                    <w:right w:val="single" w:sz="8" w:space="0" w:color="FFFFFF"/>
                  </w:tcBorders>
                  <w:shd w:val="clear" w:color="000000" w:fill="FCD5B4"/>
                  <w:noWrap/>
                  <w:vAlign w:val="center"/>
                  <w:hideMark/>
                </w:tcPr>
                <w:p w14:paraId="6851FEB7"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59%</w:t>
                  </w:r>
                </w:p>
              </w:tc>
              <w:tc>
                <w:tcPr>
                  <w:tcW w:w="1117" w:type="dxa"/>
                  <w:tcBorders>
                    <w:top w:val="nil"/>
                    <w:left w:val="nil"/>
                    <w:bottom w:val="single" w:sz="8" w:space="0" w:color="FFFFFF"/>
                    <w:right w:val="single" w:sz="8" w:space="0" w:color="FFFFFF"/>
                  </w:tcBorders>
                  <w:shd w:val="clear" w:color="000000" w:fill="FCD5B4"/>
                  <w:noWrap/>
                  <w:vAlign w:val="center"/>
                  <w:hideMark/>
                </w:tcPr>
                <w:p w14:paraId="2CA595FD" w14:textId="77777777" w:rsidR="00F65C05" w:rsidRPr="00F65C05" w:rsidRDefault="00F65C05" w:rsidP="00F65C05">
                  <w:pPr>
                    <w:widowControl/>
                    <w:jc w:val="center"/>
                    <w:rPr>
                      <w:rFonts w:ascii="楷体" w:eastAsia="楷体" w:hAnsi="楷体" w:cs="宋体"/>
                      <w:color w:val="000000"/>
                      <w:kern w:val="0"/>
                      <w:sz w:val="20"/>
                      <w:szCs w:val="20"/>
                    </w:rPr>
                  </w:pPr>
                  <w:r w:rsidRPr="00F65C05">
                    <w:rPr>
                      <w:rFonts w:ascii="楷体" w:eastAsia="楷体" w:hAnsi="楷体" w:cs="宋体" w:hint="eastAsia"/>
                      <w:color w:val="000000"/>
                      <w:kern w:val="0"/>
                      <w:sz w:val="20"/>
                      <w:szCs w:val="20"/>
                    </w:rPr>
                    <w:t>企业债5Y</w:t>
                  </w:r>
                </w:p>
              </w:tc>
              <w:tc>
                <w:tcPr>
                  <w:tcW w:w="891" w:type="dxa"/>
                  <w:tcBorders>
                    <w:top w:val="nil"/>
                    <w:left w:val="nil"/>
                    <w:bottom w:val="single" w:sz="8" w:space="0" w:color="FFFFFF"/>
                    <w:right w:val="single" w:sz="8" w:space="0" w:color="FFFFFF"/>
                  </w:tcBorders>
                  <w:shd w:val="clear" w:color="000000" w:fill="FCD5B4"/>
                  <w:noWrap/>
                  <w:vAlign w:val="center"/>
                  <w:hideMark/>
                </w:tcPr>
                <w:p w14:paraId="6777C6C7"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14%</w:t>
                  </w:r>
                </w:p>
              </w:tc>
              <w:tc>
                <w:tcPr>
                  <w:tcW w:w="891" w:type="dxa"/>
                  <w:tcBorders>
                    <w:top w:val="nil"/>
                    <w:left w:val="nil"/>
                    <w:bottom w:val="single" w:sz="8" w:space="0" w:color="FFFFFF"/>
                    <w:right w:val="single" w:sz="8" w:space="0" w:color="FFFFFF"/>
                  </w:tcBorders>
                  <w:shd w:val="clear" w:color="000000" w:fill="FCD5B4"/>
                  <w:noWrap/>
                  <w:vAlign w:val="center"/>
                  <w:hideMark/>
                </w:tcPr>
                <w:p w14:paraId="79119F26"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13%</w:t>
                  </w:r>
                </w:p>
              </w:tc>
              <w:tc>
                <w:tcPr>
                  <w:tcW w:w="891" w:type="dxa"/>
                  <w:tcBorders>
                    <w:top w:val="nil"/>
                    <w:left w:val="nil"/>
                    <w:bottom w:val="single" w:sz="8" w:space="0" w:color="FFFFFF"/>
                    <w:right w:val="single" w:sz="8" w:space="0" w:color="FFFFFF"/>
                  </w:tcBorders>
                  <w:shd w:val="clear" w:color="000000" w:fill="FCD5B4"/>
                  <w:noWrap/>
                  <w:vAlign w:val="center"/>
                  <w:hideMark/>
                </w:tcPr>
                <w:p w14:paraId="3413735C"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10%</w:t>
                  </w:r>
                </w:p>
              </w:tc>
              <w:tc>
                <w:tcPr>
                  <w:tcW w:w="891" w:type="dxa"/>
                  <w:tcBorders>
                    <w:top w:val="nil"/>
                    <w:left w:val="nil"/>
                    <w:bottom w:val="single" w:sz="8" w:space="0" w:color="FFFFFF"/>
                    <w:right w:val="single" w:sz="8" w:space="0" w:color="FFFFFF"/>
                  </w:tcBorders>
                  <w:shd w:val="clear" w:color="000000" w:fill="FCD5B4"/>
                  <w:noWrap/>
                  <w:vAlign w:val="center"/>
                  <w:hideMark/>
                </w:tcPr>
                <w:p w14:paraId="693D6251"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65%</w:t>
                  </w:r>
                </w:p>
              </w:tc>
            </w:tr>
            <w:tr w:rsidR="00F65C05" w:rsidRPr="00F65C05" w14:paraId="693817A3" w14:textId="77777777" w:rsidTr="00867890">
              <w:trPr>
                <w:trHeight w:val="393"/>
              </w:trPr>
              <w:tc>
                <w:tcPr>
                  <w:tcW w:w="1304" w:type="dxa"/>
                  <w:tcBorders>
                    <w:top w:val="nil"/>
                    <w:left w:val="nil"/>
                    <w:bottom w:val="single" w:sz="8" w:space="0" w:color="FFFFFF"/>
                    <w:right w:val="single" w:sz="8" w:space="0" w:color="FFFFFF"/>
                  </w:tcBorders>
                  <w:shd w:val="clear" w:color="000000" w:fill="FDE9D9"/>
                  <w:noWrap/>
                  <w:vAlign w:val="center"/>
                  <w:hideMark/>
                </w:tcPr>
                <w:p w14:paraId="3C559A12" w14:textId="77777777" w:rsidR="00F65C05" w:rsidRPr="00F65C05" w:rsidRDefault="00F65C05" w:rsidP="00F65C05">
                  <w:pPr>
                    <w:widowControl/>
                    <w:jc w:val="center"/>
                    <w:rPr>
                      <w:rFonts w:ascii="楷体" w:eastAsia="楷体" w:hAnsi="楷体" w:cs="宋体"/>
                      <w:color w:val="000000"/>
                      <w:kern w:val="0"/>
                      <w:sz w:val="20"/>
                      <w:szCs w:val="20"/>
                    </w:rPr>
                  </w:pPr>
                  <w:r w:rsidRPr="00F65C05">
                    <w:rPr>
                      <w:rFonts w:ascii="楷体" w:eastAsia="楷体" w:hAnsi="楷体" w:cs="宋体" w:hint="eastAsia"/>
                      <w:color w:val="000000"/>
                      <w:kern w:val="0"/>
                      <w:sz w:val="20"/>
                      <w:szCs w:val="20"/>
                    </w:rPr>
                    <w:t>企业债7Y</w:t>
                  </w:r>
                </w:p>
              </w:tc>
              <w:tc>
                <w:tcPr>
                  <w:tcW w:w="892" w:type="dxa"/>
                  <w:tcBorders>
                    <w:top w:val="nil"/>
                    <w:left w:val="nil"/>
                    <w:bottom w:val="single" w:sz="8" w:space="0" w:color="FFFFFF"/>
                    <w:right w:val="single" w:sz="8" w:space="0" w:color="FFFFFF"/>
                  </w:tcBorders>
                  <w:shd w:val="clear" w:color="000000" w:fill="FDE9D9"/>
                  <w:noWrap/>
                  <w:vAlign w:val="center"/>
                  <w:hideMark/>
                </w:tcPr>
                <w:p w14:paraId="3B04717E"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25%</w:t>
                  </w:r>
                </w:p>
              </w:tc>
              <w:tc>
                <w:tcPr>
                  <w:tcW w:w="892" w:type="dxa"/>
                  <w:tcBorders>
                    <w:top w:val="nil"/>
                    <w:left w:val="nil"/>
                    <w:bottom w:val="single" w:sz="8" w:space="0" w:color="FFFFFF"/>
                    <w:right w:val="single" w:sz="8" w:space="0" w:color="FFFFFF"/>
                  </w:tcBorders>
                  <w:shd w:val="clear" w:color="000000" w:fill="FDE9D9"/>
                  <w:noWrap/>
                  <w:vAlign w:val="center"/>
                  <w:hideMark/>
                </w:tcPr>
                <w:p w14:paraId="3482B728"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22%</w:t>
                  </w:r>
                </w:p>
              </w:tc>
              <w:tc>
                <w:tcPr>
                  <w:tcW w:w="892" w:type="dxa"/>
                  <w:tcBorders>
                    <w:top w:val="nil"/>
                    <w:left w:val="nil"/>
                    <w:bottom w:val="single" w:sz="8" w:space="0" w:color="FFFFFF"/>
                    <w:right w:val="single" w:sz="8" w:space="0" w:color="FFFFFF"/>
                  </w:tcBorders>
                  <w:shd w:val="clear" w:color="000000" w:fill="FDE9D9"/>
                  <w:noWrap/>
                  <w:vAlign w:val="center"/>
                  <w:hideMark/>
                </w:tcPr>
                <w:p w14:paraId="15B93ED8"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18%</w:t>
                  </w:r>
                </w:p>
              </w:tc>
              <w:tc>
                <w:tcPr>
                  <w:tcW w:w="891" w:type="dxa"/>
                  <w:tcBorders>
                    <w:top w:val="nil"/>
                    <w:left w:val="nil"/>
                    <w:bottom w:val="single" w:sz="8" w:space="0" w:color="FFFFFF"/>
                    <w:right w:val="single" w:sz="8" w:space="0" w:color="FFFFFF"/>
                  </w:tcBorders>
                  <w:shd w:val="clear" w:color="000000" w:fill="FDE9D9"/>
                  <w:noWrap/>
                  <w:vAlign w:val="center"/>
                  <w:hideMark/>
                </w:tcPr>
                <w:p w14:paraId="7EAC989E"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54%</w:t>
                  </w:r>
                </w:p>
              </w:tc>
              <w:tc>
                <w:tcPr>
                  <w:tcW w:w="1117" w:type="dxa"/>
                  <w:tcBorders>
                    <w:top w:val="nil"/>
                    <w:left w:val="nil"/>
                    <w:bottom w:val="single" w:sz="8" w:space="0" w:color="FFFFFF"/>
                    <w:right w:val="single" w:sz="8" w:space="0" w:color="FFFFFF"/>
                  </w:tcBorders>
                  <w:shd w:val="clear" w:color="000000" w:fill="FDE9D9"/>
                  <w:noWrap/>
                  <w:vAlign w:val="center"/>
                  <w:hideMark/>
                </w:tcPr>
                <w:p w14:paraId="3E67CF6C" w14:textId="77777777" w:rsidR="00F65C05" w:rsidRPr="00F65C05" w:rsidRDefault="00F65C05" w:rsidP="00F65C05">
                  <w:pPr>
                    <w:widowControl/>
                    <w:jc w:val="center"/>
                    <w:rPr>
                      <w:rFonts w:ascii="楷体" w:eastAsia="楷体" w:hAnsi="楷体" w:cs="宋体"/>
                      <w:color w:val="000000"/>
                      <w:kern w:val="0"/>
                      <w:sz w:val="20"/>
                      <w:szCs w:val="20"/>
                    </w:rPr>
                  </w:pPr>
                  <w:r w:rsidRPr="00F65C05">
                    <w:rPr>
                      <w:rFonts w:ascii="楷体" w:eastAsia="楷体" w:hAnsi="楷体" w:cs="宋体" w:hint="eastAsia"/>
                      <w:color w:val="000000"/>
                      <w:kern w:val="0"/>
                      <w:sz w:val="20"/>
                      <w:szCs w:val="20"/>
                    </w:rPr>
                    <w:t>企业债7Y</w:t>
                  </w:r>
                </w:p>
              </w:tc>
              <w:tc>
                <w:tcPr>
                  <w:tcW w:w="891" w:type="dxa"/>
                  <w:tcBorders>
                    <w:top w:val="nil"/>
                    <w:left w:val="nil"/>
                    <w:bottom w:val="single" w:sz="8" w:space="0" w:color="FFFFFF"/>
                    <w:right w:val="single" w:sz="8" w:space="0" w:color="FFFFFF"/>
                  </w:tcBorders>
                  <w:shd w:val="clear" w:color="000000" w:fill="FDE9D9"/>
                  <w:noWrap/>
                  <w:vAlign w:val="center"/>
                  <w:hideMark/>
                </w:tcPr>
                <w:p w14:paraId="2F8D3CF9"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15%</w:t>
                  </w:r>
                </w:p>
              </w:tc>
              <w:tc>
                <w:tcPr>
                  <w:tcW w:w="891" w:type="dxa"/>
                  <w:tcBorders>
                    <w:top w:val="nil"/>
                    <w:left w:val="nil"/>
                    <w:bottom w:val="single" w:sz="8" w:space="0" w:color="FFFFFF"/>
                    <w:right w:val="single" w:sz="8" w:space="0" w:color="FFFFFF"/>
                  </w:tcBorders>
                  <w:shd w:val="clear" w:color="000000" w:fill="FDE9D9"/>
                  <w:noWrap/>
                  <w:vAlign w:val="center"/>
                  <w:hideMark/>
                </w:tcPr>
                <w:p w14:paraId="5868F505"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8%</w:t>
                  </w:r>
                </w:p>
              </w:tc>
              <w:tc>
                <w:tcPr>
                  <w:tcW w:w="891" w:type="dxa"/>
                  <w:tcBorders>
                    <w:top w:val="nil"/>
                    <w:left w:val="nil"/>
                    <w:bottom w:val="single" w:sz="8" w:space="0" w:color="FFFFFF"/>
                    <w:right w:val="single" w:sz="8" w:space="0" w:color="FFFFFF"/>
                  </w:tcBorders>
                  <w:shd w:val="clear" w:color="000000" w:fill="FDE9D9"/>
                  <w:noWrap/>
                  <w:vAlign w:val="center"/>
                  <w:hideMark/>
                </w:tcPr>
                <w:p w14:paraId="4D8CB57B"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6%</w:t>
                  </w:r>
                </w:p>
              </w:tc>
              <w:tc>
                <w:tcPr>
                  <w:tcW w:w="891" w:type="dxa"/>
                  <w:tcBorders>
                    <w:top w:val="nil"/>
                    <w:left w:val="nil"/>
                    <w:bottom w:val="single" w:sz="8" w:space="0" w:color="FFFFFF"/>
                    <w:right w:val="single" w:sz="8" w:space="0" w:color="FFFFFF"/>
                  </w:tcBorders>
                  <w:shd w:val="clear" w:color="000000" w:fill="FDE9D9"/>
                  <w:noWrap/>
                  <w:vAlign w:val="center"/>
                  <w:hideMark/>
                </w:tcPr>
                <w:p w14:paraId="2A1B0268"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56%</w:t>
                  </w:r>
                </w:p>
              </w:tc>
            </w:tr>
            <w:tr w:rsidR="00F65C05" w:rsidRPr="00F65C05" w14:paraId="13003858" w14:textId="77777777" w:rsidTr="00867890">
              <w:trPr>
                <w:trHeight w:val="393"/>
              </w:trPr>
              <w:tc>
                <w:tcPr>
                  <w:tcW w:w="1304" w:type="dxa"/>
                  <w:tcBorders>
                    <w:top w:val="nil"/>
                    <w:left w:val="nil"/>
                    <w:bottom w:val="single" w:sz="8" w:space="0" w:color="FFFFFF"/>
                    <w:right w:val="single" w:sz="8" w:space="0" w:color="FFFFFF"/>
                  </w:tcBorders>
                  <w:shd w:val="clear" w:color="000000" w:fill="FCD5B4"/>
                  <w:noWrap/>
                  <w:vAlign w:val="center"/>
                  <w:hideMark/>
                </w:tcPr>
                <w:p w14:paraId="27EFA979" w14:textId="77777777" w:rsidR="00F65C05" w:rsidRPr="00F65C05" w:rsidRDefault="00F65C05" w:rsidP="00F65C05">
                  <w:pPr>
                    <w:widowControl/>
                    <w:jc w:val="center"/>
                    <w:rPr>
                      <w:rFonts w:ascii="楷体" w:eastAsia="楷体" w:hAnsi="楷体" w:cs="宋体"/>
                      <w:color w:val="000000"/>
                      <w:kern w:val="0"/>
                      <w:sz w:val="20"/>
                      <w:szCs w:val="20"/>
                    </w:rPr>
                  </w:pPr>
                  <w:proofErr w:type="gramStart"/>
                  <w:r w:rsidRPr="00F65C05">
                    <w:rPr>
                      <w:rFonts w:ascii="楷体" w:eastAsia="楷体" w:hAnsi="楷体" w:cs="宋体" w:hint="eastAsia"/>
                      <w:color w:val="000000"/>
                      <w:kern w:val="0"/>
                      <w:sz w:val="20"/>
                      <w:szCs w:val="20"/>
                    </w:rPr>
                    <w:t>城投债</w:t>
                  </w:r>
                  <w:proofErr w:type="gramEnd"/>
                  <w:r w:rsidRPr="00F65C05">
                    <w:rPr>
                      <w:rFonts w:ascii="楷体" w:eastAsia="楷体" w:hAnsi="楷体" w:cs="宋体" w:hint="eastAsia"/>
                      <w:color w:val="000000"/>
                      <w:kern w:val="0"/>
                      <w:sz w:val="20"/>
                      <w:szCs w:val="20"/>
                    </w:rPr>
                    <w:t>3Y</w:t>
                  </w:r>
                </w:p>
              </w:tc>
              <w:tc>
                <w:tcPr>
                  <w:tcW w:w="892" w:type="dxa"/>
                  <w:tcBorders>
                    <w:top w:val="nil"/>
                    <w:left w:val="nil"/>
                    <w:bottom w:val="single" w:sz="8" w:space="0" w:color="FFFFFF"/>
                    <w:right w:val="single" w:sz="8" w:space="0" w:color="FFFFFF"/>
                  </w:tcBorders>
                  <w:shd w:val="clear" w:color="000000" w:fill="FCD5B4"/>
                  <w:noWrap/>
                  <w:vAlign w:val="center"/>
                  <w:hideMark/>
                </w:tcPr>
                <w:p w14:paraId="304557F5"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32%</w:t>
                  </w:r>
                </w:p>
              </w:tc>
              <w:tc>
                <w:tcPr>
                  <w:tcW w:w="892" w:type="dxa"/>
                  <w:tcBorders>
                    <w:top w:val="nil"/>
                    <w:left w:val="nil"/>
                    <w:bottom w:val="single" w:sz="8" w:space="0" w:color="FFFFFF"/>
                    <w:right w:val="single" w:sz="8" w:space="0" w:color="FFFFFF"/>
                  </w:tcBorders>
                  <w:shd w:val="clear" w:color="000000" w:fill="FCD5B4"/>
                  <w:noWrap/>
                  <w:vAlign w:val="center"/>
                  <w:hideMark/>
                </w:tcPr>
                <w:p w14:paraId="6F4C130A"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31%</w:t>
                  </w:r>
                </w:p>
              </w:tc>
              <w:tc>
                <w:tcPr>
                  <w:tcW w:w="892" w:type="dxa"/>
                  <w:tcBorders>
                    <w:top w:val="nil"/>
                    <w:left w:val="nil"/>
                    <w:bottom w:val="single" w:sz="8" w:space="0" w:color="FFFFFF"/>
                    <w:right w:val="single" w:sz="8" w:space="0" w:color="FFFFFF"/>
                  </w:tcBorders>
                  <w:shd w:val="clear" w:color="000000" w:fill="FCD5B4"/>
                  <w:noWrap/>
                  <w:vAlign w:val="center"/>
                  <w:hideMark/>
                </w:tcPr>
                <w:p w14:paraId="548359F2"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29%</w:t>
                  </w:r>
                </w:p>
              </w:tc>
              <w:tc>
                <w:tcPr>
                  <w:tcW w:w="891" w:type="dxa"/>
                  <w:tcBorders>
                    <w:top w:val="nil"/>
                    <w:left w:val="nil"/>
                    <w:bottom w:val="single" w:sz="8" w:space="0" w:color="FFFFFF"/>
                    <w:right w:val="single" w:sz="8" w:space="0" w:color="FFFFFF"/>
                  </w:tcBorders>
                  <w:shd w:val="clear" w:color="000000" w:fill="FCD5B4"/>
                  <w:noWrap/>
                  <w:vAlign w:val="center"/>
                  <w:hideMark/>
                </w:tcPr>
                <w:p w14:paraId="4E1E87BC"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50%</w:t>
                  </w:r>
                </w:p>
              </w:tc>
              <w:tc>
                <w:tcPr>
                  <w:tcW w:w="1117" w:type="dxa"/>
                  <w:tcBorders>
                    <w:top w:val="nil"/>
                    <w:left w:val="nil"/>
                    <w:bottom w:val="single" w:sz="8" w:space="0" w:color="FFFFFF"/>
                    <w:right w:val="single" w:sz="8" w:space="0" w:color="FFFFFF"/>
                  </w:tcBorders>
                  <w:shd w:val="clear" w:color="000000" w:fill="FCD5B4"/>
                  <w:noWrap/>
                  <w:vAlign w:val="center"/>
                  <w:hideMark/>
                </w:tcPr>
                <w:p w14:paraId="044A0394" w14:textId="77777777" w:rsidR="00F65C05" w:rsidRPr="00F65C05" w:rsidRDefault="00F65C05" w:rsidP="00F65C05">
                  <w:pPr>
                    <w:widowControl/>
                    <w:jc w:val="center"/>
                    <w:rPr>
                      <w:rFonts w:ascii="楷体" w:eastAsia="楷体" w:hAnsi="楷体" w:cs="宋体"/>
                      <w:color w:val="000000"/>
                      <w:kern w:val="0"/>
                      <w:sz w:val="20"/>
                      <w:szCs w:val="20"/>
                    </w:rPr>
                  </w:pPr>
                  <w:proofErr w:type="gramStart"/>
                  <w:r w:rsidRPr="00F65C05">
                    <w:rPr>
                      <w:rFonts w:ascii="楷体" w:eastAsia="楷体" w:hAnsi="楷体" w:cs="宋体" w:hint="eastAsia"/>
                      <w:color w:val="000000"/>
                      <w:kern w:val="0"/>
                      <w:sz w:val="20"/>
                      <w:szCs w:val="20"/>
                    </w:rPr>
                    <w:t>城投债</w:t>
                  </w:r>
                  <w:proofErr w:type="gramEnd"/>
                  <w:r w:rsidRPr="00F65C05">
                    <w:rPr>
                      <w:rFonts w:ascii="楷体" w:eastAsia="楷体" w:hAnsi="楷体" w:cs="宋体" w:hint="eastAsia"/>
                      <w:color w:val="000000"/>
                      <w:kern w:val="0"/>
                      <w:sz w:val="20"/>
                      <w:szCs w:val="20"/>
                    </w:rPr>
                    <w:t>3Y</w:t>
                  </w:r>
                </w:p>
              </w:tc>
              <w:tc>
                <w:tcPr>
                  <w:tcW w:w="891" w:type="dxa"/>
                  <w:tcBorders>
                    <w:top w:val="nil"/>
                    <w:left w:val="nil"/>
                    <w:bottom w:val="single" w:sz="8" w:space="0" w:color="FFFFFF"/>
                    <w:right w:val="single" w:sz="8" w:space="0" w:color="FFFFFF"/>
                  </w:tcBorders>
                  <w:shd w:val="clear" w:color="000000" w:fill="FCD5B4"/>
                  <w:noWrap/>
                  <w:vAlign w:val="center"/>
                  <w:hideMark/>
                </w:tcPr>
                <w:p w14:paraId="2677F4CC"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11%</w:t>
                  </w:r>
                </w:p>
              </w:tc>
              <w:tc>
                <w:tcPr>
                  <w:tcW w:w="891" w:type="dxa"/>
                  <w:tcBorders>
                    <w:top w:val="nil"/>
                    <w:left w:val="nil"/>
                    <w:bottom w:val="single" w:sz="8" w:space="0" w:color="FFFFFF"/>
                    <w:right w:val="single" w:sz="8" w:space="0" w:color="FFFFFF"/>
                  </w:tcBorders>
                  <w:shd w:val="clear" w:color="000000" w:fill="FCD5B4"/>
                  <w:noWrap/>
                  <w:vAlign w:val="center"/>
                  <w:hideMark/>
                </w:tcPr>
                <w:p w14:paraId="62F6FA24"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20%</w:t>
                  </w:r>
                </w:p>
              </w:tc>
              <w:tc>
                <w:tcPr>
                  <w:tcW w:w="891" w:type="dxa"/>
                  <w:tcBorders>
                    <w:top w:val="nil"/>
                    <w:left w:val="nil"/>
                    <w:bottom w:val="single" w:sz="8" w:space="0" w:color="FFFFFF"/>
                    <w:right w:val="single" w:sz="8" w:space="0" w:color="FFFFFF"/>
                  </w:tcBorders>
                  <w:shd w:val="clear" w:color="000000" w:fill="FCD5B4"/>
                  <w:noWrap/>
                  <w:vAlign w:val="center"/>
                  <w:hideMark/>
                </w:tcPr>
                <w:p w14:paraId="37E73495"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23%</w:t>
                  </w:r>
                </w:p>
              </w:tc>
              <w:tc>
                <w:tcPr>
                  <w:tcW w:w="891" w:type="dxa"/>
                  <w:tcBorders>
                    <w:top w:val="nil"/>
                    <w:left w:val="nil"/>
                    <w:bottom w:val="single" w:sz="8" w:space="0" w:color="FFFFFF"/>
                    <w:right w:val="single" w:sz="8" w:space="0" w:color="FFFFFF"/>
                  </w:tcBorders>
                  <w:shd w:val="clear" w:color="000000" w:fill="FCD5B4"/>
                  <w:noWrap/>
                  <w:vAlign w:val="center"/>
                  <w:hideMark/>
                </w:tcPr>
                <w:p w14:paraId="3BD91B7C"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47%</w:t>
                  </w:r>
                </w:p>
              </w:tc>
            </w:tr>
            <w:tr w:rsidR="00F65C05" w:rsidRPr="00F65C05" w14:paraId="61076CAE" w14:textId="77777777" w:rsidTr="00867890">
              <w:trPr>
                <w:trHeight w:val="393"/>
              </w:trPr>
              <w:tc>
                <w:tcPr>
                  <w:tcW w:w="1304" w:type="dxa"/>
                  <w:tcBorders>
                    <w:top w:val="nil"/>
                    <w:left w:val="nil"/>
                    <w:bottom w:val="single" w:sz="8" w:space="0" w:color="FFFFFF"/>
                    <w:right w:val="single" w:sz="8" w:space="0" w:color="FFFFFF"/>
                  </w:tcBorders>
                  <w:shd w:val="clear" w:color="000000" w:fill="FDE9D9"/>
                  <w:noWrap/>
                  <w:vAlign w:val="center"/>
                  <w:hideMark/>
                </w:tcPr>
                <w:p w14:paraId="0A7E48B6" w14:textId="77777777" w:rsidR="00F65C05" w:rsidRPr="00F65C05" w:rsidRDefault="00F65C05" w:rsidP="00F65C05">
                  <w:pPr>
                    <w:widowControl/>
                    <w:jc w:val="center"/>
                    <w:rPr>
                      <w:rFonts w:ascii="楷体" w:eastAsia="楷体" w:hAnsi="楷体" w:cs="宋体"/>
                      <w:color w:val="000000"/>
                      <w:kern w:val="0"/>
                      <w:sz w:val="20"/>
                      <w:szCs w:val="20"/>
                    </w:rPr>
                  </w:pPr>
                  <w:proofErr w:type="gramStart"/>
                  <w:r w:rsidRPr="00F65C05">
                    <w:rPr>
                      <w:rFonts w:ascii="楷体" w:eastAsia="楷体" w:hAnsi="楷体" w:cs="宋体" w:hint="eastAsia"/>
                      <w:color w:val="000000"/>
                      <w:kern w:val="0"/>
                      <w:sz w:val="20"/>
                      <w:szCs w:val="20"/>
                    </w:rPr>
                    <w:t>城投债</w:t>
                  </w:r>
                  <w:proofErr w:type="gramEnd"/>
                  <w:r w:rsidRPr="00F65C05">
                    <w:rPr>
                      <w:rFonts w:ascii="楷体" w:eastAsia="楷体" w:hAnsi="楷体" w:cs="宋体" w:hint="eastAsia"/>
                      <w:color w:val="000000"/>
                      <w:kern w:val="0"/>
                      <w:sz w:val="20"/>
                      <w:szCs w:val="20"/>
                    </w:rPr>
                    <w:t>5Y</w:t>
                  </w:r>
                </w:p>
              </w:tc>
              <w:tc>
                <w:tcPr>
                  <w:tcW w:w="892" w:type="dxa"/>
                  <w:tcBorders>
                    <w:top w:val="nil"/>
                    <w:left w:val="nil"/>
                    <w:bottom w:val="single" w:sz="8" w:space="0" w:color="FFFFFF"/>
                    <w:right w:val="single" w:sz="8" w:space="0" w:color="FFFFFF"/>
                  </w:tcBorders>
                  <w:shd w:val="clear" w:color="000000" w:fill="FDE9D9"/>
                  <w:noWrap/>
                  <w:vAlign w:val="center"/>
                  <w:hideMark/>
                </w:tcPr>
                <w:p w14:paraId="29B81F32"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21%</w:t>
                  </w:r>
                </w:p>
              </w:tc>
              <w:tc>
                <w:tcPr>
                  <w:tcW w:w="892" w:type="dxa"/>
                  <w:tcBorders>
                    <w:top w:val="nil"/>
                    <w:left w:val="nil"/>
                    <w:bottom w:val="single" w:sz="8" w:space="0" w:color="FFFFFF"/>
                    <w:right w:val="single" w:sz="8" w:space="0" w:color="FFFFFF"/>
                  </w:tcBorders>
                  <w:shd w:val="clear" w:color="000000" w:fill="FDE9D9"/>
                  <w:noWrap/>
                  <w:vAlign w:val="center"/>
                  <w:hideMark/>
                </w:tcPr>
                <w:p w14:paraId="17919A08"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20%</w:t>
                  </w:r>
                </w:p>
              </w:tc>
              <w:tc>
                <w:tcPr>
                  <w:tcW w:w="892" w:type="dxa"/>
                  <w:tcBorders>
                    <w:top w:val="nil"/>
                    <w:left w:val="nil"/>
                    <w:bottom w:val="single" w:sz="8" w:space="0" w:color="FFFFFF"/>
                    <w:right w:val="single" w:sz="8" w:space="0" w:color="FFFFFF"/>
                  </w:tcBorders>
                  <w:shd w:val="clear" w:color="000000" w:fill="FDE9D9"/>
                  <w:noWrap/>
                  <w:vAlign w:val="center"/>
                  <w:hideMark/>
                </w:tcPr>
                <w:p w14:paraId="47CEE8B7"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20%</w:t>
                  </w:r>
                </w:p>
              </w:tc>
              <w:tc>
                <w:tcPr>
                  <w:tcW w:w="891" w:type="dxa"/>
                  <w:tcBorders>
                    <w:top w:val="nil"/>
                    <w:left w:val="nil"/>
                    <w:bottom w:val="single" w:sz="8" w:space="0" w:color="FFFFFF"/>
                    <w:right w:val="single" w:sz="8" w:space="0" w:color="FFFFFF"/>
                  </w:tcBorders>
                  <w:shd w:val="clear" w:color="000000" w:fill="FDE9D9"/>
                  <w:noWrap/>
                  <w:vAlign w:val="center"/>
                  <w:hideMark/>
                </w:tcPr>
                <w:p w14:paraId="67C29D14"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52%</w:t>
                  </w:r>
                </w:p>
              </w:tc>
              <w:tc>
                <w:tcPr>
                  <w:tcW w:w="1117" w:type="dxa"/>
                  <w:tcBorders>
                    <w:top w:val="nil"/>
                    <w:left w:val="nil"/>
                    <w:bottom w:val="single" w:sz="8" w:space="0" w:color="FFFFFF"/>
                    <w:right w:val="single" w:sz="8" w:space="0" w:color="FFFFFF"/>
                  </w:tcBorders>
                  <w:shd w:val="clear" w:color="000000" w:fill="FDE9D9"/>
                  <w:noWrap/>
                  <w:vAlign w:val="center"/>
                  <w:hideMark/>
                </w:tcPr>
                <w:p w14:paraId="3010F7FC" w14:textId="77777777" w:rsidR="00F65C05" w:rsidRPr="00F65C05" w:rsidRDefault="00F65C05" w:rsidP="00F65C05">
                  <w:pPr>
                    <w:widowControl/>
                    <w:jc w:val="center"/>
                    <w:rPr>
                      <w:rFonts w:ascii="楷体" w:eastAsia="楷体" w:hAnsi="楷体" w:cs="宋体"/>
                      <w:color w:val="000000"/>
                      <w:kern w:val="0"/>
                      <w:sz w:val="20"/>
                      <w:szCs w:val="20"/>
                    </w:rPr>
                  </w:pPr>
                  <w:proofErr w:type="gramStart"/>
                  <w:r w:rsidRPr="00F65C05">
                    <w:rPr>
                      <w:rFonts w:ascii="楷体" w:eastAsia="楷体" w:hAnsi="楷体" w:cs="宋体" w:hint="eastAsia"/>
                      <w:color w:val="000000"/>
                      <w:kern w:val="0"/>
                      <w:sz w:val="20"/>
                      <w:szCs w:val="20"/>
                    </w:rPr>
                    <w:t>城投债</w:t>
                  </w:r>
                  <w:proofErr w:type="gramEnd"/>
                  <w:r w:rsidRPr="00F65C05">
                    <w:rPr>
                      <w:rFonts w:ascii="楷体" w:eastAsia="楷体" w:hAnsi="楷体" w:cs="宋体" w:hint="eastAsia"/>
                      <w:color w:val="000000"/>
                      <w:kern w:val="0"/>
                      <w:sz w:val="20"/>
                      <w:szCs w:val="20"/>
                    </w:rPr>
                    <w:t>5Y</w:t>
                  </w:r>
                </w:p>
              </w:tc>
              <w:tc>
                <w:tcPr>
                  <w:tcW w:w="891" w:type="dxa"/>
                  <w:tcBorders>
                    <w:top w:val="nil"/>
                    <w:left w:val="nil"/>
                    <w:bottom w:val="single" w:sz="8" w:space="0" w:color="FFFFFF"/>
                    <w:right w:val="single" w:sz="8" w:space="0" w:color="FFFFFF"/>
                  </w:tcBorders>
                  <w:shd w:val="clear" w:color="000000" w:fill="FDE9D9"/>
                  <w:noWrap/>
                  <w:vAlign w:val="center"/>
                  <w:hideMark/>
                </w:tcPr>
                <w:p w14:paraId="160651B8"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9%</w:t>
                  </w:r>
                </w:p>
              </w:tc>
              <w:tc>
                <w:tcPr>
                  <w:tcW w:w="891" w:type="dxa"/>
                  <w:tcBorders>
                    <w:top w:val="nil"/>
                    <w:left w:val="nil"/>
                    <w:bottom w:val="single" w:sz="8" w:space="0" w:color="FFFFFF"/>
                    <w:right w:val="single" w:sz="8" w:space="0" w:color="FFFFFF"/>
                  </w:tcBorders>
                  <w:shd w:val="clear" w:color="000000" w:fill="FDE9D9"/>
                  <w:noWrap/>
                  <w:vAlign w:val="center"/>
                  <w:hideMark/>
                </w:tcPr>
                <w:p w14:paraId="0B79CB26"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14%</w:t>
                  </w:r>
                </w:p>
              </w:tc>
              <w:tc>
                <w:tcPr>
                  <w:tcW w:w="891" w:type="dxa"/>
                  <w:tcBorders>
                    <w:top w:val="nil"/>
                    <w:left w:val="nil"/>
                    <w:bottom w:val="single" w:sz="8" w:space="0" w:color="FFFFFF"/>
                    <w:right w:val="single" w:sz="8" w:space="0" w:color="FFFFFF"/>
                  </w:tcBorders>
                  <w:shd w:val="clear" w:color="000000" w:fill="FDE9D9"/>
                  <w:noWrap/>
                  <w:vAlign w:val="center"/>
                  <w:hideMark/>
                </w:tcPr>
                <w:p w14:paraId="5A733956"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13%</w:t>
                  </w:r>
                </w:p>
              </w:tc>
              <w:tc>
                <w:tcPr>
                  <w:tcW w:w="891" w:type="dxa"/>
                  <w:tcBorders>
                    <w:top w:val="nil"/>
                    <w:left w:val="nil"/>
                    <w:bottom w:val="single" w:sz="8" w:space="0" w:color="FFFFFF"/>
                    <w:right w:val="single" w:sz="8" w:space="0" w:color="FFFFFF"/>
                  </w:tcBorders>
                  <w:shd w:val="clear" w:color="000000" w:fill="FDE9D9"/>
                  <w:noWrap/>
                  <w:vAlign w:val="center"/>
                  <w:hideMark/>
                </w:tcPr>
                <w:p w14:paraId="116B6B7E"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62%</w:t>
                  </w:r>
                </w:p>
              </w:tc>
            </w:tr>
            <w:tr w:rsidR="00F65C05" w:rsidRPr="00F65C05" w14:paraId="1810B87C" w14:textId="77777777" w:rsidTr="00867890">
              <w:trPr>
                <w:trHeight w:val="393"/>
              </w:trPr>
              <w:tc>
                <w:tcPr>
                  <w:tcW w:w="1304" w:type="dxa"/>
                  <w:tcBorders>
                    <w:top w:val="nil"/>
                    <w:left w:val="nil"/>
                    <w:bottom w:val="nil"/>
                    <w:right w:val="nil"/>
                  </w:tcBorders>
                  <w:shd w:val="clear" w:color="000000" w:fill="FCD5B4"/>
                  <w:noWrap/>
                  <w:vAlign w:val="center"/>
                  <w:hideMark/>
                </w:tcPr>
                <w:p w14:paraId="74E139FB" w14:textId="77777777" w:rsidR="00F65C05" w:rsidRPr="00F65C05" w:rsidRDefault="00F65C05" w:rsidP="00F65C05">
                  <w:pPr>
                    <w:widowControl/>
                    <w:jc w:val="center"/>
                    <w:rPr>
                      <w:rFonts w:ascii="楷体" w:eastAsia="楷体" w:hAnsi="楷体" w:cs="宋体"/>
                      <w:color w:val="000000"/>
                      <w:kern w:val="0"/>
                      <w:sz w:val="20"/>
                      <w:szCs w:val="20"/>
                    </w:rPr>
                  </w:pPr>
                  <w:proofErr w:type="gramStart"/>
                  <w:r w:rsidRPr="00F65C05">
                    <w:rPr>
                      <w:rFonts w:ascii="楷体" w:eastAsia="楷体" w:hAnsi="楷体" w:cs="宋体" w:hint="eastAsia"/>
                      <w:color w:val="000000"/>
                      <w:kern w:val="0"/>
                      <w:sz w:val="20"/>
                      <w:szCs w:val="20"/>
                    </w:rPr>
                    <w:t>城投债</w:t>
                  </w:r>
                  <w:proofErr w:type="gramEnd"/>
                  <w:r w:rsidRPr="00F65C05">
                    <w:rPr>
                      <w:rFonts w:ascii="楷体" w:eastAsia="楷体" w:hAnsi="楷体" w:cs="宋体" w:hint="eastAsia"/>
                      <w:color w:val="000000"/>
                      <w:kern w:val="0"/>
                      <w:sz w:val="20"/>
                      <w:szCs w:val="20"/>
                    </w:rPr>
                    <w:t>7Y</w:t>
                  </w:r>
                </w:p>
              </w:tc>
              <w:tc>
                <w:tcPr>
                  <w:tcW w:w="892" w:type="dxa"/>
                  <w:tcBorders>
                    <w:top w:val="nil"/>
                    <w:left w:val="nil"/>
                    <w:bottom w:val="single" w:sz="8" w:space="0" w:color="FFFFFF"/>
                    <w:right w:val="single" w:sz="8" w:space="0" w:color="FFFFFF"/>
                  </w:tcBorders>
                  <w:shd w:val="clear" w:color="000000" w:fill="FCD5B4"/>
                  <w:noWrap/>
                  <w:vAlign w:val="center"/>
                  <w:hideMark/>
                </w:tcPr>
                <w:p w14:paraId="7F7A4C2A"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20%</w:t>
                  </w:r>
                </w:p>
              </w:tc>
              <w:tc>
                <w:tcPr>
                  <w:tcW w:w="892" w:type="dxa"/>
                  <w:tcBorders>
                    <w:top w:val="nil"/>
                    <w:left w:val="nil"/>
                    <w:bottom w:val="single" w:sz="8" w:space="0" w:color="FFFFFF"/>
                    <w:right w:val="single" w:sz="8" w:space="0" w:color="FFFFFF"/>
                  </w:tcBorders>
                  <w:shd w:val="clear" w:color="000000" w:fill="FCD5B4"/>
                  <w:noWrap/>
                  <w:vAlign w:val="center"/>
                  <w:hideMark/>
                </w:tcPr>
                <w:p w14:paraId="11C8DC60"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18%</w:t>
                  </w:r>
                </w:p>
              </w:tc>
              <w:tc>
                <w:tcPr>
                  <w:tcW w:w="892" w:type="dxa"/>
                  <w:tcBorders>
                    <w:top w:val="nil"/>
                    <w:left w:val="nil"/>
                    <w:bottom w:val="single" w:sz="8" w:space="0" w:color="FFFFFF"/>
                    <w:right w:val="single" w:sz="8" w:space="0" w:color="FFFFFF"/>
                  </w:tcBorders>
                  <w:shd w:val="clear" w:color="000000" w:fill="FCD5B4"/>
                  <w:noWrap/>
                  <w:vAlign w:val="center"/>
                  <w:hideMark/>
                </w:tcPr>
                <w:p w14:paraId="61BAFEC1"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18%</w:t>
                  </w:r>
                </w:p>
              </w:tc>
              <w:tc>
                <w:tcPr>
                  <w:tcW w:w="891" w:type="dxa"/>
                  <w:tcBorders>
                    <w:top w:val="nil"/>
                    <w:left w:val="nil"/>
                    <w:bottom w:val="single" w:sz="8" w:space="0" w:color="FFFFFF"/>
                    <w:right w:val="single" w:sz="8" w:space="0" w:color="FFFFFF"/>
                  </w:tcBorders>
                  <w:shd w:val="clear" w:color="000000" w:fill="FCD5B4"/>
                  <w:noWrap/>
                  <w:vAlign w:val="center"/>
                  <w:hideMark/>
                </w:tcPr>
                <w:p w14:paraId="5DCC0E93"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58%</w:t>
                  </w:r>
                </w:p>
              </w:tc>
              <w:tc>
                <w:tcPr>
                  <w:tcW w:w="1117" w:type="dxa"/>
                  <w:tcBorders>
                    <w:top w:val="nil"/>
                    <w:left w:val="nil"/>
                    <w:bottom w:val="nil"/>
                    <w:right w:val="nil"/>
                  </w:tcBorders>
                  <w:shd w:val="clear" w:color="000000" w:fill="FCD5B4"/>
                  <w:noWrap/>
                  <w:vAlign w:val="center"/>
                  <w:hideMark/>
                </w:tcPr>
                <w:p w14:paraId="7857FCC8" w14:textId="77777777" w:rsidR="00F65C05" w:rsidRPr="00F65C05" w:rsidRDefault="00F65C05" w:rsidP="00F65C05">
                  <w:pPr>
                    <w:widowControl/>
                    <w:jc w:val="center"/>
                    <w:rPr>
                      <w:rFonts w:ascii="楷体" w:eastAsia="楷体" w:hAnsi="楷体" w:cs="宋体"/>
                      <w:color w:val="000000"/>
                      <w:kern w:val="0"/>
                      <w:sz w:val="20"/>
                      <w:szCs w:val="20"/>
                    </w:rPr>
                  </w:pPr>
                  <w:proofErr w:type="gramStart"/>
                  <w:r w:rsidRPr="00F65C05">
                    <w:rPr>
                      <w:rFonts w:ascii="楷体" w:eastAsia="楷体" w:hAnsi="楷体" w:cs="宋体" w:hint="eastAsia"/>
                      <w:color w:val="000000"/>
                      <w:kern w:val="0"/>
                      <w:sz w:val="20"/>
                      <w:szCs w:val="20"/>
                    </w:rPr>
                    <w:t>城投债</w:t>
                  </w:r>
                  <w:proofErr w:type="gramEnd"/>
                  <w:r w:rsidRPr="00F65C05">
                    <w:rPr>
                      <w:rFonts w:ascii="楷体" w:eastAsia="楷体" w:hAnsi="楷体" w:cs="宋体" w:hint="eastAsia"/>
                      <w:color w:val="000000"/>
                      <w:kern w:val="0"/>
                      <w:sz w:val="20"/>
                      <w:szCs w:val="20"/>
                    </w:rPr>
                    <w:t>7Y</w:t>
                  </w:r>
                </w:p>
              </w:tc>
              <w:tc>
                <w:tcPr>
                  <w:tcW w:w="891" w:type="dxa"/>
                  <w:tcBorders>
                    <w:top w:val="nil"/>
                    <w:left w:val="nil"/>
                    <w:bottom w:val="single" w:sz="8" w:space="0" w:color="FFFFFF"/>
                    <w:right w:val="single" w:sz="8" w:space="0" w:color="FFFFFF"/>
                  </w:tcBorders>
                  <w:shd w:val="clear" w:color="000000" w:fill="FCD5B4"/>
                  <w:noWrap/>
                  <w:vAlign w:val="center"/>
                  <w:hideMark/>
                </w:tcPr>
                <w:p w14:paraId="62898DA0"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12%</w:t>
                  </w:r>
                </w:p>
              </w:tc>
              <w:tc>
                <w:tcPr>
                  <w:tcW w:w="891" w:type="dxa"/>
                  <w:tcBorders>
                    <w:top w:val="nil"/>
                    <w:left w:val="nil"/>
                    <w:bottom w:val="single" w:sz="8" w:space="0" w:color="FFFFFF"/>
                    <w:right w:val="single" w:sz="8" w:space="0" w:color="FFFFFF"/>
                  </w:tcBorders>
                  <w:shd w:val="clear" w:color="000000" w:fill="FCD5B4"/>
                  <w:noWrap/>
                  <w:vAlign w:val="center"/>
                  <w:hideMark/>
                </w:tcPr>
                <w:p w14:paraId="520B0E76"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11%</w:t>
                  </w:r>
                </w:p>
              </w:tc>
              <w:tc>
                <w:tcPr>
                  <w:tcW w:w="891" w:type="dxa"/>
                  <w:tcBorders>
                    <w:top w:val="nil"/>
                    <w:left w:val="nil"/>
                    <w:bottom w:val="single" w:sz="8" w:space="0" w:color="FFFFFF"/>
                    <w:right w:val="single" w:sz="8" w:space="0" w:color="FFFFFF"/>
                  </w:tcBorders>
                  <w:shd w:val="clear" w:color="000000" w:fill="FCD5B4"/>
                  <w:noWrap/>
                  <w:vAlign w:val="center"/>
                  <w:hideMark/>
                </w:tcPr>
                <w:p w14:paraId="0D36AED2"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9%</w:t>
                  </w:r>
                </w:p>
              </w:tc>
              <w:tc>
                <w:tcPr>
                  <w:tcW w:w="891" w:type="dxa"/>
                  <w:tcBorders>
                    <w:top w:val="nil"/>
                    <w:left w:val="nil"/>
                    <w:bottom w:val="single" w:sz="8" w:space="0" w:color="FFFFFF"/>
                    <w:right w:val="single" w:sz="8" w:space="0" w:color="FFFFFF"/>
                  </w:tcBorders>
                  <w:shd w:val="clear" w:color="000000" w:fill="FCD5B4"/>
                  <w:noWrap/>
                  <w:vAlign w:val="center"/>
                  <w:hideMark/>
                </w:tcPr>
                <w:p w14:paraId="05DD5BA0" w14:textId="77777777" w:rsidR="00F65C05" w:rsidRPr="00F65C05" w:rsidRDefault="00F65C05" w:rsidP="00F65C05">
                  <w:pPr>
                    <w:widowControl/>
                    <w:jc w:val="center"/>
                    <w:rPr>
                      <w:rFonts w:eastAsia="等线" w:cs="Calibri"/>
                      <w:color w:val="000000"/>
                      <w:kern w:val="0"/>
                      <w:szCs w:val="21"/>
                    </w:rPr>
                  </w:pPr>
                  <w:r w:rsidRPr="00F65C05">
                    <w:rPr>
                      <w:rFonts w:eastAsia="等线" w:cs="Calibri"/>
                      <w:color w:val="000000"/>
                      <w:kern w:val="0"/>
                      <w:szCs w:val="21"/>
                    </w:rPr>
                    <w:t>65%</w:t>
                  </w:r>
                </w:p>
              </w:tc>
            </w:tr>
          </w:tbl>
          <w:p w14:paraId="446C7D6E" w14:textId="294F6511" w:rsidR="00E0626C" w:rsidRPr="003C1CC8" w:rsidRDefault="00E0626C" w:rsidP="0092340D">
            <w:pPr>
              <w:rPr>
                <w:noProof/>
                <w:szCs w:val="18"/>
              </w:rPr>
            </w:pPr>
          </w:p>
        </w:tc>
      </w:tr>
      <w:tr w:rsidR="00E0626C" w:rsidRPr="006A5F34" w14:paraId="01D36A65" w14:textId="77777777" w:rsidTr="00220902">
        <w:trPr>
          <w:trHeight w:val="60"/>
          <w:jc w:val="center"/>
        </w:trPr>
        <w:tc>
          <w:tcPr>
            <w:tcW w:w="9713" w:type="dxa"/>
            <w:vAlign w:val="center"/>
          </w:tcPr>
          <w:p w14:paraId="6284202E" w14:textId="2B61B5A0" w:rsidR="00E0626C" w:rsidRPr="006A5F34" w:rsidRDefault="00E0626C" w:rsidP="009A2BA0">
            <w:pPr>
              <w:pStyle w:val="Source"/>
              <w:jc w:val="both"/>
              <w:rPr>
                <w:kern w:val="0"/>
              </w:rPr>
            </w:pPr>
            <w:r w:rsidRPr="006A5F34">
              <w:rPr>
                <w:rFonts w:hint="eastAsia"/>
                <w:kern w:val="0"/>
              </w:rPr>
              <w:t>资料来源：万得</w:t>
            </w:r>
            <w:r>
              <w:rPr>
                <w:rFonts w:hint="eastAsia"/>
                <w:kern w:val="0"/>
              </w:rPr>
              <w:t>，富荣基金；利差基准为同期限国债</w:t>
            </w:r>
          </w:p>
        </w:tc>
      </w:tr>
    </w:tbl>
    <w:p w14:paraId="26A54476" w14:textId="77777777" w:rsidR="00E0626C" w:rsidRPr="00B8530C" w:rsidRDefault="00E0626C" w:rsidP="009A2BA0">
      <w:pPr>
        <w:pStyle w:val="Body-text"/>
        <w:spacing w:after="0"/>
        <w:rPr>
          <w:lang w:eastAsia="zh-CN"/>
        </w:rPr>
      </w:pPr>
    </w:p>
    <w:p w14:paraId="2D403D4F" w14:textId="78A4441C" w:rsidR="00E0626C" w:rsidRPr="00C73E5D" w:rsidRDefault="00E0626C" w:rsidP="009A2BA0">
      <w:pPr>
        <w:pStyle w:val="Header2"/>
        <w:rPr>
          <w:rFonts w:eastAsia="PMingLiU"/>
          <w:sz w:val="28"/>
          <w:szCs w:val="21"/>
          <w:lang w:eastAsia="zh-CN"/>
        </w:rPr>
      </w:pPr>
      <w:r>
        <w:rPr>
          <w:sz w:val="28"/>
          <w:szCs w:val="21"/>
          <w:lang w:eastAsia="zh-CN"/>
        </w:rPr>
        <w:t>4</w:t>
      </w:r>
      <w:r>
        <w:rPr>
          <w:rFonts w:hint="eastAsia"/>
          <w:sz w:val="28"/>
          <w:szCs w:val="21"/>
          <w:lang w:eastAsia="zh-CN"/>
        </w:rPr>
        <w:t>、</w:t>
      </w:r>
      <w:r>
        <w:rPr>
          <w:rFonts w:hint="eastAsia"/>
          <w:sz w:val="28"/>
          <w:szCs w:val="21"/>
        </w:rPr>
        <w:t>可转债</w:t>
      </w:r>
    </w:p>
    <w:p w14:paraId="526CD45E" w14:textId="4F9C08A8" w:rsidR="00C37204" w:rsidRPr="00C16434" w:rsidRDefault="006050AB" w:rsidP="00416C5F">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本周</w:t>
      </w:r>
      <w:r w:rsidR="003926C0" w:rsidRPr="003926C0">
        <w:rPr>
          <w:rFonts w:ascii="华文楷体" w:hAnsi="华文楷体" w:hint="eastAsia"/>
          <w:sz w:val="24"/>
          <w:szCs w:val="24"/>
          <w:lang w:eastAsia="zh-CN"/>
        </w:rPr>
        <w:t>权益</w:t>
      </w:r>
      <w:r w:rsidR="003926C0">
        <w:rPr>
          <w:rFonts w:ascii="华文楷体" w:hAnsi="华文楷体" w:hint="eastAsia"/>
          <w:sz w:val="24"/>
          <w:szCs w:val="24"/>
          <w:lang w:eastAsia="zh-CN"/>
        </w:rPr>
        <w:t>市场情绪</w:t>
      </w:r>
      <w:r w:rsidR="00E33989">
        <w:rPr>
          <w:rFonts w:ascii="华文楷体" w:hAnsi="华文楷体" w:hint="eastAsia"/>
          <w:sz w:val="24"/>
          <w:szCs w:val="24"/>
          <w:lang w:eastAsia="zh-CN"/>
        </w:rPr>
        <w:t>较好</w:t>
      </w:r>
      <w:r w:rsidR="00345C30">
        <w:rPr>
          <w:rFonts w:ascii="华文楷体" w:hAnsi="华文楷体" w:hint="eastAsia"/>
          <w:sz w:val="24"/>
          <w:szCs w:val="24"/>
          <w:lang w:eastAsia="zh-CN"/>
        </w:rPr>
        <w:t>，</w:t>
      </w:r>
      <w:r w:rsidR="00E33989">
        <w:rPr>
          <w:rFonts w:ascii="华文楷体" w:hAnsi="华文楷体" w:hint="eastAsia"/>
          <w:sz w:val="24"/>
          <w:szCs w:val="24"/>
          <w:lang w:eastAsia="zh-CN"/>
        </w:rPr>
        <w:t>创业板</w:t>
      </w:r>
      <w:proofErr w:type="gramStart"/>
      <w:r w:rsidR="00E33989">
        <w:rPr>
          <w:rFonts w:ascii="华文楷体" w:hAnsi="华文楷体" w:hint="eastAsia"/>
          <w:sz w:val="24"/>
          <w:szCs w:val="24"/>
          <w:lang w:eastAsia="zh-CN"/>
        </w:rPr>
        <w:t>指反弹</w:t>
      </w:r>
      <w:proofErr w:type="gramEnd"/>
      <w:r w:rsidR="00E33989">
        <w:rPr>
          <w:rFonts w:ascii="华文楷体" w:hAnsi="华文楷体" w:hint="eastAsia"/>
          <w:sz w:val="24"/>
          <w:szCs w:val="24"/>
          <w:lang w:eastAsia="zh-CN"/>
        </w:rPr>
        <w:t>明显</w:t>
      </w:r>
      <w:r w:rsidR="003926C0">
        <w:rPr>
          <w:rFonts w:ascii="华文楷体" w:hAnsi="华文楷体" w:hint="eastAsia"/>
          <w:sz w:val="24"/>
          <w:szCs w:val="24"/>
          <w:lang w:eastAsia="zh-CN"/>
        </w:rPr>
        <w:t>，</w:t>
      </w:r>
      <w:r w:rsidR="00363D41">
        <w:rPr>
          <w:rFonts w:ascii="华文楷体" w:hAnsi="华文楷体" w:hint="eastAsia"/>
          <w:sz w:val="24"/>
          <w:szCs w:val="24"/>
          <w:lang w:eastAsia="zh-CN"/>
        </w:rPr>
        <w:t>成交量</w:t>
      </w:r>
      <w:r w:rsidR="00E33989">
        <w:rPr>
          <w:rFonts w:ascii="华文楷体" w:hAnsi="华文楷体" w:hint="eastAsia"/>
          <w:sz w:val="24"/>
          <w:szCs w:val="24"/>
          <w:lang w:eastAsia="zh-CN"/>
        </w:rPr>
        <w:t>多数板块小幅放量</w:t>
      </w:r>
      <w:r w:rsidR="003926C0" w:rsidRPr="003926C0">
        <w:rPr>
          <w:rFonts w:ascii="华文楷体" w:hAnsi="华文楷体" w:hint="eastAsia"/>
          <w:sz w:val="24"/>
          <w:szCs w:val="24"/>
          <w:lang w:eastAsia="zh-CN"/>
        </w:rPr>
        <w:t>。</w:t>
      </w:r>
      <w:r w:rsidR="003926C0">
        <w:rPr>
          <w:rFonts w:ascii="华文楷体" w:hAnsi="华文楷体" w:hint="eastAsia"/>
          <w:sz w:val="24"/>
          <w:szCs w:val="24"/>
          <w:lang w:eastAsia="zh-CN"/>
        </w:rPr>
        <w:t>转债</w:t>
      </w:r>
      <w:r w:rsidR="00D53DFA">
        <w:rPr>
          <w:rFonts w:ascii="华文楷体" w:hAnsi="华文楷体" w:hint="eastAsia"/>
          <w:sz w:val="24"/>
          <w:szCs w:val="24"/>
          <w:lang w:eastAsia="zh-CN"/>
        </w:rPr>
        <w:t>策略</w:t>
      </w:r>
      <w:r w:rsidR="00696F26">
        <w:rPr>
          <w:rFonts w:ascii="华文楷体" w:hAnsi="华文楷体" w:hint="eastAsia"/>
          <w:sz w:val="24"/>
          <w:szCs w:val="24"/>
          <w:lang w:eastAsia="zh-CN"/>
        </w:rPr>
        <w:t>方面</w:t>
      </w:r>
      <w:r w:rsidR="00345C30">
        <w:rPr>
          <w:rFonts w:ascii="华文楷体" w:hAnsi="华文楷体" w:hint="eastAsia"/>
          <w:sz w:val="24"/>
          <w:szCs w:val="24"/>
          <w:lang w:eastAsia="zh-CN"/>
        </w:rPr>
        <w:t>持</w:t>
      </w:r>
      <w:r w:rsidR="00345C30">
        <w:rPr>
          <w:rFonts w:ascii="华文楷体" w:hAnsi="华文楷体" w:hint="eastAsia"/>
          <w:sz w:val="24"/>
          <w:szCs w:val="24"/>
          <w:lang w:eastAsia="zh-CN"/>
        </w:rPr>
        <w:lastRenderedPageBreak/>
        <w:t>续</w:t>
      </w:r>
      <w:r w:rsidR="00696F26">
        <w:rPr>
          <w:rFonts w:ascii="华文楷体" w:hAnsi="华文楷体" w:hint="eastAsia"/>
          <w:sz w:val="24"/>
          <w:szCs w:val="24"/>
          <w:lang w:eastAsia="zh-CN"/>
        </w:rPr>
        <w:t>关注行业景气度、业绩较好、估值较低的品种</w:t>
      </w:r>
      <w:r w:rsidR="00345C30">
        <w:rPr>
          <w:rFonts w:ascii="华文楷体" w:hAnsi="华文楷体" w:hint="eastAsia"/>
          <w:sz w:val="24"/>
          <w:szCs w:val="24"/>
          <w:lang w:eastAsia="zh-CN"/>
        </w:rPr>
        <w:t>，关注行业和个</w:t>
      </w:r>
      <w:proofErr w:type="gramStart"/>
      <w:r w:rsidR="00345C30">
        <w:rPr>
          <w:rFonts w:ascii="华文楷体" w:hAnsi="华文楷体" w:hint="eastAsia"/>
          <w:sz w:val="24"/>
          <w:szCs w:val="24"/>
          <w:lang w:eastAsia="zh-CN"/>
        </w:rPr>
        <w:t>券</w:t>
      </w:r>
      <w:proofErr w:type="gramEnd"/>
      <w:r w:rsidR="00345C30">
        <w:rPr>
          <w:rFonts w:ascii="华文楷体" w:hAnsi="华文楷体" w:hint="eastAsia"/>
          <w:sz w:val="24"/>
          <w:szCs w:val="24"/>
          <w:lang w:eastAsia="zh-CN"/>
        </w:rPr>
        <w:t>配置机会</w:t>
      </w:r>
      <w:r w:rsidR="003926C0" w:rsidRPr="003926C0">
        <w:rPr>
          <w:rFonts w:ascii="华文楷体" w:hAnsi="华文楷体" w:hint="eastAsia"/>
          <w:sz w:val="24"/>
          <w:szCs w:val="24"/>
          <w:lang w:eastAsia="zh-CN"/>
        </w:rPr>
        <w:t>。</w:t>
      </w:r>
      <w:r w:rsidR="00591DD3">
        <w:rPr>
          <w:rFonts w:ascii="华文楷体" w:hAnsi="华文楷体" w:hint="eastAsia"/>
          <w:sz w:val="24"/>
          <w:szCs w:val="24"/>
          <w:lang w:eastAsia="zh-CN"/>
        </w:rPr>
        <w:t>本周，</w:t>
      </w:r>
      <w:r w:rsidR="00AC28BB">
        <w:rPr>
          <w:rFonts w:ascii="华文楷体" w:hAnsi="华文楷体" w:hint="eastAsia"/>
          <w:sz w:val="24"/>
          <w:szCs w:val="24"/>
          <w:lang w:eastAsia="zh-CN"/>
        </w:rPr>
        <w:t>上证综指</w:t>
      </w:r>
      <w:r w:rsidR="00AC28BB">
        <w:rPr>
          <w:rFonts w:ascii="华文楷体" w:hAnsi="华文楷体"/>
          <w:sz w:val="24"/>
          <w:szCs w:val="24"/>
          <w:lang w:eastAsia="zh-CN"/>
        </w:rPr>
        <w:t>、</w:t>
      </w:r>
      <w:r w:rsidR="00AC28BB">
        <w:rPr>
          <w:rFonts w:ascii="华文楷体" w:hAnsi="华文楷体" w:hint="eastAsia"/>
          <w:sz w:val="24"/>
          <w:szCs w:val="24"/>
          <w:lang w:eastAsia="zh-CN"/>
        </w:rPr>
        <w:t>创业板指</w:t>
      </w:r>
      <w:r w:rsidR="00AC28BB">
        <w:rPr>
          <w:rFonts w:ascii="华文楷体" w:hAnsi="华文楷体"/>
          <w:sz w:val="24"/>
          <w:szCs w:val="24"/>
          <w:lang w:eastAsia="zh-CN"/>
        </w:rPr>
        <w:t>、上证</w:t>
      </w:r>
      <w:r w:rsidR="00AC28BB">
        <w:rPr>
          <w:rFonts w:ascii="华文楷体" w:hAnsi="华文楷体" w:hint="eastAsia"/>
          <w:sz w:val="24"/>
          <w:szCs w:val="24"/>
          <w:lang w:eastAsia="zh-CN"/>
        </w:rPr>
        <w:t>50和</w:t>
      </w:r>
      <w:r w:rsidR="00AC28BB">
        <w:rPr>
          <w:rFonts w:ascii="华文楷体" w:hAnsi="华文楷体"/>
          <w:sz w:val="24"/>
          <w:szCs w:val="24"/>
          <w:lang w:eastAsia="zh-CN"/>
        </w:rPr>
        <w:t>沪深</w:t>
      </w:r>
      <w:r w:rsidR="00AC28BB">
        <w:rPr>
          <w:rFonts w:ascii="华文楷体" w:hAnsi="华文楷体" w:hint="eastAsia"/>
          <w:sz w:val="24"/>
          <w:szCs w:val="24"/>
          <w:lang w:eastAsia="zh-CN"/>
        </w:rPr>
        <w:t>300表现</w:t>
      </w:r>
      <w:r w:rsidR="00AC28BB">
        <w:rPr>
          <w:rFonts w:ascii="华文楷体" w:hAnsi="华文楷体"/>
          <w:sz w:val="24"/>
          <w:szCs w:val="24"/>
          <w:lang w:eastAsia="zh-CN"/>
        </w:rPr>
        <w:t>分别为</w:t>
      </w:r>
      <w:r w:rsidR="00363D41">
        <w:rPr>
          <w:rFonts w:ascii="华文楷体" w:hAnsi="华文楷体" w:hint="eastAsia"/>
          <w:sz w:val="24"/>
          <w:szCs w:val="24"/>
          <w:lang w:eastAsia="zh-CN"/>
        </w:rPr>
        <w:t>+</w:t>
      </w:r>
      <w:r w:rsidR="001E28D3">
        <w:rPr>
          <w:rFonts w:ascii="华文楷体" w:hAnsi="华文楷体" w:hint="eastAsia"/>
          <w:sz w:val="24"/>
          <w:szCs w:val="24"/>
          <w:lang w:eastAsia="zh-CN"/>
        </w:rPr>
        <w:t>1.1</w:t>
      </w:r>
      <w:r w:rsidR="00AC28BB">
        <w:rPr>
          <w:rFonts w:ascii="华文楷体" w:hAnsi="华文楷体"/>
          <w:sz w:val="24"/>
          <w:szCs w:val="24"/>
          <w:lang w:eastAsia="zh-CN"/>
        </w:rPr>
        <w:t>%、</w:t>
      </w:r>
      <w:r w:rsidR="001E28D3">
        <w:rPr>
          <w:rFonts w:ascii="华文楷体" w:hAnsi="华文楷体" w:hint="eastAsia"/>
          <w:sz w:val="24"/>
          <w:szCs w:val="24"/>
          <w:lang w:eastAsia="zh-CN"/>
        </w:rPr>
        <w:t>+4.3</w:t>
      </w:r>
      <w:r w:rsidR="00AC28BB">
        <w:rPr>
          <w:rFonts w:ascii="华文楷体" w:hAnsi="华文楷体"/>
          <w:sz w:val="24"/>
          <w:szCs w:val="24"/>
          <w:lang w:eastAsia="zh-CN"/>
        </w:rPr>
        <w:t>%、</w:t>
      </w:r>
      <w:r w:rsidR="00363D41">
        <w:rPr>
          <w:rFonts w:ascii="华文楷体" w:hAnsi="华文楷体" w:hint="eastAsia"/>
          <w:sz w:val="24"/>
          <w:szCs w:val="24"/>
          <w:lang w:eastAsia="zh-CN"/>
        </w:rPr>
        <w:t>+</w:t>
      </w:r>
      <w:r w:rsidR="001E28D3">
        <w:rPr>
          <w:rFonts w:ascii="华文楷体" w:hAnsi="华文楷体" w:hint="eastAsia"/>
          <w:sz w:val="24"/>
          <w:szCs w:val="24"/>
          <w:lang w:eastAsia="zh-CN"/>
        </w:rPr>
        <w:t>1.2</w:t>
      </w:r>
      <w:r w:rsidR="00AC28BB">
        <w:rPr>
          <w:rFonts w:ascii="华文楷体" w:hAnsi="华文楷体"/>
          <w:sz w:val="24"/>
          <w:szCs w:val="24"/>
          <w:lang w:eastAsia="zh-CN"/>
        </w:rPr>
        <w:t>%</w:t>
      </w:r>
      <w:r w:rsidR="00AC28BB">
        <w:rPr>
          <w:rFonts w:ascii="华文楷体" w:hAnsi="华文楷体" w:hint="eastAsia"/>
          <w:sz w:val="24"/>
          <w:szCs w:val="24"/>
          <w:lang w:eastAsia="zh-CN"/>
        </w:rPr>
        <w:t>和</w:t>
      </w:r>
      <w:r w:rsidR="00363D41">
        <w:rPr>
          <w:rFonts w:ascii="华文楷体" w:hAnsi="华文楷体" w:hint="eastAsia"/>
          <w:sz w:val="24"/>
          <w:szCs w:val="24"/>
          <w:lang w:eastAsia="zh-CN"/>
        </w:rPr>
        <w:t>+</w:t>
      </w:r>
      <w:r w:rsidR="001E28D3">
        <w:rPr>
          <w:rFonts w:ascii="华文楷体" w:hAnsi="华文楷体" w:hint="eastAsia"/>
          <w:sz w:val="24"/>
          <w:szCs w:val="24"/>
          <w:lang w:eastAsia="zh-CN"/>
        </w:rPr>
        <w:t>1.7</w:t>
      </w:r>
      <w:r w:rsidR="00AC28BB">
        <w:rPr>
          <w:rFonts w:ascii="华文楷体" w:hAnsi="华文楷体"/>
          <w:sz w:val="24"/>
          <w:szCs w:val="24"/>
          <w:lang w:eastAsia="zh-CN"/>
        </w:rPr>
        <w:t>%</w:t>
      </w:r>
      <w:r w:rsidR="00AC28BB">
        <w:rPr>
          <w:rFonts w:ascii="华文楷体" w:hAnsi="华文楷体" w:hint="eastAsia"/>
          <w:sz w:val="24"/>
          <w:szCs w:val="24"/>
          <w:lang w:eastAsia="zh-CN"/>
        </w:rPr>
        <w:t>。</w:t>
      </w:r>
      <w:r w:rsidR="00C16434">
        <w:rPr>
          <w:rFonts w:ascii="华文楷体" w:hAnsi="华文楷体" w:hint="eastAsia"/>
          <w:sz w:val="24"/>
          <w:szCs w:val="24"/>
          <w:lang w:eastAsia="zh-CN"/>
        </w:rPr>
        <w:t>转债市场</w:t>
      </w:r>
      <w:r w:rsidR="0044426C">
        <w:rPr>
          <w:rFonts w:ascii="华文楷体" w:hAnsi="华文楷体" w:hint="eastAsia"/>
          <w:sz w:val="24"/>
          <w:szCs w:val="24"/>
          <w:lang w:eastAsia="zh-CN"/>
        </w:rPr>
        <w:t>伴随权益市场情绪</w:t>
      </w:r>
      <w:r w:rsidR="00DC05C7">
        <w:rPr>
          <w:rFonts w:ascii="华文楷体" w:hAnsi="华文楷体" w:hint="eastAsia"/>
          <w:sz w:val="24"/>
          <w:szCs w:val="24"/>
          <w:lang w:eastAsia="zh-CN"/>
        </w:rPr>
        <w:t>，</w:t>
      </w:r>
      <w:r w:rsidR="00C16434">
        <w:rPr>
          <w:rFonts w:ascii="华文楷体" w:hAnsi="华文楷体" w:hint="eastAsia"/>
          <w:sz w:val="24"/>
          <w:szCs w:val="24"/>
          <w:lang w:eastAsia="zh-CN"/>
        </w:rPr>
        <w:t>中</w:t>
      </w:r>
      <w:proofErr w:type="gramStart"/>
      <w:r w:rsidR="00C16434">
        <w:rPr>
          <w:rFonts w:ascii="华文楷体" w:hAnsi="华文楷体" w:hint="eastAsia"/>
          <w:sz w:val="24"/>
          <w:szCs w:val="24"/>
          <w:lang w:eastAsia="zh-CN"/>
        </w:rPr>
        <w:t>证转债指数</w:t>
      </w:r>
      <w:proofErr w:type="gramEnd"/>
      <w:r w:rsidR="00DC05C7">
        <w:rPr>
          <w:rFonts w:ascii="华文楷体" w:hAnsi="华文楷体" w:hint="eastAsia"/>
          <w:sz w:val="24"/>
          <w:szCs w:val="24"/>
          <w:lang w:eastAsia="zh-CN"/>
        </w:rPr>
        <w:t>较上周</w:t>
      </w:r>
      <w:r w:rsidR="001E28D3">
        <w:rPr>
          <w:rFonts w:ascii="华文楷体" w:hAnsi="华文楷体" w:hint="eastAsia"/>
          <w:sz w:val="24"/>
          <w:szCs w:val="24"/>
          <w:lang w:eastAsia="zh-CN"/>
        </w:rPr>
        <w:t>上</w:t>
      </w:r>
      <w:r w:rsidR="00934B1E">
        <w:rPr>
          <w:rFonts w:ascii="华文楷体" w:hAnsi="华文楷体" w:hint="eastAsia"/>
          <w:sz w:val="24"/>
          <w:szCs w:val="24"/>
          <w:lang w:eastAsia="zh-CN"/>
        </w:rPr>
        <w:t>涨</w:t>
      </w:r>
      <w:r w:rsidR="001E28D3">
        <w:rPr>
          <w:rFonts w:ascii="华文楷体" w:hAnsi="华文楷体" w:hint="eastAsia"/>
          <w:sz w:val="24"/>
          <w:szCs w:val="24"/>
          <w:lang w:eastAsia="zh-CN"/>
        </w:rPr>
        <w:t>1.7</w:t>
      </w:r>
      <w:r w:rsidR="00C16434">
        <w:rPr>
          <w:rFonts w:ascii="华文楷体" w:hAnsi="华文楷体" w:hint="eastAsia"/>
          <w:sz w:val="24"/>
          <w:szCs w:val="24"/>
          <w:lang w:eastAsia="zh-CN"/>
        </w:rPr>
        <w:t>%</w:t>
      </w:r>
      <w:r w:rsidR="00D86E50">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7CDD9AAA" w14:textId="77777777" w:rsidTr="006F21C0">
        <w:trPr>
          <w:jc w:val="center"/>
        </w:trPr>
        <w:tc>
          <w:tcPr>
            <w:tcW w:w="4939" w:type="dxa"/>
            <w:vAlign w:val="center"/>
          </w:tcPr>
          <w:p w14:paraId="13C69F6A" w14:textId="03E04781" w:rsidR="00E0626C" w:rsidRPr="006A5F34" w:rsidRDefault="00E0626C" w:rsidP="009A2BA0">
            <w:pPr>
              <w:pStyle w:val="ChartHeading"/>
              <w:jc w:val="both"/>
            </w:pPr>
            <w:r w:rsidRPr="006A5F34">
              <w:rPr>
                <w:rFonts w:hint="eastAsia"/>
              </w:rPr>
              <w:t>图表</w:t>
            </w:r>
            <w:r w:rsidRPr="006A5F34">
              <w:t>.</w:t>
            </w:r>
            <w:r>
              <w:t xml:space="preserve"> </w:t>
            </w:r>
            <w:r w:rsidR="00005D9A">
              <w:rPr>
                <w:rFonts w:hint="eastAsia"/>
              </w:rPr>
              <w:t>A</w:t>
            </w:r>
            <w:r w:rsidR="00005D9A">
              <w:rPr>
                <w:rFonts w:hint="eastAsia"/>
              </w:rPr>
              <w:t>股</w:t>
            </w:r>
            <w:r>
              <w:rPr>
                <w:rFonts w:hint="eastAsia"/>
              </w:rPr>
              <w:t>主要指数交易和估值情况</w:t>
            </w:r>
          </w:p>
        </w:tc>
        <w:tc>
          <w:tcPr>
            <w:tcW w:w="4938" w:type="dxa"/>
            <w:vAlign w:val="center"/>
          </w:tcPr>
          <w:p w14:paraId="45DE5131" w14:textId="48699973" w:rsidR="00E0626C" w:rsidRPr="006A5F34" w:rsidRDefault="00E0626C" w:rsidP="009A2BA0">
            <w:pPr>
              <w:pStyle w:val="ChartHeading"/>
              <w:jc w:val="both"/>
            </w:pPr>
            <w:r w:rsidRPr="006A5F34">
              <w:rPr>
                <w:rFonts w:hint="eastAsia"/>
              </w:rPr>
              <w:t>图表</w:t>
            </w:r>
            <w:r w:rsidRPr="006A5F34">
              <w:t xml:space="preserve">. </w:t>
            </w:r>
            <w:r w:rsidR="00416C5F">
              <w:rPr>
                <w:rFonts w:hint="eastAsia"/>
              </w:rPr>
              <w:t>转</w:t>
            </w:r>
            <w:proofErr w:type="gramStart"/>
            <w:r w:rsidR="00416C5F">
              <w:rPr>
                <w:rFonts w:hint="eastAsia"/>
              </w:rPr>
              <w:t>债指数</w:t>
            </w:r>
            <w:proofErr w:type="gramEnd"/>
            <w:r w:rsidR="00416C5F">
              <w:rPr>
                <w:rFonts w:hint="eastAsia"/>
              </w:rPr>
              <w:t>与股指累计变化</w:t>
            </w:r>
          </w:p>
        </w:tc>
      </w:tr>
      <w:tr w:rsidR="00E0626C" w:rsidRPr="006A5F34" w14:paraId="2CD3B9EE" w14:textId="77777777" w:rsidTr="00E33989">
        <w:tblPrEx>
          <w:tblCellMar>
            <w:left w:w="108" w:type="dxa"/>
            <w:right w:w="108" w:type="dxa"/>
          </w:tblCellMar>
        </w:tblPrEx>
        <w:trPr>
          <w:jc w:val="center"/>
        </w:trPr>
        <w:tc>
          <w:tcPr>
            <w:tcW w:w="4939" w:type="dxa"/>
            <w:vAlign w:val="center"/>
          </w:tcPr>
          <w:p w14:paraId="5C83721A" w14:textId="7A89EA3F" w:rsidR="00E0626C" w:rsidRPr="00345C30" w:rsidRDefault="00E33989" w:rsidP="00345C30">
            <w:pPr>
              <w:widowControl/>
              <w:jc w:val="left"/>
              <w:rPr>
                <w:rFonts w:ascii="宋体" w:hAnsi="宋体" w:cs="宋体"/>
                <w:kern w:val="0"/>
                <w:sz w:val="24"/>
                <w:szCs w:val="24"/>
              </w:rPr>
            </w:pPr>
            <w:r w:rsidRPr="00E33989">
              <w:rPr>
                <w:rFonts w:ascii="宋体" w:hAnsi="宋体" w:cs="宋体"/>
                <w:noProof/>
                <w:kern w:val="0"/>
                <w:sz w:val="24"/>
                <w:szCs w:val="24"/>
              </w:rPr>
              <w:drawing>
                <wp:inline distT="0" distB="0" distL="0" distR="0" wp14:anchorId="23378158" wp14:editId="098F7E0D">
                  <wp:extent cx="3138221" cy="1900350"/>
                  <wp:effectExtent l="0" t="0" r="5080" b="5080"/>
                  <wp:docPr id="13" name="图片 13" descr="C:\Users\Tang\AppData\Local\Temp\16072549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ang\AppData\Local\Temp\1607254979.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11791" cy="1944900"/>
                          </a:xfrm>
                          <a:prstGeom prst="rect">
                            <a:avLst/>
                          </a:prstGeom>
                          <a:noFill/>
                          <a:ln>
                            <a:noFill/>
                          </a:ln>
                        </pic:spPr>
                      </pic:pic>
                    </a:graphicData>
                  </a:graphic>
                </wp:inline>
              </w:drawing>
            </w:r>
          </w:p>
        </w:tc>
        <w:tc>
          <w:tcPr>
            <w:tcW w:w="4938" w:type="dxa"/>
            <w:vAlign w:val="center"/>
          </w:tcPr>
          <w:p w14:paraId="39BD4383" w14:textId="60CD8A72" w:rsidR="00E0626C" w:rsidRPr="007E0340" w:rsidRDefault="00E33989" w:rsidP="009A2BA0">
            <w:pPr>
              <w:jc w:val="center"/>
              <w:rPr>
                <w:noProof/>
                <w:szCs w:val="18"/>
              </w:rPr>
            </w:pPr>
            <w:r>
              <w:rPr>
                <w:noProof/>
              </w:rPr>
              <w:drawing>
                <wp:inline distT="0" distB="0" distL="0" distR="0" wp14:anchorId="48452A0E" wp14:editId="6026056A">
                  <wp:extent cx="2998470" cy="1910004"/>
                  <wp:effectExtent l="0" t="0" r="0" b="0"/>
                  <wp:docPr id="14" name="图表 14">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06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c>
      </w:tr>
      <w:tr w:rsidR="00E0626C" w:rsidRPr="006A5F34" w14:paraId="14E5D572" w14:textId="77777777" w:rsidTr="006F21C0">
        <w:trPr>
          <w:trHeight w:val="64"/>
          <w:jc w:val="center"/>
        </w:trPr>
        <w:tc>
          <w:tcPr>
            <w:tcW w:w="4939" w:type="dxa"/>
            <w:vAlign w:val="center"/>
          </w:tcPr>
          <w:p w14:paraId="5190A1EC"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4A0B8FF"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E844C6C" w14:textId="153B6387" w:rsidR="00E0626C" w:rsidRDefault="00E0626C" w:rsidP="009A2BA0">
      <w:pPr>
        <w:pStyle w:val="Body-text"/>
        <w:spacing w:after="0"/>
        <w:rPr>
          <w:lang w:eastAsia="zh-CN"/>
        </w:rPr>
      </w:pPr>
    </w:p>
    <w:p w14:paraId="721DD2C0" w14:textId="02AF1313" w:rsidR="0082791D" w:rsidRPr="00963D43" w:rsidRDefault="0031666C" w:rsidP="009A2BA0">
      <w:pPr>
        <w:pStyle w:val="Header1"/>
        <w:spacing w:before="240"/>
        <w:rPr>
          <w:color w:val="C45911" w:themeColor="accent2" w:themeShade="BF"/>
        </w:rPr>
      </w:pPr>
      <w:r>
        <w:rPr>
          <w:rFonts w:hint="eastAsia"/>
          <w:color w:val="C45911" w:themeColor="accent2" w:themeShade="BF"/>
        </w:rPr>
        <w:t>三</w:t>
      </w:r>
      <w:r w:rsidR="0082791D" w:rsidRPr="00963D43">
        <w:rPr>
          <w:rFonts w:hint="eastAsia"/>
          <w:color w:val="C45911" w:themeColor="accent2" w:themeShade="BF"/>
        </w:rPr>
        <w:t>、</w:t>
      </w:r>
      <w:r w:rsidR="00E0626C">
        <w:rPr>
          <w:rFonts w:hint="eastAsia"/>
          <w:color w:val="C45911" w:themeColor="accent2" w:themeShade="BF"/>
        </w:rPr>
        <w:t>本周市场展望</w:t>
      </w:r>
    </w:p>
    <w:p w14:paraId="5ACEDF53" w14:textId="44718DE6" w:rsidR="00963D43" w:rsidRPr="00BE2819" w:rsidRDefault="00FF7903" w:rsidP="009A2BA0">
      <w:pPr>
        <w:pStyle w:val="Header2"/>
        <w:rPr>
          <w:rFonts w:eastAsia="PMingLiU"/>
          <w:sz w:val="28"/>
          <w:szCs w:val="21"/>
        </w:rPr>
      </w:pPr>
      <w:r>
        <w:rPr>
          <w:rFonts w:hint="eastAsia"/>
          <w:sz w:val="28"/>
          <w:szCs w:val="21"/>
          <w:lang w:eastAsia="zh-CN"/>
        </w:rPr>
        <w:t>1</w:t>
      </w:r>
      <w:r>
        <w:rPr>
          <w:rFonts w:hint="eastAsia"/>
          <w:sz w:val="28"/>
          <w:szCs w:val="21"/>
          <w:lang w:eastAsia="zh-CN"/>
        </w:rPr>
        <w:t>、</w:t>
      </w:r>
      <w:r w:rsidR="00E0626C">
        <w:rPr>
          <w:rFonts w:hint="eastAsia"/>
          <w:sz w:val="28"/>
          <w:szCs w:val="21"/>
        </w:rPr>
        <w:t>基本面变化</w:t>
      </w:r>
    </w:p>
    <w:p w14:paraId="41A42062" w14:textId="61062252" w:rsidR="00882FA5" w:rsidRPr="003E42BE" w:rsidRDefault="00E34B22" w:rsidP="003F00C6">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生产</w:t>
      </w:r>
      <w:r w:rsidR="00CC2F5D" w:rsidRPr="00D67BD7">
        <w:rPr>
          <w:rFonts w:ascii="华文楷体" w:hAnsi="华文楷体" w:hint="eastAsia"/>
          <w:b/>
          <w:bCs/>
          <w:sz w:val="24"/>
          <w:szCs w:val="24"/>
          <w:lang w:eastAsia="zh-CN"/>
        </w:rPr>
        <w:t>：</w:t>
      </w:r>
      <w:r w:rsidR="007F6B5C" w:rsidRPr="007F6B5C">
        <w:rPr>
          <w:rFonts w:ascii="华文楷体" w:hAnsi="华文楷体" w:hint="eastAsia"/>
          <w:bCs/>
          <w:sz w:val="24"/>
          <w:szCs w:val="24"/>
          <w:lang w:eastAsia="zh-CN"/>
        </w:rPr>
        <w:t>本周主要港口动力煤平均价环比回升3.27%，涨幅较上周明显走扩。PTA产业链</w:t>
      </w:r>
      <w:proofErr w:type="gramStart"/>
      <w:r w:rsidR="007F6B5C" w:rsidRPr="007F6B5C">
        <w:rPr>
          <w:rFonts w:ascii="华文楷体" w:hAnsi="华文楷体" w:hint="eastAsia"/>
          <w:bCs/>
          <w:sz w:val="24"/>
          <w:szCs w:val="24"/>
          <w:lang w:eastAsia="zh-CN"/>
        </w:rPr>
        <w:t>负荷率环比</w:t>
      </w:r>
      <w:proofErr w:type="gramEnd"/>
      <w:r w:rsidR="007F6B5C" w:rsidRPr="007F6B5C">
        <w:rPr>
          <w:rFonts w:ascii="华文楷体" w:hAnsi="华文楷体" w:hint="eastAsia"/>
          <w:bCs/>
          <w:sz w:val="24"/>
          <w:szCs w:val="24"/>
          <w:lang w:eastAsia="zh-CN"/>
        </w:rPr>
        <w:t>回升0.14%。中国玻璃综合指数回升0.59%，周内玻璃价格稳中有升，华北地区总体走势平稳，目前生产企业整体库存仍处于偏低水平，价格调整不大</w:t>
      </w:r>
      <w:r w:rsidR="007F6B5C">
        <w:rPr>
          <w:rFonts w:ascii="华文楷体" w:hAnsi="华文楷体" w:hint="eastAsia"/>
          <w:bCs/>
          <w:sz w:val="24"/>
          <w:szCs w:val="24"/>
          <w:lang w:eastAsia="zh-CN"/>
        </w:rPr>
        <w:t>。</w:t>
      </w:r>
      <w:r w:rsidR="007F6B5C" w:rsidRPr="007F6B5C">
        <w:rPr>
          <w:rFonts w:ascii="华文楷体" w:hAnsi="华文楷体" w:hint="eastAsia"/>
          <w:bCs/>
          <w:sz w:val="24"/>
          <w:szCs w:val="24"/>
          <w:lang w:eastAsia="zh-CN"/>
        </w:rPr>
        <w:t>本周</w:t>
      </w:r>
      <w:proofErr w:type="spellStart"/>
      <w:r w:rsidR="007F6B5C" w:rsidRPr="007F6B5C">
        <w:rPr>
          <w:rFonts w:ascii="华文楷体" w:hAnsi="华文楷体" w:hint="eastAsia"/>
          <w:bCs/>
          <w:sz w:val="24"/>
          <w:szCs w:val="24"/>
          <w:lang w:eastAsia="zh-CN"/>
        </w:rPr>
        <w:t>Myspic</w:t>
      </w:r>
      <w:proofErr w:type="spellEnd"/>
      <w:r w:rsidR="007F6B5C" w:rsidRPr="007F6B5C">
        <w:rPr>
          <w:rFonts w:ascii="华文楷体" w:hAnsi="华文楷体" w:hint="eastAsia"/>
          <w:bCs/>
          <w:sz w:val="24"/>
          <w:szCs w:val="24"/>
          <w:lang w:eastAsia="zh-CN"/>
        </w:rPr>
        <w:t>综合全国钢铁价格指数上行0.06%，较上周涨幅继续收窄。主要品种中，螺纹钢、热卷、高线价格本周表现分化，分别变动-1.5%、-1.5%、1.7%，部分品种价格有所下跌；从库存来看，螺纹钢、热卷、线材库存分别变动-5.3%、-6.7%、-1.1%，库存回落速度继续减慢。</w:t>
      </w:r>
    </w:p>
    <w:p w14:paraId="21425444" w14:textId="177D2CA7" w:rsidR="00FA22A8" w:rsidRDefault="00E34B22" w:rsidP="0007254B">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地产</w:t>
      </w:r>
      <w:r w:rsidR="007F6B5C">
        <w:rPr>
          <w:rFonts w:ascii="华文楷体" w:hAnsi="华文楷体" w:hint="eastAsia"/>
          <w:b/>
          <w:bCs/>
          <w:sz w:val="24"/>
          <w:szCs w:val="24"/>
          <w:lang w:eastAsia="zh-CN"/>
        </w:rPr>
        <w:t>：</w:t>
      </w:r>
      <w:r w:rsidR="007F6B5C" w:rsidRPr="007F6B5C">
        <w:rPr>
          <w:rFonts w:ascii="华文楷体" w:hAnsi="华文楷体" w:hint="eastAsia"/>
          <w:bCs/>
          <w:sz w:val="24"/>
          <w:szCs w:val="24"/>
          <w:lang w:eastAsia="zh-CN"/>
        </w:rPr>
        <w:t>本周30大中城市商品房成交面积较前周有所回升，其中一线城市回升幅度较大，二、三线城市销售回升幅度相对有限；拿地方面，本周100大中城市土地成交面积明显上行，一线城市拿地也大幅走高，带动整体拿地环比大幅回升，二、三线城市土地成交面积则小幅回升。拿地和销售数据连续回落后同步回升，当前地产政策仍偏紧，关注回升持续性。从地产信托发行数据来看，本周地产信托发行量为85.31亿，较上周的发行199.79亿明显下行</w:t>
      </w:r>
      <w:r w:rsidR="00BE76C3">
        <w:rPr>
          <w:rFonts w:ascii="华文楷体" w:hAnsi="华文楷体" w:hint="eastAsia"/>
          <w:bCs/>
          <w:sz w:val="24"/>
          <w:szCs w:val="24"/>
          <w:lang w:eastAsia="zh-CN"/>
        </w:rPr>
        <w:t>。</w:t>
      </w:r>
    </w:p>
    <w:p w14:paraId="77CCCEDF" w14:textId="77777777" w:rsidR="007F6B5C" w:rsidRDefault="005D478C" w:rsidP="00153A65">
      <w:pPr>
        <w:pStyle w:val="Body-text"/>
        <w:ind w:firstLineChars="200" w:firstLine="480"/>
        <w:rPr>
          <w:rFonts w:ascii="华文楷体" w:hAnsi="华文楷体"/>
          <w:bCs/>
          <w:sz w:val="24"/>
          <w:szCs w:val="24"/>
          <w:lang w:eastAsia="zh-CN"/>
        </w:rPr>
      </w:pPr>
      <w:r w:rsidRPr="0063487B">
        <w:rPr>
          <w:rFonts w:ascii="华文楷体" w:hAnsi="华文楷体" w:hint="eastAsia"/>
          <w:b/>
          <w:bCs/>
          <w:sz w:val="24"/>
          <w:szCs w:val="24"/>
          <w:lang w:eastAsia="zh-CN"/>
        </w:rPr>
        <w:t>进出口</w:t>
      </w:r>
      <w:r w:rsidR="00CC2F5D" w:rsidRPr="0063487B">
        <w:rPr>
          <w:rFonts w:ascii="华文楷体" w:hAnsi="华文楷体" w:hint="eastAsia"/>
          <w:b/>
          <w:bCs/>
          <w:sz w:val="24"/>
          <w:szCs w:val="24"/>
          <w:lang w:eastAsia="zh-CN"/>
        </w:rPr>
        <w:t>：</w:t>
      </w:r>
      <w:r w:rsidR="002547B9" w:rsidRPr="00AE5436">
        <w:rPr>
          <w:rFonts w:ascii="华文楷体" w:hAnsi="华文楷体" w:hint="eastAsia"/>
          <w:bCs/>
          <w:sz w:val="24"/>
          <w:szCs w:val="24"/>
          <w:lang w:eastAsia="zh-CN"/>
        </w:rPr>
        <w:t>进口方面，</w:t>
      </w:r>
      <w:r w:rsidR="007F6B5C" w:rsidRPr="007F6B5C">
        <w:rPr>
          <w:rFonts w:ascii="华文楷体" w:hAnsi="华文楷体" w:hint="eastAsia"/>
          <w:bCs/>
          <w:sz w:val="24"/>
          <w:szCs w:val="24"/>
          <w:lang w:eastAsia="zh-CN"/>
        </w:rPr>
        <w:t>波罗的海干散货指数较上周回升0.53%，中国进口干散货运价指数走势较上周回升1.3%。</w:t>
      </w:r>
      <w:r w:rsidR="002547B9" w:rsidRPr="00AE5436">
        <w:rPr>
          <w:rFonts w:ascii="华文楷体" w:hAnsi="华文楷体" w:hint="eastAsia"/>
          <w:bCs/>
          <w:sz w:val="24"/>
          <w:szCs w:val="24"/>
          <w:lang w:eastAsia="zh-CN"/>
        </w:rPr>
        <w:t>出口方面，</w:t>
      </w:r>
      <w:r w:rsidR="007F6B5C" w:rsidRPr="007F6B5C">
        <w:rPr>
          <w:rFonts w:ascii="华文楷体" w:hAnsi="华文楷体" w:hint="eastAsia"/>
          <w:bCs/>
          <w:sz w:val="24"/>
          <w:szCs w:val="24"/>
          <w:lang w:eastAsia="zh-CN"/>
        </w:rPr>
        <w:t>上海出口集装箱指数（SCFI）本周回升3.95%，中国出口集装箱运价指数（CCFI）本周则继续明显上行10.44%，两者一致较强。</w:t>
      </w:r>
    </w:p>
    <w:p w14:paraId="0542DAC4" w14:textId="4F4150AB" w:rsidR="00756ABD" w:rsidRDefault="00E34B22" w:rsidP="00153A65">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通胀：</w:t>
      </w:r>
      <w:r w:rsidR="00AE5436" w:rsidRPr="00AE5436">
        <w:rPr>
          <w:rFonts w:ascii="华文楷体" w:hAnsi="华文楷体" w:hint="eastAsia"/>
          <w:bCs/>
          <w:sz w:val="24"/>
          <w:szCs w:val="24"/>
          <w:lang w:eastAsia="zh-CN"/>
        </w:rPr>
        <w:t>食品价格方面，</w:t>
      </w:r>
      <w:r w:rsidR="007F6B5C" w:rsidRPr="007F6B5C">
        <w:rPr>
          <w:rFonts w:ascii="华文楷体" w:hAnsi="华文楷体" w:hint="eastAsia"/>
          <w:bCs/>
          <w:sz w:val="24"/>
          <w:szCs w:val="24"/>
          <w:lang w:eastAsia="zh-CN"/>
        </w:rPr>
        <w:t>猪肉价格本周明显上涨4.2%，</w:t>
      </w:r>
      <w:proofErr w:type="gramStart"/>
      <w:r w:rsidR="007F6B5C" w:rsidRPr="007F6B5C">
        <w:rPr>
          <w:rFonts w:ascii="华文楷体" w:hAnsi="华文楷体" w:hint="eastAsia"/>
          <w:bCs/>
          <w:sz w:val="24"/>
          <w:szCs w:val="24"/>
          <w:lang w:eastAsia="zh-CN"/>
        </w:rPr>
        <w:t>周度数据</w:t>
      </w:r>
      <w:proofErr w:type="gramEnd"/>
      <w:r w:rsidR="007F6B5C" w:rsidRPr="007F6B5C">
        <w:rPr>
          <w:rFonts w:ascii="华文楷体" w:hAnsi="华文楷体" w:hint="eastAsia"/>
          <w:bCs/>
          <w:sz w:val="24"/>
          <w:szCs w:val="24"/>
          <w:lang w:eastAsia="zh-CN"/>
        </w:rPr>
        <w:t>来看，农业部公布的全国平均批发价较上周末回升至41元/公斤左右，近期猪价大幅上涨</w:t>
      </w:r>
      <w:r w:rsidR="007F6B5C">
        <w:rPr>
          <w:rFonts w:ascii="华文楷体" w:hAnsi="华文楷体" w:hint="eastAsia"/>
          <w:bCs/>
          <w:sz w:val="24"/>
          <w:szCs w:val="24"/>
          <w:lang w:eastAsia="zh-CN"/>
        </w:rPr>
        <w:t>。</w:t>
      </w:r>
      <w:r w:rsidR="003E66CA" w:rsidRPr="003E66CA">
        <w:rPr>
          <w:rFonts w:ascii="华文楷体" w:hAnsi="华文楷体" w:hint="eastAsia"/>
          <w:bCs/>
          <w:sz w:val="24"/>
          <w:szCs w:val="24"/>
          <w:lang w:eastAsia="zh-CN"/>
        </w:rPr>
        <w:t>本周牛羊肉价格同样一致上行，牛肉本周回升0.04%，羊肉价格回升0.72%；蔬菜方面，价格继续季节性回升2.9%；水果价格则继续上行2.5%，走势基本符合季节性；鸡蛋方面，价格回升0.42%；水产品本周价格回落0.4%。</w:t>
      </w:r>
      <w:r w:rsidR="0063487B" w:rsidRPr="0063487B">
        <w:rPr>
          <w:rFonts w:ascii="华文楷体" w:hAnsi="华文楷体" w:hint="eastAsia"/>
          <w:bCs/>
          <w:sz w:val="24"/>
          <w:szCs w:val="24"/>
          <w:lang w:eastAsia="zh-CN"/>
        </w:rPr>
        <w:t>工业品价格方面，</w:t>
      </w:r>
      <w:r w:rsidR="003E66CA" w:rsidRPr="003E66CA">
        <w:rPr>
          <w:rFonts w:ascii="华文楷体" w:hAnsi="华文楷体" w:hint="eastAsia"/>
          <w:bCs/>
          <w:sz w:val="24"/>
          <w:szCs w:val="24"/>
          <w:lang w:eastAsia="zh-CN"/>
        </w:rPr>
        <w:t>本周国内有色品种价格明显上涨，长江有色市场现货价格铜、铝、铅、锌价分别变动4.6%、4.7%、-0.6%、1%，多品种表现强劲；海外价格来看，LME铜、铝、铅、</w:t>
      </w:r>
      <w:proofErr w:type="gramStart"/>
      <w:r w:rsidR="003E66CA" w:rsidRPr="003E66CA">
        <w:rPr>
          <w:rFonts w:ascii="华文楷体" w:hAnsi="华文楷体" w:hint="eastAsia"/>
          <w:bCs/>
          <w:sz w:val="24"/>
          <w:szCs w:val="24"/>
          <w:lang w:eastAsia="zh-CN"/>
        </w:rPr>
        <w:t>锌较上</w:t>
      </w:r>
      <w:proofErr w:type="gramEnd"/>
      <w:r w:rsidR="003E66CA" w:rsidRPr="003E66CA">
        <w:rPr>
          <w:rFonts w:ascii="华文楷体" w:hAnsi="华文楷体" w:hint="eastAsia"/>
          <w:bCs/>
          <w:sz w:val="24"/>
          <w:szCs w:val="24"/>
          <w:lang w:eastAsia="zh-CN"/>
        </w:rPr>
        <w:t>周环比变化分别为4.5%、3.1%、2%、0.7%，均有所上涨。</w:t>
      </w:r>
    </w:p>
    <w:p w14:paraId="29155A05" w14:textId="266C3873" w:rsidR="00A058AB" w:rsidRDefault="00DC2C5F" w:rsidP="00153A65">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lastRenderedPageBreak/>
        <w:t>消费</w:t>
      </w:r>
      <w:r w:rsidR="008D4119" w:rsidRPr="008D4119">
        <w:rPr>
          <w:rFonts w:ascii="华文楷体" w:hAnsi="华文楷体" w:hint="eastAsia"/>
          <w:b/>
          <w:bCs/>
          <w:sz w:val="24"/>
          <w:szCs w:val="24"/>
          <w:lang w:eastAsia="zh-CN"/>
        </w:rPr>
        <w:t>：</w:t>
      </w:r>
      <w:bookmarkStart w:id="2" w:name="_Hlk21205334"/>
      <w:r w:rsidR="003E66CA" w:rsidRPr="003E66CA">
        <w:rPr>
          <w:rFonts w:ascii="华文楷体" w:hAnsi="华文楷体" w:hint="eastAsia"/>
          <w:bCs/>
          <w:sz w:val="24"/>
          <w:szCs w:val="24"/>
          <w:lang w:eastAsia="zh-CN"/>
        </w:rPr>
        <w:t>乘联会最新数据显示，11月第四周的日均零售是10.7万辆，同比2019年11月下降3%，环比10月第四周增3%；批发方面，11月第四周主要厂商批发销量达到日均10.3万辆，同比增长4%，环比10月第四周下降13%。</w:t>
      </w:r>
    </w:p>
    <w:p w14:paraId="6C0621FD" w14:textId="5441692F" w:rsidR="00DC2C5F" w:rsidRPr="00EB6DED" w:rsidRDefault="00DC2C5F" w:rsidP="00153A65">
      <w:pPr>
        <w:pStyle w:val="Body-text"/>
        <w:ind w:firstLineChars="200" w:firstLine="480"/>
        <w:rPr>
          <w:rFonts w:ascii="华文楷体" w:hAnsi="华文楷体"/>
          <w:bCs/>
          <w:sz w:val="24"/>
          <w:szCs w:val="24"/>
          <w:lang w:eastAsia="zh-CN"/>
        </w:rPr>
      </w:pPr>
      <w:r w:rsidRPr="00DC2C5F">
        <w:rPr>
          <w:rFonts w:ascii="华文楷体" w:hAnsi="华文楷体" w:hint="eastAsia"/>
          <w:b/>
          <w:bCs/>
          <w:sz w:val="24"/>
          <w:szCs w:val="24"/>
          <w:lang w:eastAsia="zh-CN"/>
        </w:rPr>
        <w:t>海外</w:t>
      </w:r>
      <w:r>
        <w:rPr>
          <w:rFonts w:ascii="华文楷体" w:hAnsi="华文楷体" w:hint="eastAsia"/>
          <w:bCs/>
          <w:sz w:val="24"/>
          <w:szCs w:val="24"/>
          <w:lang w:eastAsia="zh-CN"/>
        </w:rPr>
        <w:t>：</w:t>
      </w:r>
      <w:r w:rsidR="006E7D2B" w:rsidRPr="006E7D2B">
        <w:rPr>
          <w:rFonts w:ascii="华文楷体" w:hAnsi="华文楷体" w:hint="eastAsia"/>
          <w:bCs/>
          <w:sz w:val="24"/>
          <w:szCs w:val="24"/>
          <w:lang w:eastAsia="zh-CN"/>
        </w:rPr>
        <w:t>WTI原油价格回升1.6%，至46.26美元/桶；布伦</w:t>
      </w:r>
      <w:proofErr w:type="gramStart"/>
      <w:r w:rsidR="006E7D2B" w:rsidRPr="006E7D2B">
        <w:rPr>
          <w:rFonts w:ascii="华文楷体" w:hAnsi="华文楷体" w:hint="eastAsia"/>
          <w:bCs/>
          <w:sz w:val="24"/>
          <w:szCs w:val="24"/>
          <w:lang w:eastAsia="zh-CN"/>
        </w:rPr>
        <w:t>特</w:t>
      </w:r>
      <w:proofErr w:type="gramEnd"/>
      <w:r w:rsidR="006E7D2B" w:rsidRPr="006E7D2B">
        <w:rPr>
          <w:rFonts w:ascii="华文楷体" w:hAnsi="华文楷体" w:hint="eastAsia"/>
          <w:bCs/>
          <w:sz w:val="24"/>
          <w:szCs w:val="24"/>
          <w:lang w:eastAsia="zh-CN"/>
        </w:rPr>
        <w:t>原油价格回升2.2%，至49.25美元/桶，国际油价连续五周回升。</w:t>
      </w:r>
    </w:p>
    <w:p w14:paraId="35D3E229" w14:textId="12C5B5F7" w:rsidR="00DA6262" w:rsidRDefault="00A058AB" w:rsidP="00F07541">
      <w:pPr>
        <w:pStyle w:val="Body-text"/>
        <w:ind w:firstLineChars="200" w:firstLine="480"/>
        <w:rPr>
          <w:rFonts w:ascii="Helvetica" w:hAnsi="Helvetica"/>
          <w:color w:val="000000"/>
          <w:spacing w:val="8"/>
          <w:sz w:val="23"/>
          <w:szCs w:val="23"/>
          <w:shd w:val="clear" w:color="auto" w:fill="FFFFFF"/>
          <w:lang w:eastAsia="zh-CN"/>
        </w:rPr>
      </w:pPr>
      <w:r w:rsidRPr="00C866C2">
        <w:rPr>
          <w:rFonts w:ascii="华文楷体" w:hAnsi="华文楷体" w:hint="eastAsia"/>
          <w:b/>
          <w:bCs/>
          <w:sz w:val="24"/>
          <w:szCs w:val="24"/>
          <w:lang w:eastAsia="zh-CN"/>
        </w:rPr>
        <w:t>下周</w:t>
      </w:r>
      <w:r>
        <w:rPr>
          <w:rFonts w:ascii="华文楷体" w:hAnsi="华文楷体" w:hint="eastAsia"/>
          <w:b/>
          <w:bCs/>
          <w:sz w:val="24"/>
          <w:szCs w:val="24"/>
          <w:lang w:eastAsia="zh-CN"/>
        </w:rPr>
        <w:t>关注</w:t>
      </w:r>
      <w:r>
        <w:rPr>
          <w:rFonts w:ascii="华文楷体" w:hAnsi="华文楷体" w:hint="eastAsia"/>
          <w:bCs/>
          <w:sz w:val="24"/>
          <w:szCs w:val="24"/>
          <w:lang w:eastAsia="zh-CN"/>
        </w:rPr>
        <w:t>：</w:t>
      </w:r>
      <w:r w:rsidR="006E7D2B" w:rsidRPr="006E7D2B">
        <w:rPr>
          <w:rFonts w:ascii="Helvetica" w:hAnsi="Helvetica" w:hint="eastAsia"/>
          <w:color w:val="000000"/>
          <w:spacing w:val="8"/>
          <w:sz w:val="23"/>
          <w:szCs w:val="23"/>
          <w:shd w:val="clear" w:color="auto" w:fill="FFFFFF"/>
          <w:lang w:eastAsia="zh-CN"/>
        </w:rPr>
        <w:t>11</w:t>
      </w:r>
      <w:r w:rsidR="006E7D2B" w:rsidRPr="006E7D2B">
        <w:rPr>
          <w:rFonts w:ascii="Helvetica" w:hAnsi="Helvetica" w:hint="eastAsia"/>
          <w:color w:val="000000"/>
          <w:spacing w:val="8"/>
          <w:sz w:val="23"/>
          <w:szCs w:val="23"/>
          <w:shd w:val="clear" w:color="auto" w:fill="FFFFFF"/>
          <w:lang w:eastAsia="zh-CN"/>
        </w:rPr>
        <w:t>月通胀数据、金融数据、中央经济工作会议</w:t>
      </w:r>
    </w:p>
    <w:p w14:paraId="45E291AF" w14:textId="77777777" w:rsidR="006E7D2B" w:rsidRPr="006E7D2B" w:rsidRDefault="006E7D2B" w:rsidP="00F07541">
      <w:pPr>
        <w:pStyle w:val="Body-text"/>
        <w:ind w:firstLineChars="200" w:firstLine="480"/>
        <w:rPr>
          <w:rFonts w:ascii="华文楷体" w:hAnsi="华文楷体"/>
          <w:bCs/>
          <w:sz w:val="24"/>
          <w:szCs w:val="24"/>
          <w:lang w:eastAsia="zh-CN"/>
        </w:rPr>
      </w:pPr>
    </w:p>
    <w:bookmarkEnd w:id="2"/>
    <w:p w14:paraId="07860EC8" w14:textId="41BD2FBB" w:rsidR="00FF7903" w:rsidRPr="00884635" w:rsidRDefault="00FF7903" w:rsidP="009A2BA0">
      <w:pPr>
        <w:pStyle w:val="Header2"/>
        <w:spacing w:before="120"/>
        <w:rPr>
          <w:rFonts w:eastAsia="PMingLiU"/>
          <w:sz w:val="28"/>
          <w:szCs w:val="21"/>
          <w:lang w:eastAsia="zh-CN"/>
        </w:rPr>
      </w:pPr>
      <w:r>
        <w:rPr>
          <w:sz w:val="28"/>
          <w:szCs w:val="21"/>
          <w:lang w:eastAsia="zh-CN"/>
        </w:rPr>
        <w:t>2</w:t>
      </w:r>
      <w:r>
        <w:rPr>
          <w:rFonts w:hint="eastAsia"/>
          <w:sz w:val="28"/>
          <w:szCs w:val="21"/>
          <w:lang w:eastAsia="zh-CN"/>
        </w:rPr>
        <w:t>、</w:t>
      </w:r>
      <w:r w:rsidR="008125E2">
        <w:rPr>
          <w:rFonts w:hint="eastAsia"/>
          <w:sz w:val="28"/>
          <w:szCs w:val="21"/>
          <w:lang w:eastAsia="zh-CN"/>
        </w:rPr>
        <w:t>下周</w:t>
      </w:r>
      <w:r w:rsidR="00E0626C">
        <w:rPr>
          <w:rFonts w:hint="eastAsia"/>
          <w:sz w:val="28"/>
          <w:szCs w:val="21"/>
          <w:lang w:eastAsia="zh-CN"/>
        </w:rPr>
        <w:t>债市</w:t>
      </w:r>
      <w:r w:rsidR="00EE070C">
        <w:rPr>
          <w:rFonts w:hint="eastAsia"/>
          <w:sz w:val="28"/>
          <w:szCs w:val="21"/>
          <w:lang w:eastAsia="zh-CN"/>
        </w:rPr>
        <w:t>判断</w:t>
      </w:r>
    </w:p>
    <w:p w14:paraId="24E697A5" w14:textId="2305A906" w:rsidR="00854194" w:rsidRPr="00CD3C43" w:rsidRDefault="006B204A" w:rsidP="00CD3C43">
      <w:pPr>
        <w:pStyle w:val="Body-text"/>
        <w:spacing w:after="240"/>
        <w:ind w:firstLineChars="200" w:firstLine="480"/>
        <w:rPr>
          <w:rFonts w:ascii="Helvetica" w:hAnsi="Helvetica"/>
          <w:color w:val="000000"/>
          <w:spacing w:val="8"/>
          <w:sz w:val="23"/>
          <w:szCs w:val="23"/>
          <w:shd w:val="clear" w:color="auto" w:fill="FFFFFF"/>
          <w:lang w:eastAsia="zh-CN"/>
        </w:rPr>
      </w:pPr>
      <w:r w:rsidRPr="00854194">
        <w:rPr>
          <w:rFonts w:ascii="华文楷体" w:hAnsi="华文楷体" w:hint="eastAsia"/>
          <w:sz w:val="24"/>
          <w:szCs w:val="24"/>
          <w:lang w:eastAsia="zh-CN"/>
        </w:rPr>
        <w:t>利率债：</w:t>
      </w:r>
      <w:r w:rsidR="00C746BF" w:rsidRPr="00C746BF">
        <w:rPr>
          <w:rFonts w:ascii="华文楷体" w:hAnsi="华文楷体" w:hint="eastAsia"/>
          <w:sz w:val="24"/>
          <w:szCs w:val="24"/>
          <w:lang w:eastAsia="zh-CN"/>
        </w:rPr>
        <w:t>正如我们预期央行短期对流动性流露更多呵护态度，存单价格有所下行。本周逐步进入月中，存单利率不再冲高但大幅下行亦有难度。信用债一级发行尚未恢复，信用分层的风险仍然存在，结构性风险化解还需要经历区域性、行业性信心重塑的过程。短期而言，总量流动性的度拿捏得当的话或使得短</w:t>
      </w:r>
      <w:proofErr w:type="gramStart"/>
      <w:r w:rsidR="00C746BF" w:rsidRPr="00C746BF">
        <w:rPr>
          <w:rFonts w:ascii="华文楷体" w:hAnsi="华文楷体" w:hint="eastAsia"/>
          <w:sz w:val="24"/>
          <w:szCs w:val="24"/>
          <w:lang w:eastAsia="zh-CN"/>
        </w:rPr>
        <w:t>端利率</w:t>
      </w:r>
      <w:proofErr w:type="gramEnd"/>
      <w:r w:rsidR="00C746BF" w:rsidRPr="00C746BF">
        <w:rPr>
          <w:rFonts w:ascii="华文楷体" w:hAnsi="华文楷体" w:hint="eastAsia"/>
          <w:sz w:val="24"/>
          <w:szCs w:val="24"/>
          <w:lang w:eastAsia="zh-CN"/>
        </w:rPr>
        <w:t>维持在相对稳定的水平，债市整体仍将以震荡为主，等待当前预期较为一致的基本面新的信号。</w:t>
      </w:r>
    </w:p>
    <w:p w14:paraId="2C3F4BD1" w14:textId="3D91EFA6" w:rsidR="003B3058" w:rsidRDefault="00C505BD" w:rsidP="00C505BD">
      <w:pPr>
        <w:pStyle w:val="Body-text"/>
        <w:spacing w:after="240"/>
        <w:ind w:firstLineChars="200" w:firstLine="480"/>
        <w:rPr>
          <w:rFonts w:ascii="华文楷体" w:hAnsi="华文楷体"/>
          <w:sz w:val="24"/>
          <w:szCs w:val="24"/>
          <w:lang w:eastAsia="zh-CN"/>
        </w:rPr>
      </w:pPr>
      <w:r w:rsidRPr="00C505BD">
        <w:rPr>
          <w:rFonts w:ascii="华文楷体" w:hAnsi="华文楷体" w:hint="eastAsia"/>
          <w:sz w:val="24"/>
          <w:szCs w:val="24"/>
          <w:lang w:eastAsia="zh-CN"/>
        </w:rPr>
        <w:t>信用</w:t>
      </w:r>
      <w:r>
        <w:rPr>
          <w:rFonts w:ascii="华文楷体" w:hAnsi="华文楷体" w:hint="eastAsia"/>
          <w:sz w:val="24"/>
          <w:szCs w:val="24"/>
          <w:lang w:eastAsia="zh-CN"/>
        </w:rPr>
        <w:t>债：</w:t>
      </w:r>
      <w:proofErr w:type="gramStart"/>
      <w:r w:rsidR="00A046B0" w:rsidRPr="00A046B0">
        <w:rPr>
          <w:rFonts w:ascii="华文楷体" w:hAnsi="华文楷体" w:hint="eastAsia"/>
          <w:sz w:val="24"/>
          <w:szCs w:val="24"/>
          <w:lang w:eastAsia="zh-CN"/>
        </w:rPr>
        <w:t>永煤违约</w:t>
      </w:r>
      <w:proofErr w:type="gramEnd"/>
      <w:r w:rsidR="00A046B0" w:rsidRPr="00A046B0">
        <w:rPr>
          <w:rFonts w:ascii="华文楷体" w:hAnsi="华文楷体" w:hint="eastAsia"/>
          <w:sz w:val="24"/>
          <w:szCs w:val="24"/>
          <w:lang w:eastAsia="zh-CN"/>
        </w:rPr>
        <w:t>造成的信用债市场动荡后，包括央行在内的政策层及时对流动性进行适度呵护，稳定市场情绪，由此市场推断短期内金融市场仍维持稳定基调。本周逐步进入月中，预计资金面维持紧平衡状态，存单利率高位震荡为主，考虑到年末银行将面临MPA考核压力，12月内市场仍可能存在一定扰动行情，关注短期错杀个</w:t>
      </w:r>
      <w:proofErr w:type="gramStart"/>
      <w:r w:rsidR="00A046B0" w:rsidRPr="00A046B0">
        <w:rPr>
          <w:rFonts w:ascii="华文楷体" w:hAnsi="华文楷体" w:hint="eastAsia"/>
          <w:sz w:val="24"/>
          <w:szCs w:val="24"/>
          <w:lang w:eastAsia="zh-CN"/>
        </w:rPr>
        <w:t>券</w:t>
      </w:r>
      <w:proofErr w:type="gramEnd"/>
      <w:r w:rsidR="00A046B0" w:rsidRPr="00A046B0">
        <w:rPr>
          <w:rFonts w:ascii="华文楷体" w:hAnsi="华文楷体" w:hint="eastAsia"/>
          <w:sz w:val="24"/>
          <w:szCs w:val="24"/>
          <w:lang w:eastAsia="zh-CN"/>
        </w:rPr>
        <w:t>以及中期板块性的配置机会，坚持右侧配置策略为主，信用策略不过度下沉。</w:t>
      </w:r>
    </w:p>
    <w:p w14:paraId="4C893BAE" w14:textId="0E64325F" w:rsidR="00983C71" w:rsidRDefault="00C505BD" w:rsidP="00491B29">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可转债：</w:t>
      </w:r>
      <w:r w:rsidR="00A046B0" w:rsidRPr="00A046B0">
        <w:rPr>
          <w:rFonts w:ascii="华文楷体" w:hAnsi="华文楷体" w:hint="eastAsia"/>
          <w:sz w:val="24"/>
          <w:szCs w:val="24"/>
          <w:lang w:eastAsia="zh-CN"/>
        </w:rPr>
        <w:t>转债方面，股市整体多头情绪仍在，但板块热点切换加快，此时对转债投资更应注重估值的安全边际。</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77CEE22B" w14:textId="77777777" w:rsidTr="00691BC8">
        <w:trPr>
          <w:jc w:val="center"/>
        </w:trPr>
        <w:tc>
          <w:tcPr>
            <w:tcW w:w="4939" w:type="dxa"/>
            <w:vAlign w:val="center"/>
          </w:tcPr>
          <w:p w14:paraId="50E52AA0" w14:textId="2DDE1017" w:rsidR="001D35B3" w:rsidRPr="006A5F34" w:rsidRDefault="001D35B3" w:rsidP="006E5744">
            <w:pPr>
              <w:pStyle w:val="ChartHeading"/>
              <w:jc w:val="both"/>
            </w:pPr>
            <w:r w:rsidRPr="006A5F34">
              <w:rPr>
                <w:rFonts w:hint="eastAsia"/>
              </w:rPr>
              <w:t>图表</w:t>
            </w:r>
            <w:r w:rsidRPr="006A5F34">
              <w:t>.</w:t>
            </w:r>
            <w:r w:rsidR="00411668">
              <w:rPr>
                <w:rFonts w:hint="eastAsia"/>
              </w:rPr>
              <w:t>高炉开工</w:t>
            </w:r>
            <w:proofErr w:type="gramStart"/>
            <w:r w:rsidR="000A4783">
              <w:rPr>
                <w:rFonts w:hint="eastAsia"/>
              </w:rPr>
              <w:t>小幅走</w:t>
            </w:r>
            <w:proofErr w:type="gramEnd"/>
            <w:r w:rsidR="000A4783">
              <w:rPr>
                <w:rFonts w:hint="eastAsia"/>
              </w:rPr>
              <w:t>弱</w:t>
            </w:r>
          </w:p>
        </w:tc>
        <w:tc>
          <w:tcPr>
            <w:tcW w:w="4938" w:type="dxa"/>
            <w:vAlign w:val="center"/>
          </w:tcPr>
          <w:p w14:paraId="02A10F26" w14:textId="674DD1D2" w:rsidR="001D35B3" w:rsidRPr="006A5F34" w:rsidRDefault="001D35B3" w:rsidP="008656C4">
            <w:pPr>
              <w:pStyle w:val="ChartHeading"/>
              <w:jc w:val="both"/>
            </w:pPr>
            <w:r w:rsidRPr="006A5F34">
              <w:rPr>
                <w:rFonts w:hint="eastAsia"/>
              </w:rPr>
              <w:t>图表</w:t>
            </w:r>
            <w:r w:rsidRPr="006A5F34">
              <w:t xml:space="preserve">. </w:t>
            </w:r>
            <w:r w:rsidR="0063192C">
              <w:rPr>
                <w:rFonts w:hint="eastAsia"/>
              </w:rPr>
              <w:t>水泥价格</w:t>
            </w:r>
            <w:r w:rsidR="00411668">
              <w:rPr>
                <w:rFonts w:hint="eastAsia"/>
              </w:rPr>
              <w:t>持续修复</w:t>
            </w:r>
          </w:p>
        </w:tc>
      </w:tr>
      <w:tr w:rsidR="001D35B3" w:rsidRPr="006A5F34" w14:paraId="205667F1" w14:textId="77777777" w:rsidTr="000A4783">
        <w:tblPrEx>
          <w:tblCellMar>
            <w:left w:w="108" w:type="dxa"/>
            <w:right w:w="108" w:type="dxa"/>
          </w:tblCellMar>
        </w:tblPrEx>
        <w:trPr>
          <w:jc w:val="center"/>
        </w:trPr>
        <w:tc>
          <w:tcPr>
            <w:tcW w:w="4939" w:type="dxa"/>
            <w:vAlign w:val="center"/>
          </w:tcPr>
          <w:p w14:paraId="56C782C2" w14:textId="06B92C0A" w:rsidR="001D35B3" w:rsidRPr="007E0340" w:rsidRDefault="000A4783" w:rsidP="009A2BA0">
            <w:pPr>
              <w:jc w:val="center"/>
              <w:rPr>
                <w:noProof/>
              </w:rPr>
            </w:pPr>
            <w:r>
              <w:rPr>
                <w:noProof/>
              </w:rPr>
              <w:drawing>
                <wp:inline distT="0" distB="0" distL="0" distR="0" wp14:anchorId="08DB2B4A" wp14:editId="10908B34">
                  <wp:extent cx="2999105" cy="1723034"/>
                  <wp:effectExtent l="0" t="0" r="0" b="0"/>
                  <wp:docPr id="15" name="图表 15">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08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tc>
        <w:tc>
          <w:tcPr>
            <w:tcW w:w="4938" w:type="dxa"/>
            <w:vAlign w:val="center"/>
          </w:tcPr>
          <w:p w14:paraId="3EF0360D" w14:textId="5393D31C" w:rsidR="001D35B3" w:rsidRPr="007E0340" w:rsidRDefault="000A4783" w:rsidP="009A2BA0">
            <w:pPr>
              <w:jc w:val="center"/>
              <w:rPr>
                <w:noProof/>
                <w:szCs w:val="18"/>
              </w:rPr>
            </w:pPr>
            <w:r>
              <w:rPr>
                <w:noProof/>
              </w:rPr>
              <w:drawing>
                <wp:inline distT="0" distB="0" distL="0" distR="0" wp14:anchorId="6916B1F6" wp14:editId="4E0C88CD">
                  <wp:extent cx="2998470" cy="1726488"/>
                  <wp:effectExtent l="0" t="0" r="0" b="7620"/>
                  <wp:docPr id="16" name="图表 16">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0B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tc>
      </w:tr>
      <w:tr w:rsidR="001D35B3" w:rsidRPr="006A5F34" w14:paraId="1C5ED951" w14:textId="77777777" w:rsidTr="00691BC8">
        <w:trPr>
          <w:trHeight w:val="64"/>
          <w:jc w:val="center"/>
        </w:trPr>
        <w:tc>
          <w:tcPr>
            <w:tcW w:w="4939" w:type="dxa"/>
            <w:vAlign w:val="center"/>
          </w:tcPr>
          <w:p w14:paraId="2DDE4C8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442A0DC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3F047F4" w14:textId="77777777" w:rsidR="001D35B3" w:rsidRDefault="001D35B3" w:rsidP="009A2BA0">
      <w:pPr>
        <w:pStyle w:val="Body-text"/>
        <w:spacing w:after="0"/>
        <w:rPr>
          <w:lang w:eastAsia="zh-CN"/>
        </w:rPr>
      </w:pP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3D734F0A" w14:textId="77777777" w:rsidTr="00691BC8">
        <w:trPr>
          <w:jc w:val="center"/>
        </w:trPr>
        <w:tc>
          <w:tcPr>
            <w:tcW w:w="4939" w:type="dxa"/>
            <w:vAlign w:val="center"/>
          </w:tcPr>
          <w:p w14:paraId="7405388D" w14:textId="71932FB1" w:rsidR="001D35B3" w:rsidRPr="006A5F34" w:rsidRDefault="001D35B3" w:rsidP="000A4783">
            <w:pPr>
              <w:pStyle w:val="ChartHeading"/>
              <w:jc w:val="both"/>
            </w:pPr>
            <w:r w:rsidRPr="006A5F34">
              <w:rPr>
                <w:rFonts w:hint="eastAsia"/>
              </w:rPr>
              <w:lastRenderedPageBreak/>
              <w:t>图表</w:t>
            </w:r>
            <w:r w:rsidRPr="006A5F34">
              <w:t>.</w:t>
            </w:r>
            <w:r>
              <w:t xml:space="preserve"> </w:t>
            </w:r>
            <w:r w:rsidR="00AC74DA">
              <w:rPr>
                <w:rFonts w:hint="eastAsia"/>
              </w:rPr>
              <w:t>南华</w:t>
            </w:r>
            <w:r w:rsidR="00AC74DA">
              <w:t>工业品指数</w:t>
            </w:r>
            <w:r w:rsidR="000A4783">
              <w:rPr>
                <w:rFonts w:hint="eastAsia"/>
              </w:rPr>
              <w:t>持续</w:t>
            </w:r>
            <w:r w:rsidR="00E24F15">
              <w:rPr>
                <w:rFonts w:hint="eastAsia"/>
              </w:rPr>
              <w:t>上行</w:t>
            </w:r>
          </w:p>
        </w:tc>
        <w:tc>
          <w:tcPr>
            <w:tcW w:w="4938" w:type="dxa"/>
            <w:vAlign w:val="center"/>
          </w:tcPr>
          <w:p w14:paraId="07575C0F" w14:textId="79BCC8D1" w:rsidR="001D35B3" w:rsidRPr="006A5F34" w:rsidRDefault="001D35B3" w:rsidP="000A4783">
            <w:pPr>
              <w:pStyle w:val="ChartHeading"/>
              <w:jc w:val="both"/>
            </w:pPr>
            <w:r w:rsidRPr="006A5F34">
              <w:rPr>
                <w:rFonts w:hint="eastAsia"/>
              </w:rPr>
              <w:t>图表</w:t>
            </w:r>
            <w:r w:rsidRPr="006A5F34">
              <w:t xml:space="preserve">. </w:t>
            </w:r>
            <w:r w:rsidR="00411668">
              <w:rPr>
                <w:rFonts w:hint="eastAsia"/>
              </w:rPr>
              <w:t>猪肉价格持续</w:t>
            </w:r>
            <w:r w:rsidR="000A4783">
              <w:rPr>
                <w:rFonts w:hint="eastAsia"/>
              </w:rPr>
              <w:t>明显反弹</w:t>
            </w:r>
          </w:p>
        </w:tc>
      </w:tr>
      <w:tr w:rsidR="001D35B3" w:rsidRPr="006A5F34" w14:paraId="49BBD33E" w14:textId="77777777" w:rsidTr="000A4783">
        <w:tblPrEx>
          <w:tblCellMar>
            <w:left w:w="108" w:type="dxa"/>
            <w:right w:w="108" w:type="dxa"/>
          </w:tblCellMar>
        </w:tblPrEx>
        <w:trPr>
          <w:trHeight w:val="2987"/>
          <w:jc w:val="center"/>
        </w:trPr>
        <w:tc>
          <w:tcPr>
            <w:tcW w:w="4939" w:type="dxa"/>
            <w:vAlign w:val="center"/>
          </w:tcPr>
          <w:p w14:paraId="0BAC1731" w14:textId="58C22CCB" w:rsidR="001D35B3" w:rsidRPr="007E0340" w:rsidRDefault="000A4783" w:rsidP="009A2BA0">
            <w:pPr>
              <w:jc w:val="center"/>
              <w:rPr>
                <w:noProof/>
              </w:rPr>
            </w:pPr>
            <w:r>
              <w:rPr>
                <w:noProof/>
              </w:rPr>
              <w:drawing>
                <wp:inline distT="0" distB="0" distL="0" distR="0" wp14:anchorId="2C3D43E9" wp14:editId="5361C495">
                  <wp:extent cx="2999105" cy="1891284"/>
                  <wp:effectExtent l="0" t="0" r="0" b="0"/>
                  <wp:docPr id="20" name="图表 20">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1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tc>
        <w:tc>
          <w:tcPr>
            <w:tcW w:w="4938" w:type="dxa"/>
            <w:vAlign w:val="center"/>
          </w:tcPr>
          <w:p w14:paraId="64025D22" w14:textId="3C75C65E" w:rsidR="001D35B3" w:rsidRPr="007E0340" w:rsidRDefault="000A4783" w:rsidP="009A2BA0">
            <w:pPr>
              <w:jc w:val="center"/>
              <w:rPr>
                <w:noProof/>
                <w:szCs w:val="18"/>
              </w:rPr>
            </w:pPr>
            <w:r>
              <w:rPr>
                <w:noProof/>
              </w:rPr>
              <w:drawing>
                <wp:inline distT="0" distB="0" distL="0" distR="0" wp14:anchorId="0D47E988" wp14:editId="518CD865">
                  <wp:extent cx="2998470" cy="1899031"/>
                  <wp:effectExtent l="0" t="0" r="0" b="6350"/>
                  <wp:docPr id="21" name="图表 2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14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tc>
      </w:tr>
      <w:tr w:rsidR="001D35B3" w:rsidRPr="006A5F34" w14:paraId="2929BCA6" w14:textId="77777777" w:rsidTr="00691BC8">
        <w:trPr>
          <w:trHeight w:val="64"/>
          <w:jc w:val="center"/>
        </w:trPr>
        <w:tc>
          <w:tcPr>
            <w:tcW w:w="4939" w:type="dxa"/>
            <w:vAlign w:val="center"/>
          </w:tcPr>
          <w:p w14:paraId="45A3CEF6"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8477A40"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2243C4C4" w14:textId="2D09D245" w:rsidR="00EA1966" w:rsidRDefault="00EA1966" w:rsidP="009A2BA0">
      <w:pPr>
        <w:pStyle w:val="Body-text"/>
        <w:spacing w:after="0"/>
        <w:rPr>
          <w:rFonts w:ascii="华文楷体" w:hAnsi="华文楷体"/>
          <w:sz w:val="24"/>
          <w:szCs w:val="24"/>
          <w:lang w:eastAsia="zh-CN"/>
        </w:rPr>
      </w:pPr>
    </w:p>
    <w:p w14:paraId="6CD47A27" w14:textId="77777777" w:rsidR="00EA1966" w:rsidRDefault="00EA1966">
      <w:pPr>
        <w:widowControl/>
        <w:jc w:val="left"/>
        <w:rPr>
          <w:rFonts w:ascii="华文楷体" w:eastAsia="华文楷体" w:hAnsi="华文楷体"/>
          <w:kern w:val="0"/>
          <w:sz w:val="24"/>
          <w:szCs w:val="24"/>
        </w:rPr>
      </w:pPr>
      <w:r>
        <w:rPr>
          <w:rFonts w:ascii="华文楷体" w:hAnsi="华文楷体"/>
          <w:sz w:val="24"/>
          <w:szCs w:val="24"/>
        </w:rPr>
        <w:br w:type="page"/>
      </w:r>
    </w:p>
    <w:p w14:paraId="274486C0" w14:textId="77777777" w:rsidR="006146C9" w:rsidRPr="001D69C6" w:rsidRDefault="006146C9" w:rsidP="00F75588">
      <w:pPr>
        <w:widowControl/>
        <w:jc w:val="left"/>
      </w:pPr>
    </w:p>
    <w:p w14:paraId="210DFAB2" w14:textId="77777777" w:rsidR="0028459A" w:rsidRDefault="0028459A" w:rsidP="009A2BA0">
      <w:pPr>
        <w:widowControl/>
        <w:jc w:val="center"/>
        <w:rPr>
          <w:rFonts w:ascii="黑体" w:eastAsia="黑体"/>
          <w:b/>
          <w:sz w:val="24"/>
          <w:szCs w:val="24"/>
        </w:rPr>
      </w:pPr>
      <w:r w:rsidRPr="00234AC0">
        <w:rPr>
          <w:rFonts w:ascii="黑体" w:eastAsia="黑体" w:hint="eastAsia"/>
          <w:b/>
          <w:sz w:val="24"/>
          <w:szCs w:val="24"/>
        </w:rPr>
        <w:t>免责声明</w:t>
      </w:r>
    </w:p>
    <w:p w14:paraId="305753DC" w14:textId="77777777" w:rsidR="001A1299" w:rsidRPr="00234AC0" w:rsidRDefault="001A1299" w:rsidP="009A2BA0">
      <w:pPr>
        <w:widowControl/>
        <w:jc w:val="center"/>
        <w:rPr>
          <w:rFonts w:ascii="黑体" w:eastAsia="黑体"/>
          <w:b/>
          <w:sz w:val="24"/>
          <w:szCs w:val="24"/>
        </w:rPr>
      </w:pPr>
    </w:p>
    <w:p w14:paraId="2138E68E" w14:textId="77777777" w:rsidR="0028459A" w:rsidRPr="001A1299" w:rsidRDefault="0028459A" w:rsidP="009A2BA0">
      <w:pPr>
        <w:pStyle w:val="Body-text"/>
        <w:ind w:firstLineChars="200" w:firstLine="480"/>
        <w:rPr>
          <w:rFonts w:ascii="华文楷体" w:hAnsi="华文楷体"/>
          <w:sz w:val="24"/>
          <w:szCs w:val="24"/>
          <w:lang w:eastAsia="zh-CN"/>
        </w:rPr>
      </w:pPr>
      <w:r w:rsidRPr="001A1299">
        <w:rPr>
          <w:rFonts w:ascii="华文楷体" w:hAnsi="华文楷体" w:hint="eastAsia"/>
          <w:sz w:val="24"/>
          <w:szCs w:val="24"/>
          <w:lang w:eastAsia="zh-CN"/>
        </w:rPr>
        <w:t>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1A1299">
        <w:rPr>
          <w:rFonts w:ascii="华文楷体" w:hAnsi="华文楷体" w:hint="eastAsia"/>
          <w:sz w:val="24"/>
          <w:szCs w:val="24"/>
          <w:lang w:eastAsia="zh-CN"/>
        </w:rPr>
        <w:t>作出</w:t>
      </w:r>
      <w:proofErr w:type="gramEnd"/>
      <w:r w:rsidRPr="001A1299">
        <w:rPr>
          <w:rFonts w:ascii="华文楷体" w:hAnsi="华文楷体" w:hint="eastAsia"/>
          <w:sz w:val="24"/>
          <w:szCs w:val="24"/>
          <w:lang w:eastAsia="zh-CN"/>
        </w:rPr>
        <w:t>调整。</w:t>
      </w:r>
    </w:p>
    <w:p w14:paraId="1EF1A1F1" w14:textId="77777777" w:rsidR="0028459A" w:rsidRPr="001A1299" w:rsidRDefault="0028459A" w:rsidP="009A2BA0">
      <w:pPr>
        <w:pStyle w:val="Body-text"/>
        <w:ind w:firstLineChars="200" w:firstLine="480"/>
        <w:rPr>
          <w:rFonts w:ascii="华文楷体" w:hAnsi="华文楷体"/>
          <w:sz w:val="24"/>
          <w:szCs w:val="24"/>
          <w:lang w:eastAsia="zh-CN"/>
        </w:rPr>
      </w:pPr>
      <w:r w:rsidRPr="001A1299">
        <w:rPr>
          <w:rFonts w:ascii="华文楷体" w:hAnsi="华文楷体" w:hint="eastAsia"/>
          <w:sz w:val="24"/>
          <w:szCs w:val="24"/>
          <w:lang w:eastAsia="zh-CN"/>
        </w:rPr>
        <w:t>本报告中的资料、观点和预测等仅作为富</w:t>
      </w:r>
      <w:proofErr w:type="gramStart"/>
      <w:r w:rsidRPr="001A1299">
        <w:rPr>
          <w:rFonts w:ascii="华文楷体" w:hAnsi="华文楷体" w:hint="eastAsia"/>
          <w:sz w:val="24"/>
          <w:szCs w:val="24"/>
          <w:lang w:eastAsia="zh-CN"/>
        </w:rPr>
        <w:t>荣基金</w:t>
      </w:r>
      <w:proofErr w:type="gramEnd"/>
      <w:r w:rsidRPr="001A1299">
        <w:rPr>
          <w:rFonts w:ascii="华文楷体" w:hAnsi="华文楷体" w:hint="eastAsia"/>
          <w:sz w:val="24"/>
          <w:szCs w:val="24"/>
          <w:lang w:eastAsia="zh-CN"/>
        </w:rPr>
        <w:t>内部培训、向机构客户和渠道路</w:t>
      </w:r>
      <w:proofErr w:type="gramStart"/>
      <w:r w:rsidRPr="001A1299">
        <w:rPr>
          <w:rFonts w:ascii="华文楷体" w:hAnsi="华文楷体" w:hint="eastAsia"/>
          <w:sz w:val="24"/>
          <w:szCs w:val="24"/>
          <w:lang w:eastAsia="zh-CN"/>
        </w:rPr>
        <w:t>演交流</w:t>
      </w:r>
      <w:proofErr w:type="gramEnd"/>
      <w:r w:rsidRPr="001A1299">
        <w:rPr>
          <w:rFonts w:ascii="华文楷体" w:hAnsi="华文楷体" w:hint="eastAsia"/>
          <w:sz w:val="24"/>
          <w:szCs w:val="24"/>
          <w:lang w:eastAsia="zh-CN"/>
        </w:rPr>
        <w:t>使用，在任何时候均不构成对任何人的个人推荐。请勿外传。</w:t>
      </w:r>
    </w:p>
    <w:p w14:paraId="36DE518D" w14:textId="77777777" w:rsidR="001170AF" w:rsidRPr="001A1299" w:rsidRDefault="001170AF" w:rsidP="009A2BA0">
      <w:pPr>
        <w:pStyle w:val="Body-text"/>
        <w:ind w:firstLineChars="200" w:firstLine="480"/>
        <w:rPr>
          <w:rFonts w:ascii="华文楷体" w:hAnsi="华文楷体"/>
          <w:sz w:val="24"/>
          <w:szCs w:val="24"/>
          <w:lang w:eastAsia="zh-CN"/>
        </w:rPr>
      </w:pPr>
    </w:p>
    <w:sectPr w:rsidR="001170AF" w:rsidRPr="001A1299" w:rsidSect="00AB78C4">
      <w:headerReference w:type="default" r:id="rId22"/>
      <w:footerReference w:type="default" r:id="rId23"/>
      <w:pgSz w:w="11906" w:h="16838"/>
      <w:pgMar w:top="1134" w:right="1021" w:bottom="1134" w:left="1021" w:header="284" w:footer="56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A9A234D" w14:textId="77777777" w:rsidR="00705835" w:rsidRDefault="00705835">
      <w:r>
        <w:separator/>
      </w:r>
    </w:p>
  </w:endnote>
  <w:endnote w:type="continuationSeparator" w:id="0">
    <w:p w14:paraId="44981E9C" w14:textId="77777777" w:rsidR="00705835" w:rsidRDefault="007058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Arial Bold">
    <w:altName w:val="Arial"/>
    <w:panose1 w:val="020B07040202020202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等线">
    <w:altName w:val="Arial Unicode MS"/>
    <w:charset w:val="86"/>
    <w:family w:val="auto"/>
    <w:pitch w:val="variable"/>
    <w:sig w:usb0="00000000" w:usb1="38CF7CFA" w:usb2="00000016" w:usb3="00000000" w:csb0="0004000F" w:csb1="00000000"/>
  </w:font>
  <w:font w:name="Helvetica">
    <w:panose1 w:val="020B0604020202020204"/>
    <w:charset w:val="00"/>
    <w:family w:val="swiss"/>
    <w:notTrueType/>
    <w:pitch w:val="variable"/>
    <w:sig w:usb0="00000003" w:usb1="00000000" w:usb2="00000000" w:usb3="00000000" w:csb0="00000001"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1792377"/>
      <w:docPartObj>
        <w:docPartGallery w:val="Page Numbers (Bottom of Page)"/>
        <w:docPartUnique/>
      </w:docPartObj>
    </w:sdtPr>
    <w:sdtEndPr/>
    <w:sdtContent>
      <w:p w14:paraId="618D4EFE" w14:textId="1FB9B16E" w:rsidR="00C746BF" w:rsidRDefault="00C746BF">
        <w:pPr>
          <w:pStyle w:val="a4"/>
          <w:jc w:val="right"/>
        </w:pPr>
        <w:r>
          <w:fldChar w:fldCharType="begin"/>
        </w:r>
        <w:r>
          <w:instrText>PAGE   \* MERGEFORMAT</w:instrText>
        </w:r>
        <w:r>
          <w:fldChar w:fldCharType="separate"/>
        </w:r>
        <w:r w:rsidR="00DB0997" w:rsidRPr="00DB0997">
          <w:rPr>
            <w:noProof/>
            <w:lang w:val="zh-CN"/>
          </w:rPr>
          <w:t>3</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B6EAC15" w14:textId="77777777" w:rsidR="00705835" w:rsidRDefault="00705835">
      <w:r>
        <w:separator/>
      </w:r>
    </w:p>
  </w:footnote>
  <w:footnote w:type="continuationSeparator" w:id="0">
    <w:p w14:paraId="01AF6785" w14:textId="77777777" w:rsidR="00705835" w:rsidRDefault="0070583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18A414" w14:textId="77777777" w:rsidR="00C746BF" w:rsidRDefault="00C746BF" w:rsidP="00D41DC0">
    <w:pPr>
      <w:pStyle w:val="a3"/>
      <w:jc w:val="left"/>
    </w:pPr>
    <w:r w:rsidRPr="0021237F">
      <w:rPr>
        <w:noProof/>
      </w:rPr>
      <w:drawing>
        <wp:inline distT="0" distB="0" distL="0" distR="0" wp14:anchorId="02750462" wp14:editId="5E35E516">
          <wp:extent cx="612140" cy="532765"/>
          <wp:effectExtent l="0" t="0" r="0" b="0"/>
          <wp:docPr id="5" name="图片 5" descr="说明: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说明: 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140" cy="5327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1FCE7A2A"/>
    <w:lvl w:ilvl="0" w:tplc="5F6C0C8E">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nsid w:val="00000002"/>
    <w:multiLevelType w:val="hybridMultilevel"/>
    <w:tmpl w:val="C1068BC0"/>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
    <w:nsid w:val="00000003"/>
    <w:multiLevelType w:val="hybridMultilevel"/>
    <w:tmpl w:val="43AC892A"/>
    <w:lvl w:ilvl="0" w:tplc="2E54A812">
      <w:start w:val="1"/>
      <w:numFmt w:val="decimal"/>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00000004"/>
    <w:multiLevelType w:val="hybridMultilevel"/>
    <w:tmpl w:val="DAC677F4"/>
    <w:lvl w:ilvl="0" w:tplc="07A22A9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nsid w:val="00000005"/>
    <w:multiLevelType w:val="hybridMultilevel"/>
    <w:tmpl w:val="63566E36"/>
    <w:lvl w:ilvl="0" w:tplc="98126DDC">
      <w:start w:val="1"/>
      <w:numFmt w:val="bullet"/>
      <w:lvlText w:val=""/>
      <w:lvlJc w:val="left"/>
      <w:pPr>
        <w:tabs>
          <w:tab w:val="num" w:pos="720"/>
        </w:tabs>
        <w:ind w:left="720" w:hanging="360"/>
      </w:pPr>
      <w:rPr>
        <w:rFonts w:ascii="Wingdings" w:hAnsi="Wingdings" w:hint="default"/>
      </w:rPr>
    </w:lvl>
    <w:lvl w:ilvl="1" w:tplc="F18AFAD4">
      <w:start w:val="1"/>
      <w:numFmt w:val="bullet"/>
      <w:lvlRestart w:val="0"/>
      <w:lvlText w:val=""/>
      <w:lvlJc w:val="left"/>
      <w:pPr>
        <w:tabs>
          <w:tab w:val="num" w:pos="1440"/>
        </w:tabs>
        <w:ind w:left="1440" w:hanging="360"/>
      </w:pPr>
      <w:rPr>
        <w:rFonts w:ascii="Wingdings" w:hAnsi="Wingdings" w:hint="default"/>
      </w:rPr>
    </w:lvl>
    <w:lvl w:ilvl="2" w:tplc="4BC679F4">
      <w:start w:val="1"/>
      <w:numFmt w:val="bullet"/>
      <w:lvlRestart w:val="0"/>
      <w:lvlText w:val=""/>
      <w:lvlJc w:val="left"/>
      <w:pPr>
        <w:tabs>
          <w:tab w:val="num" w:pos="2160"/>
        </w:tabs>
        <w:ind w:left="2160" w:hanging="360"/>
      </w:pPr>
      <w:rPr>
        <w:rFonts w:ascii="Wingdings" w:hAnsi="Wingdings" w:hint="default"/>
      </w:rPr>
    </w:lvl>
    <w:lvl w:ilvl="3" w:tplc="E424EFB2">
      <w:start w:val="1"/>
      <w:numFmt w:val="bullet"/>
      <w:lvlRestart w:val="0"/>
      <w:lvlText w:val=""/>
      <w:lvlJc w:val="left"/>
      <w:pPr>
        <w:tabs>
          <w:tab w:val="num" w:pos="2880"/>
        </w:tabs>
        <w:ind w:left="2880" w:hanging="360"/>
      </w:pPr>
      <w:rPr>
        <w:rFonts w:ascii="Wingdings" w:hAnsi="Wingdings" w:hint="default"/>
      </w:rPr>
    </w:lvl>
    <w:lvl w:ilvl="4" w:tplc="26EC83F2">
      <w:start w:val="1"/>
      <w:numFmt w:val="bullet"/>
      <w:lvlRestart w:val="0"/>
      <w:lvlText w:val=""/>
      <w:lvlJc w:val="left"/>
      <w:pPr>
        <w:tabs>
          <w:tab w:val="num" w:pos="3600"/>
        </w:tabs>
        <w:ind w:left="3600" w:hanging="360"/>
      </w:pPr>
      <w:rPr>
        <w:rFonts w:ascii="Wingdings" w:hAnsi="Wingdings" w:hint="default"/>
      </w:rPr>
    </w:lvl>
    <w:lvl w:ilvl="5" w:tplc="60006D98">
      <w:start w:val="1"/>
      <w:numFmt w:val="bullet"/>
      <w:lvlRestart w:val="0"/>
      <w:lvlText w:val=""/>
      <w:lvlJc w:val="left"/>
      <w:pPr>
        <w:tabs>
          <w:tab w:val="num" w:pos="4320"/>
        </w:tabs>
        <w:ind w:left="4320" w:hanging="360"/>
      </w:pPr>
      <w:rPr>
        <w:rFonts w:ascii="Wingdings" w:hAnsi="Wingdings" w:hint="default"/>
      </w:rPr>
    </w:lvl>
    <w:lvl w:ilvl="6" w:tplc="B9602668">
      <w:start w:val="1"/>
      <w:numFmt w:val="bullet"/>
      <w:lvlRestart w:val="0"/>
      <w:lvlText w:val=""/>
      <w:lvlJc w:val="left"/>
      <w:pPr>
        <w:tabs>
          <w:tab w:val="num" w:pos="5040"/>
        </w:tabs>
        <w:ind w:left="5040" w:hanging="360"/>
      </w:pPr>
      <w:rPr>
        <w:rFonts w:ascii="Wingdings" w:hAnsi="Wingdings" w:hint="default"/>
      </w:rPr>
    </w:lvl>
    <w:lvl w:ilvl="7" w:tplc="BCFC81A6">
      <w:start w:val="1"/>
      <w:numFmt w:val="bullet"/>
      <w:lvlRestart w:val="0"/>
      <w:lvlText w:val=""/>
      <w:lvlJc w:val="left"/>
      <w:pPr>
        <w:tabs>
          <w:tab w:val="num" w:pos="5760"/>
        </w:tabs>
        <w:ind w:left="5760" w:hanging="360"/>
      </w:pPr>
      <w:rPr>
        <w:rFonts w:ascii="Wingdings" w:hAnsi="Wingdings" w:hint="default"/>
      </w:rPr>
    </w:lvl>
    <w:lvl w:ilvl="8" w:tplc="65CCAABA">
      <w:start w:val="1"/>
      <w:numFmt w:val="bullet"/>
      <w:lvlRestart w:val="0"/>
      <w:lvlText w:val=""/>
      <w:lvlJc w:val="left"/>
      <w:pPr>
        <w:tabs>
          <w:tab w:val="num" w:pos="6480"/>
        </w:tabs>
        <w:ind w:left="6480" w:hanging="360"/>
      </w:pPr>
      <w:rPr>
        <w:rFonts w:ascii="Wingdings" w:hAnsi="Wingdings" w:hint="default"/>
      </w:rPr>
    </w:lvl>
  </w:abstractNum>
  <w:abstractNum w:abstractNumId="5">
    <w:nsid w:val="06C5642A"/>
    <w:multiLevelType w:val="hybridMultilevel"/>
    <w:tmpl w:val="F64C5C1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08FF3C9B"/>
    <w:multiLevelType w:val="hybridMultilevel"/>
    <w:tmpl w:val="79BCA876"/>
    <w:lvl w:ilvl="0" w:tplc="3640A7B8">
      <w:start w:val="1"/>
      <w:numFmt w:val="bullet"/>
      <w:lvlText w:val=""/>
      <w:lvlJc w:val="left"/>
      <w:pPr>
        <w:tabs>
          <w:tab w:val="num" w:pos="720"/>
        </w:tabs>
        <w:ind w:left="720" w:hanging="360"/>
      </w:pPr>
      <w:rPr>
        <w:rFonts w:ascii="Wingdings" w:hAnsi="Wingdings" w:hint="default"/>
      </w:rPr>
    </w:lvl>
    <w:lvl w:ilvl="1" w:tplc="B0D682D0" w:tentative="1">
      <w:start w:val="1"/>
      <w:numFmt w:val="bullet"/>
      <w:lvlText w:val=""/>
      <w:lvlJc w:val="left"/>
      <w:pPr>
        <w:tabs>
          <w:tab w:val="num" w:pos="1440"/>
        </w:tabs>
        <w:ind w:left="1440" w:hanging="360"/>
      </w:pPr>
      <w:rPr>
        <w:rFonts w:ascii="Wingdings" w:hAnsi="Wingdings" w:hint="default"/>
      </w:rPr>
    </w:lvl>
    <w:lvl w:ilvl="2" w:tplc="CD0E1CA0" w:tentative="1">
      <w:start w:val="1"/>
      <w:numFmt w:val="bullet"/>
      <w:lvlText w:val=""/>
      <w:lvlJc w:val="left"/>
      <w:pPr>
        <w:tabs>
          <w:tab w:val="num" w:pos="2160"/>
        </w:tabs>
        <w:ind w:left="2160" w:hanging="360"/>
      </w:pPr>
      <w:rPr>
        <w:rFonts w:ascii="Wingdings" w:hAnsi="Wingdings" w:hint="default"/>
      </w:rPr>
    </w:lvl>
    <w:lvl w:ilvl="3" w:tplc="9D1E386A" w:tentative="1">
      <w:start w:val="1"/>
      <w:numFmt w:val="bullet"/>
      <w:lvlText w:val=""/>
      <w:lvlJc w:val="left"/>
      <w:pPr>
        <w:tabs>
          <w:tab w:val="num" w:pos="2880"/>
        </w:tabs>
        <w:ind w:left="2880" w:hanging="360"/>
      </w:pPr>
      <w:rPr>
        <w:rFonts w:ascii="Wingdings" w:hAnsi="Wingdings" w:hint="default"/>
      </w:rPr>
    </w:lvl>
    <w:lvl w:ilvl="4" w:tplc="8CC279A6" w:tentative="1">
      <w:start w:val="1"/>
      <w:numFmt w:val="bullet"/>
      <w:lvlText w:val=""/>
      <w:lvlJc w:val="left"/>
      <w:pPr>
        <w:tabs>
          <w:tab w:val="num" w:pos="3600"/>
        </w:tabs>
        <w:ind w:left="3600" w:hanging="360"/>
      </w:pPr>
      <w:rPr>
        <w:rFonts w:ascii="Wingdings" w:hAnsi="Wingdings" w:hint="default"/>
      </w:rPr>
    </w:lvl>
    <w:lvl w:ilvl="5" w:tplc="70222394" w:tentative="1">
      <w:start w:val="1"/>
      <w:numFmt w:val="bullet"/>
      <w:lvlText w:val=""/>
      <w:lvlJc w:val="left"/>
      <w:pPr>
        <w:tabs>
          <w:tab w:val="num" w:pos="4320"/>
        </w:tabs>
        <w:ind w:left="4320" w:hanging="360"/>
      </w:pPr>
      <w:rPr>
        <w:rFonts w:ascii="Wingdings" w:hAnsi="Wingdings" w:hint="default"/>
      </w:rPr>
    </w:lvl>
    <w:lvl w:ilvl="6" w:tplc="4C5A8DB2" w:tentative="1">
      <w:start w:val="1"/>
      <w:numFmt w:val="bullet"/>
      <w:lvlText w:val=""/>
      <w:lvlJc w:val="left"/>
      <w:pPr>
        <w:tabs>
          <w:tab w:val="num" w:pos="5040"/>
        </w:tabs>
        <w:ind w:left="5040" w:hanging="360"/>
      </w:pPr>
      <w:rPr>
        <w:rFonts w:ascii="Wingdings" w:hAnsi="Wingdings" w:hint="default"/>
      </w:rPr>
    </w:lvl>
    <w:lvl w:ilvl="7" w:tplc="4B38042E" w:tentative="1">
      <w:start w:val="1"/>
      <w:numFmt w:val="bullet"/>
      <w:lvlText w:val=""/>
      <w:lvlJc w:val="left"/>
      <w:pPr>
        <w:tabs>
          <w:tab w:val="num" w:pos="5760"/>
        </w:tabs>
        <w:ind w:left="5760" w:hanging="360"/>
      </w:pPr>
      <w:rPr>
        <w:rFonts w:ascii="Wingdings" w:hAnsi="Wingdings" w:hint="default"/>
      </w:rPr>
    </w:lvl>
    <w:lvl w:ilvl="8" w:tplc="BB60E16C" w:tentative="1">
      <w:start w:val="1"/>
      <w:numFmt w:val="bullet"/>
      <w:lvlText w:val=""/>
      <w:lvlJc w:val="left"/>
      <w:pPr>
        <w:tabs>
          <w:tab w:val="num" w:pos="6480"/>
        </w:tabs>
        <w:ind w:left="6480" w:hanging="360"/>
      </w:pPr>
      <w:rPr>
        <w:rFonts w:ascii="Wingdings" w:hAnsi="Wingdings" w:hint="default"/>
      </w:rPr>
    </w:lvl>
  </w:abstractNum>
  <w:abstractNum w:abstractNumId="7">
    <w:nsid w:val="0DC735FE"/>
    <w:multiLevelType w:val="hybridMultilevel"/>
    <w:tmpl w:val="C7208934"/>
    <w:lvl w:ilvl="0" w:tplc="1F74F60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1F6E670A"/>
    <w:multiLevelType w:val="hybridMultilevel"/>
    <w:tmpl w:val="79EE003E"/>
    <w:lvl w:ilvl="0" w:tplc="899A42B6">
      <w:start w:val="1"/>
      <w:numFmt w:val="bullet"/>
      <w:lvlText w:val=""/>
      <w:lvlJc w:val="left"/>
      <w:pPr>
        <w:tabs>
          <w:tab w:val="num" w:pos="720"/>
        </w:tabs>
        <w:ind w:left="720" w:hanging="360"/>
      </w:pPr>
      <w:rPr>
        <w:rFonts w:ascii="Wingdings" w:hAnsi="Wingdings" w:hint="default"/>
      </w:rPr>
    </w:lvl>
    <w:lvl w:ilvl="1" w:tplc="B2341948" w:tentative="1">
      <w:start w:val="1"/>
      <w:numFmt w:val="bullet"/>
      <w:lvlText w:val=""/>
      <w:lvlJc w:val="left"/>
      <w:pPr>
        <w:tabs>
          <w:tab w:val="num" w:pos="1440"/>
        </w:tabs>
        <w:ind w:left="1440" w:hanging="360"/>
      </w:pPr>
      <w:rPr>
        <w:rFonts w:ascii="Wingdings" w:hAnsi="Wingdings" w:hint="default"/>
      </w:rPr>
    </w:lvl>
    <w:lvl w:ilvl="2" w:tplc="23D27B34" w:tentative="1">
      <w:start w:val="1"/>
      <w:numFmt w:val="bullet"/>
      <w:lvlText w:val=""/>
      <w:lvlJc w:val="left"/>
      <w:pPr>
        <w:tabs>
          <w:tab w:val="num" w:pos="2160"/>
        </w:tabs>
        <w:ind w:left="2160" w:hanging="360"/>
      </w:pPr>
      <w:rPr>
        <w:rFonts w:ascii="Wingdings" w:hAnsi="Wingdings" w:hint="default"/>
      </w:rPr>
    </w:lvl>
    <w:lvl w:ilvl="3" w:tplc="F27C3C68" w:tentative="1">
      <w:start w:val="1"/>
      <w:numFmt w:val="bullet"/>
      <w:lvlText w:val=""/>
      <w:lvlJc w:val="left"/>
      <w:pPr>
        <w:tabs>
          <w:tab w:val="num" w:pos="2880"/>
        </w:tabs>
        <w:ind w:left="2880" w:hanging="360"/>
      </w:pPr>
      <w:rPr>
        <w:rFonts w:ascii="Wingdings" w:hAnsi="Wingdings" w:hint="default"/>
      </w:rPr>
    </w:lvl>
    <w:lvl w:ilvl="4" w:tplc="B492D616" w:tentative="1">
      <w:start w:val="1"/>
      <w:numFmt w:val="bullet"/>
      <w:lvlText w:val=""/>
      <w:lvlJc w:val="left"/>
      <w:pPr>
        <w:tabs>
          <w:tab w:val="num" w:pos="3600"/>
        </w:tabs>
        <w:ind w:left="3600" w:hanging="360"/>
      </w:pPr>
      <w:rPr>
        <w:rFonts w:ascii="Wingdings" w:hAnsi="Wingdings" w:hint="default"/>
      </w:rPr>
    </w:lvl>
    <w:lvl w:ilvl="5" w:tplc="9D14A4C0" w:tentative="1">
      <w:start w:val="1"/>
      <w:numFmt w:val="bullet"/>
      <w:lvlText w:val=""/>
      <w:lvlJc w:val="left"/>
      <w:pPr>
        <w:tabs>
          <w:tab w:val="num" w:pos="4320"/>
        </w:tabs>
        <w:ind w:left="4320" w:hanging="360"/>
      </w:pPr>
      <w:rPr>
        <w:rFonts w:ascii="Wingdings" w:hAnsi="Wingdings" w:hint="default"/>
      </w:rPr>
    </w:lvl>
    <w:lvl w:ilvl="6" w:tplc="CA70A402" w:tentative="1">
      <w:start w:val="1"/>
      <w:numFmt w:val="bullet"/>
      <w:lvlText w:val=""/>
      <w:lvlJc w:val="left"/>
      <w:pPr>
        <w:tabs>
          <w:tab w:val="num" w:pos="5040"/>
        </w:tabs>
        <w:ind w:left="5040" w:hanging="360"/>
      </w:pPr>
      <w:rPr>
        <w:rFonts w:ascii="Wingdings" w:hAnsi="Wingdings" w:hint="default"/>
      </w:rPr>
    </w:lvl>
    <w:lvl w:ilvl="7" w:tplc="75B624B4" w:tentative="1">
      <w:start w:val="1"/>
      <w:numFmt w:val="bullet"/>
      <w:lvlText w:val=""/>
      <w:lvlJc w:val="left"/>
      <w:pPr>
        <w:tabs>
          <w:tab w:val="num" w:pos="5760"/>
        </w:tabs>
        <w:ind w:left="5760" w:hanging="360"/>
      </w:pPr>
      <w:rPr>
        <w:rFonts w:ascii="Wingdings" w:hAnsi="Wingdings" w:hint="default"/>
      </w:rPr>
    </w:lvl>
    <w:lvl w:ilvl="8" w:tplc="7452D0B2" w:tentative="1">
      <w:start w:val="1"/>
      <w:numFmt w:val="bullet"/>
      <w:lvlText w:val=""/>
      <w:lvlJc w:val="left"/>
      <w:pPr>
        <w:tabs>
          <w:tab w:val="num" w:pos="6480"/>
        </w:tabs>
        <w:ind w:left="6480" w:hanging="360"/>
      </w:pPr>
      <w:rPr>
        <w:rFonts w:ascii="Wingdings" w:hAnsi="Wingdings" w:hint="default"/>
      </w:rPr>
    </w:lvl>
  </w:abstractNum>
  <w:abstractNum w:abstractNumId="9">
    <w:nsid w:val="29AD1276"/>
    <w:multiLevelType w:val="hybridMultilevel"/>
    <w:tmpl w:val="C47EBF3A"/>
    <w:lvl w:ilvl="0" w:tplc="3724C27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2A426257"/>
    <w:multiLevelType w:val="hybridMultilevel"/>
    <w:tmpl w:val="04AED6F2"/>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2E5B0A8A"/>
    <w:multiLevelType w:val="hybridMultilevel"/>
    <w:tmpl w:val="E656FAD6"/>
    <w:lvl w:ilvl="0" w:tplc="AD88B018">
      <w:start w:val="1"/>
      <w:numFmt w:val="bullet"/>
      <w:lvlText w:val=""/>
      <w:lvlJc w:val="left"/>
      <w:pPr>
        <w:tabs>
          <w:tab w:val="num" w:pos="720"/>
        </w:tabs>
        <w:ind w:left="720" w:hanging="360"/>
      </w:pPr>
      <w:rPr>
        <w:rFonts w:ascii="Wingdings" w:hAnsi="Wingdings" w:hint="default"/>
      </w:rPr>
    </w:lvl>
    <w:lvl w:ilvl="1" w:tplc="F5D6CF0A" w:tentative="1">
      <w:start w:val="1"/>
      <w:numFmt w:val="bullet"/>
      <w:lvlText w:val=""/>
      <w:lvlJc w:val="left"/>
      <w:pPr>
        <w:tabs>
          <w:tab w:val="num" w:pos="1440"/>
        </w:tabs>
        <w:ind w:left="1440" w:hanging="360"/>
      </w:pPr>
      <w:rPr>
        <w:rFonts w:ascii="Wingdings" w:hAnsi="Wingdings" w:hint="default"/>
      </w:rPr>
    </w:lvl>
    <w:lvl w:ilvl="2" w:tplc="36385ADA" w:tentative="1">
      <w:start w:val="1"/>
      <w:numFmt w:val="bullet"/>
      <w:lvlText w:val=""/>
      <w:lvlJc w:val="left"/>
      <w:pPr>
        <w:tabs>
          <w:tab w:val="num" w:pos="2160"/>
        </w:tabs>
        <w:ind w:left="2160" w:hanging="360"/>
      </w:pPr>
      <w:rPr>
        <w:rFonts w:ascii="Wingdings" w:hAnsi="Wingdings" w:hint="default"/>
      </w:rPr>
    </w:lvl>
    <w:lvl w:ilvl="3" w:tplc="D9AAC7B6" w:tentative="1">
      <w:start w:val="1"/>
      <w:numFmt w:val="bullet"/>
      <w:lvlText w:val=""/>
      <w:lvlJc w:val="left"/>
      <w:pPr>
        <w:tabs>
          <w:tab w:val="num" w:pos="2880"/>
        </w:tabs>
        <w:ind w:left="2880" w:hanging="360"/>
      </w:pPr>
      <w:rPr>
        <w:rFonts w:ascii="Wingdings" w:hAnsi="Wingdings" w:hint="default"/>
      </w:rPr>
    </w:lvl>
    <w:lvl w:ilvl="4" w:tplc="2C6A574E" w:tentative="1">
      <w:start w:val="1"/>
      <w:numFmt w:val="bullet"/>
      <w:lvlText w:val=""/>
      <w:lvlJc w:val="left"/>
      <w:pPr>
        <w:tabs>
          <w:tab w:val="num" w:pos="3600"/>
        </w:tabs>
        <w:ind w:left="3600" w:hanging="360"/>
      </w:pPr>
      <w:rPr>
        <w:rFonts w:ascii="Wingdings" w:hAnsi="Wingdings" w:hint="default"/>
      </w:rPr>
    </w:lvl>
    <w:lvl w:ilvl="5" w:tplc="E4CAAA12" w:tentative="1">
      <w:start w:val="1"/>
      <w:numFmt w:val="bullet"/>
      <w:lvlText w:val=""/>
      <w:lvlJc w:val="left"/>
      <w:pPr>
        <w:tabs>
          <w:tab w:val="num" w:pos="4320"/>
        </w:tabs>
        <w:ind w:left="4320" w:hanging="360"/>
      </w:pPr>
      <w:rPr>
        <w:rFonts w:ascii="Wingdings" w:hAnsi="Wingdings" w:hint="default"/>
      </w:rPr>
    </w:lvl>
    <w:lvl w:ilvl="6" w:tplc="EB468EAA" w:tentative="1">
      <w:start w:val="1"/>
      <w:numFmt w:val="bullet"/>
      <w:lvlText w:val=""/>
      <w:lvlJc w:val="left"/>
      <w:pPr>
        <w:tabs>
          <w:tab w:val="num" w:pos="5040"/>
        </w:tabs>
        <w:ind w:left="5040" w:hanging="360"/>
      </w:pPr>
      <w:rPr>
        <w:rFonts w:ascii="Wingdings" w:hAnsi="Wingdings" w:hint="default"/>
      </w:rPr>
    </w:lvl>
    <w:lvl w:ilvl="7" w:tplc="9EEEB196" w:tentative="1">
      <w:start w:val="1"/>
      <w:numFmt w:val="bullet"/>
      <w:lvlText w:val=""/>
      <w:lvlJc w:val="left"/>
      <w:pPr>
        <w:tabs>
          <w:tab w:val="num" w:pos="5760"/>
        </w:tabs>
        <w:ind w:left="5760" w:hanging="360"/>
      </w:pPr>
      <w:rPr>
        <w:rFonts w:ascii="Wingdings" w:hAnsi="Wingdings" w:hint="default"/>
      </w:rPr>
    </w:lvl>
    <w:lvl w:ilvl="8" w:tplc="547C9224" w:tentative="1">
      <w:start w:val="1"/>
      <w:numFmt w:val="bullet"/>
      <w:lvlText w:val=""/>
      <w:lvlJc w:val="left"/>
      <w:pPr>
        <w:tabs>
          <w:tab w:val="num" w:pos="6480"/>
        </w:tabs>
        <w:ind w:left="6480" w:hanging="360"/>
      </w:pPr>
      <w:rPr>
        <w:rFonts w:ascii="Wingdings" w:hAnsi="Wingdings" w:hint="default"/>
      </w:rPr>
    </w:lvl>
  </w:abstractNum>
  <w:abstractNum w:abstractNumId="12">
    <w:nsid w:val="2FF15EF9"/>
    <w:multiLevelType w:val="hybridMultilevel"/>
    <w:tmpl w:val="69F0ACEE"/>
    <w:lvl w:ilvl="0" w:tplc="CEBC924A">
      <w:start w:val="1"/>
      <w:numFmt w:val="bullet"/>
      <w:lvlText w:val=""/>
      <w:lvlJc w:val="left"/>
      <w:pPr>
        <w:tabs>
          <w:tab w:val="num" w:pos="720"/>
        </w:tabs>
        <w:ind w:left="720" w:hanging="360"/>
      </w:pPr>
      <w:rPr>
        <w:rFonts w:ascii="Wingdings" w:hAnsi="Wingdings" w:hint="default"/>
      </w:rPr>
    </w:lvl>
    <w:lvl w:ilvl="1" w:tplc="AED48DE8" w:tentative="1">
      <w:start w:val="1"/>
      <w:numFmt w:val="bullet"/>
      <w:lvlText w:val=""/>
      <w:lvlJc w:val="left"/>
      <w:pPr>
        <w:tabs>
          <w:tab w:val="num" w:pos="1440"/>
        </w:tabs>
        <w:ind w:left="1440" w:hanging="360"/>
      </w:pPr>
      <w:rPr>
        <w:rFonts w:ascii="Wingdings" w:hAnsi="Wingdings" w:hint="default"/>
      </w:rPr>
    </w:lvl>
    <w:lvl w:ilvl="2" w:tplc="A16651D0" w:tentative="1">
      <w:start w:val="1"/>
      <w:numFmt w:val="bullet"/>
      <w:lvlText w:val=""/>
      <w:lvlJc w:val="left"/>
      <w:pPr>
        <w:tabs>
          <w:tab w:val="num" w:pos="2160"/>
        </w:tabs>
        <w:ind w:left="2160" w:hanging="360"/>
      </w:pPr>
      <w:rPr>
        <w:rFonts w:ascii="Wingdings" w:hAnsi="Wingdings" w:hint="default"/>
      </w:rPr>
    </w:lvl>
    <w:lvl w:ilvl="3" w:tplc="1912241A" w:tentative="1">
      <w:start w:val="1"/>
      <w:numFmt w:val="bullet"/>
      <w:lvlText w:val=""/>
      <w:lvlJc w:val="left"/>
      <w:pPr>
        <w:tabs>
          <w:tab w:val="num" w:pos="2880"/>
        </w:tabs>
        <w:ind w:left="2880" w:hanging="360"/>
      </w:pPr>
      <w:rPr>
        <w:rFonts w:ascii="Wingdings" w:hAnsi="Wingdings" w:hint="default"/>
      </w:rPr>
    </w:lvl>
    <w:lvl w:ilvl="4" w:tplc="7226AB40" w:tentative="1">
      <w:start w:val="1"/>
      <w:numFmt w:val="bullet"/>
      <w:lvlText w:val=""/>
      <w:lvlJc w:val="left"/>
      <w:pPr>
        <w:tabs>
          <w:tab w:val="num" w:pos="3600"/>
        </w:tabs>
        <w:ind w:left="3600" w:hanging="360"/>
      </w:pPr>
      <w:rPr>
        <w:rFonts w:ascii="Wingdings" w:hAnsi="Wingdings" w:hint="default"/>
      </w:rPr>
    </w:lvl>
    <w:lvl w:ilvl="5" w:tplc="25580E90" w:tentative="1">
      <w:start w:val="1"/>
      <w:numFmt w:val="bullet"/>
      <w:lvlText w:val=""/>
      <w:lvlJc w:val="left"/>
      <w:pPr>
        <w:tabs>
          <w:tab w:val="num" w:pos="4320"/>
        </w:tabs>
        <w:ind w:left="4320" w:hanging="360"/>
      </w:pPr>
      <w:rPr>
        <w:rFonts w:ascii="Wingdings" w:hAnsi="Wingdings" w:hint="default"/>
      </w:rPr>
    </w:lvl>
    <w:lvl w:ilvl="6" w:tplc="F1F4A802" w:tentative="1">
      <w:start w:val="1"/>
      <w:numFmt w:val="bullet"/>
      <w:lvlText w:val=""/>
      <w:lvlJc w:val="left"/>
      <w:pPr>
        <w:tabs>
          <w:tab w:val="num" w:pos="5040"/>
        </w:tabs>
        <w:ind w:left="5040" w:hanging="360"/>
      </w:pPr>
      <w:rPr>
        <w:rFonts w:ascii="Wingdings" w:hAnsi="Wingdings" w:hint="default"/>
      </w:rPr>
    </w:lvl>
    <w:lvl w:ilvl="7" w:tplc="062ADF84" w:tentative="1">
      <w:start w:val="1"/>
      <w:numFmt w:val="bullet"/>
      <w:lvlText w:val=""/>
      <w:lvlJc w:val="left"/>
      <w:pPr>
        <w:tabs>
          <w:tab w:val="num" w:pos="5760"/>
        </w:tabs>
        <w:ind w:left="5760" w:hanging="360"/>
      </w:pPr>
      <w:rPr>
        <w:rFonts w:ascii="Wingdings" w:hAnsi="Wingdings" w:hint="default"/>
      </w:rPr>
    </w:lvl>
    <w:lvl w:ilvl="8" w:tplc="86A6F9E8" w:tentative="1">
      <w:start w:val="1"/>
      <w:numFmt w:val="bullet"/>
      <w:lvlText w:val=""/>
      <w:lvlJc w:val="left"/>
      <w:pPr>
        <w:tabs>
          <w:tab w:val="num" w:pos="6480"/>
        </w:tabs>
        <w:ind w:left="6480" w:hanging="360"/>
      </w:pPr>
      <w:rPr>
        <w:rFonts w:ascii="Wingdings" w:hAnsi="Wingdings" w:hint="default"/>
      </w:rPr>
    </w:lvl>
  </w:abstractNum>
  <w:abstractNum w:abstractNumId="13">
    <w:nsid w:val="488150FB"/>
    <w:multiLevelType w:val="hybridMultilevel"/>
    <w:tmpl w:val="E11A671C"/>
    <w:lvl w:ilvl="0" w:tplc="05C4842E">
      <w:start w:val="1"/>
      <w:numFmt w:val="bullet"/>
      <w:lvlText w:val=""/>
      <w:lvlJc w:val="left"/>
      <w:pPr>
        <w:tabs>
          <w:tab w:val="num" w:pos="720"/>
        </w:tabs>
        <w:ind w:left="720" w:hanging="360"/>
      </w:pPr>
      <w:rPr>
        <w:rFonts w:ascii="Wingdings" w:hAnsi="Wingdings" w:hint="default"/>
      </w:rPr>
    </w:lvl>
    <w:lvl w:ilvl="1" w:tplc="4EB84C86" w:tentative="1">
      <w:start w:val="1"/>
      <w:numFmt w:val="bullet"/>
      <w:lvlText w:val=""/>
      <w:lvlJc w:val="left"/>
      <w:pPr>
        <w:tabs>
          <w:tab w:val="num" w:pos="1440"/>
        </w:tabs>
        <w:ind w:left="1440" w:hanging="360"/>
      </w:pPr>
      <w:rPr>
        <w:rFonts w:ascii="Wingdings" w:hAnsi="Wingdings" w:hint="default"/>
      </w:rPr>
    </w:lvl>
    <w:lvl w:ilvl="2" w:tplc="230E4394" w:tentative="1">
      <w:start w:val="1"/>
      <w:numFmt w:val="bullet"/>
      <w:lvlText w:val=""/>
      <w:lvlJc w:val="left"/>
      <w:pPr>
        <w:tabs>
          <w:tab w:val="num" w:pos="2160"/>
        </w:tabs>
        <w:ind w:left="2160" w:hanging="360"/>
      </w:pPr>
      <w:rPr>
        <w:rFonts w:ascii="Wingdings" w:hAnsi="Wingdings" w:hint="default"/>
      </w:rPr>
    </w:lvl>
    <w:lvl w:ilvl="3" w:tplc="F87651D2" w:tentative="1">
      <w:start w:val="1"/>
      <w:numFmt w:val="bullet"/>
      <w:lvlText w:val=""/>
      <w:lvlJc w:val="left"/>
      <w:pPr>
        <w:tabs>
          <w:tab w:val="num" w:pos="2880"/>
        </w:tabs>
        <w:ind w:left="2880" w:hanging="360"/>
      </w:pPr>
      <w:rPr>
        <w:rFonts w:ascii="Wingdings" w:hAnsi="Wingdings" w:hint="default"/>
      </w:rPr>
    </w:lvl>
    <w:lvl w:ilvl="4" w:tplc="34DC38C4" w:tentative="1">
      <w:start w:val="1"/>
      <w:numFmt w:val="bullet"/>
      <w:lvlText w:val=""/>
      <w:lvlJc w:val="left"/>
      <w:pPr>
        <w:tabs>
          <w:tab w:val="num" w:pos="3600"/>
        </w:tabs>
        <w:ind w:left="3600" w:hanging="360"/>
      </w:pPr>
      <w:rPr>
        <w:rFonts w:ascii="Wingdings" w:hAnsi="Wingdings" w:hint="default"/>
      </w:rPr>
    </w:lvl>
    <w:lvl w:ilvl="5" w:tplc="39C21526" w:tentative="1">
      <w:start w:val="1"/>
      <w:numFmt w:val="bullet"/>
      <w:lvlText w:val=""/>
      <w:lvlJc w:val="left"/>
      <w:pPr>
        <w:tabs>
          <w:tab w:val="num" w:pos="4320"/>
        </w:tabs>
        <w:ind w:left="4320" w:hanging="360"/>
      </w:pPr>
      <w:rPr>
        <w:rFonts w:ascii="Wingdings" w:hAnsi="Wingdings" w:hint="default"/>
      </w:rPr>
    </w:lvl>
    <w:lvl w:ilvl="6" w:tplc="9B8012DC" w:tentative="1">
      <w:start w:val="1"/>
      <w:numFmt w:val="bullet"/>
      <w:lvlText w:val=""/>
      <w:lvlJc w:val="left"/>
      <w:pPr>
        <w:tabs>
          <w:tab w:val="num" w:pos="5040"/>
        </w:tabs>
        <w:ind w:left="5040" w:hanging="360"/>
      </w:pPr>
      <w:rPr>
        <w:rFonts w:ascii="Wingdings" w:hAnsi="Wingdings" w:hint="default"/>
      </w:rPr>
    </w:lvl>
    <w:lvl w:ilvl="7" w:tplc="BFC6B84C" w:tentative="1">
      <w:start w:val="1"/>
      <w:numFmt w:val="bullet"/>
      <w:lvlText w:val=""/>
      <w:lvlJc w:val="left"/>
      <w:pPr>
        <w:tabs>
          <w:tab w:val="num" w:pos="5760"/>
        </w:tabs>
        <w:ind w:left="5760" w:hanging="360"/>
      </w:pPr>
      <w:rPr>
        <w:rFonts w:ascii="Wingdings" w:hAnsi="Wingdings" w:hint="default"/>
      </w:rPr>
    </w:lvl>
    <w:lvl w:ilvl="8" w:tplc="C4C0926C" w:tentative="1">
      <w:start w:val="1"/>
      <w:numFmt w:val="bullet"/>
      <w:lvlText w:val=""/>
      <w:lvlJc w:val="left"/>
      <w:pPr>
        <w:tabs>
          <w:tab w:val="num" w:pos="6480"/>
        </w:tabs>
        <w:ind w:left="6480" w:hanging="360"/>
      </w:pPr>
      <w:rPr>
        <w:rFonts w:ascii="Wingdings" w:hAnsi="Wingdings" w:hint="default"/>
      </w:rPr>
    </w:lvl>
  </w:abstractNum>
  <w:abstractNum w:abstractNumId="14">
    <w:nsid w:val="489C43BA"/>
    <w:multiLevelType w:val="hybridMultilevel"/>
    <w:tmpl w:val="F91C31C8"/>
    <w:lvl w:ilvl="0" w:tplc="1C2663EE">
      <w:start w:val="1"/>
      <w:numFmt w:val="bullet"/>
      <w:lvlText w:val=""/>
      <w:lvlJc w:val="left"/>
      <w:pPr>
        <w:tabs>
          <w:tab w:val="num" w:pos="720"/>
        </w:tabs>
        <w:ind w:left="720" w:hanging="360"/>
      </w:pPr>
      <w:rPr>
        <w:rFonts w:ascii="Wingdings" w:hAnsi="Wingdings" w:hint="default"/>
      </w:rPr>
    </w:lvl>
    <w:lvl w:ilvl="1" w:tplc="0486ED4C" w:tentative="1">
      <w:start w:val="1"/>
      <w:numFmt w:val="bullet"/>
      <w:lvlText w:val=""/>
      <w:lvlJc w:val="left"/>
      <w:pPr>
        <w:tabs>
          <w:tab w:val="num" w:pos="1440"/>
        </w:tabs>
        <w:ind w:left="1440" w:hanging="360"/>
      </w:pPr>
      <w:rPr>
        <w:rFonts w:ascii="Wingdings" w:hAnsi="Wingdings" w:hint="default"/>
      </w:rPr>
    </w:lvl>
    <w:lvl w:ilvl="2" w:tplc="FC9C95CA" w:tentative="1">
      <w:start w:val="1"/>
      <w:numFmt w:val="bullet"/>
      <w:lvlText w:val=""/>
      <w:lvlJc w:val="left"/>
      <w:pPr>
        <w:tabs>
          <w:tab w:val="num" w:pos="2160"/>
        </w:tabs>
        <w:ind w:left="2160" w:hanging="360"/>
      </w:pPr>
      <w:rPr>
        <w:rFonts w:ascii="Wingdings" w:hAnsi="Wingdings" w:hint="default"/>
      </w:rPr>
    </w:lvl>
    <w:lvl w:ilvl="3" w:tplc="F6ACA5DC" w:tentative="1">
      <w:start w:val="1"/>
      <w:numFmt w:val="bullet"/>
      <w:lvlText w:val=""/>
      <w:lvlJc w:val="left"/>
      <w:pPr>
        <w:tabs>
          <w:tab w:val="num" w:pos="2880"/>
        </w:tabs>
        <w:ind w:left="2880" w:hanging="360"/>
      </w:pPr>
      <w:rPr>
        <w:rFonts w:ascii="Wingdings" w:hAnsi="Wingdings" w:hint="default"/>
      </w:rPr>
    </w:lvl>
    <w:lvl w:ilvl="4" w:tplc="6E029EEE" w:tentative="1">
      <w:start w:val="1"/>
      <w:numFmt w:val="bullet"/>
      <w:lvlText w:val=""/>
      <w:lvlJc w:val="left"/>
      <w:pPr>
        <w:tabs>
          <w:tab w:val="num" w:pos="3600"/>
        </w:tabs>
        <w:ind w:left="3600" w:hanging="360"/>
      </w:pPr>
      <w:rPr>
        <w:rFonts w:ascii="Wingdings" w:hAnsi="Wingdings" w:hint="default"/>
      </w:rPr>
    </w:lvl>
    <w:lvl w:ilvl="5" w:tplc="B5425368" w:tentative="1">
      <w:start w:val="1"/>
      <w:numFmt w:val="bullet"/>
      <w:lvlText w:val=""/>
      <w:lvlJc w:val="left"/>
      <w:pPr>
        <w:tabs>
          <w:tab w:val="num" w:pos="4320"/>
        </w:tabs>
        <w:ind w:left="4320" w:hanging="360"/>
      </w:pPr>
      <w:rPr>
        <w:rFonts w:ascii="Wingdings" w:hAnsi="Wingdings" w:hint="default"/>
      </w:rPr>
    </w:lvl>
    <w:lvl w:ilvl="6" w:tplc="1B6A24B0" w:tentative="1">
      <w:start w:val="1"/>
      <w:numFmt w:val="bullet"/>
      <w:lvlText w:val=""/>
      <w:lvlJc w:val="left"/>
      <w:pPr>
        <w:tabs>
          <w:tab w:val="num" w:pos="5040"/>
        </w:tabs>
        <w:ind w:left="5040" w:hanging="360"/>
      </w:pPr>
      <w:rPr>
        <w:rFonts w:ascii="Wingdings" w:hAnsi="Wingdings" w:hint="default"/>
      </w:rPr>
    </w:lvl>
    <w:lvl w:ilvl="7" w:tplc="E580E798" w:tentative="1">
      <w:start w:val="1"/>
      <w:numFmt w:val="bullet"/>
      <w:lvlText w:val=""/>
      <w:lvlJc w:val="left"/>
      <w:pPr>
        <w:tabs>
          <w:tab w:val="num" w:pos="5760"/>
        </w:tabs>
        <w:ind w:left="5760" w:hanging="360"/>
      </w:pPr>
      <w:rPr>
        <w:rFonts w:ascii="Wingdings" w:hAnsi="Wingdings" w:hint="default"/>
      </w:rPr>
    </w:lvl>
    <w:lvl w:ilvl="8" w:tplc="3294DA4E" w:tentative="1">
      <w:start w:val="1"/>
      <w:numFmt w:val="bullet"/>
      <w:lvlText w:val=""/>
      <w:lvlJc w:val="left"/>
      <w:pPr>
        <w:tabs>
          <w:tab w:val="num" w:pos="6480"/>
        </w:tabs>
        <w:ind w:left="6480" w:hanging="360"/>
      </w:pPr>
      <w:rPr>
        <w:rFonts w:ascii="Wingdings" w:hAnsi="Wingdings" w:hint="default"/>
      </w:rPr>
    </w:lvl>
  </w:abstractNum>
  <w:abstractNum w:abstractNumId="15">
    <w:nsid w:val="48F76435"/>
    <w:multiLevelType w:val="hybridMultilevel"/>
    <w:tmpl w:val="9B326F16"/>
    <w:lvl w:ilvl="0" w:tplc="0BAE895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E514870"/>
    <w:multiLevelType w:val="hybridMultilevel"/>
    <w:tmpl w:val="8B18B340"/>
    <w:lvl w:ilvl="0" w:tplc="43B27422">
      <w:start w:val="1"/>
      <w:numFmt w:val="bullet"/>
      <w:lvlText w:val=""/>
      <w:lvlJc w:val="left"/>
      <w:pPr>
        <w:tabs>
          <w:tab w:val="num" w:pos="720"/>
        </w:tabs>
        <w:ind w:left="720" w:hanging="360"/>
      </w:pPr>
      <w:rPr>
        <w:rFonts w:ascii="Wingdings" w:hAnsi="Wingdings" w:hint="default"/>
      </w:rPr>
    </w:lvl>
    <w:lvl w:ilvl="1" w:tplc="D5606B3E" w:tentative="1">
      <w:start w:val="1"/>
      <w:numFmt w:val="bullet"/>
      <w:lvlText w:val=""/>
      <w:lvlJc w:val="left"/>
      <w:pPr>
        <w:tabs>
          <w:tab w:val="num" w:pos="1440"/>
        </w:tabs>
        <w:ind w:left="1440" w:hanging="360"/>
      </w:pPr>
      <w:rPr>
        <w:rFonts w:ascii="Wingdings" w:hAnsi="Wingdings" w:hint="default"/>
      </w:rPr>
    </w:lvl>
    <w:lvl w:ilvl="2" w:tplc="B6DC92A0" w:tentative="1">
      <w:start w:val="1"/>
      <w:numFmt w:val="bullet"/>
      <w:lvlText w:val=""/>
      <w:lvlJc w:val="left"/>
      <w:pPr>
        <w:tabs>
          <w:tab w:val="num" w:pos="2160"/>
        </w:tabs>
        <w:ind w:left="2160" w:hanging="360"/>
      </w:pPr>
      <w:rPr>
        <w:rFonts w:ascii="Wingdings" w:hAnsi="Wingdings" w:hint="default"/>
      </w:rPr>
    </w:lvl>
    <w:lvl w:ilvl="3" w:tplc="82068A4C" w:tentative="1">
      <w:start w:val="1"/>
      <w:numFmt w:val="bullet"/>
      <w:lvlText w:val=""/>
      <w:lvlJc w:val="left"/>
      <w:pPr>
        <w:tabs>
          <w:tab w:val="num" w:pos="2880"/>
        </w:tabs>
        <w:ind w:left="2880" w:hanging="360"/>
      </w:pPr>
      <w:rPr>
        <w:rFonts w:ascii="Wingdings" w:hAnsi="Wingdings" w:hint="default"/>
      </w:rPr>
    </w:lvl>
    <w:lvl w:ilvl="4" w:tplc="EF2AA342" w:tentative="1">
      <w:start w:val="1"/>
      <w:numFmt w:val="bullet"/>
      <w:lvlText w:val=""/>
      <w:lvlJc w:val="left"/>
      <w:pPr>
        <w:tabs>
          <w:tab w:val="num" w:pos="3600"/>
        </w:tabs>
        <w:ind w:left="3600" w:hanging="360"/>
      </w:pPr>
      <w:rPr>
        <w:rFonts w:ascii="Wingdings" w:hAnsi="Wingdings" w:hint="default"/>
      </w:rPr>
    </w:lvl>
    <w:lvl w:ilvl="5" w:tplc="B566B580" w:tentative="1">
      <w:start w:val="1"/>
      <w:numFmt w:val="bullet"/>
      <w:lvlText w:val=""/>
      <w:lvlJc w:val="left"/>
      <w:pPr>
        <w:tabs>
          <w:tab w:val="num" w:pos="4320"/>
        </w:tabs>
        <w:ind w:left="4320" w:hanging="360"/>
      </w:pPr>
      <w:rPr>
        <w:rFonts w:ascii="Wingdings" w:hAnsi="Wingdings" w:hint="default"/>
      </w:rPr>
    </w:lvl>
    <w:lvl w:ilvl="6" w:tplc="6FCE976A" w:tentative="1">
      <w:start w:val="1"/>
      <w:numFmt w:val="bullet"/>
      <w:lvlText w:val=""/>
      <w:lvlJc w:val="left"/>
      <w:pPr>
        <w:tabs>
          <w:tab w:val="num" w:pos="5040"/>
        </w:tabs>
        <w:ind w:left="5040" w:hanging="360"/>
      </w:pPr>
      <w:rPr>
        <w:rFonts w:ascii="Wingdings" w:hAnsi="Wingdings" w:hint="default"/>
      </w:rPr>
    </w:lvl>
    <w:lvl w:ilvl="7" w:tplc="56AC582E" w:tentative="1">
      <w:start w:val="1"/>
      <w:numFmt w:val="bullet"/>
      <w:lvlText w:val=""/>
      <w:lvlJc w:val="left"/>
      <w:pPr>
        <w:tabs>
          <w:tab w:val="num" w:pos="5760"/>
        </w:tabs>
        <w:ind w:left="5760" w:hanging="360"/>
      </w:pPr>
      <w:rPr>
        <w:rFonts w:ascii="Wingdings" w:hAnsi="Wingdings" w:hint="default"/>
      </w:rPr>
    </w:lvl>
    <w:lvl w:ilvl="8" w:tplc="7892F286" w:tentative="1">
      <w:start w:val="1"/>
      <w:numFmt w:val="bullet"/>
      <w:lvlText w:val=""/>
      <w:lvlJc w:val="left"/>
      <w:pPr>
        <w:tabs>
          <w:tab w:val="num" w:pos="6480"/>
        </w:tabs>
        <w:ind w:left="6480" w:hanging="360"/>
      </w:pPr>
      <w:rPr>
        <w:rFonts w:ascii="Wingdings" w:hAnsi="Wingdings" w:hint="default"/>
      </w:rPr>
    </w:lvl>
  </w:abstractNum>
  <w:abstractNum w:abstractNumId="17">
    <w:nsid w:val="5627590C"/>
    <w:multiLevelType w:val="hybridMultilevel"/>
    <w:tmpl w:val="C37290AA"/>
    <w:lvl w:ilvl="0" w:tplc="3D706E56">
      <w:start w:val="1"/>
      <w:numFmt w:val="bullet"/>
      <w:lvlText w:val=""/>
      <w:lvlJc w:val="left"/>
      <w:pPr>
        <w:tabs>
          <w:tab w:val="num" w:pos="720"/>
        </w:tabs>
        <w:ind w:left="720" w:hanging="360"/>
      </w:pPr>
      <w:rPr>
        <w:rFonts w:ascii="Wingdings" w:hAnsi="Wingdings" w:hint="default"/>
      </w:rPr>
    </w:lvl>
    <w:lvl w:ilvl="1" w:tplc="50FE881C" w:tentative="1">
      <w:start w:val="1"/>
      <w:numFmt w:val="bullet"/>
      <w:lvlText w:val=""/>
      <w:lvlJc w:val="left"/>
      <w:pPr>
        <w:tabs>
          <w:tab w:val="num" w:pos="1440"/>
        </w:tabs>
        <w:ind w:left="1440" w:hanging="360"/>
      </w:pPr>
      <w:rPr>
        <w:rFonts w:ascii="Wingdings" w:hAnsi="Wingdings" w:hint="default"/>
      </w:rPr>
    </w:lvl>
    <w:lvl w:ilvl="2" w:tplc="0FFA45CA" w:tentative="1">
      <w:start w:val="1"/>
      <w:numFmt w:val="bullet"/>
      <w:lvlText w:val=""/>
      <w:lvlJc w:val="left"/>
      <w:pPr>
        <w:tabs>
          <w:tab w:val="num" w:pos="2160"/>
        </w:tabs>
        <w:ind w:left="2160" w:hanging="360"/>
      </w:pPr>
      <w:rPr>
        <w:rFonts w:ascii="Wingdings" w:hAnsi="Wingdings" w:hint="default"/>
      </w:rPr>
    </w:lvl>
    <w:lvl w:ilvl="3" w:tplc="BC0E0614" w:tentative="1">
      <w:start w:val="1"/>
      <w:numFmt w:val="bullet"/>
      <w:lvlText w:val=""/>
      <w:lvlJc w:val="left"/>
      <w:pPr>
        <w:tabs>
          <w:tab w:val="num" w:pos="2880"/>
        </w:tabs>
        <w:ind w:left="2880" w:hanging="360"/>
      </w:pPr>
      <w:rPr>
        <w:rFonts w:ascii="Wingdings" w:hAnsi="Wingdings" w:hint="default"/>
      </w:rPr>
    </w:lvl>
    <w:lvl w:ilvl="4" w:tplc="AFE8F2E0" w:tentative="1">
      <w:start w:val="1"/>
      <w:numFmt w:val="bullet"/>
      <w:lvlText w:val=""/>
      <w:lvlJc w:val="left"/>
      <w:pPr>
        <w:tabs>
          <w:tab w:val="num" w:pos="3600"/>
        </w:tabs>
        <w:ind w:left="3600" w:hanging="360"/>
      </w:pPr>
      <w:rPr>
        <w:rFonts w:ascii="Wingdings" w:hAnsi="Wingdings" w:hint="default"/>
      </w:rPr>
    </w:lvl>
    <w:lvl w:ilvl="5" w:tplc="4198B1C2" w:tentative="1">
      <w:start w:val="1"/>
      <w:numFmt w:val="bullet"/>
      <w:lvlText w:val=""/>
      <w:lvlJc w:val="left"/>
      <w:pPr>
        <w:tabs>
          <w:tab w:val="num" w:pos="4320"/>
        </w:tabs>
        <w:ind w:left="4320" w:hanging="360"/>
      </w:pPr>
      <w:rPr>
        <w:rFonts w:ascii="Wingdings" w:hAnsi="Wingdings" w:hint="default"/>
      </w:rPr>
    </w:lvl>
    <w:lvl w:ilvl="6" w:tplc="EDD0F8A0" w:tentative="1">
      <w:start w:val="1"/>
      <w:numFmt w:val="bullet"/>
      <w:lvlText w:val=""/>
      <w:lvlJc w:val="left"/>
      <w:pPr>
        <w:tabs>
          <w:tab w:val="num" w:pos="5040"/>
        </w:tabs>
        <w:ind w:left="5040" w:hanging="360"/>
      </w:pPr>
      <w:rPr>
        <w:rFonts w:ascii="Wingdings" w:hAnsi="Wingdings" w:hint="default"/>
      </w:rPr>
    </w:lvl>
    <w:lvl w:ilvl="7" w:tplc="95F205D4" w:tentative="1">
      <w:start w:val="1"/>
      <w:numFmt w:val="bullet"/>
      <w:lvlText w:val=""/>
      <w:lvlJc w:val="left"/>
      <w:pPr>
        <w:tabs>
          <w:tab w:val="num" w:pos="5760"/>
        </w:tabs>
        <w:ind w:left="5760" w:hanging="360"/>
      </w:pPr>
      <w:rPr>
        <w:rFonts w:ascii="Wingdings" w:hAnsi="Wingdings" w:hint="default"/>
      </w:rPr>
    </w:lvl>
    <w:lvl w:ilvl="8" w:tplc="DFFA04EE" w:tentative="1">
      <w:start w:val="1"/>
      <w:numFmt w:val="bullet"/>
      <w:lvlText w:val=""/>
      <w:lvlJc w:val="left"/>
      <w:pPr>
        <w:tabs>
          <w:tab w:val="num" w:pos="6480"/>
        </w:tabs>
        <w:ind w:left="6480" w:hanging="360"/>
      </w:pPr>
      <w:rPr>
        <w:rFonts w:ascii="Wingdings" w:hAnsi="Wingdings" w:hint="default"/>
      </w:rPr>
    </w:lvl>
  </w:abstractNum>
  <w:abstractNum w:abstractNumId="18">
    <w:nsid w:val="5C003E8C"/>
    <w:multiLevelType w:val="hybridMultilevel"/>
    <w:tmpl w:val="475AC0D8"/>
    <w:lvl w:ilvl="0" w:tplc="E08E5D22">
      <w:start w:val="1"/>
      <w:numFmt w:val="decimal"/>
      <w:lvlText w:val="%1、"/>
      <w:lvlJc w:val="left"/>
      <w:pPr>
        <w:ind w:left="1200" w:hanging="720"/>
      </w:pPr>
      <w:rPr>
        <w:rFonts w:hint="default"/>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9">
    <w:nsid w:val="5C5F63A9"/>
    <w:multiLevelType w:val="hybridMultilevel"/>
    <w:tmpl w:val="314A2B18"/>
    <w:lvl w:ilvl="0" w:tplc="7E863EF2">
      <w:start w:val="1"/>
      <w:numFmt w:val="japaneseCounting"/>
      <w:lvlText w:val="第%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nsid w:val="60BC4A89"/>
    <w:multiLevelType w:val="hybridMultilevel"/>
    <w:tmpl w:val="586EE950"/>
    <w:lvl w:ilvl="0" w:tplc="6A165E04">
      <w:start w:val="1"/>
      <w:numFmt w:val="bullet"/>
      <w:lvlText w:val=""/>
      <w:lvlJc w:val="left"/>
      <w:pPr>
        <w:tabs>
          <w:tab w:val="num" w:pos="720"/>
        </w:tabs>
        <w:ind w:left="720" w:hanging="360"/>
      </w:pPr>
      <w:rPr>
        <w:rFonts w:ascii="Wingdings" w:hAnsi="Wingdings" w:hint="default"/>
      </w:rPr>
    </w:lvl>
    <w:lvl w:ilvl="1" w:tplc="21AC195E" w:tentative="1">
      <w:start w:val="1"/>
      <w:numFmt w:val="bullet"/>
      <w:lvlText w:val=""/>
      <w:lvlJc w:val="left"/>
      <w:pPr>
        <w:tabs>
          <w:tab w:val="num" w:pos="1440"/>
        </w:tabs>
        <w:ind w:left="1440" w:hanging="360"/>
      </w:pPr>
      <w:rPr>
        <w:rFonts w:ascii="Wingdings" w:hAnsi="Wingdings" w:hint="default"/>
      </w:rPr>
    </w:lvl>
    <w:lvl w:ilvl="2" w:tplc="A0B615E8" w:tentative="1">
      <w:start w:val="1"/>
      <w:numFmt w:val="bullet"/>
      <w:lvlText w:val=""/>
      <w:lvlJc w:val="left"/>
      <w:pPr>
        <w:tabs>
          <w:tab w:val="num" w:pos="2160"/>
        </w:tabs>
        <w:ind w:left="2160" w:hanging="360"/>
      </w:pPr>
      <w:rPr>
        <w:rFonts w:ascii="Wingdings" w:hAnsi="Wingdings" w:hint="default"/>
      </w:rPr>
    </w:lvl>
    <w:lvl w:ilvl="3" w:tplc="E75C4E4C" w:tentative="1">
      <w:start w:val="1"/>
      <w:numFmt w:val="bullet"/>
      <w:lvlText w:val=""/>
      <w:lvlJc w:val="left"/>
      <w:pPr>
        <w:tabs>
          <w:tab w:val="num" w:pos="2880"/>
        </w:tabs>
        <w:ind w:left="2880" w:hanging="360"/>
      </w:pPr>
      <w:rPr>
        <w:rFonts w:ascii="Wingdings" w:hAnsi="Wingdings" w:hint="default"/>
      </w:rPr>
    </w:lvl>
    <w:lvl w:ilvl="4" w:tplc="4AEA7F6E" w:tentative="1">
      <w:start w:val="1"/>
      <w:numFmt w:val="bullet"/>
      <w:lvlText w:val=""/>
      <w:lvlJc w:val="left"/>
      <w:pPr>
        <w:tabs>
          <w:tab w:val="num" w:pos="3600"/>
        </w:tabs>
        <w:ind w:left="3600" w:hanging="360"/>
      </w:pPr>
      <w:rPr>
        <w:rFonts w:ascii="Wingdings" w:hAnsi="Wingdings" w:hint="default"/>
      </w:rPr>
    </w:lvl>
    <w:lvl w:ilvl="5" w:tplc="2D6A9648" w:tentative="1">
      <w:start w:val="1"/>
      <w:numFmt w:val="bullet"/>
      <w:lvlText w:val=""/>
      <w:lvlJc w:val="left"/>
      <w:pPr>
        <w:tabs>
          <w:tab w:val="num" w:pos="4320"/>
        </w:tabs>
        <w:ind w:left="4320" w:hanging="360"/>
      </w:pPr>
      <w:rPr>
        <w:rFonts w:ascii="Wingdings" w:hAnsi="Wingdings" w:hint="default"/>
      </w:rPr>
    </w:lvl>
    <w:lvl w:ilvl="6" w:tplc="CB7E3146" w:tentative="1">
      <w:start w:val="1"/>
      <w:numFmt w:val="bullet"/>
      <w:lvlText w:val=""/>
      <w:lvlJc w:val="left"/>
      <w:pPr>
        <w:tabs>
          <w:tab w:val="num" w:pos="5040"/>
        </w:tabs>
        <w:ind w:left="5040" w:hanging="360"/>
      </w:pPr>
      <w:rPr>
        <w:rFonts w:ascii="Wingdings" w:hAnsi="Wingdings" w:hint="default"/>
      </w:rPr>
    </w:lvl>
    <w:lvl w:ilvl="7" w:tplc="B1988EC6" w:tentative="1">
      <w:start w:val="1"/>
      <w:numFmt w:val="bullet"/>
      <w:lvlText w:val=""/>
      <w:lvlJc w:val="left"/>
      <w:pPr>
        <w:tabs>
          <w:tab w:val="num" w:pos="5760"/>
        </w:tabs>
        <w:ind w:left="5760" w:hanging="360"/>
      </w:pPr>
      <w:rPr>
        <w:rFonts w:ascii="Wingdings" w:hAnsi="Wingdings" w:hint="default"/>
      </w:rPr>
    </w:lvl>
    <w:lvl w:ilvl="8" w:tplc="B71C61B0" w:tentative="1">
      <w:start w:val="1"/>
      <w:numFmt w:val="bullet"/>
      <w:lvlText w:val=""/>
      <w:lvlJc w:val="left"/>
      <w:pPr>
        <w:tabs>
          <w:tab w:val="num" w:pos="6480"/>
        </w:tabs>
        <w:ind w:left="6480" w:hanging="360"/>
      </w:pPr>
      <w:rPr>
        <w:rFonts w:ascii="Wingdings" w:hAnsi="Wingdings" w:hint="default"/>
      </w:rPr>
    </w:lvl>
  </w:abstractNum>
  <w:abstractNum w:abstractNumId="21">
    <w:nsid w:val="61E30A09"/>
    <w:multiLevelType w:val="hybridMultilevel"/>
    <w:tmpl w:val="61DA731C"/>
    <w:lvl w:ilvl="0" w:tplc="768C788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2">
    <w:nsid w:val="6AA464D0"/>
    <w:multiLevelType w:val="hybridMultilevel"/>
    <w:tmpl w:val="87CE8456"/>
    <w:lvl w:ilvl="0" w:tplc="4D4E41E0">
      <w:start w:val="1"/>
      <w:numFmt w:val="bullet"/>
      <w:lvlText w:val=""/>
      <w:lvlJc w:val="left"/>
      <w:pPr>
        <w:tabs>
          <w:tab w:val="num" w:pos="720"/>
        </w:tabs>
        <w:ind w:left="720" w:hanging="360"/>
      </w:pPr>
      <w:rPr>
        <w:rFonts w:ascii="Wingdings" w:hAnsi="Wingdings" w:hint="default"/>
      </w:rPr>
    </w:lvl>
    <w:lvl w:ilvl="1" w:tplc="983CE176" w:tentative="1">
      <w:start w:val="1"/>
      <w:numFmt w:val="bullet"/>
      <w:lvlText w:val=""/>
      <w:lvlJc w:val="left"/>
      <w:pPr>
        <w:tabs>
          <w:tab w:val="num" w:pos="1440"/>
        </w:tabs>
        <w:ind w:left="1440" w:hanging="360"/>
      </w:pPr>
      <w:rPr>
        <w:rFonts w:ascii="Wingdings" w:hAnsi="Wingdings" w:hint="default"/>
      </w:rPr>
    </w:lvl>
    <w:lvl w:ilvl="2" w:tplc="EE9ECB80" w:tentative="1">
      <w:start w:val="1"/>
      <w:numFmt w:val="bullet"/>
      <w:lvlText w:val=""/>
      <w:lvlJc w:val="left"/>
      <w:pPr>
        <w:tabs>
          <w:tab w:val="num" w:pos="2160"/>
        </w:tabs>
        <w:ind w:left="2160" w:hanging="360"/>
      </w:pPr>
      <w:rPr>
        <w:rFonts w:ascii="Wingdings" w:hAnsi="Wingdings" w:hint="default"/>
      </w:rPr>
    </w:lvl>
    <w:lvl w:ilvl="3" w:tplc="61A2DFD8" w:tentative="1">
      <w:start w:val="1"/>
      <w:numFmt w:val="bullet"/>
      <w:lvlText w:val=""/>
      <w:lvlJc w:val="left"/>
      <w:pPr>
        <w:tabs>
          <w:tab w:val="num" w:pos="2880"/>
        </w:tabs>
        <w:ind w:left="2880" w:hanging="360"/>
      </w:pPr>
      <w:rPr>
        <w:rFonts w:ascii="Wingdings" w:hAnsi="Wingdings" w:hint="default"/>
      </w:rPr>
    </w:lvl>
    <w:lvl w:ilvl="4" w:tplc="26142642" w:tentative="1">
      <w:start w:val="1"/>
      <w:numFmt w:val="bullet"/>
      <w:lvlText w:val=""/>
      <w:lvlJc w:val="left"/>
      <w:pPr>
        <w:tabs>
          <w:tab w:val="num" w:pos="3600"/>
        </w:tabs>
        <w:ind w:left="3600" w:hanging="360"/>
      </w:pPr>
      <w:rPr>
        <w:rFonts w:ascii="Wingdings" w:hAnsi="Wingdings" w:hint="default"/>
      </w:rPr>
    </w:lvl>
    <w:lvl w:ilvl="5" w:tplc="F73C735E" w:tentative="1">
      <w:start w:val="1"/>
      <w:numFmt w:val="bullet"/>
      <w:lvlText w:val=""/>
      <w:lvlJc w:val="left"/>
      <w:pPr>
        <w:tabs>
          <w:tab w:val="num" w:pos="4320"/>
        </w:tabs>
        <w:ind w:left="4320" w:hanging="360"/>
      </w:pPr>
      <w:rPr>
        <w:rFonts w:ascii="Wingdings" w:hAnsi="Wingdings" w:hint="default"/>
      </w:rPr>
    </w:lvl>
    <w:lvl w:ilvl="6" w:tplc="3F82EBD8" w:tentative="1">
      <w:start w:val="1"/>
      <w:numFmt w:val="bullet"/>
      <w:lvlText w:val=""/>
      <w:lvlJc w:val="left"/>
      <w:pPr>
        <w:tabs>
          <w:tab w:val="num" w:pos="5040"/>
        </w:tabs>
        <w:ind w:left="5040" w:hanging="360"/>
      </w:pPr>
      <w:rPr>
        <w:rFonts w:ascii="Wingdings" w:hAnsi="Wingdings" w:hint="default"/>
      </w:rPr>
    </w:lvl>
    <w:lvl w:ilvl="7" w:tplc="83D649B4" w:tentative="1">
      <w:start w:val="1"/>
      <w:numFmt w:val="bullet"/>
      <w:lvlText w:val=""/>
      <w:lvlJc w:val="left"/>
      <w:pPr>
        <w:tabs>
          <w:tab w:val="num" w:pos="5760"/>
        </w:tabs>
        <w:ind w:left="5760" w:hanging="360"/>
      </w:pPr>
      <w:rPr>
        <w:rFonts w:ascii="Wingdings" w:hAnsi="Wingdings" w:hint="default"/>
      </w:rPr>
    </w:lvl>
    <w:lvl w:ilvl="8" w:tplc="EC785C22" w:tentative="1">
      <w:start w:val="1"/>
      <w:numFmt w:val="bullet"/>
      <w:lvlText w:val=""/>
      <w:lvlJc w:val="left"/>
      <w:pPr>
        <w:tabs>
          <w:tab w:val="num" w:pos="6480"/>
        </w:tabs>
        <w:ind w:left="6480" w:hanging="360"/>
      </w:pPr>
      <w:rPr>
        <w:rFonts w:ascii="Wingdings" w:hAnsi="Wingdings" w:hint="default"/>
      </w:rPr>
    </w:lvl>
  </w:abstractNum>
  <w:abstractNum w:abstractNumId="23">
    <w:nsid w:val="6F9C03C7"/>
    <w:multiLevelType w:val="hybridMultilevel"/>
    <w:tmpl w:val="3E6AE66A"/>
    <w:lvl w:ilvl="0" w:tplc="32D22218">
      <w:start w:val="1"/>
      <w:numFmt w:val="bullet"/>
      <w:lvlText w:val=""/>
      <w:lvlJc w:val="left"/>
      <w:pPr>
        <w:tabs>
          <w:tab w:val="num" w:pos="720"/>
        </w:tabs>
        <w:ind w:left="720" w:hanging="360"/>
      </w:pPr>
      <w:rPr>
        <w:rFonts w:ascii="Wingdings" w:hAnsi="Wingdings" w:hint="default"/>
      </w:rPr>
    </w:lvl>
    <w:lvl w:ilvl="1" w:tplc="63AC403C" w:tentative="1">
      <w:start w:val="1"/>
      <w:numFmt w:val="bullet"/>
      <w:lvlText w:val=""/>
      <w:lvlJc w:val="left"/>
      <w:pPr>
        <w:tabs>
          <w:tab w:val="num" w:pos="1440"/>
        </w:tabs>
        <w:ind w:left="1440" w:hanging="360"/>
      </w:pPr>
      <w:rPr>
        <w:rFonts w:ascii="Wingdings" w:hAnsi="Wingdings" w:hint="default"/>
      </w:rPr>
    </w:lvl>
    <w:lvl w:ilvl="2" w:tplc="8E0CD4A4" w:tentative="1">
      <w:start w:val="1"/>
      <w:numFmt w:val="bullet"/>
      <w:lvlText w:val=""/>
      <w:lvlJc w:val="left"/>
      <w:pPr>
        <w:tabs>
          <w:tab w:val="num" w:pos="2160"/>
        </w:tabs>
        <w:ind w:left="2160" w:hanging="360"/>
      </w:pPr>
      <w:rPr>
        <w:rFonts w:ascii="Wingdings" w:hAnsi="Wingdings" w:hint="default"/>
      </w:rPr>
    </w:lvl>
    <w:lvl w:ilvl="3" w:tplc="3F0AE334" w:tentative="1">
      <w:start w:val="1"/>
      <w:numFmt w:val="bullet"/>
      <w:lvlText w:val=""/>
      <w:lvlJc w:val="left"/>
      <w:pPr>
        <w:tabs>
          <w:tab w:val="num" w:pos="2880"/>
        </w:tabs>
        <w:ind w:left="2880" w:hanging="360"/>
      </w:pPr>
      <w:rPr>
        <w:rFonts w:ascii="Wingdings" w:hAnsi="Wingdings" w:hint="default"/>
      </w:rPr>
    </w:lvl>
    <w:lvl w:ilvl="4" w:tplc="F44E0768" w:tentative="1">
      <w:start w:val="1"/>
      <w:numFmt w:val="bullet"/>
      <w:lvlText w:val=""/>
      <w:lvlJc w:val="left"/>
      <w:pPr>
        <w:tabs>
          <w:tab w:val="num" w:pos="3600"/>
        </w:tabs>
        <w:ind w:left="3600" w:hanging="360"/>
      </w:pPr>
      <w:rPr>
        <w:rFonts w:ascii="Wingdings" w:hAnsi="Wingdings" w:hint="default"/>
      </w:rPr>
    </w:lvl>
    <w:lvl w:ilvl="5" w:tplc="74C672F0" w:tentative="1">
      <w:start w:val="1"/>
      <w:numFmt w:val="bullet"/>
      <w:lvlText w:val=""/>
      <w:lvlJc w:val="left"/>
      <w:pPr>
        <w:tabs>
          <w:tab w:val="num" w:pos="4320"/>
        </w:tabs>
        <w:ind w:left="4320" w:hanging="360"/>
      </w:pPr>
      <w:rPr>
        <w:rFonts w:ascii="Wingdings" w:hAnsi="Wingdings" w:hint="default"/>
      </w:rPr>
    </w:lvl>
    <w:lvl w:ilvl="6" w:tplc="BE0421A6" w:tentative="1">
      <w:start w:val="1"/>
      <w:numFmt w:val="bullet"/>
      <w:lvlText w:val=""/>
      <w:lvlJc w:val="left"/>
      <w:pPr>
        <w:tabs>
          <w:tab w:val="num" w:pos="5040"/>
        </w:tabs>
        <w:ind w:left="5040" w:hanging="360"/>
      </w:pPr>
      <w:rPr>
        <w:rFonts w:ascii="Wingdings" w:hAnsi="Wingdings" w:hint="default"/>
      </w:rPr>
    </w:lvl>
    <w:lvl w:ilvl="7" w:tplc="57DADC78" w:tentative="1">
      <w:start w:val="1"/>
      <w:numFmt w:val="bullet"/>
      <w:lvlText w:val=""/>
      <w:lvlJc w:val="left"/>
      <w:pPr>
        <w:tabs>
          <w:tab w:val="num" w:pos="5760"/>
        </w:tabs>
        <w:ind w:left="5760" w:hanging="360"/>
      </w:pPr>
      <w:rPr>
        <w:rFonts w:ascii="Wingdings" w:hAnsi="Wingdings" w:hint="default"/>
      </w:rPr>
    </w:lvl>
    <w:lvl w:ilvl="8" w:tplc="911A1FF4"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 w:numId="6">
    <w:abstractNumId w:val="21"/>
  </w:num>
  <w:num w:numId="7">
    <w:abstractNumId w:val="13"/>
  </w:num>
  <w:num w:numId="8">
    <w:abstractNumId w:val="12"/>
  </w:num>
  <w:num w:numId="9">
    <w:abstractNumId w:val="6"/>
  </w:num>
  <w:num w:numId="10">
    <w:abstractNumId w:val="16"/>
  </w:num>
  <w:num w:numId="11">
    <w:abstractNumId w:val="20"/>
  </w:num>
  <w:num w:numId="12">
    <w:abstractNumId w:val="14"/>
  </w:num>
  <w:num w:numId="13">
    <w:abstractNumId w:val="22"/>
  </w:num>
  <w:num w:numId="14">
    <w:abstractNumId w:val="23"/>
  </w:num>
  <w:num w:numId="15">
    <w:abstractNumId w:val="17"/>
  </w:num>
  <w:num w:numId="16">
    <w:abstractNumId w:val="11"/>
  </w:num>
  <w:num w:numId="17">
    <w:abstractNumId w:val="8"/>
  </w:num>
  <w:num w:numId="18">
    <w:abstractNumId w:val="19"/>
  </w:num>
  <w:num w:numId="19">
    <w:abstractNumId w:val="9"/>
  </w:num>
  <w:num w:numId="20">
    <w:abstractNumId w:val="18"/>
  </w:num>
  <w:num w:numId="21">
    <w:abstractNumId w:val="7"/>
  </w:num>
  <w:num w:numId="22">
    <w:abstractNumId w:val="15"/>
  </w:num>
  <w:num w:numId="23">
    <w:abstractNumId w:val="5"/>
  </w:num>
  <w:num w:numId="2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F28DE503"/>
    <w:rsid w:val="0000048E"/>
    <w:rsid w:val="000006A1"/>
    <w:rsid w:val="00001755"/>
    <w:rsid w:val="0000180B"/>
    <w:rsid w:val="000022B0"/>
    <w:rsid w:val="0000327C"/>
    <w:rsid w:val="000037AD"/>
    <w:rsid w:val="00003DA4"/>
    <w:rsid w:val="00003F08"/>
    <w:rsid w:val="00003F49"/>
    <w:rsid w:val="00003F92"/>
    <w:rsid w:val="000047B9"/>
    <w:rsid w:val="00004DA9"/>
    <w:rsid w:val="00004DF6"/>
    <w:rsid w:val="00004F92"/>
    <w:rsid w:val="00005076"/>
    <w:rsid w:val="00005AF2"/>
    <w:rsid w:val="00005D9A"/>
    <w:rsid w:val="000060AC"/>
    <w:rsid w:val="000060DE"/>
    <w:rsid w:val="00006135"/>
    <w:rsid w:val="0000649D"/>
    <w:rsid w:val="00006593"/>
    <w:rsid w:val="00006787"/>
    <w:rsid w:val="000068CF"/>
    <w:rsid w:val="00006911"/>
    <w:rsid w:val="00006B83"/>
    <w:rsid w:val="00007A5A"/>
    <w:rsid w:val="00007F30"/>
    <w:rsid w:val="000105FB"/>
    <w:rsid w:val="00010654"/>
    <w:rsid w:val="000106E3"/>
    <w:rsid w:val="00010B19"/>
    <w:rsid w:val="00010DAA"/>
    <w:rsid w:val="000119EF"/>
    <w:rsid w:val="00011C5F"/>
    <w:rsid w:val="000128CB"/>
    <w:rsid w:val="00012A25"/>
    <w:rsid w:val="00012DA7"/>
    <w:rsid w:val="00012E48"/>
    <w:rsid w:val="0001311B"/>
    <w:rsid w:val="00013AC4"/>
    <w:rsid w:val="00013D8C"/>
    <w:rsid w:val="00013DBA"/>
    <w:rsid w:val="00014480"/>
    <w:rsid w:val="0001500B"/>
    <w:rsid w:val="00015542"/>
    <w:rsid w:val="00015981"/>
    <w:rsid w:val="00015C26"/>
    <w:rsid w:val="00015ECB"/>
    <w:rsid w:val="00015EE5"/>
    <w:rsid w:val="00015F11"/>
    <w:rsid w:val="00015F3D"/>
    <w:rsid w:val="00016248"/>
    <w:rsid w:val="00016A8C"/>
    <w:rsid w:val="00016C6A"/>
    <w:rsid w:val="00017B9C"/>
    <w:rsid w:val="0002033F"/>
    <w:rsid w:val="0002051A"/>
    <w:rsid w:val="00020970"/>
    <w:rsid w:val="00020BBA"/>
    <w:rsid w:val="00020F7F"/>
    <w:rsid w:val="000219C9"/>
    <w:rsid w:val="00021B34"/>
    <w:rsid w:val="00021C85"/>
    <w:rsid w:val="00022DD3"/>
    <w:rsid w:val="0002319C"/>
    <w:rsid w:val="000232BB"/>
    <w:rsid w:val="00023531"/>
    <w:rsid w:val="00023C51"/>
    <w:rsid w:val="00023E14"/>
    <w:rsid w:val="0002431B"/>
    <w:rsid w:val="00025073"/>
    <w:rsid w:val="00025B9D"/>
    <w:rsid w:val="00025F12"/>
    <w:rsid w:val="00026193"/>
    <w:rsid w:val="000270FF"/>
    <w:rsid w:val="000274EB"/>
    <w:rsid w:val="000275C9"/>
    <w:rsid w:val="0002765B"/>
    <w:rsid w:val="0002780B"/>
    <w:rsid w:val="00027AAB"/>
    <w:rsid w:val="00027E39"/>
    <w:rsid w:val="0003065D"/>
    <w:rsid w:val="00030711"/>
    <w:rsid w:val="00030E2D"/>
    <w:rsid w:val="000312AB"/>
    <w:rsid w:val="00031A0F"/>
    <w:rsid w:val="00032A5F"/>
    <w:rsid w:val="00032A68"/>
    <w:rsid w:val="00032ABF"/>
    <w:rsid w:val="000331EC"/>
    <w:rsid w:val="0003324E"/>
    <w:rsid w:val="000332AD"/>
    <w:rsid w:val="00033828"/>
    <w:rsid w:val="00034037"/>
    <w:rsid w:val="00034E64"/>
    <w:rsid w:val="0003520F"/>
    <w:rsid w:val="0003530E"/>
    <w:rsid w:val="00035D3D"/>
    <w:rsid w:val="00036DAA"/>
    <w:rsid w:val="00037494"/>
    <w:rsid w:val="0003773F"/>
    <w:rsid w:val="00037762"/>
    <w:rsid w:val="00037E6C"/>
    <w:rsid w:val="00037F38"/>
    <w:rsid w:val="000400EC"/>
    <w:rsid w:val="000401C9"/>
    <w:rsid w:val="000409E0"/>
    <w:rsid w:val="00040A6A"/>
    <w:rsid w:val="0004102C"/>
    <w:rsid w:val="000417A6"/>
    <w:rsid w:val="00041B38"/>
    <w:rsid w:val="00043A6D"/>
    <w:rsid w:val="00043DB6"/>
    <w:rsid w:val="00043E48"/>
    <w:rsid w:val="0004427C"/>
    <w:rsid w:val="000449F0"/>
    <w:rsid w:val="0004549D"/>
    <w:rsid w:val="00045A17"/>
    <w:rsid w:val="00045AB5"/>
    <w:rsid w:val="000463F4"/>
    <w:rsid w:val="0004644B"/>
    <w:rsid w:val="000465B1"/>
    <w:rsid w:val="000467D7"/>
    <w:rsid w:val="000472E5"/>
    <w:rsid w:val="00047BC0"/>
    <w:rsid w:val="00047BF1"/>
    <w:rsid w:val="00047E2A"/>
    <w:rsid w:val="00047FA6"/>
    <w:rsid w:val="0005003A"/>
    <w:rsid w:val="00050047"/>
    <w:rsid w:val="000504C8"/>
    <w:rsid w:val="000505E2"/>
    <w:rsid w:val="000507BC"/>
    <w:rsid w:val="00050AE2"/>
    <w:rsid w:val="00050E8F"/>
    <w:rsid w:val="0005155B"/>
    <w:rsid w:val="00051575"/>
    <w:rsid w:val="0005161A"/>
    <w:rsid w:val="00051CD0"/>
    <w:rsid w:val="00051D9D"/>
    <w:rsid w:val="000523C8"/>
    <w:rsid w:val="00052427"/>
    <w:rsid w:val="00053051"/>
    <w:rsid w:val="000537A4"/>
    <w:rsid w:val="000544C9"/>
    <w:rsid w:val="00054893"/>
    <w:rsid w:val="00054AE0"/>
    <w:rsid w:val="00054AFD"/>
    <w:rsid w:val="00054E2A"/>
    <w:rsid w:val="0005504F"/>
    <w:rsid w:val="000553C1"/>
    <w:rsid w:val="00055485"/>
    <w:rsid w:val="0005558A"/>
    <w:rsid w:val="00055679"/>
    <w:rsid w:val="00055A52"/>
    <w:rsid w:val="00055D29"/>
    <w:rsid w:val="00055F3B"/>
    <w:rsid w:val="000562D4"/>
    <w:rsid w:val="0005655B"/>
    <w:rsid w:val="0005721A"/>
    <w:rsid w:val="00057442"/>
    <w:rsid w:val="0005758B"/>
    <w:rsid w:val="000576DA"/>
    <w:rsid w:val="000603EF"/>
    <w:rsid w:val="00060BBF"/>
    <w:rsid w:val="000617BF"/>
    <w:rsid w:val="00061869"/>
    <w:rsid w:val="00061C3C"/>
    <w:rsid w:val="00061D9E"/>
    <w:rsid w:val="000620E2"/>
    <w:rsid w:val="0006250F"/>
    <w:rsid w:val="00062981"/>
    <w:rsid w:val="000629A2"/>
    <w:rsid w:val="00062E89"/>
    <w:rsid w:val="0006364B"/>
    <w:rsid w:val="00063EF1"/>
    <w:rsid w:val="00064007"/>
    <w:rsid w:val="000643F4"/>
    <w:rsid w:val="0006472D"/>
    <w:rsid w:val="00064DDC"/>
    <w:rsid w:val="00065B19"/>
    <w:rsid w:val="0006662C"/>
    <w:rsid w:val="0006679B"/>
    <w:rsid w:val="00066A4B"/>
    <w:rsid w:val="00066B90"/>
    <w:rsid w:val="00066C46"/>
    <w:rsid w:val="00066F10"/>
    <w:rsid w:val="00067714"/>
    <w:rsid w:val="00067963"/>
    <w:rsid w:val="00067A49"/>
    <w:rsid w:val="000701D0"/>
    <w:rsid w:val="00070606"/>
    <w:rsid w:val="00070A5D"/>
    <w:rsid w:val="0007166F"/>
    <w:rsid w:val="000719CA"/>
    <w:rsid w:val="0007212E"/>
    <w:rsid w:val="000722B7"/>
    <w:rsid w:val="00072410"/>
    <w:rsid w:val="0007254B"/>
    <w:rsid w:val="00073F36"/>
    <w:rsid w:val="00075608"/>
    <w:rsid w:val="00075EC6"/>
    <w:rsid w:val="000760C6"/>
    <w:rsid w:val="0007614B"/>
    <w:rsid w:val="0007685C"/>
    <w:rsid w:val="000771ED"/>
    <w:rsid w:val="000772BD"/>
    <w:rsid w:val="00077790"/>
    <w:rsid w:val="0007794F"/>
    <w:rsid w:val="00077B1B"/>
    <w:rsid w:val="00080318"/>
    <w:rsid w:val="000807AE"/>
    <w:rsid w:val="00080D8B"/>
    <w:rsid w:val="0008119E"/>
    <w:rsid w:val="00081E60"/>
    <w:rsid w:val="00082044"/>
    <w:rsid w:val="00082CE4"/>
    <w:rsid w:val="00083341"/>
    <w:rsid w:val="00083392"/>
    <w:rsid w:val="00083A35"/>
    <w:rsid w:val="00083B64"/>
    <w:rsid w:val="00083E1C"/>
    <w:rsid w:val="00084085"/>
    <w:rsid w:val="000840CD"/>
    <w:rsid w:val="00084873"/>
    <w:rsid w:val="0008490D"/>
    <w:rsid w:val="000853E5"/>
    <w:rsid w:val="00085AC0"/>
    <w:rsid w:val="00085CBE"/>
    <w:rsid w:val="0008649A"/>
    <w:rsid w:val="000869DB"/>
    <w:rsid w:val="00086E6D"/>
    <w:rsid w:val="00086E99"/>
    <w:rsid w:val="0008719E"/>
    <w:rsid w:val="000875B7"/>
    <w:rsid w:val="00087DC6"/>
    <w:rsid w:val="00087E90"/>
    <w:rsid w:val="00090261"/>
    <w:rsid w:val="000907BC"/>
    <w:rsid w:val="0009124F"/>
    <w:rsid w:val="00091402"/>
    <w:rsid w:val="000915F6"/>
    <w:rsid w:val="000917A1"/>
    <w:rsid w:val="000917C9"/>
    <w:rsid w:val="000918CD"/>
    <w:rsid w:val="00091AC2"/>
    <w:rsid w:val="00091F14"/>
    <w:rsid w:val="00092207"/>
    <w:rsid w:val="0009252A"/>
    <w:rsid w:val="0009258F"/>
    <w:rsid w:val="00092AD5"/>
    <w:rsid w:val="00094523"/>
    <w:rsid w:val="00094D94"/>
    <w:rsid w:val="00094F6C"/>
    <w:rsid w:val="00094FF4"/>
    <w:rsid w:val="000951D3"/>
    <w:rsid w:val="000952BB"/>
    <w:rsid w:val="000953DE"/>
    <w:rsid w:val="00095B18"/>
    <w:rsid w:val="000961CC"/>
    <w:rsid w:val="000962C2"/>
    <w:rsid w:val="00096648"/>
    <w:rsid w:val="000967FE"/>
    <w:rsid w:val="00096C99"/>
    <w:rsid w:val="0009703A"/>
    <w:rsid w:val="00097104"/>
    <w:rsid w:val="0009729E"/>
    <w:rsid w:val="0009756E"/>
    <w:rsid w:val="00097A7F"/>
    <w:rsid w:val="00097D5D"/>
    <w:rsid w:val="00097E52"/>
    <w:rsid w:val="000A030E"/>
    <w:rsid w:val="000A0751"/>
    <w:rsid w:val="000A07AB"/>
    <w:rsid w:val="000A0975"/>
    <w:rsid w:val="000A1929"/>
    <w:rsid w:val="000A1B69"/>
    <w:rsid w:val="000A1ECC"/>
    <w:rsid w:val="000A2DAA"/>
    <w:rsid w:val="000A2E6B"/>
    <w:rsid w:val="000A2FC7"/>
    <w:rsid w:val="000A315A"/>
    <w:rsid w:val="000A3DC8"/>
    <w:rsid w:val="000A460A"/>
    <w:rsid w:val="000A4783"/>
    <w:rsid w:val="000A4BF8"/>
    <w:rsid w:val="000A51BC"/>
    <w:rsid w:val="000A58A7"/>
    <w:rsid w:val="000A5D4F"/>
    <w:rsid w:val="000A64B9"/>
    <w:rsid w:val="000A6B05"/>
    <w:rsid w:val="000A6DE0"/>
    <w:rsid w:val="000A71BF"/>
    <w:rsid w:val="000A74E1"/>
    <w:rsid w:val="000A7DAC"/>
    <w:rsid w:val="000B026D"/>
    <w:rsid w:val="000B05E2"/>
    <w:rsid w:val="000B0BF6"/>
    <w:rsid w:val="000B10BC"/>
    <w:rsid w:val="000B1789"/>
    <w:rsid w:val="000B17BD"/>
    <w:rsid w:val="000B210C"/>
    <w:rsid w:val="000B22FC"/>
    <w:rsid w:val="000B25D3"/>
    <w:rsid w:val="000B2B07"/>
    <w:rsid w:val="000B3764"/>
    <w:rsid w:val="000B3AFD"/>
    <w:rsid w:val="000B3C90"/>
    <w:rsid w:val="000B42CE"/>
    <w:rsid w:val="000B46DA"/>
    <w:rsid w:val="000B470C"/>
    <w:rsid w:val="000B4B75"/>
    <w:rsid w:val="000B5925"/>
    <w:rsid w:val="000B6513"/>
    <w:rsid w:val="000B7BEA"/>
    <w:rsid w:val="000B7CD4"/>
    <w:rsid w:val="000B7E48"/>
    <w:rsid w:val="000C0119"/>
    <w:rsid w:val="000C078B"/>
    <w:rsid w:val="000C0CF9"/>
    <w:rsid w:val="000C0E4A"/>
    <w:rsid w:val="000C11F7"/>
    <w:rsid w:val="000C183E"/>
    <w:rsid w:val="000C1B8F"/>
    <w:rsid w:val="000C2B22"/>
    <w:rsid w:val="000C3787"/>
    <w:rsid w:val="000C39FF"/>
    <w:rsid w:val="000C4BC7"/>
    <w:rsid w:val="000C60B9"/>
    <w:rsid w:val="000C6120"/>
    <w:rsid w:val="000C64EF"/>
    <w:rsid w:val="000C66E9"/>
    <w:rsid w:val="000C6919"/>
    <w:rsid w:val="000C6997"/>
    <w:rsid w:val="000C715A"/>
    <w:rsid w:val="000C7EFF"/>
    <w:rsid w:val="000C7FD1"/>
    <w:rsid w:val="000D03DB"/>
    <w:rsid w:val="000D0A66"/>
    <w:rsid w:val="000D0C47"/>
    <w:rsid w:val="000D0D13"/>
    <w:rsid w:val="000D1B79"/>
    <w:rsid w:val="000D20CB"/>
    <w:rsid w:val="000D2ABF"/>
    <w:rsid w:val="000D2ACF"/>
    <w:rsid w:val="000D3239"/>
    <w:rsid w:val="000D39B6"/>
    <w:rsid w:val="000D476C"/>
    <w:rsid w:val="000D4D45"/>
    <w:rsid w:val="000D4F30"/>
    <w:rsid w:val="000D5319"/>
    <w:rsid w:val="000D5735"/>
    <w:rsid w:val="000D6268"/>
    <w:rsid w:val="000D6D98"/>
    <w:rsid w:val="000D7167"/>
    <w:rsid w:val="000D7AE6"/>
    <w:rsid w:val="000D7AF4"/>
    <w:rsid w:val="000E0C96"/>
    <w:rsid w:val="000E0E2A"/>
    <w:rsid w:val="000E0E59"/>
    <w:rsid w:val="000E1BF0"/>
    <w:rsid w:val="000E2002"/>
    <w:rsid w:val="000E2496"/>
    <w:rsid w:val="000E25F5"/>
    <w:rsid w:val="000E2962"/>
    <w:rsid w:val="000E2A9F"/>
    <w:rsid w:val="000E2AF3"/>
    <w:rsid w:val="000E3119"/>
    <w:rsid w:val="000E3A11"/>
    <w:rsid w:val="000E3A48"/>
    <w:rsid w:val="000E3B01"/>
    <w:rsid w:val="000E3F98"/>
    <w:rsid w:val="000E41C4"/>
    <w:rsid w:val="000E4621"/>
    <w:rsid w:val="000E4BFC"/>
    <w:rsid w:val="000E4CB9"/>
    <w:rsid w:val="000E4E3A"/>
    <w:rsid w:val="000E544C"/>
    <w:rsid w:val="000E5513"/>
    <w:rsid w:val="000E5709"/>
    <w:rsid w:val="000E5994"/>
    <w:rsid w:val="000E59F8"/>
    <w:rsid w:val="000E5C5E"/>
    <w:rsid w:val="000E5CD3"/>
    <w:rsid w:val="000E5D4B"/>
    <w:rsid w:val="000E60E9"/>
    <w:rsid w:val="000E64C5"/>
    <w:rsid w:val="000E64E3"/>
    <w:rsid w:val="000E7157"/>
    <w:rsid w:val="000E7483"/>
    <w:rsid w:val="000E7583"/>
    <w:rsid w:val="000E79B7"/>
    <w:rsid w:val="000F0182"/>
    <w:rsid w:val="000F0675"/>
    <w:rsid w:val="000F06A6"/>
    <w:rsid w:val="000F0944"/>
    <w:rsid w:val="000F17DC"/>
    <w:rsid w:val="000F1881"/>
    <w:rsid w:val="000F1FB1"/>
    <w:rsid w:val="000F2087"/>
    <w:rsid w:val="000F2794"/>
    <w:rsid w:val="000F2996"/>
    <w:rsid w:val="000F2BF3"/>
    <w:rsid w:val="000F314D"/>
    <w:rsid w:val="000F3AC7"/>
    <w:rsid w:val="000F4125"/>
    <w:rsid w:val="000F4318"/>
    <w:rsid w:val="000F4A50"/>
    <w:rsid w:val="000F4D7B"/>
    <w:rsid w:val="000F52CC"/>
    <w:rsid w:val="000F56B5"/>
    <w:rsid w:val="000F58C3"/>
    <w:rsid w:val="000F5D77"/>
    <w:rsid w:val="000F74B8"/>
    <w:rsid w:val="000F76D9"/>
    <w:rsid w:val="000F7D19"/>
    <w:rsid w:val="000F7F35"/>
    <w:rsid w:val="00100559"/>
    <w:rsid w:val="001005A9"/>
    <w:rsid w:val="00100E6A"/>
    <w:rsid w:val="00100F77"/>
    <w:rsid w:val="00101DDE"/>
    <w:rsid w:val="00101F9D"/>
    <w:rsid w:val="001021F0"/>
    <w:rsid w:val="00102909"/>
    <w:rsid w:val="00102B5E"/>
    <w:rsid w:val="00102BB3"/>
    <w:rsid w:val="00102EDA"/>
    <w:rsid w:val="001032B0"/>
    <w:rsid w:val="0010359C"/>
    <w:rsid w:val="00103934"/>
    <w:rsid w:val="00103F06"/>
    <w:rsid w:val="001046A3"/>
    <w:rsid w:val="0010475E"/>
    <w:rsid w:val="00104DA0"/>
    <w:rsid w:val="00105570"/>
    <w:rsid w:val="00105EE6"/>
    <w:rsid w:val="00106571"/>
    <w:rsid w:val="001072C7"/>
    <w:rsid w:val="001072EB"/>
    <w:rsid w:val="001076D5"/>
    <w:rsid w:val="0010794B"/>
    <w:rsid w:val="00107E45"/>
    <w:rsid w:val="00110783"/>
    <w:rsid w:val="0011102F"/>
    <w:rsid w:val="001119F5"/>
    <w:rsid w:val="00111E0B"/>
    <w:rsid w:val="0011228C"/>
    <w:rsid w:val="0011230D"/>
    <w:rsid w:val="00112AFF"/>
    <w:rsid w:val="00112CB9"/>
    <w:rsid w:val="0011318D"/>
    <w:rsid w:val="001136A5"/>
    <w:rsid w:val="00113CDE"/>
    <w:rsid w:val="00113D88"/>
    <w:rsid w:val="00114286"/>
    <w:rsid w:val="00114B4D"/>
    <w:rsid w:val="001152D0"/>
    <w:rsid w:val="00115834"/>
    <w:rsid w:val="001159B4"/>
    <w:rsid w:val="0011638E"/>
    <w:rsid w:val="0011651B"/>
    <w:rsid w:val="00116698"/>
    <w:rsid w:val="0011682A"/>
    <w:rsid w:val="0011689A"/>
    <w:rsid w:val="00116B60"/>
    <w:rsid w:val="00116C60"/>
    <w:rsid w:val="00116F1A"/>
    <w:rsid w:val="001170AF"/>
    <w:rsid w:val="001176C7"/>
    <w:rsid w:val="00117AF6"/>
    <w:rsid w:val="00117D1F"/>
    <w:rsid w:val="00120548"/>
    <w:rsid w:val="001209D6"/>
    <w:rsid w:val="00121000"/>
    <w:rsid w:val="00121021"/>
    <w:rsid w:val="00121910"/>
    <w:rsid w:val="00121ABD"/>
    <w:rsid w:val="00121D0D"/>
    <w:rsid w:val="00121ED8"/>
    <w:rsid w:val="00122676"/>
    <w:rsid w:val="00122DB4"/>
    <w:rsid w:val="00122E09"/>
    <w:rsid w:val="00122E5C"/>
    <w:rsid w:val="001230CB"/>
    <w:rsid w:val="001232DD"/>
    <w:rsid w:val="0012345B"/>
    <w:rsid w:val="00123923"/>
    <w:rsid w:val="00123B14"/>
    <w:rsid w:val="00123B8E"/>
    <w:rsid w:val="00124044"/>
    <w:rsid w:val="001244E8"/>
    <w:rsid w:val="001245CC"/>
    <w:rsid w:val="00124DD0"/>
    <w:rsid w:val="001253B1"/>
    <w:rsid w:val="001254DA"/>
    <w:rsid w:val="001254F6"/>
    <w:rsid w:val="0012599B"/>
    <w:rsid w:val="00125D11"/>
    <w:rsid w:val="00125FF7"/>
    <w:rsid w:val="001262D7"/>
    <w:rsid w:val="001269D9"/>
    <w:rsid w:val="00126A2D"/>
    <w:rsid w:val="00126DBF"/>
    <w:rsid w:val="00127808"/>
    <w:rsid w:val="00127AE1"/>
    <w:rsid w:val="00127E16"/>
    <w:rsid w:val="00127F69"/>
    <w:rsid w:val="00127F71"/>
    <w:rsid w:val="00130403"/>
    <w:rsid w:val="001305A4"/>
    <w:rsid w:val="00130DCD"/>
    <w:rsid w:val="00131317"/>
    <w:rsid w:val="0013157D"/>
    <w:rsid w:val="0013161A"/>
    <w:rsid w:val="00131744"/>
    <w:rsid w:val="00131E4A"/>
    <w:rsid w:val="00132281"/>
    <w:rsid w:val="00132E92"/>
    <w:rsid w:val="00133A1F"/>
    <w:rsid w:val="00134D58"/>
    <w:rsid w:val="001353A1"/>
    <w:rsid w:val="001357FD"/>
    <w:rsid w:val="00136119"/>
    <w:rsid w:val="001364F2"/>
    <w:rsid w:val="00136E93"/>
    <w:rsid w:val="00136EC5"/>
    <w:rsid w:val="001371B1"/>
    <w:rsid w:val="001372BD"/>
    <w:rsid w:val="00137539"/>
    <w:rsid w:val="00137FD9"/>
    <w:rsid w:val="00140019"/>
    <w:rsid w:val="001403D4"/>
    <w:rsid w:val="0014091D"/>
    <w:rsid w:val="00140DA1"/>
    <w:rsid w:val="00140DB4"/>
    <w:rsid w:val="001417AA"/>
    <w:rsid w:val="00143596"/>
    <w:rsid w:val="00143A9A"/>
    <w:rsid w:val="00144281"/>
    <w:rsid w:val="0014448A"/>
    <w:rsid w:val="001445CA"/>
    <w:rsid w:val="0014500B"/>
    <w:rsid w:val="001453E3"/>
    <w:rsid w:val="00145481"/>
    <w:rsid w:val="001457CA"/>
    <w:rsid w:val="001458E5"/>
    <w:rsid w:val="00146098"/>
    <w:rsid w:val="001461DD"/>
    <w:rsid w:val="0014665B"/>
    <w:rsid w:val="001469A9"/>
    <w:rsid w:val="001472D4"/>
    <w:rsid w:val="00147336"/>
    <w:rsid w:val="001473F4"/>
    <w:rsid w:val="00147557"/>
    <w:rsid w:val="00147C93"/>
    <w:rsid w:val="00150CF6"/>
    <w:rsid w:val="00150E16"/>
    <w:rsid w:val="0015135E"/>
    <w:rsid w:val="001517A4"/>
    <w:rsid w:val="001517F0"/>
    <w:rsid w:val="001522D8"/>
    <w:rsid w:val="001524B5"/>
    <w:rsid w:val="001525AD"/>
    <w:rsid w:val="00152828"/>
    <w:rsid w:val="001529B7"/>
    <w:rsid w:val="00152EF2"/>
    <w:rsid w:val="0015336C"/>
    <w:rsid w:val="001534C6"/>
    <w:rsid w:val="00153A65"/>
    <w:rsid w:val="00153C30"/>
    <w:rsid w:val="00153E05"/>
    <w:rsid w:val="00153FE5"/>
    <w:rsid w:val="001541BE"/>
    <w:rsid w:val="001541EE"/>
    <w:rsid w:val="0015463A"/>
    <w:rsid w:val="00154762"/>
    <w:rsid w:val="00154E1C"/>
    <w:rsid w:val="00155063"/>
    <w:rsid w:val="001551C9"/>
    <w:rsid w:val="00155427"/>
    <w:rsid w:val="001556C9"/>
    <w:rsid w:val="00155C96"/>
    <w:rsid w:val="00155CBE"/>
    <w:rsid w:val="00155D06"/>
    <w:rsid w:val="00156190"/>
    <w:rsid w:val="0015634E"/>
    <w:rsid w:val="00156515"/>
    <w:rsid w:val="00156B73"/>
    <w:rsid w:val="0015798B"/>
    <w:rsid w:val="00157A31"/>
    <w:rsid w:val="00157AEE"/>
    <w:rsid w:val="001602AE"/>
    <w:rsid w:val="00160370"/>
    <w:rsid w:val="0016096D"/>
    <w:rsid w:val="0016107A"/>
    <w:rsid w:val="001611C1"/>
    <w:rsid w:val="0016142C"/>
    <w:rsid w:val="0016155D"/>
    <w:rsid w:val="00161568"/>
    <w:rsid w:val="00161909"/>
    <w:rsid w:val="00161984"/>
    <w:rsid w:val="00161D5D"/>
    <w:rsid w:val="0016251D"/>
    <w:rsid w:val="001629D2"/>
    <w:rsid w:val="00162C39"/>
    <w:rsid w:val="001644C8"/>
    <w:rsid w:val="0016453E"/>
    <w:rsid w:val="00166825"/>
    <w:rsid w:val="001668A4"/>
    <w:rsid w:val="00166EF2"/>
    <w:rsid w:val="00167137"/>
    <w:rsid w:val="00167E3A"/>
    <w:rsid w:val="00170521"/>
    <w:rsid w:val="00170F26"/>
    <w:rsid w:val="001715B3"/>
    <w:rsid w:val="00171997"/>
    <w:rsid w:val="0017214C"/>
    <w:rsid w:val="0017231C"/>
    <w:rsid w:val="0017232C"/>
    <w:rsid w:val="001723BD"/>
    <w:rsid w:val="001724C7"/>
    <w:rsid w:val="001725E0"/>
    <w:rsid w:val="0017270C"/>
    <w:rsid w:val="00172A27"/>
    <w:rsid w:val="00173BBF"/>
    <w:rsid w:val="00174443"/>
    <w:rsid w:val="001746BF"/>
    <w:rsid w:val="0017514E"/>
    <w:rsid w:val="001754D1"/>
    <w:rsid w:val="00175927"/>
    <w:rsid w:val="00175DB7"/>
    <w:rsid w:val="001763F2"/>
    <w:rsid w:val="00176428"/>
    <w:rsid w:val="00176585"/>
    <w:rsid w:val="00176815"/>
    <w:rsid w:val="0017689A"/>
    <w:rsid w:val="00176B4A"/>
    <w:rsid w:val="00176FCB"/>
    <w:rsid w:val="00177075"/>
    <w:rsid w:val="00177B50"/>
    <w:rsid w:val="00180451"/>
    <w:rsid w:val="001811C5"/>
    <w:rsid w:val="001814D0"/>
    <w:rsid w:val="00181C6F"/>
    <w:rsid w:val="00181E75"/>
    <w:rsid w:val="00182924"/>
    <w:rsid w:val="00182A28"/>
    <w:rsid w:val="00182C74"/>
    <w:rsid w:val="00183657"/>
    <w:rsid w:val="0018385C"/>
    <w:rsid w:val="00183F22"/>
    <w:rsid w:val="00184B95"/>
    <w:rsid w:val="001851D4"/>
    <w:rsid w:val="00185778"/>
    <w:rsid w:val="00186335"/>
    <w:rsid w:val="001864F2"/>
    <w:rsid w:val="001865E2"/>
    <w:rsid w:val="00187188"/>
    <w:rsid w:val="0018722E"/>
    <w:rsid w:val="001901C5"/>
    <w:rsid w:val="0019031C"/>
    <w:rsid w:val="001909FD"/>
    <w:rsid w:val="00191121"/>
    <w:rsid w:val="00191347"/>
    <w:rsid w:val="001917D7"/>
    <w:rsid w:val="001919E4"/>
    <w:rsid w:val="00191D54"/>
    <w:rsid w:val="00192B5D"/>
    <w:rsid w:val="0019318B"/>
    <w:rsid w:val="00193F49"/>
    <w:rsid w:val="001947A8"/>
    <w:rsid w:val="00194F80"/>
    <w:rsid w:val="00195012"/>
    <w:rsid w:val="001952E5"/>
    <w:rsid w:val="001954E8"/>
    <w:rsid w:val="00195544"/>
    <w:rsid w:val="001967C0"/>
    <w:rsid w:val="001969E7"/>
    <w:rsid w:val="00196ABA"/>
    <w:rsid w:val="00196FDB"/>
    <w:rsid w:val="001973D0"/>
    <w:rsid w:val="00197AF1"/>
    <w:rsid w:val="00197F64"/>
    <w:rsid w:val="00197F76"/>
    <w:rsid w:val="001A056C"/>
    <w:rsid w:val="001A074B"/>
    <w:rsid w:val="001A07EE"/>
    <w:rsid w:val="001A0B1B"/>
    <w:rsid w:val="001A0EC4"/>
    <w:rsid w:val="001A122C"/>
    <w:rsid w:val="001A1299"/>
    <w:rsid w:val="001A1663"/>
    <w:rsid w:val="001A17C9"/>
    <w:rsid w:val="001A199F"/>
    <w:rsid w:val="001A1BC5"/>
    <w:rsid w:val="001A2799"/>
    <w:rsid w:val="001A2A8D"/>
    <w:rsid w:val="001A2E46"/>
    <w:rsid w:val="001A308F"/>
    <w:rsid w:val="001A351C"/>
    <w:rsid w:val="001A35CF"/>
    <w:rsid w:val="001A3EC3"/>
    <w:rsid w:val="001A3F75"/>
    <w:rsid w:val="001A4719"/>
    <w:rsid w:val="001A4879"/>
    <w:rsid w:val="001A4A03"/>
    <w:rsid w:val="001A4D57"/>
    <w:rsid w:val="001A4E9A"/>
    <w:rsid w:val="001A5060"/>
    <w:rsid w:val="001A510B"/>
    <w:rsid w:val="001A59CA"/>
    <w:rsid w:val="001A5CA0"/>
    <w:rsid w:val="001A621B"/>
    <w:rsid w:val="001A62A8"/>
    <w:rsid w:val="001A6417"/>
    <w:rsid w:val="001A6D3B"/>
    <w:rsid w:val="001A6DF0"/>
    <w:rsid w:val="001A6F68"/>
    <w:rsid w:val="001A6FA9"/>
    <w:rsid w:val="001A73A0"/>
    <w:rsid w:val="001A744D"/>
    <w:rsid w:val="001A7792"/>
    <w:rsid w:val="001A7A22"/>
    <w:rsid w:val="001B0403"/>
    <w:rsid w:val="001B0F99"/>
    <w:rsid w:val="001B1517"/>
    <w:rsid w:val="001B1AFF"/>
    <w:rsid w:val="001B27AB"/>
    <w:rsid w:val="001B28BB"/>
    <w:rsid w:val="001B29BE"/>
    <w:rsid w:val="001B3023"/>
    <w:rsid w:val="001B3BAE"/>
    <w:rsid w:val="001B4228"/>
    <w:rsid w:val="001B42F8"/>
    <w:rsid w:val="001B45EC"/>
    <w:rsid w:val="001B4E4D"/>
    <w:rsid w:val="001B5009"/>
    <w:rsid w:val="001B536D"/>
    <w:rsid w:val="001B5D78"/>
    <w:rsid w:val="001B5E55"/>
    <w:rsid w:val="001B5F7A"/>
    <w:rsid w:val="001B5FFD"/>
    <w:rsid w:val="001B60F6"/>
    <w:rsid w:val="001B62B9"/>
    <w:rsid w:val="001B6392"/>
    <w:rsid w:val="001B71E3"/>
    <w:rsid w:val="001B767D"/>
    <w:rsid w:val="001B7768"/>
    <w:rsid w:val="001B7A64"/>
    <w:rsid w:val="001B7FE1"/>
    <w:rsid w:val="001C0755"/>
    <w:rsid w:val="001C090A"/>
    <w:rsid w:val="001C0CD6"/>
    <w:rsid w:val="001C170A"/>
    <w:rsid w:val="001C1BEB"/>
    <w:rsid w:val="001C225E"/>
    <w:rsid w:val="001C23AD"/>
    <w:rsid w:val="001C269A"/>
    <w:rsid w:val="001C2789"/>
    <w:rsid w:val="001C2DB8"/>
    <w:rsid w:val="001C3579"/>
    <w:rsid w:val="001C398F"/>
    <w:rsid w:val="001C44D6"/>
    <w:rsid w:val="001C4E64"/>
    <w:rsid w:val="001C532E"/>
    <w:rsid w:val="001C53EB"/>
    <w:rsid w:val="001C574D"/>
    <w:rsid w:val="001C5AAA"/>
    <w:rsid w:val="001C64E1"/>
    <w:rsid w:val="001C682E"/>
    <w:rsid w:val="001D0BB7"/>
    <w:rsid w:val="001D0BFB"/>
    <w:rsid w:val="001D0EDD"/>
    <w:rsid w:val="001D1897"/>
    <w:rsid w:val="001D19D7"/>
    <w:rsid w:val="001D1D32"/>
    <w:rsid w:val="001D2283"/>
    <w:rsid w:val="001D2EC7"/>
    <w:rsid w:val="001D3429"/>
    <w:rsid w:val="001D3599"/>
    <w:rsid w:val="001D35B3"/>
    <w:rsid w:val="001D3EB7"/>
    <w:rsid w:val="001D4032"/>
    <w:rsid w:val="001D42A4"/>
    <w:rsid w:val="001D435F"/>
    <w:rsid w:val="001D466E"/>
    <w:rsid w:val="001D4BE8"/>
    <w:rsid w:val="001D4C19"/>
    <w:rsid w:val="001D4EA0"/>
    <w:rsid w:val="001D4EEF"/>
    <w:rsid w:val="001D526B"/>
    <w:rsid w:val="001D61B9"/>
    <w:rsid w:val="001D69C6"/>
    <w:rsid w:val="001D6A11"/>
    <w:rsid w:val="001D6ABC"/>
    <w:rsid w:val="001D7492"/>
    <w:rsid w:val="001D7759"/>
    <w:rsid w:val="001D77AD"/>
    <w:rsid w:val="001D7EE8"/>
    <w:rsid w:val="001E00E3"/>
    <w:rsid w:val="001E0137"/>
    <w:rsid w:val="001E0BE0"/>
    <w:rsid w:val="001E0C27"/>
    <w:rsid w:val="001E0C47"/>
    <w:rsid w:val="001E0DD0"/>
    <w:rsid w:val="001E1007"/>
    <w:rsid w:val="001E1353"/>
    <w:rsid w:val="001E1474"/>
    <w:rsid w:val="001E15BC"/>
    <w:rsid w:val="001E28D3"/>
    <w:rsid w:val="001E30B3"/>
    <w:rsid w:val="001E3431"/>
    <w:rsid w:val="001E386F"/>
    <w:rsid w:val="001E38AC"/>
    <w:rsid w:val="001E38B1"/>
    <w:rsid w:val="001E40F3"/>
    <w:rsid w:val="001E4679"/>
    <w:rsid w:val="001E4FE8"/>
    <w:rsid w:val="001E5940"/>
    <w:rsid w:val="001E5995"/>
    <w:rsid w:val="001E6075"/>
    <w:rsid w:val="001E6B9A"/>
    <w:rsid w:val="001E7065"/>
    <w:rsid w:val="001E775D"/>
    <w:rsid w:val="001E7A2B"/>
    <w:rsid w:val="001E7ACC"/>
    <w:rsid w:val="001F0039"/>
    <w:rsid w:val="001F00D6"/>
    <w:rsid w:val="001F0325"/>
    <w:rsid w:val="001F0EA2"/>
    <w:rsid w:val="001F1991"/>
    <w:rsid w:val="001F2627"/>
    <w:rsid w:val="001F298D"/>
    <w:rsid w:val="001F39CF"/>
    <w:rsid w:val="001F3BB3"/>
    <w:rsid w:val="001F3E6B"/>
    <w:rsid w:val="001F430F"/>
    <w:rsid w:val="001F494C"/>
    <w:rsid w:val="001F4D2F"/>
    <w:rsid w:val="001F5DD0"/>
    <w:rsid w:val="001F6A8F"/>
    <w:rsid w:val="001F71F3"/>
    <w:rsid w:val="001F73BF"/>
    <w:rsid w:val="001F7802"/>
    <w:rsid w:val="001F7EFC"/>
    <w:rsid w:val="0020043F"/>
    <w:rsid w:val="00200710"/>
    <w:rsid w:val="00200F46"/>
    <w:rsid w:val="0020107C"/>
    <w:rsid w:val="00201225"/>
    <w:rsid w:val="00201641"/>
    <w:rsid w:val="00202995"/>
    <w:rsid w:val="00202ACE"/>
    <w:rsid w:val="00202B3E"/>
    <w:rsid w:val="00202D86"/>
    <w:rsid w:val="002032C1"/>
    <w:rsid w:val="00204321"/>
    <w:rsid w:val="00204474"/>
    <w:rsid w:val="00204577"/>
    <w:rsid w:val="002049E4"/>
    <w:rsid w:val="00204BC4"/>
    <w:rsid w:val="00205BC6"/>
    <w:rsid w:val="00205C6E"/>
    <w:rsid w:val="00205E07"/>
    <w:rsid w:val="002070D2"/>
    <w:rsid w:val="002073A0"/>
    <w:rsid w:val="002073BC"/>
    <w:rsid w:val="002075E0"/>
    <w:rsid w:val="0020773A"/>
    <w:rsid w:val="002100B2"/>
    <w:rsid w:val="0021034A"/>
    <w:rsid w:val="002103DF"/>
    <w:rsid w:val="002104B2"/>
    <w:rsid w:val="0021075B"/>
    <w:rsid w:val="00210A9B"/>
    <w:rsid w:val="00210BB0"/>
    <w:rsid w:val="00210EDA"/>
    <w:rsid w:val="002111EC"/>
    <w:rsid w:val="00211B09"/>
    <w:rsid w:val="0021228C"/>
    <w:rsid w:val="00212471"/>
    <w:rsid w:val="00213D37"/>
    <w:rsid w:val="0021431F"/>
    <w:rsid w:val="0021444E"/>
    <w:rsid w:val="00214A94"/>
    <w:rsid w:val="00214FD0"/>
    <w:rsid w:val="00215416"/>
    <w:rsid w:val="0021546F"/>
    <w:rsid w:val="002155C1"/>
    <w:rsid w:val="00216159"/>
    <w:rsid w:val="002162C0"/>
    <w:rsid w:val="00216577"/>
    <w:rsid w:val="00217328"/>
    <w:rsid w:val="00217A87"/>
    <w:rsid w:val="00220375"/>
    <w:rsid w:val="00220902"/>
    <w:rsid w:val="00220ABD"/>
    <w:rsid w:val="00220C12"/>
    <w:rsid w:val="00220FD6"/>
    <w:rsid w:val="00222198"/>
    <w:rsid w:val="00223749"/>
    <w:rsid w:val="00223D9B"/>
    <w:rsid w:val="00224570"/>
    <w:rsid w:val="00224D4C"/>
    <w:rsid w:val="00224F88"/>
    <w:rsid w:val="00224F8F"/>
    <w:rsid w:val="00224FA5"/>
    <w:rsid w:val="00225070"/>
    <w:rsid w:val="0022709F"/>
    <w:rsid w:val="002279C5"/>
    <w:rsid w:val="0023023E"/>
    <w:rsid w:val="00230372"/>
    <w:rsid w:val="00230DE4"/>
    <w:rsid w:val="00230E84"/>
    <w:rsid w:val="00230F62"/>
    <w:rsid w:val="00231973"/>
    <w:rsid w:val="00231B4A"/>
    <w:rsid w:val="00231B55"/>
    <w:rsid w:val="00231C7A"/>
    <w:rsid w:val="00231D1F"/>
    <w:rsid w:val="00231E63"/>
    <w:rsid w:val="00232244"/>
    <w:rsid w:val="00232295"/>
    <w:rsid w:val="00232A2D"/>
    <w:rsid w:val="00233451"/>
    <w:rsid w:val="002334CA"/>
    <w:rsid w:val="002335E8"/>
    <w:rsid w:val="00233DD7"/>
    <w:rsid w:val="0023464F"/>
    <w:rsid w:val="002346CA"/>
    <w:rsid w:val="00234ABC"/>
    <w:rsid w:val="00234E86"/>
    <w:rsid w:val="00235216"/>
    <w:rsid w:val="00235BF6"/>
    <w:rsid w:val="00235D91"/>
    <w:rsid w:val="00235FFB"/>
    <w:rsid w:val="0023672D"/>
    <w:rsid w:val="00237A86"/>
    <w:rsid w:val="00237DAF"/>
    <w:rsid w:val="00240018"/>
    <w:rsid w:val="002404F8"/>
    <w:rsid w:val="0024069E"/>
    <w:rsid w:val="0024073D"/>
    <w:rsid w:val="00240B2A"/>
    <w:rsid w:val="00240D71"/>
    <w:rsid w:val="0024107D"/>
    <w:rsid w:val="00241108"/>
    <w:rsid w:val="00241413"/>
    <w:rsid w:val="00241448"/>
    <w:rsid w:val="00241A5F"/>
    <w:rsid w:val="0024233C"/>
    <w:rsid w:val="002423FD"/>
    <w:rsid w:val="00242403"/>
    <w:rsid w:val="002426C7"/>
    <w:rsid w:val="00242E58"/>
    <w:rsid w:val="00242F34"/>
    <w:rsid w:val="0024318B"/>
    <w:rsid w:val="00243469"/>
    <w:rsid w:val="002440A7"/>
    <w:rsid w:val="002441AE"/>
    <w:rsid w:val="00244247"/>
    <w:rsid w:val="00244957"/>
    <w:rsid w:val="00244A2C"/>
    <w:rsid w:val="0024511F"/>
    <w:rsid w:val="00245A3C"/>
    <w:rsid w:val="00245B94"/>
    <w:rsid w:val="00246034"/>
    <w:rsid w:val="002467C7"/>
    <w:rsid w:val="00246900"/>
    <w:rsid w:val="00246929"/>
    <w:rsid w:val="00247349"/>
    <w:rsid w:val="0024771C"/>
    <w:rsid w:val="0024775F"/>
    <w:rsid w:val="00250493"/>
    <w:rsid w:val="00250B82"/>
    <w:rsid w:val="00251A0A"/>
    <w:rsid w:val="0025204E"/>
    <w:rsid w:val="002520B1"/>
    <w:rsid w:val="002523C5"/>
    <w:rsid w:val="00252456"/>
    <w:rsid w:val="00252619"/>
    <w:rsid w:val="002527E5"/>
    <w:rsid w:val="0025286C"/>
    <w:rsid w:val="00252E46"/>
    <w:rsid w:val="00252E69"/>
    <w:rsid w:val="00253A3B"/>
    <w:rsid w:val="00253BEB"/>
    <w:rsid w:val="00254460"/>
    <w:rsid w:val="002544BF"/>
    <w:rsid w:val="002547B9"/>
    <w:rsid w:val="002556C4"/>
    <w:rsid w:val="00255AC9"/>
    <w:rsid w:val="00256370"/>
    <w:rsid w:val="0025759D"/>
    <w:rsid w:val="00257624"/>
    <w:rsid w:val="00257637"/>
    <w:rsid w:val="00257B67"/>
    <w:rsid w:val="00257C02"/>
    <w:rsid w:val="00257C3A"/>
    <w:rsid w:val="00257DC8"/>
    <w:rsid w:val="00257E28"/>
    <w:rsid w:val="00260290"/>
    <w:rsid w:val="0026048F"/>
    <w:rsid w:val="00260DCF"/>
    <w:rsid w:val="0026138E"/>
    <w:rsid w:val="002614A1"/>
    <w:rsid w:val="002617A0"/>
    <w:rsid w:val="00262607"/>
    <w:rsid w:val="0026273B"/>
    <w:rsid w:val="00262E95"/>
    <w:rsid w:val="00262E9D"/>
    <w:rsid w:val="0026374A"/>
    <w:rsid w:val="0026390F"/>
    <w:rsid w:val="00263ADB"/>
    <w:rsid w:val="00263E6A"/>
    <w:rsid w:val="00264010"/>
    <w:rsid w:val="002641BF"/>
    <w:rsid w:val="002643F6"/>
    <w:rsid w:val="00264AAD"/>
    <w:rsid w:val="00264FC0"/>
    <w:rsid w:val="002652EA"/>
    <w:rsid w:val="00265A07"/>
    <w:rsid w:val="00265B99"/>
    <w:rsid w:val="002661B0"/>
    <w:rsid w:val="00266468"/>
    <w:rsid w:val="002673BE"/>
    <w:rsid w:val="0027094F"/>
    <w:rsid w:val="00271825"/>
    <w:rsid w:val="00271835"/>
    <w:rsid w:val="00271EDC"/>
    <w:rsid w:val="002728FC"/>
    <w:rsid w:val="00272B90"/>
    <w:rsid w:val="00273B77"/>
    <w:rsid w:val="00273BF9"/>
    <w:rsid w:val="00273F66"/>
    <w:rsid w:val="0027404F"/>
    <w:rsid w:val="002749A4"/>
    <w:rsid w:val="00275727"/>
    <w:rsid w:val="00275C52"/>
    <w:rsid w:val="00275C90"/>
    <w:rsid w:val="00275F5F"/>
    <w:rsid w:val="00276481"/>
    <w:rsid w:val="00276EDD"/>
    <w:rsid w:val="00277145"/>
    <w:rsid w:val="002775AA"/>
    <w:rsid w:val="00277ACC"/>
    <w:rsid w:val="002801AD"/>
    <w:rsid w:val="002802D6"/>
    <w:rsid w:val="002803A4"/>
    <w:rsid w:val="00280639"/>
    <w:rsid w:val="00280A1E"/>
    <w:rsid w:val="00280AF0"/>
    <w:rsid w:val="00281689"/>
    <w:rsid w:val="00281DE4"/>
    <w:rsid w:val="00281E67"/>
    <w:rsid w:val="00281F4B"/>
    <w:rsid w:val="00282279"/>
    <w:rsid w:val="00282432"/>
    <w:rsid w:val="0028243F"/>
    <w:rsid w:val="002824B0"/>
    <w:rsid w:val="002824BE"/>
    <w:rsid w:val="002827C1"/>
    <w:rsid w:val="0028297A"/>
    <w:rsid w:val="00282CEB"/>
    <w:rsid w:val="002831A9"/>
    <w:rsid w:val="002836C0"/>
    <w:rsid w:val="0028385C"/>
    <w:rsid w:val="00283E53"/>
    <w:rsid w:val="0028459A"/>
    <w:rsid w:val="00284B89"/>
    <w:rsid w:val="00284F16"/>
    <w:rsid w:val="0028516F"/>
    <w:rsid w:val="002856CC"/>
    <w:rsid w:val="002856E8"/>
    <w:rsid w:val="00285713"/>
    <w:rsid w:val="00285A3D"/>
    <w:rsid w:val="00285D12"/>
    <w:rsid w:val="00286111"/>
    <w:rsid w:val="002861B5"/>
    <w:rsid w:val="00286247"/>
    <w:rsid w:val="0028680B"/>
    <w:rsid w:val="00286D81"/>
    <w:rsid w:val="00286F89"/>
    <w:rsid w:val="002870F0"/>
    <w:rsid w:val="00287601"/>
    <w:rsid w:val="00287827"/>
    <w:rsid w:val="0028792D"/>
    <w:rsid w:val="002905B6"/>
    <w:rsid w:val="0029087F"/>
    <w:rsid w:val="0029103E"/>
    <w:rsid w:val="002914F7"/>
    <w:rsid w:val="002921DB"/>
    <w:rsid w:val="0029295E"/>
    <w:rsid w:val="00292EFF"/>
    <w:rsid w:val="00293334"/>
    <w:rsid w:val="0029358E"/>
    <w:rsid w:val="00293978"/>
    <w:rsid w:val="00293DD9"/>
    <w:rsid w:val="00293F65"/>
    <w:rsid w:val="00293F6A"/>
    <w:rsid w:val="002940EA"/>
    <w:rsid w:val="00294384"/>
    <w:rsid w:val="00294530"/>
    <w:rsid w:val="00294A4B"/>
    <w:rsid w:val="00295171"/>
    <w:rsid w:val="0029549E"/>
    <w:rsid w:val="0029551B"/>
    <w:rsid w:val="00296316"/>
    <w:rsid w:val="00296658"/>
    <w:rsid w:val="00296FE0"/>
    <w:rsid w:val="00297DC5"/>
    <w:rsid w:val="00297DF3"/>
    <w:rsid w:val="00297FBC"/>
    <w:rsid w:val="002A08C3"/>
    <w:rsid w:val="002A0FA8"/>
    <w:rsid w:val="002A136E"/>
    <w:rsid w:val="002A1736"/>
    <w:rsid w:val="002A1B45"/>
    <w:rsid w:val="002A1D1C"/>
    <w:rsid w:val="002A1E53"/>
    <w:rsid w:val="002A2451"/>
    <w:rsid w:val="002A32DB"/>
    <w:rsid w:val="002A3977"/>
    <w:rsid w:val="002A3ABC"/>
    <w:rsid w:val="002A3BC3"/>
    <w:rsid w:val="002A3CF7"/>
    <w:rsid w:val="002A43D9"/>
    <w:rsid w:val="002A4761"/>
    <w:rsid w:val="002A535F"/>
    <w:rsid w:val="002A6C52"/>
    <w:rsid w:val="002A7075"/>
    <w:rsid w:val="002A72BA"/>
    <w:rsid w:val="002A73B5"/>
    <w:rsid w:val="002A7AEC"/>
    <w:rsid w:val="002A7CB7"/>
    <w:rsid w:val="002B0590"/>
    <w:rsid w:val="002B05D6"/>
    <w:rsid w:val="002B0752"/>
    <w:rsid w:val="002B0F81"/>
    <w:rsid w:val="002B0FF4"/>
    <w:rsid w:val="002B1948"/>
    <w:rsid w:val="002B19F0"/>
    <w:rsid w:val="002B1B67"/>
    <w:rsid w:val="002B23F4"/>
    <w:rsid w:val="002B24D7"/>
    <w:rsid w:val="002B2930"/>
    <w:rsid w:val="002B2C83"/>
    <w:rsid w:val="002B2FEC"/>
    <w:rsid w:val="002B33F5"/>
    <w:rsid w:val="002B39EC"/>
    <w:rsid w:val="002B3EFF"/>
    <w:rsid w:val="002B4025"/>
    <w:rsid w:val="002B43E7"/>
    <w:rsid w:val="002B50F8"/>
    <w:rsid w:val="002B5ECD"/>
    <w:rsid w:val="002B69D7"/>
    <w:rsid w:val="002B773F"/>
    <w:rsid w:val="002B7863"/>
    <w:rsid w:val="002B7968"/>
    <w:rsid w:val="002B7E69"/>
    <w:rsid w:val="002B7E74"/>
    <w:rsid w:val="002C0667"/>
    <w:rsid w:val="002C0898"/>
    <w:rsid w:val="002C1BC4"/>
    <w:rsid w:val="002C2475"/>
    <w:rsid w:val="002C252C"/>
    <w:rsid w:val="002C2CA8"/>
    <w:rsid w:val="002C2F3B"/>
    <w:rsid w:val="002C352A"/>
    <w:rsid w:val="002C3941"/>
    <w:rsid w:val="002C3C3B"/>
    <w:rsid w:val="002C3E85"/>
    <w:rsid w:val="002C448D"/>
    <w:rsid w:val="002C4ACD"/>
    <w:rsid w:val="002C4EA8"/>
    <w:rsid w:val="002C5496"/>
    <w:rsid w:val="002C6182"/>
    <w:rsid w:val="002C61A1"/>
    <w:rsid w:val="002C6BBD"/>
    <w:rsid w:val="002C70B3"/>
    <w:rsid w:val="002C763E"/>
    <w:rsid w:val="002C7910"/>
    <w:rsid w:val="002C7DA8"/>
    <w:rsid w:val="002C7E05"/>
    <w:rsid w:val="002D0834"/>
    <w:rsid w:val="002D0D12"/>
    <w:rsid w:val="002D14C6"/>
    <w:rsid w:val="002D19CF"/>
    <w:rsid w:val="002D251D"/>
    <w:rsid w:val="002D27D9"/>
    <w:rsid w:val="002D2B4C"/>
    <w:rsid w:val="002D32D5"/>
    <w:rsid w:val="002D354D"/>
    <w:rsid w:val="002D3DEE"/>
    <w:rsid w:val="002D521C"/>
    <w:rsid w:val="002D5222"/>
    <w:rsid w:val="002D525F"/>
    <w:rsid w:val="002D5DF7"/>
    <w:rsid w:val="002D714B"/>
    <w:rsid w:val="002D7606"/>
    <w:rsid w:val="002D7893"/>
    <w:rsid w:val="002E022C"/>
    <w:rsid w:val="002E05B2"/>
    <w:rsid w:val="002E087C"/>
    <w:rsid w:val="002E09F8"/>
    <w:rsid w:val="002E0B91"/>
    <w:rsid w:val="002E1393"/>
    <w:rsid w:val="002E13ED"/>
    <w:rsid w:val="002E1AEC"/>
    <w:rsid w:val="002E232D"/>
    <w:rsid w:val="002E24BC"/>
    <w:rsid w:val="002E3768"/>
    <w:rsid w:val="002E3B46"/>
    <w:rsid w:val="002E3F59"/>
    <w:rsid w:val="002E4008"/>
    <w:rsid w:val="002E4918"/>
    <w:rsid w:val="002E50AB"/>
    <w:rsid w:val="002E5663"/>
    <w:rsid w:val="002E5BED"/>
    <w:rsid w:val="002E5EC9"/>
    <w:rsid w:val="002E68A7"/>
    <w:rsid w:val="002E6DD1"/>
    <w:rsid w:val="002E7231"/>
    <w:rsid w:val="002E7640"/>
    <w:rsid w:val="002E7B6D"/>
    <w:rsid w:val="002F027E"/>
    <w:rsid w:val="002F047D"/>
    <w:rsid w:val="002F05CB"/>
    <w:rsid w:val="002F1095"/>
    <w:rsid w:val="002F12B1"/>
    <w:rsid w:val="002F15F2"/>
    <w:rsid w:val="002F1E29"/>
    <w:rsid w:val="002F21B5"/>
    <w:rsid w:val="002F236C"/>
    <w:rsid w:val="002F2A1A"/>
    <w:rsid w:val="002F2D06"/>
    <w:rsid w:val="002F2E55"/>
    <w:rsid w:val="002F31FD"/>
    <w:rsid w:val="002F3857"/>
    <w:rsid w:val="002F415F"/>
    <w:rsid w:val="002F4257"/>
    <w:rsid w:val="002F4832"/>
    <w:rsid w:val="002F4DE5"/>
    <w:rsid w:val="002F501E"/>
    <w:rsid w:val="002F517B"/>
    <w:rsid w:val="002F5424"/>
    <w:rsid w:val="002F5C5D"/>
    <w:rsid w:val="002F61D0"/>
    <w:rsid w:val="002F64C0"/>
    <w:rsid w:val="002F68A3"/>
    <w:rsid w:val="002F718E"/>
    <w:rsid w:val="002F781D"/>
    <w:rsid w:val="002F7956"/>
    <w:rsid w:val="002F7993"/>
    <w:rsid w:val="002F7ACC"/>
    <w:rsid w:val="002F7B58"/>
    <w:rsid w:val="002F7DAF"/>
    <w:rsid w:val="002F7E4E"/>
    <w:rsid w:val="00300046"/>
    <w:rsid w:val="00301057"/>
    <w:rsid w:val="0030212C"/>
    <w:rsid w:val="00302151"/>
    <w:rsid w:val="00302427"/>
    <w:rsid w:val="003026AE"/>
    <w:rsid w:val="00302A7B"/>
    <w:rsid w:val="00302CD4"/>
    <w:rsid w:val="00302F67"/>
    <w:rsid w:val="00303034"/>
    <w:rsid w:val="0030333F"/>
    <w:rsid w:val="00303424"/>
    <w:rsid w:val="00304388"/>
    <w:rsid w:val="0030453B"/>
    <w:rsid w:val="00304AAB"/>
    <w:rsid w:val="00304F57"/>
    <w:rsid w:val="00305223"/>
    <w:rsid w:val="00305345"/>
    <w:rsid w:val="0030543F"/>
    <w:rsid w:val="003059AA"/>
    <w:rsid w:val="00305C7B"/>
    <w:rsid w:val="00306187"/>
    <w:rsid w:val="00306416"/>
    <w:rsid w:val="00306942"/>
    <w:rsid w:val="00307024"/>
    <w:rsid w:val="0030704C"/>
    <w:rsid w:val="00307095"/>
    <w:rsid w:val="00307E61"/>
    <w:rsid w:val="00310328"/>
    <w:rsid w:val="003105CE"/>
    <w:rsid w:val="0031077E"/>
    <w:rsid w:val="00310E5A"/>
    <w:rsid w:val="003110A6"/>
    <w:rsid w:val="00311291"/>
    <w:rsid w:val="003113AE"/>
    <w:rsid w:val="0031171F"/>
    <w:rsid w:val="00311999"/>
    <w:rsid w:val="00311C5D"/>
    <w:rsid w:val="00312492"/>
    <w:rsid w:val="003128C3"/>
    <w:rsid w:val="00312ACA"/>
    <w:rsid w:val="00312C21"/>
    <w:rsid w:val="00312D90"/>
    <w:rsid w:val="00312DE6"/>
    <w:rsid w:val="00313717"/>
    <w:rsid w:val="003141E8"/>
    <w:rsid w:val="00314775"/>
    <w:rsid w:val="0031490D"/>
    <w:rsid w:val="00314CAA"/>
    <w:rsid w:val="00315022"/>
    <w:rsid w:val="00315124"/>
    <w:rsid w:val="003154AB"/>
    <w:rsid w:val="00315B34"/>
    <w:rsid w:val="00315D42"/>
    <w:rsid w:val="0031619A"/>
    <w:rsid w:val="0031666C"/>
    <w:rsid w:val="00316D85"/>
    <w:rsid w:val="00317181"/>
    <w:rsid w:val="003171BE"/>
    <w:rsid w:val="003177C4"/>
    <w:rsid w:val="00317827"/>
    <w:rsid w:val="00317BB6"/>
    <w:rsid w:val="00320C50"/>
    <w:rsid w:val="00320F1C"/>
    <w:rsid w:val="00320FE7"/>
    <w:rsid w:val="00321BA2"/>
    <w:rsid w:val="003222EA"/>
    <w:rsid w:val="003226D9"/>
    <w:rsid w:val="00322D22"/>
    <w:rsid w:val="00323C88"/>
    <w:rsid w:val="003246AA"/>
    <w:rsid w:val="003247D4"/>
    <w:rsid w:val="00324AC9"/>
    <w:rsid w:val="00324C9B"/>
    <w:rsid w:val="00325015"/>
    <w:rsid w:val="0032541B"/>
    <w:rsid w:val="003254FF"/>
    <w:rsid w:val="00325646"/>
    <w:rsid w:val="00325660"/>
    <w:rsid w:val="003257D9"/>
    <w:rsid w:val="00325D57"/>
    <w:rsid w:val="00325DEE"/>
    <w:rsid w:val="00325E50"/>
    <w:rsid w:val="00325E69"/>
    <w:rsid w:val="003265C4"/>
    <w:rsid w:val="00326FB6"/>
    <w:rsid w:val="003273BF"/>
    <w:rsid w:val="0032768B"/>
    <w:rsid w:val="0033013A"/>
    <w:rsid w:val="00330401"/>
    <w:rsid w:val="00330DBC"/>
    <w:rsid w:val="00330EE4"/>
    <w:rsid w:val="003319CA"/>
    <w:rsid w:val="00331AB0"/>
    <w:rsid w:val="00331DA4"/>
    <w:rsid w:val="00332161"/>
    <w:rsid w:val="003323A9"/>
    <w:rsid w:val="0033261F"/>
    <w:rsid w:val="00332707"/>
    <w:rsid w:val="00332D86"/>
    <w:rsid w:val="00332E84"/>
    <w:rsid w:val="0033311E"/>
    <w:rsid w:val="00333658"/>
    <w:rsid w:val="0033460E"/>
    <w:rsid w:val="00335A08"/>
    <w:rsid w:val="003370C6"/>
    <w:rsid w:val="003373AF"/>
    <w:rsid w:val="00337BF7"/>
    <w:rsid w:val="00337FC0"/>
    <w:rsid w:val="003401AF"/>
    <w:rsid w:val="00340776"/>
    <w:rsid w:val="00340BAB"/>
    <w:rsid w:val="0034105F"/>
    <w:rsid w:val="00341169"/>
    <w:rsid w:val="003411E9"/>
    <w:rsid w:val="003413B0"/>
    <w:rsid w:val="00341DD0"/>
    <w:rsid w:val="00342223"/>
    <w:rsid w:val="00342482"/>
    <w:rsid w:val="00342E46"/>
    <w:rsid w:val="00342F15"/>
    <w:rsid w:val="00343038"/>
    <w:rsid w:val="00343434"/>
    <w:rsid w:val="00343EAD"/>
    <w:rsid w:val="003440C3"/>
    <w:rsid w:val="00344169"/>
    <w:rsid w:val="00344EFD"/>
    <w:rsid w:val="00345A51"/>
    <w:rsid w:val="00345C30"/>
    <w:rsid w:val="00345EBD"/>
    <w:rsid w:val="00346468"/>
    <w:rsid w:val="0034649F"/>
    <w:rsid w:val="00346B8F"/>
    <w:rsid w:val="00347A0C"/>
    <w:rsid w:val="00347E5A"/>
    <w:rsid w:val="00347EF5"/>
    <w:rsid w:val="00347F2C"/>
    <w:rsid w:val="00347FE3"/>
    <w:rsid w:val="00350034"/>
    <w:rsid w:val="00350374"/>
    <w:rsid w:val="00351448"/>
    <w:rsid w:val="00351F93"/>
    <w:rsid w:val="003525CC"/>
    <w:rsid w:val="00352CF5"/>
    <w:rsid w:val="003531CB"/>
    <w:rsid w:val="003539D5"/>
    <w:rsid w:val="00353E46"/>
    <w:rsid w:val="0035462A"/>
    <w:rsid w:val="00354C0F"/>
    <w:rsid w:val="003556F3"/>
    <w:rsid w:val="0035654D"/>
    <w:rsid w:val="00356FD0"/>
    <w:rsid w:val="003570A1"/>
    <w:rsid w:val="00357946"/>
    <w:rsid w:val="00360DBD"/>
    <w:rsid w:val="0036112B"/>
    <w:rsid w:val="003612EE"/>
    <w:rsid w:val="003617DB"/>
    <w:rsid w:val="00361909"/>
    <w:rsid w:val="00362051"/>
    <w:rsid w:val="00362098"/>
    <w:rsid w:val="0036249E"/>
    <w:rsid w:val="003629DD"/>
    <w:rsid w:val="00362FD0"/>
    <w:rsid w:val="003630C7"/>
    <w:rsid w:val="00363421"/>
    <w:rsid w:val="003635B8"/>
    <w:rsid w:val="00363D41"/>
    <w:rsid w:val="003658B1"/>
    <w:rsid w:val="00365C46"/>
    <w:rsid w:val="00365F8E"/>
    <w:rsid w:val="00366556"/>
    <w:rsid w:val="00366CEA"/>
    <w:rsid w:val="003673CA"/>
    <w:rsid w:val="00367DA6"/>
    <w:rsid w:val="003708C4"/>
    <w:rsid w:val="00370BFD"/>
    <w:rsid w:val="0037137A"/>
    <w:rsid w:val="00371885"/>
    <w:rsid w:val="00371BBF"/>
    <w:rsid w:val="003721E5"/>
    <w:rsid w:val="003728F4"/>
    <w:rsid w:val="0037297A"/>
    <w:rsid w:val="003729D4"/>
    <w:rsid w:val="00372BBC"/>
    <w:rsid w:val="00372EDF"/>
    <w:rsid w:val="00372F0C"/>
    <w:rsid w:val="00373413"/>
    <w:rsid w:val="00373D7E"/>
    <w:rsid w:val="00374344"/>
    <w:rsid w:val="003747CD"/>
    <w:rsid w:val="00374A2B"/>
    <w:rsid w:val="00375406"/>
    <w:rsid w:val="00375570"/>
    <w:rsid w:val="003755D1"/>
    <w:rsid w:val="0037567E"/>
    <w:rsid w:val="003757B1"/>
    <w:rsid w:val="00375C42"/>
    <w:rsid w:val="003763C8"/>
    <w:rsid w:val="00376E64"/>
    <w:rsid w:val="0037746C"/>
    <w:rsid w:val="0038010B"/>
    <w:rsid w:val="003819B9"/>
    <w:rsid w:val="00381DA1"/>
    <w:rsid w:val="003824A8"/>
    <w:rsid w:val="0038293F"/>
    <w:rsid w:val="00382E7F"/>
    <w:rsid w:val="003835C6"/>
    <w:rsid w:val="00383AA2"/>
    <w:rsid w:val="00383ACB"/>
    <w:rsid w:val="00383BD0"/>
    <w:rsid w:val="00384504"/>
    <w:rsid w:val="00384804"/>
    <w:rsid w:val="003848B1"/>
    <w:rsid w:val="00384EEB"/>
    <w:rsid w:val="003852DD"/>
    <w:rsid w:val="00385EA9"/>
    <w:rsid w:val="0038608B"/>
    <w:rsid w:val="00387003"/>
    <w:rsid w:val="0038736E"/>
    <w:rsid w:val="003904DB"/>
    <w:rsid w:val="0039101B"/>
    <w:rsid w:val="00391755"/>
    <w:rsid w:val="0039197C"/>
    <w:rsid w:val="00391C66"/>
    <w:rsid w:val="00391F8F"/>
    <w:rsid w:val="0039230E"/>
    <w:rsid w:val="00392565"/>
    <w:rsid w:val="003926C0"/>
    <w:rsid w:val="003931FA"/>
    <w:rsid w:val="003932DF"/>
    <w:rsid w:val="003934BF"/>
    <w:rsid w:val="00394046"/>
    <w:rsid w:val="003943C2"/>
    <w:rsid w:val="003944EC"/>
    <w:rsid w:val="003947F1"/>
    <w:rsid w:val="0039481E"/>
    <w:rsid w:val="00394855"/>
    <w:rsid w:val="00394AC2"/>
    <w:rsid w:val="00394C0B"/>
    <w:rsid w:val="00395468"/>
    <w:rsid w:val="00397022"/>
    <w:rsid w:val="003970F7"/>
    <w:rsid w:val="0039739E"/>
    <w:rsid w:val="003978BF"/>
    <w:rsid w:val="00397E01"/>
    <w:rsid w:val="00397E22"/>
    <w:rsid w:val="003A1587"/>
    <w:rsid w:val="003A1612"/>
    <w:rsid w:val="003A2440"/>
    <w:rsid w:val="003A2501"/>
    <w:rsid w:val="003A281D"/>
    <w:rsid w:val="003A28CE"/>
    <w:rsid w:val="003A29E2"/>
    <w:rsid w:val="003A2AE0"/>
    <w:rsid w:val="003A2F68"/>
    <w:rsid w:val="003A3392"/>
    <w:rsid w:val="003A37E5"/>
    <w:rsid w:val="003A3A6A"/>
    <w:rsid w:val="003A3CE5"/>
    <w:rsid w:val="003A4103"/>
    <w:rsid w:val="003A43F1"/>
    <w:rsid w:val="003A4BAC"/>
    <w:rsid w:val="003A4DCD"/>
    <w:rsid w:val="003A5249"/>
    <w:rsid w:val="003A56DF"/>
    <w:rsid w:val="003A596B"/>
    <w:rsid w:val="003A5D5D"/>
    <w:rsid w:val="003A5DFD"/>
    <w:rsid w:val="003A5E9A"/>
    <w:rsid w:val="003A5E9B"/>
    <w:rsid w:val="003A65EB"/>
    <w:rsid w:val="003A6735"/>
    <w:rsid w:val="003A67B6"/>
    <w:rsid w:val="003A734D"/>
    <w:rsid w:val="003A750D"/>
    <w:rsid w:val="003A7D93"/>
    <w:rsid w:val="003A7EED"/>
    <w:rsid w:val="003A7F8D"/>
    <w:rsid w:val="003B0425"/>
    <w:rsid w:val="003B0460"/>
    <w:rsid w:val="003B1584"/>
    <w:rsid w:val="003B1A43"/>
    <w:rsid w:val="003B1C7E"/>
    <w:rsid w:val="003B2407"/>
    <w:rsid w:val="003B2C94"/>
    <w:rsid w:val="003B2CC2"/>
    <w:rsid w:val="003B3058"/>
    <w:rsid w:val="003B3167"/>
    <w:rsid w:val="003B39A0"/>
    <w:rsid w:val="003B406A"/>
    <w:rsid w:val="003B44E9"/>
    <w:rsid w:val="003B54C0"/>
    <w:rsid w:val="003B5AA5"/>
    <w:rsid w:val="003B6140"/>
    <w:rsid w:val="003B6715"/>
    <w:rsid w:val="003B68CE"/>
    <w:rsid w:val="003B6C6A"/>
    <w:rsid w:val="003B6C95"/>
    <w:rsid w:val="003B6E41"/>
    <w:rsid w:val="003B783E"/>
    <w:rsid w:val="003B7EF1"/>
    <w:rsid w:val="003C04ED"/>
    <w:rsid w:val="003C087A"/>
    <w:rsid w:val="003C1818"/>
    <w:rsid w:val="003C1CC8"/>
    <w:rsid w:val="003C25F5"/>
    <w:rsid w:val="003C275F"/>
    <w:rsid w:val="003C2A04"/>
    <w:rsid w:val="003C2EED"/>
    <w:rsid w:val="003C3DED"/>
    <w:rsid w:val="003C440F"/>
    <w:rsid w:val="003C441B"/>
    <w:rsid w:val="003C4AD7"/>
    <w:rsid w:val="003C5307"/>
    <w:rsid w:val="003C54D5"/>
    <w:rsid w:val="003C5690"/>
    <w:rsid w:val="003C63C5"/>
    <w:rsid w:val="003C6AC1"/>
    <w:rsid w:val="003C6B0A"/>
    <w:rsid w:val="003C6D25"/>
    <w:rsid w:val="003C6DD6"/>
    <w:rsid w:val="003C6DF2"/>
    <w:rsid w:val="003C7291"/>
    <w:rsid w:val="003C7569"/>
    <w:rsid w:val="003D09B8"/>
    <w:rsid w:val="003D0AF1"/>
    <w:rsid w:val="003D0FD2"/>
    <w:rsid w:val="003D1313"/>
    <w:rsid w:val="003D1384"/>
    <w:rsid w:val="003D1493"/>
    <w:rsid w:val="003D1660"/>
    <w:rsid w:val="003D1C6C"/>
    <w:rsid w:val="003D2004"/>
    <w:rsid w:val="003D2289"/>
    <w:rsid w:val="003D23C9"/>
    <w:rsid w:val="003D24B4"/>
    <w:rsid w:val="003D29E3"/>
    <w:rsid w:val="003D2A25"/>
    <w:rsid w:val="003D34BA"/>
    <w:rsid w:val="003D369E"/>
    <w:rsid w:val="003D3995"/>
    <w:rsid w:val="003D3D77"/>
    <w:rsid w:val="003D4D3B"/>
    <w:rsid w:val="003D5A3C"/>
    <w:rsid w:val="003D5DDA"/>
    <w:rsid w:val="003D67CB"/>
    <w:rsid w:val="003D6B07"/>
    <w:rsid w:val="003D70AF"/>
    <w:rsid w:val="003D7138"/>
    <w:rsid w:val="003D79C6"/>
    <w:rsid w:val="003E0356"/>
    <w:rsid w:val="003E07FA"/>
    <w:rsid w:val="003E18C7"/>
    <w:rsid w:val="003E1D40"/>
    <w:rsid w:val="003E1E12"/>
    <w:rsid w:val="003E255B"/>
    <w:rsid w:val="003E261E"/>
    <w:rsid w:val="003E2793"/>
    <w:rsid w:val="003E2D54"/>
    <w:rsid w:val="003E39D2"/>
    <w:rsid w:val="003E3A33"/>
    <w:rsid w:val="003E3A5E"/>
    <w:rsid w:val="003E42BE"/>
    <w:rsid w:val="003E4804"/>
    <w:rsid w:val="003E4BF7"/>
    <w:rsid w:val="003E578A"/>
    <w:rsid w:val="003E5F76"/>
    <w:rsid w:val="003E62BD"/>
    <w:rsid w:val="003E64BA"/>
    <w:rsid w:val="003E66CA"/>
    <w:rsid w:val="003E6A42"/>
    <w:rsid w:val="003E6FC1"/>
    <w:rsid w:val="003E74C3"/>
    <w:rsid w:val="003E767D"/>
    <w:rsid w:val="003E7A03"/>
    <w:rsid w:val="003F00C6"/>
    <w:rsid w:val="003F074B"/>
    <w:rsid w:val="003F1214"/>
    <w:rsid w:val="003F146C"/>
    <w:rsid w:val="003F161C"/>
    <w:rsid w:val="003F168D"/>
    <w:rsid w:val="003F17A9"/>
    <w:rsid w:val="003F1A3E"/>
    <w:rsid w:val="003F1EA2"/>
    <w:rsid w:val="003F2B42"/>
    <w:rsid w:val="003F31F0"/>
    <w:rsid w:val="003F3299"/>
    <w:rsid w:val="003F395F"/>
    <w:rsid w:val="003F4F77"/>
    <w:rsid w:val="003F5897"/>
    <w:rsid w:val="003F59A9"/>
    <w:rsid w:val="003F5A02"/>
    <w:rsid w:val="003F5BA2"/>
    <w:rsid w:val="003F6042"/>
    <w:rsid w:val="003F63D6"/>
    <w:rsid w:val="003F66B9"/>
    <w:rsid w:val="003F6779"/>
    <w:rsid w:val="003F680F"/>
    <w:rsid w:val="003F6A5F"/>
    <w:rsid w:val="003F73D3"/>
    <w:rsid w:val="003F74D8"/>
    <w:rsid w:val="003F7777"/>
    <w:rsid w:val="0040039A"/>
    <w:rsid w:val="004003D2"/>
    <w:rsid w:val="004013FD"/>
    <w:rsid w:val="0040147C"/>
    <w:rsid w:val="004014B6"/>
    <w:rsid w:val="0040180E"/>
    <w:rsid w:val="0040184D"/>
    <w:rsid w:val="00401C45"/>
    <w:rsid w:val="00401ED0"/>
    <w:rsid w:val="004021EE"/>
    <w:rsid w:val="004025FF"/>
    <w:rsid w:val="0040275C"/>
    <w:rsid w:val="00402C1B"/>
    <w:rsid w:val="0040350C"/>
    <w:rsid w:val="00403529"/>
    <w:rsid w:val="0040366C"/>
    <w:rsid w:val="00404169"/>
    <w:rsid w:val="00404517"/>
    <w:rsid w:val="004048B4"/>
    <w:rsid w:val="004049CF"/>
    <w:rsid w:val="00404A4A"/>
    <w:rsid w:val="00404BDE"/>
    <w:rsid w:val="00405263"/>
    <w:rsid w:val="0040544C"/>
    <w:rsid w:val="00405849"/>
    <w:rsid w:val="0040599A"/>
    <w:rsid w:val="00405F02"/>
    <w:rsid w:val="004062C0"/>
    <w:rsid w:val="00410004"/>
    <w:rsid w:val="00410555"/>
    <w:rsid w:val="00410D3C"/>
    <w:rsid w:val="00410F2F"/>
    <w:rsid w:val="00410FAC"/>
    <w:rsid w:val="00410FB0"/>
    <w:rsid w:val="0041121A"/>
    <w:rsid w:val="00411668"/>
    <w:rsid w:val="004124BB"/>
    <w:rsid w:val="00412FD1"/>
    <w:rsid w:val="00413398"/>
    <w:rsid w:val="004133A5"/>
    <w:rsid w:val="004134F2"/>
    <w:rsid w:val="004153CA"/>
    <w:rsid w:val="0041553E"/>
    <w:rsid w:val="00415BBA"/>
    <w:rsid w:val="00415CB0"/>
    <w:rsid w:val="00415FF1"/>
    <w:rsid w:val="004162C7"/>
    <w:rsid w:val="0041696B"/>
    <w:rsid w:val="0041697C"/>
    <w:rsid w:val="00416C5F"/>
    <w:rsid w:val="00417694"/>
    <w:rsid w:val="00417703"/>
    <w:rsid w:val="0042032E"/>
    <w:rsid w:val="00420340"/>
    <w:rsid w:val="00420358"/>
    <w:rsid w:val="004203E0"/>
    <w:rsid w:val="004206DB"/>
    <w:rsid w:val="00420A20"/>
    <w:rsid w:val="00420CAA"/>
    <w:rsid w:val="00421384"/>
    <w:rsid w:val="0042191D"/>
    <w:rsid w:val="00422BB3"/>
    <w:rsid w:val="004237FC"/>
    <w:rsid w:val="00423FF5"/>
    <w:rsid w:val="004242D8"/>
    <w:rsid w:val="00424396"/>
    <w:rsid w:val="00424BEC"/>
    <w:rsid w:val="00424FB1"/>
    <w:rsid w:val="00425AC4"/>
    <w:rsid w:val="004260F2"/>
    <w:rsid w:val="004267FF"/>
    <w:rsid w:val="00426CDF"/>
    <w:rsid w:val="004274D3"/>
    <w:rsid w:val="00427E08"/>
    <w:rsid w:val="00427F30"/>
    <w:rsid w:val="004311BD"/>
    <w:rsid w:val="0043129E"/>
    <w:rsid w:val="00431609"/>
    <w:rsid w:val="00431BD1"/>
    <w:rsid w:val="00431F41"/>
    <w:rsid w:val="00431F5E"/>
    <w:rsid w:val="00432D93"/>
    <w:rsid w:val="00433579"/>
    <w:rsid w:val="004343E7"/>
    <w:rsid w:val="0043476F"/>
    <w:rsid w:val="004347F7"/>
    <w:rsid w:val="00434D85"/>
    <w:rsid w:val="00434EAB"/>
    <w:rsid w:val="00435665"/>
    <w:rsid w:val="00435B2A"/>
    <w:rsid w:val="004361A4"/>
    <w:rsid w:val="00436363"/>
    <w:rsid w:val="00436365"/>
    <w:rsid w:val="004364CA"/>
    <w:rsid w:val="00436E48"/>
    <w:rsid w:val="004372BB"/>
    <w:rsid w:val="00437483"/>
    <w:rsid w:val="0043792E"/>
    <w:rsid w:val="00437B38"/>
    <w:rsid w:val="00437B8B"/>
    <w:rsid w:val="00440218"/>
    <w:rsid w:val="00440425"/>
    <w:rsid w:val="00440DC6"/>
    <w:rsid w:val="00441533"/>
    <w:rsid w:val="00441F09"/>
    <w:rsid w:val="00442C1A"/>
    <w:rsid w:val="0044302C"/>
    <w:rsid w:val="0044312D"/>
    <w:rsid w:val="0044314B"/>
    <w:rsid w:val="00443709"/>
    <w:rsid w:val="00443863"/>
    <w:rsid w:val="0044426C"/>
    <w:rsid w:val="00444527"/>
    <w:rsid w:val="00444DC7"/>
    <w:rsid w:val="00445125"/>
    <w:rsid w:val="00445182"/>
    <w:rsid w:val="00445328"/>
    <w:rsid w:val="004454A2"/>
    <w:rsid w:val="00445E47"/>
    <w:rsid w:val="00445F01"/>
    <w:rsid w:val="004464DB"/>
    <w:rsid w:val="00446EB6"/>
    <w:rsid w:val="00447081"/>
    <w:rsid w:val="00447155"/>
    <w:rsid w:val="00447263"/>
    <w:rsid w:val="0044771A"/>
    <w:rsid w:val="00447CA2"/>
    <w:rsid w:val="004510B8"/>
    <w:rsid w:val="0045246D"/>
    <w:rsid w:val="0045260D"/>
    <w:rsid w:val="00452916"/>
    <w:rsid w:val="00452988"/>
    <w:rsid w:val="0045306C"/>
    <w:rsid w:val="004544EB"/>
    <w:rsid w:val="004545E0"/>
    <w:rsid w:val="004547FE"/>
    <w:rsid w:val="00454AA0"/>
    <w:rsid w:val="0045651B"/>
    <w:rsid w:val="004568B0"/>
    <w:rsid w:val="004570BF"/>
    <w:rsid w:val="00457323"/>
    <w:rsid w:val="00457C5D"/>
    <w:rsid w:val="004603A4"/>
    <w:rsid w:val="0046046E"/>
    <w:rsid w:val="0046091F"/>
    <w:rsid w:val="00460E09"/>
    <w:rsid w:val="00461755"/>
    <w:rsid w:val="0046247B"/>
    <w:rsid w:val="004627BB"/>
    <w:rsid w:val="00462891"/>
    <w:rsid w:val="00462AA7"/>
    <w:rsid w:val="004631DB"/>
    <w:rsid w:val="00463396"/>
    <w:rsid w:val="0046375D"/>
    <w:rsid w:val="0046388A"/>
    <w:rsid w:val="00463BA8"/>
    <w:rsid w:val="00464E00"/>
    <w:rsid w:val="00465471"/>
    <w:rsid w:val="00465654"/>
    <w:rsid w:val="00465A18"/>
    <w:rsid w:val="00465B90"/>
    <w:rsid w:val="00466666"/>
    <w:rsid w:val="00466D78"/>
    <w:rsid w:val="00467564"/>
    <w:rsid w:val="00467D7C"/>
    <w:rsid w:val="00467FF9"/>
    <w:rsid w:val="00470404"/>
    <w:rsid w:val="004706FF"/>
    <w:rsid w:val="004707F2"/>
    <w:rsid w:val="004709A5"/>
    <w:rsid w:val="00470E95"/>
    <w:rsid w:val="00470F16"/>
    <w:rsid w:val="004713C4"/>
    <w:rsid w:val="004716CF"/>
    <w:rsid w:val="00471CA5"/>
    <w:rsid w:val="00471F19"/>
    <w:rsid w:val="00471FDE"/>
    <w:rsid w:val="00472947"/>
    <w:rsid w:val="00472D83"/>
    <w:rsid w:val="00473601"/>
    <w:rsid w:val="0047397A"/>
    <w:rsid w:val="00473BCF"/>
    <w:rsid w:val="00473CD0"/>
    <w:rsid w:val="004740FF"/>
    <w:rsid w:val="004743DC"/>
    <w:rsid w:val="00474549"/>
    <w:rsid w:val="0047464A"/>
    <w:rsid w:val="0047471C"/>
    <w:rsid w:val="00474CB9"/>
    <w:rsid w:val="00474CE3"/>
    <w:rsid w:val="00474EC1"/>
    <w:rsid w:val="00474F3A"/>
    <w:rsid w:val="00475307"/>
    <w:rsid w:val="0047570D"/>
    <w:rsid w:val="004759D4"/>
    <w:rsid w:val="00476105"/>
    <w:rsid w:val="00476A37"/>
    <w:rsid w:val="00476CA7"/>
    <w:rsid w:val="00476D24"/>
    <w:rsid w:val="00477375"/>
    <w:rsid w:val="00477728"/>
    <w:rsid w:val="0047774E"/>
    <w:rsid w:val="0047776E"/>
    <w:rsid w:val="0047780C"/>
    <w:rsid w:val="00477E95"/>
    <w:rsid w:val="00477FEE"/>
    <w:rsid w:val="004803D2"/>
    <w:rsid w:val="004817D7"/>
    <w:rsid w:val="00482ACC"/>
    <w:rsid w:val="00482AD1"/>
    <w:rsid w:val="00482C84"/>
    <w:rsid w:val="00483575"/>
    <w:rsid w:val="0048361B"/>
    <w:rsid w:val="00483B27"/>
    <w:rsid w:val="00483F4F"/>
    <w:rsid w:val="00484C09"/>
    <w:rsid w:val="00484FE8"/>
    <w:rsid w:val="00485462"/>
    <w:rsid w:val="004855F6"/>
    <w:rsid w:val="00485BD6"/>
    <w:rsid w:val="00485BF3"/>
    <w:rsid w:val="00485D01"/>
    <w:rsid w:val="00486C61"/>
    <w:rsid w:val="00487533"/>
    <w:rsid w:val="004901FB"/>
    <w:rsid w:val="00490569"/>
    <w:rsid w:val="00490F0B"/>
    <w:rsid w:val="004910FA"/>
    <w:rsid w:val="00491215"/>
    <w:rsid w:val="00491B29"/>
    <w:rsid w:val="00491B39"/>
    <w:rsid w:val="00491BDF"/>
    <w:rsid w:val="0049209D"/>
    <w:rsid w:val="004924CF"/>
    <w:rsid w:val="00492755"/>
    <w:rsid w:val="0049280A"/>
    <w:rsid w:val="00492C70"/>
    <w:rsid w:val="00494871"/>
    <w:rsid w:val="00495749"/>
    <w:rsid w:val="00495A84"/>
    <w:rsid w:val="00495B47"/>
    <w:rsid w:val="00495FBC"/>
    <w:rsid w:val="0049661C"/>
    <w:rsid w:val="00496688"/>
    <w:rsid w:val="004966F2"/>
    <w:rsid w:val="004968BB"/>
    <w:rsid w:val="00496C34"/>
    <w:rsid w:val="00496F68"/>
    <w:rsid w:val="004978BB"/>
    <w:rsid w:val="004A05CD"/>
    <w:rsid w:val="004A06BB"/>
    <w:rsid w:val="004A17BC"/>
    <w:rsid w:val="004A1808"/>
    <w:rsid w:val="004A18FC"/>
    <w:rsid w:val="004A1E74"/>
    <w:rsid w:val="004A1F41"/>
    <w:rsid w:val="004A1F71"/>
    <w:rsid w:val="004A21A0"/>
    <w:rsid w:val="004A2348"/>
    <w:rsid w:val="004A2DB5"/>
    <w:rsid w:val="004A3394"/>
    <w:rsid w:val="004A3508"/>
    <w:rsid w:val="004A38A6"/>
    <w:rsid w:val="004A3EE6"/>
    <w:rsid w:val="004A453A"/>
    <w:rsid w:val="004A49F1"/>
    <w:rsid w:val="004A4E45"/>
    <w:rsid w:val="004A533E"/>
    <w:rsid w:val="004A555F"/>
    <w:rsid w:val="004A6C30"/>
    <w:rsid w:val="004A6FD7"/>
    <w:rsid w:val="004A7190"/>
    <w:rsid w:val="004A7AF1"/>
    <w:rsid w:val="004A7B3D"/>
    <w:rsid w:val="004A7E2B"/>
    <w:rsid w:val="004B0573"/>
    <w:rsid w:val="004B06D6"/>
    <w:rsid w:val="004B116C"/>
    <w:rsid w:val="004B122F"/>
    <w:rsid w:val="004B12A8"/>
    <w:rsid w:val="004B1941"/>
    <w:rsid w:val="004B1A9A"/>
    <w:rsid w:val="004B1D12"/>
    <w:rsid w:val="004B1E88"/>
    <w:rsid w:val="004B2144"/>
    <w:rsid w:val="004B243D"/>
    <w:rsid w:val="004B2809"/>
    <w:rsid w:val="004B30E9"/>
    <w:rsid w:val="004B310A"/>
    <w:rsid w:val="004B33D8"/>
    <w:rsid w:val="004B3730"/>
    <w:rsid w:val="004B5223"/>
    <w:rsid w:val="004B52CB"/>
    <w:rsid w:val="004B56B4"/>
    <w:rsid w:val="004B5ADF"/>
    <w:rsid w:val="004B67CE"/>
    <w:rsid w:val="004B6DC5"/>
    <w:rsid w:val="004B7377"/>
    <w:rsid w:val="004B74ED"/>
    <w:rsid w:val="004B7B88"/>
    <w:rsid w:val="004C0393"/>
    <w:rsid w:val="004C08D2"/>
    <w:rsid w:val="004C131A"/>
    <w:rsid w:val="004C22E9"/>
    <w:rsid w:val="004C232D"/>
    <w:rsid w:val="004C32F6"/>
    <w:rsid w:val="004C359D"/>
    <w:rsid w:val="004C364A"/>
    <w:rsid w:val="004C4387"/>
    <w:rsid w:val="004C497E"/>
    <w:rsid w:val="004C4A62"/>
    <w:rsid w:val="004C4ABA"/>
    <w:rsid w:val="004C5268"/>
    <w:rsid w:val="004C59EC"/>
    <w:rsid w:val="004C5BC1"/>
    <w:rsid w:val="004C5E9C"/>
    <w:rsid w:val="004C5FE1"/>
    <w:rsid w:val="004C6005"/>
    <w:rsid w:val="004C64F9"/>
    <w:rsid w:val="004C6AAD"/>
    <w:rsid w:val="004C6CBF"/>
    <w:rsid w:val="004C70C5"/>
    <w:rsid w:val="004C712B"/>
    <w:rsid w:val="004C7CF7"/>
    <w:rsid w:val="004C7F54"/>
    <w:rsid w:val="004D0759"/>
    <w:rsid w:val="004D0C61"/>
    <w:rsid w:val="004D1363"/>
    <w:rsid w:val="004D13A5"/>
    <w:rsid w:val="004D1ABE"/>
    <w:rsid w:val="004D22B8"/>
    <w:rsid w:val="004D2618"/>
    <w:rsid w:val="004D2913"/>
    <w:rsid w:val="004D30D9"/>
    <w:rsid w:val="004D41BF"/>
    <w:rsid w:val="004D4478"/>
    <w:rsid w:val="004D44CC"/>
    <w:rsid w:val="004D477D"/>
    <w:rsid w:val="004D50B4"/>
    <w:rsid w:val="004D566C"/>
    <w:rsid w:val="004D5940"/>
    <w:rsid w:val="004D5D28"/>
    <w:rsid w:val="004D63BA"/>
    <w:rsid w:val="004D668B"/>
    <w:rsid w:val="004D6814"/>
    <w:rsid w:val="004D6C06"/>
    <w:rsid w:val="004D6D28"/>
    <w:rsid w:val="004D772F"/>
    <w:rsid w:val="004D7863"/>
    <w:rsid w:val="004E02E2"/>
    <w:rsid w:val="004E04AE"/>
    <w:rsid w:val="004E0CBB"/>
    <w:rsid w:val="004E1347"/>
    <w:rsid w:val="004E1893"/>
    <w:rsid w:val="004E1B2F"/>
    <w:rsid w:val="004E1CA6"/>
    <w:rsid w:val="004E22C3"/>
    <w:rsid w:val="004E2551"/>
    <w:rsid w:val="004E27EE"/>
    <w:rsid w:val="004E2F82"/>
    <w:rsid w:val="004E34DD"/>
    <w:rsid w:val="004E3C68"/>
    <w:rsid w:val="004E45C3"/>
    <w:rsid w:val="004E4616"/>
    <w:rsid w:val="004E498D"/>
    <w:rsid w:val="004E4F49"/>
    <w:rsid w:val="004E583D"/>
    <w:rsid w:val="004E685D"/>
    <w:rsid w:val="004E6B0C"/>
    <w:rsid w:val="004E6CF8"/>
    <w:rsid w:val="004E6D62"/>
    <w:rsid w:val="004E7103"/>
    <w:rsid w:val="004E7A63"/>
    <w:rsid w:val="004F0020"/>
    <w:rsid w:val="004F0116"/>
    <w:rsid w:val="004F0526"/>
    <w:rsid w:val="004F07EC"/>
    <w:rsid w:val="004F0916"/>
    <w:rsid w:val="004F0D08"/>
    <w:rsid w:val="004F11F5"/>
    <w:rsid w:val="004F132D"/>
    <w:rsid w:val="004F1963"/>
    <w:rsid w:val="004F1BB5"/>
    <w:rsid w:val="004F1DE8"/>
    <w:rsid w:val="004F2008"/>
    <w:rsid w:val="004F29E1"/>
    <w:rsid w:val="004F2F98"/>
    <w:rsid w:val="004F306C"/>
    <w:rsid w:val="004F311A"/>
    <w:rsid w:val="004F38C5"/>
    <w:rsid w:val="004F3CC7"/>
    <w:rsid w:val="004F3D46"/>
    <w:rsid w:val="004F405B"/>
    <w:rsid w:val="004F57AE"/>
    <w:rsid w:val="004F5CB0"/>
    <w:rsid w:val="004F6333"/>
    <w:rsid w:val="004F63FA"/>
    <w:rsid w:val="004F64F2"/>
    <w:rsid w:val="004F69E1"/>
    <w:rsid w:val="004F6A24"/>
    <w:rsid w:val="004F713E"/>
    <w:rsid w:val="004F755E"/>
    <w:rsid w:val="004F78E8"/>
    <w:rsid w:val="004F7939"/>
    <w:rsid w:val="004F7B13"/>
    <w:rsid w:val="005000ED"/>
    <w:rsid w:val="00500244"/>
    <w:rsid w:val="00500552"/>
    <w:rsid w:val="005006B3"/>
    <w:rsid w:val="005011CB"/>
    <w:rsid w:val="00501479"/>
    <w:rsid w:val="00501673"/>
    <w:rsid w:val="00501771"/>
    <w:rsid w:val="005017A4"/>
    <w:rsid w:val="00502537"/>
    <w:rsid w:val="00502D27"/>
    <w:rsid w:val="00502D9A"/>
    <w:rsid w:val="00503241"/>
    <w:rsid w:val="005038E9"/>
    <w:rsid w:val="00503B32"/>
    <w:rsid w:val="0050492F"/>
    <w:rsid w:val="00504DE7"/>
    <w:rsid w:val="00504DFC"/>
    <w:rsid w:val="00505303"/>
    <w:rsid w:val="005058E5"/>
    <w:rsid w:val="00506033"/>
    <w:rsid w:val="005063D4"/>
    <w:rsid w:val="00506D6C"/>
    <w:rsid w:val="00506E80"/>
    <w:rsid w:val="005070AA"/>
    <w:rsid w:val="005075F1"/>
    <w:rsid w:val="005076AD"/>
    <w:rsid w:val="00507F7F"/>
    <w:rsid w:val="00510339"/>
    <w:rsid w:val="005103FF"/>
    <w:rsid w:val="00510895"/>
    <w:rsid w:val="00510F7D"/>
    <w:rsid w:val="0051134B"/>
    <w:rsid w:val="00511441"/>
    <w:rsid w:val="0051168C"/>
    <w:rsid w:val="00511E33"/>
    <w:rsid w:val="00511EC4"/>
    <w:rsid w:val="00511FA5"/>
    <w:rsid w:val="0051208F"/>
    <w:rsid w:val="005124E4"/>
    <w:rsid w:val="0051317F"/>
    <w:rsid w:val="0051343F"/>
    <w:rsid w:val="005137E4"/>
    <w:rsid w:val="00513963"/>
    <w:rsid w:val="00513ACB"/>
    <w:rsid w:val="00514221"/>
    <w:rsid w:val="005146D6"/>
    <w:rsid w:val="0051508F"/>
    <w:rsid w:val="00515C5A"/>
    <w:rsid w:val="005160FD"/>
    <w:rsid w:val="005164AA"/>
    <w:rsid w:val="005164E9"/>
    <w:rsid w:val="00517D5F"/>
    <w:rsid w:val="00520516"/>
    <w:rsid w:val="00520CE9"/>
    <w:rsid w:val="00521091"/>
    <w:rsid w:val="005213E5"/>
    <w:rsid w:val="00521707"/>
    <w:rsid w:val="00522378"/>
    <w:rsid w:val="005223C6"/>
    <w:rsid w:val="005228ED"/>
    <w:rsid w:val="00522D9C"/>
    <w:rsid w:val="00522E2D"/>
    <w:rsid w:val="005235AA"/>
    <w:rsid w:val="00524F9F"/>
    <w:rsid w:val="005251C5"/>
    <w:rsid w:val="00525438"/>
    <w:rsid w:val="00525E34"/>
    <w:rsid w:val="005268AD"/>
    <w:rsid w:val="00526D94"/>
    <w:rsid w:val="00527445"/>
    <w:rsid w:val="00527D98"/>
    <w:rsid w:val="00530B93"/>
    <w:rsid w:val="00530BFA"/>
    <w:rsid w:val="00531699"/>
    <w:rsid w:val="00531807"/>
    <w:rsid w:val="005326FE"/>
    <w:rsid w:val="0053271B"/>
    <w:rsid w:val="00532911"/>
    <w:rsid w:val="005329A3"/>
    <w:rsid w:val="00532B16"/>
    <w:rsid w:val="00534597"/>
    <w:rsid w:val="00534C7E"/>
    <w:rsid w:val="00534CC3"/>
    <w:rsid w:val="005350F3"/>
    <w:rsid w:val="00535933"/>
    <w:rsid w:val="00535A31"/>
    <w:rsid w:val="00535C62"/>
    <w:rsid w:val="005368CE"/>
    <w:rsid w:val="005373F9"/>
    <w:rsid w:val="005376BC"/>
    <w:rsid w:val="005377DF"/>
    <w:rsid w:val="005377FC"/>
    <w:rsid w:val="00537A08"/>
    <w:rsid w:val="0054003B"/>
    <w:rsid w:val="00540089"/>
    <w:rsid w:val="00540472"/>
    <w:rsid w:val="00540677"/>
    <w:rsid w:val="00541553"/>
    <w:rsid w:val="00541931"/>
    <w:rsid w:val="00541C52"/>
    <w:rsid w:val="0054259E"/>
    <w:rsid w:val="00542BB5"/>
    <w:rsid w:val="00542E6A"/>
    <w:rsid w:val="00543854"/>
    <w:rsid w:val="005439F8"/>
    <w:rsid w:val="00543A29"/>
    <w:rsid w:val="00543F92"/>
    <w:rsid w:val="005441DF"/>
    <w:rsid w:val="005442E6"/>
    <w:rsid w:val="00544993"/>
    <w:rsid w:val="00544B6D"/>
    <w:rsid w:val="00544D3F"/>
    <w:rsid w:val="00544EE2"/>
    <w:rsid w:val="00545AB6"/>
    <w:rsid w:val="005460D9"/>
    <w:rsid w:val="0054621A"/>
    <w:rsid w:val="005465C4"/>
    <w:rsid w:val="005466C0"/>
    <w:rsid w:val="00546C9F"/>
    <w:rsid w:val="00546D35"/>
    <w:rsid w:val="0054735C"/>
    <w:rsid w:val="00547456"/>
    <w:rsid w:val="0054796A"/>
    <w:rsid w:val="00547A4A"/>
    <w:rsid w:val="00547EF5"/>
    <w:rsid w:val="00550BD2"/>
    <w:rsid w:val="00551298"/>
    <w:rsid w:val="00551B85"/>
    <w:rsid w:val="00552161"/>
    <w:rsid w:val="005525C6"/>
    <w:rsid w:val="005529EE"/>
    <w:rsid w:val="005529FF"/>
    <w:rsid w:val="00552B68"/>
    <w:rsid w:val="00553504"/>
    <w:rsid w:val="005536E4"/>
    <w:rsid w:val="00553AA0"/>
    <w:rsid w:val="00553B49"/>
    <w:rsid w:val="00553FE1"/>
    <w:rsid w:val="005540B5"/>
    <w:rsid w:val="00554DEE"/>
    <w:rsid w:val="0055516F"/>
    <w:rsid w:val="0055536A"/>
    <w:rsid w:val="0055561A"/>
    <w:rsid w:val="005556F9"/>
    <w:rsid w:val="00555D4E"/>
    <w:rsid w:val="00556125"/>
    <w:rsid w:val="00557216"/>
    <w:rsid w:val="005574E5"/>
    <w:rsid w:val="00557547"/>
    <w:rsid w:val="005611CD"/>
    <w:rsid w:val="00561FE2"/>
    <w:rsid w:val="005621E3"/>
    <w:rsid w:val="005627EC"/>
    <w:rsid w:val="005633F2"/>
    <w:rsid w:val="005634AA"/>
    <w:rsid w:val="005638D0"/>
    <w:rsid w:val="00564429"/>
    <w:rsid w:val="00564A57"/>
    <w:rsid w:val="00564ADE"/>
    <w:rsid w:val="00564C85"/>
    <w:rsid w:val="005655B5"/>
    <w:rsid w:val="005655F4"/>
    <w:rsid w:val="0056579D"/>
    <w:rsid w:val="00565900"/>
    <w:rsid w:val="00565A1E"/>
    <w:rsid w:val="00565A30"/>
    <w:rsid w:val="00565D7B"/>
    <w:rsid w:val="00565E2E"/>
    <w:rsid w:val="00565F9F"/>
    <w:rsid w:val="0056608B"/>
    <w:rsid w:val="005666DB"/>
    <w:rsid w:val="0056683F"/>
    <w:rsid w:val="00566BA9"/>
    <w:rsid w:val="00566DD0"/>
    <w:rsid w:val="00566DD2"/>
    <w:rsid w:val="005671F6"/>
    <w:rsid w:val="0056751C"/>
    <w:rsid w:val="00567C61"/>
    <w:rsid w:val="0057023D"/>
    <w:rsid w:val="005707EB"/>
    <w:rsid w:val="00570822"/>
    <w:rsid w:val="00570DBD"/>
    <w:rsid w:val="0057151F"/>
    <w:rsid w:val="005715B5"/>
    <w:rsid w:val="005715FD"/>
    <w:rsid w:val="00571840"/>
    <w:rsid w:val="0057185D"/>
    <w:rsid w:val="005718BC"/>
    <w:rsid w:val="00571977"/>
    <w:rsid w:val="0057268E"/>
    <w:rsid w:val="00572CB3"/>
    <w:rsid w:val="0057315D"/>
    <w:rsid w:val="00573EEF"/>
    <w:rsid w:val="00574313"/>
    <w:rsid w:val="00575E0D"/>
    <w:rsid w:val="00575ED6"/>
    <w:rsid w:val="00575FD5"/>
    <w:rsid w:val="00576744"/>
    <w:rsid w:val="00576DE2"/>
    <w:rsid w:val="00576E56"/>
    <w:rsid w:val="00577012"/>
    <w:rsid w:val="00577282"/>
    <w:rsid w:val="0057740E"/>
    <w:rsid w:val="00577749"/>
    <w:rsid w:val="00577B3B"/>
    <w:rsid w:val="00577FFE"/>
    <w:rsid w:val="00580B37"/>
    <w:rsid w:val="00580BC5"/>
    <w:rsid w:val="00580F54"/>
    <w:rsid w:val="00581B77"/>
    <w:rsid w:val="00581D26"/>
    <w:rsid w:val="00581D5B"/>
    <w:rsid w:val="00581F07"/>
    <w:rsid w:val="0058229A"/>
    <w:rsid w:val="005822DA"/>
    <w:rsid w:val="00582411"/>
    <w:rsid w:val="0058294C"/>
    <w:rsid w:val="00583902"/>
    <w:rsid w:val="0058396F"/>
    <w:rsid w:val="00583C28"/>
    <w:rsid w:val="00583DBB"/>
    <w:rsid w:val="00584109"/>
    <w:rsid w:val="005842CE"/>
    <w:rsid w:val="0058453E"/>
    <w:rsid w:val="00584C21"/>
    <w:rsid w:val="0058563C"/>
    <w:rsid w:val="00585B0D"/>
    <w:rsid w:val="0058662C"/>
    <w:rsid w:val="00586F0B"/>
    <w:rsid w:val="00587093"/>
    <w:rsid w:val="005874A8"/>
    <w:rsid w:val="00587837"/>
    <w:rsid w:val="00587A42"/>
    <w:rsid w:val="00587A9B"/>
    <w:rsid w:val="00587AED"/>
    <w:rsid w:val="005902FB"/>
    <w:rsid w:val="00590D5A"/>
    <w:rsid w:val="00591011"/>
    <w:rsid w:val="005915FA"/>
    <w:rsid w:val="00591DD3"/>
    <w:rsid w:val="00592A67"/>
    <w:rsid w:val="00592CB3"/>
    <w:rsid w:val="00592DFA"/>
    <w:rsid w:val="00593B52"/>
    <w:rsid w:val="00593E86"/>
    <w:rsid w:val="00594767"/>
    <w:rsid w:val="00594837"/>
    <w:rsid w:val="005952B7"/>
    <w:rsid w:val="00595862"/>
    <w:rsid w:val="00595AD2"/>
    <w:rsid w:val="00595F7B"/>
    <w:rsid w:val="0059662D"/>
    <w:rsid w:val="00596D0A"/>
    <w:rsid w:val="00596DC2"/>
    <w:rsid w:val="005973C1"/>
    <w:rsid w:val="0059774F"/>
    <w:rsid w:val="00597CDD"/>
    <w:rsid w:val="005A06A5"/>
    <w:rsid w:val="005A0ADD"/>
    <w:rsid w:val="005A0D6D"/>
    <w:rsid w:val="005A117F"/>
    <w:rsid w:val="005A17F4"/>
    <w:rsid w:val="005A1AD1"/>
    <w:rsid w:val="005A24D7"/>
    <w:rsid w:val="005A2E94"/>
    <w:rsid w:val="005A2EBC"/>
    <w:rsid w:val="005A35E3"/>
    <w:rsid w:val="005A3BDC"/>
    <w:rsid w:val="005A3C70"/>
    <w:rsid w:val="005A436C"/>
    <w:rsid w:val="005A4826"/>
    <w:rsid w:val="005A4B2B"/>
    <w:rsid w:val="005A4E9D"/>
    <w:rsid w:val="005A5254"/>
    <w:rsid w:val="005A5345"/>
    <w:rsid w:val="005A5810"/>
    <w:rsid w:val="005A59BA"/>
    <w:rsid w:val="005A5F8D"/>
    <w:rsid w:val="005A6231"/>
    <w:rsid w:val="005A6630"/>
    <w:rsid w:val="005A67F9"/>
    <w:rsid w:val="005A69B2"/>
    <w:rsid w:val="005A7F88"/>
    <w:rsid w:val="005B1AA7"/>
    <w:rsid w:val="005B1D9E"/>
    <w:rsid w:val="005B2ACA"/>
    <w:rsid w:val="005B2C07"/>
    <w:rsid w:val="005B2DB2"/>
    <w:rsid w:val="005B2F90"/>
    <w:rsid w:val="005B32BC"/>
    <w:rsid w:val="005B33EC"/>
    <w:rsid w:val="005B354F"/>
    <w:rsid w:val="005B375C"/>
    <w:rsid w:val="005B377B"/>
    <w:rsid w:val="005B3BDD"/>
    <w:rsid w:val="005B3F76"/>
    <w:rsid w:val="005B44E3"/>
    <w:rsid w:val="005B44E7"/>
    <w:rsid w:val="005B4AB5"/>
    <w:rsid w:val="005B4F1A"/>
    <w:rsid w:val="005B51BC"/>
    <w:rsid w:val="005B5B30"/>
    <w:rsid w:val="005B5F13"/>
    <w:rsid w:val="005B636D"/>
    <w:rsid w:val="005B6E9D"/>
    <w:rsid w:val="005B7230"/>
    <w:rsid w:val="005B7F3C"/>
    <w:rsid w:val="005C1352"/>
    <w:rsid w:val="005C1538"/>
    <w:rsid w:val="005C18BB"/>
    <w:rsid w:val="005C2BD3"/>
    <w:rsid w:val="005C3C1E"/>
    <w:rsid w:val="005C4BA8"/>
    <w:rsid w:val="005C514B"/>
    <w:rsid w:val="005C51D7"/>
    <w:rsid w:val="005C5E52"/>
    <w:rsid w:val="005C5F5F"/>
    <w:rsid w:val="005C61A4"/>
    <w:rsid w:val="005C62E1"/>
    <w:rsid w:val="005C6814"/>
    <w:rsid w:val="005C6B09"/>
    <w:rsid w:val="005C7131"/>
    <w:rsid w:val="005C7EBD"/>
    <w:rsid w:val="005D00BE"/>
    <w:rsid w:val="005D047F"/>
    <w:rsid w:val="005D086D"/>
    <w:rsid w:val="005D0B01"/>
    <w:rsid w:val="005D0EB0"/>
    <w:rsid w:val="005D10BE"/>
    <w:rsid w:val="005D155F"/>
    <w:rsid w:val="005D160C"/>
    <w:rsid w:val="005D1F3B"/>
    <w:rsid w:val="005D30BA"/>
    <w:rsid w:val="005D3197"/>
    <w:rsid w:val="005D3A12"/>
    <w:rsid w:val="005D4082"/>
    <w:rsid w:val="005D44C0"/>
    <w:rsid w:val="005D478C"/>
    <w:rsid w:val="005D5DCB"/>
    <w:rsid w:val="005D6554"/>
    <w:rsid w:val="005D65C2"/>
    <w:rsid w:val="005D70EC"/>
    <w:rsid w:val="005D7568"/>
    <w:rsid w:val="005D7719"/>
    <w:rsid w:val="005D7ED9"/>
    <w:rsid w:val="005D7FDC"/>
    <w:rsid w:val="005E0ABD"/>
    <w:rsid w:val="005E1131"/>
    <w:rsid w:val="005E1B78"/>
    <w:rsid w:val="005E1D88"/>
    <w:rsid w:val="005E20F9"/>
    <w:rsid w:val="005E23FC"/>
    <w:rsid w:val="005E2B38"/>
    <w:rsid w:val="005E315B"/>
    <w:rsid w:val="005E31F0"/>
    <w:rsid w:val="005E335D"/>
    <w:rsid w:val="005E355B"/>
    <w:rsid w:val="005E3811"/>
    <w:rsid w:val="005E4396"/>
    <w:rsid w:val="005E4544"/>
    <w:rsid w:val="005E45CC"/>
    <w:rsid w:val="005E4A97"/>
    <w:rsid w:val="005E51AE"/>
    <w:rsid w:val="005E5580"/>
    <w:rsid w:val="005E5CB1"/>
    <w:rsid w:val="005E5CBA"/>
    <w:rsid w:val="005E70FD"/>
    <w:rsid w:val="005E771B"/>
    <w:rsid w:val="005E7BE3"/>
    <w:rsid w:val="005F0576"/>
    <w:rsid w:val="005F05C5"/>
    <w:rsid w:val="005F0A33"/>
    <w:rsid w:val="005F0DAA"/>
    <w:rsid w:val="005F1732"/>
    <w:rsid w:val="005F2E97"/>
    <w:rsid w:val="005F2FD6"/>
    <w:rsid w:val="005F34B9"/>
    <w:rsid w:val="005F34FB"/>
    <w:rsid w:val="005F3720"/>
    <w:rsid w:val="005F37A1"/>
    <w:rsid w:val="005F3805"/>
    <w:rsid w:val="005F3C1A"/>
    <w:rsid w:val="005F3F3F"/>
    <w:rsid w:val="005F4CE9"/>
    <w:rsid w:val="005F4FC8"/>
    <w:rsid w:val="005F5841"/>
    <w:rsid w:val="005F6910"/>
    <w:rsid w:val="005F6965"/>
    <w:rsid w:val="005F6E13"/>
    <w:rsid w:val="005F6EB8"/>
    <w:rsid w:val="005F6EE2"/>
    <w:rsid w:val="006008D9"/>
    <w:rsid w:val="00600D1C"/>
    <w:rsid w:val="006016A4"/>
    <w:rsid w:val="0060187D"/>
    <w:rsid w:val="00601973"/>
    <w:rsid w:val="00601B5A"/>
    <w:rsid w:val="00601DF1"/>
    <w:rsid w:val="00602033"/>
    <w:rsid w:val="006022A6"/>
    <w:rsid w:val="0060232C"/>
    <w:rsid w:val="00602C49"/>
    <w:rsid w:val="00602D14"/>
    <w:rsid w:val="00603349"/>
    <w:rsid w:val="0060370C"/>
    <w:rsid w:val="00603EF0"/>
    <w:rsid w:val="00603F3E"/>
    <w:rsid w:val="00604490"/>
    <w:rsid w:val="00604528"/>
    <w:rsid w:val="00604D15"/>
    <w:rsid w:val="006050AB"/>
    <w:rsid w:val="0060524A"/>
    <w:rsid w:val="006052B5"/>
    <w:rsid w:val="006059D2"/>
    <w:rsid w:val="006067A9"/>
    <w:rsid w:val="00606C55"/>
    <w:rsid w:val="00606CB9"/>
    <w:rsid w:val="00606FD4"/>
    <w:rsid w:val="0060705C"/>
    <w:rsid w:val="006071A0"/>
    <w:rsid w:val="0060734E"/>
    <w:rsid w:val="00607657"/>
    <w:rsid w:val="00610D41"/>
    <w:rsid w:val="0061127F"/>
    <w:rsid w:val="006113CC"/>
    <w:rsid w:val="00611A07"/>
    <w:rsid w:val="006121A8"/>
    <w:rsid w:val="006122DF"/>
    <w:rsid w:val="00612360"/>
    <w:rsid w:val="0061299F"/>
    <w:rsid w:val="00612C83"/>
    <w:rsid w:val="006135F5"/>
    <w:rsid w:val="00613719"/>
    <w:rsid w:val="00613F82"/>
    <w:rsid w:val="0061402E"/>
    <w:rsid w:val="006140B7"/>
    <w:rsid w:val="006145DE"/>
    <w:rsid w:val="006146C9"/>
    <w:rsid w:val="00615060"/>
    <w:rsid w:val="00615A9E"/>
    <w:rsid w:val="00615CD5"/>
    <w:rsid w:val="00616128"/>
    <w:rsid w:val="006163CD"/>
    <w:rsid w:val="00616969"/>
    <w:rsid w:val="00616F27"/>
    <w:rsid w:val="0061738E"/>
    <w:rsid w:val="00617413"/>
    <w:rsid w:val="0062045F"/>
    <w:rsid w:val="00620E7E"/>
    <w:rsid w:val="00621626"/>
    <w:rsid w:val="006222C2"/>
    <w:rsid w:val="0062271C"/>
    <w:rsid w:val="00622E55"/>
    <w:rsid w:val="00622F02"/>
    <w:rsid w:val="00622F3A"/>
    <w:rsid w:val="006230ED"/>
    <w:rsid w:val="006239F6"/>
    <w:rsid w:val="00623AF3"/>
    <w:rsid w:val="00623F17"/>
    <w:rsid w:val="00624273"/>
    <w:rsid w:val="0062464E"/>
    <w:rsid w:val="00624BCE"/>
    <w:rsid w:val="00624FF0"/>
    <w:rsid w:val="006250B6"/>
    <w:rsid w:val="0062516F"/>
    <w:rsid w:val="00625CFE"/>
    <w:rsid w:val="00625DCE"/>
    <w:rsid w:val="006261E4"/>
    <w:rsid w:val="0062628C"/>
    <w:rsid w:val="006262DA"/>
    <w:rsid w:val="0062699C"/>
    <w:rsid w:val="00627041"/>
    <w:rsid w:val="00627C76"/>
    <w:rsid w:val="0063020A"/>
    <w:rsid w:val="0063050F"/>
    <w:rsid w:val="0063059B"/>
    <w:rsid w:val="00630782"/>
    <w:rsid w:val="00630D51"/>
    <w:rsid w:val="00630D8F"/>
    <w:rsid w:val="00630EBF"/>
    <w:rsid w:val="00630F08"/>
    <w:rsid w:val="00631253"/>
    <w:rsid w:val="00631860"/>
    <w:rsid w:val="0063192C"/>
    <w:rsid w:val="00631A17"/>
    <w:rsid w:val="0063279A"/>
    <w:rsid w:val="00632ECA"/>
    <w:rsid w:val="0063323D"/>
    <w:rsid w:val="00633F3D"/>
    <w:rsid w:val="0063487B"/>
    <w:rsid w:val="0063487C"/>
    <w:rsid w:val="0063512F"/>
    <w:rsid w:val="00635222"/>
    <w:rsid w:val="00635540"/>
    <w:rsid w:val="00635CA9"/>
    <w:rsid w:val="006362E8"/>
    <w:rsid w:val="006365C1"/>
    <w:rsid w:val="00636618"/>
    <w:rsid w:val="0063712C"/>
    <w:rsid w:val="006375B9"/>
    <w:rsid w:val="00637B04"/>
    <w:rsid w:val="00640364"/>
    <w:rsid w:val="006416D0"/>
    <w:rsid w:val="00642E2C"/>
    <w:rsid w:val="00642FDD"/>
    <w:rsid w:val="006439FF"/>
    <w:rsid w:val="00643A07"/>
    <w:rsid w:val="00644885"/>
    <w:rsid w:val="0064507C"/>
    <w:rsid w:val="00645180"/>
    <w:rsid w:val="00645569"/>
    <w:rsid w:val="00645616"/>
    <w:rsid w:val="0064568E"/>
    <w:rsid w:val="006456A8"/>
    <w:rsid w:val="00645AF1"/>
    <w:rsid w:val="00645D78"/>
    <w:rsid w:val="00646AB8"/>
    <w:rsid w:val="00646E3F"/>
    <w:rsid w:val="006470D2"/>
    <w:rsid w:val="006472D3"/>
    <w:rsid w:val="006472E0"/>
    <w:rsid w:val="0064767D"/>
    <w:rsid w:val="0064772E"/>
    <w:rsid w:val="006501B9"/>
    <w:rsid w:val="00650A21"/>
    <w:rsid w:val="0065110A"/>
    <w:rsid w:val="00651A8E"/>
    <w:rsid w:val="00651C7F"/>
    <w:rsid w:val="00651FA5"/>
    <w:rsid w:val="00652258"/>
    <w:rsid w:val="006523D7"/>
    <w:rsid w:val="006526BB"/>
    <w:rsid w:val="00652BDC"/>
    <w:rsid w:val="006530B0"/>
    <w:rsid w:val="006531F6"/>
    <w:rsid w:val="0065422F"/>
    <w:rsid w:val="006543FB"/>
    <w:rsid w:val="006545A9"/>
    <w:rsid w:val="00654A5C"/>
    <w:rsid w:val="00654E91"/>
    <w:rsid w:val="00654FB5"/>
    <w:rsid w:val="006554FE"/>
    <w:rsid w:val="00655A49"/>
    <w:rsid w:val="00655DAF"/>
    <w:rsid w:val="00655F6B"/>
    <w:rsid w:val="006560D6"/>
    <w:rsid w:val="0065631E"/>
    <w:rsid w:val="0065665E"/>
    <w:rsid w:val="00656D0A"/>
    <w:rsid w:val="00657341"/>
    <w:rsid w:val="00657DB0"/>
    <w:rsid w:val="00657F57"/>
    <w:rsid w:val="00660E0E"/>
    <w:rsid w:val="00660F91"/>
    <w:rsid w:val="00660FB6"/>
    <w:rsid w:val="006613C1"/>
    <w:rsid w:val="00661D14"/>
    <w:rsid w:val="0066321A"/>
    <w:rsid w:val="0066365D"/>
    <w:rsid w:val="00665168"/>
    <w:rsid w:val="00665997"/>
    <w:rsid w:val="00666EA1"/>
    <w:rsid w:val="006671E7"/>
    <w:rsid w:val="00667451"/>
    <w:rsid w:val="006674F6"/>
    <w:rsid w:val="006675F8"/>
    <w:rsid w:val="00670296"/>
    <w:rsid w:val="0067037F"/>
    <w:rsid w:val="0067170A"/>
    <w:rsid w:val="00672034"/>
    <w:rsid w:val="006723EC"/>
    <w:rsid w:val="00672FC9"/>
    <w:rsid w:val="0067329F"/>
    <w:rsid w:val="00673B3C"/>
    <w:rsid w:val="00673DE4"/>
    <w:rsid w:val="006741B4"/>
    <w:rsid w:val="006741D8"/>
    <w:rsid w:val="006744B9"/>
    <w:rsid w:val="00674522"/>
    <w:rsid w:val="00674B00"/>
    <w:rsid w:val="00674BEC"/>
    <w:rsid w:val="00675F02"/>
    <w:rsid w:val="00676267"/>
    <w:rsid w:val="006774BE"/>
    <w:rsid w:val="00677597"/>
    <w:rsid w:val="00677642"/>
    <w:rsid w:val="0067776E"/>
    <w:rsid w:val="00677CF1"/>
    <w:rsid w:val="00677E4E"/>
    <w:rsid w:val="0068033D"/>
    <w:rsid w:val="0068065E"/>
    <w:rsid w:val="00680C30"/>
    <w:rsid w:val="00680C71"/>
    <w:rsid w:val="006810B1"/>
    <w:rsid w:val="00681559"/>
    <w:rsid w:val="00681BD0"/>
    <w:rsid w:val="00682425"/>
    <w:rsid w:val="00682A95"/>
    <w:rsid w:val="00682C1B"/>
    <w:rsid w:val="00682D80"/>
    <w:rsid w:val="00682F6A"/>
    <w:rsid w:val="00682F8C"/>
    <w:rsid w:val="00683213"/>
    <w:rsid w:val="0068347F"/>
    <w:rsid w:val="006834DF"/>
    <w:rsid w:val="0068374E"/>
    <w:rsid w:val="006837F4"/>
    <w:rsid w:val="00683B0E"/>
    <w:rsid w:val="006842BD"/>
    <w:rsid w:val="0068440F"/>
    <w:rsid w:val="006845E2"/>
    <w:rsid w:val="00685C2D"/>
    <w:rsid w:val="00686298"/>
    <w:rsid w:val="0068675E"/>
    <w:rsid w:val="00686E7D"/>
    <w:rsid w:val="00686FED"/>
    <w:rsid w:val="006871A8"/>
    <w:rsid w:val="00687B0F"/>
    <w:rsid w:val="006904CE"/>
    <w:rsid w:val="006907D1"/>
    <w:rsid w:val="006909D5"/>
    <w:rsid w:val="00690CC6"/>
    <w:rsid w:val="0069132F"/>
    <w:rsid w:val="0069148E"/>
    <w:rsid w:val="006917E7"/>
    <w:rsid w:val="00691BC8"/>
    <w:rsid w:val="00691FB2"/>
    <w:rsid w:val="006923CC"/>
    <w:rsid w:val="006931D0"/>
    <w:rsid w:val="00693374"/>
    <w:rsid w:val="00693381"/>
    <w:rsid w:val="006939E7"/>
    <w:rsid w:val="00693AD7"/>
    <w:rsid w:val="00695437"/>
    <w:rsid w:val="0069562C"/>
    <w:rsid w:val="00695938"/>
    <w:rsid w:val="00695B5A"/>
    <w:rsid w:val="00695D17"/>
    <w:rsid w:val="00695FC7"/>
    <w:rsid w:val="0069695A"/>
    <w:rsid w:val="00696F26"/>
    <w:rsid w:val="00697835"/>
    <w:rsid w:val="00697FA3"/>
    <w:rsid w:val="006A0229"/>
    <w:rsid w:val="006A03B7"/>
    <w:rsid w:val="006A072A"/>
    <w:rsid w:val="006A09CB"/>
    <w:rsid w:val="006A0F00"/>
    <w:rsid w:val="006A0FCA"/>
    <w:rsid w:val="006A162B"/>
    <w:rsid w:val="006A181A"/>
    <w:rsid w:val="006A25FE"/>
    <w:rsid w:val="006A2E5F"/>
    <w:rsid w:val="006A3538"/>
    <w:rsid w:val="006A3A60"/>
    <w:rsid w:val="006A3BED"/>
    <w:rsid w:val="006A4CD1"/>
    <w:rsid w:val="006A4F90"/>
    <w:rsid w:val="006A58DE"/>
    <w:rsid w:val="006A5914"/>
    <w:rsid w:val="006A5CEB"/>
    <w:rsid w:val="006A61A6"/>
    <w:rsid w:val="006A684E"/>
    <w:rsid w:val="006A7297"/>
    <w:rsid w:val="006B0394"/>
    <w:rsid w:val="006B053B"/>
    <w:rsid w:val="006B06D2"/>
    <w:rsid w:val="006B0956"/>
    <w:rsid w:val="006B0A3C"/>
    <w:rsid w:val="006B0A43"/>
    <w:rsid w:val="006B0B09"/>
    <w:rsid w:val="006B1396"/>
    <w:rsid w:val="006B139F"/>
    <w:rsid w:val="006B18FC"/>
    <w:rsid w:val="006B1B97"/>
    <w:rsid w:val="006B204A"/>
    <w:rsid w:val="006B2E6D"/>
    <w:rsid w:val="006B30CC"/>
    <w:rsid w:val="006B343C"/>
    <w:rsid w:val="006B46AF"/>
    <w:rsid w:val="006B4923"/>
    <w:rsid w:val="006B4E0C"/>
    <w:rsid w:val="006B4F3F"/>
    <w:rsid w:val="006B55D5"/>
    <w:rsid w:val="006B56D7"/>
    <w:rsid w:val="006B58AC"/>
    <w:rsid w:val="006B5B75"/>
    <w:rsid w:val="006B60ED"/>
    <w:rsid w:val="006B6129"/>
    <w:rsid w:val="006B6739"/>
    <w:rsid w:val="006B6DFA"/>
    <w:rsid w:val="006B6E4F"/>
    <w:rsid w:val="006B7028"/>
    <w:rsid w:val="006B7098"/>
    <w:rsid w:val="006B73AA"/>
    <w:rsid w:val="006B73F9"/>
    <w:rsid w:val="006B742A"/>
    <w:rsid w:val="006B7656"/>
    <w:rsid w:val="006B7D82"/>
    <w:rsid w:val="006B7E79"/>
    <w:rsid w:val="006C05C0"/>
    <w:rsid w:val="006C07B6"/>
    <w:rsid w:val="006C1011"/>
    <w:rsid w:val="006C1535"/>
    <w:rsid w:val="006C1830"/>
    <w:rsid w:val="006C1E08"/>
    <w:rsid w:val="006C1E23"/>
    <w:rsid w:val="006C2AA4"/>
    <w:rsid w:val="006C3B9F"/>
    <w:rsid w:val="006C425F"/>
    <w:rsid w:val="006C470F"/>
    <w:rsid w:val="006C47C9"/>
    <w:rsid w:val="006C503D"/>
    <w:rsid w:val="006C51C0"/>
    <w:rsid w:val="006C52B5"/>
    <w:rsid w:val="006C5320"/>
    <w:rsid w:val="006C5B23"/>
    <w:rsid w:val="006C5D7C"/>
    <w:rsid w:val="006C63FF"/>
    <w:rsid w:val="006C65D2"/>
    <w:rsid w:val="006C6917"/>
    <w:rsid w:val="006C6AD9"/>
    <w:rsid w:val="006C7295"/>
    <w:rsid w:val="006C72FD"/>
    <w:rsid w:val="006C7663"/>
    <w:rsid w:val="006C76B5"/>
    <w:rsid w:val="006D0530"/>
    <w:rsid w:val="006D0613"/>
    <w:rsid w:val="006D0886"/>
    <w:rsid w:val="006D0D8D"/>
    <w:rsid w:val="006D11D5"/>
    <w:rsid w:val="006D13F5"/>
    <w:rsid w:val="006D1841"/>
    <w:rsid w:val="006D1AD9"/>
    <w:rsid w:val="006D224E"/>
    <w:rsid w:val="006D25C9"/>
    <w:rsid w:val="006D3290"/>
    <w:rsid w:val="006D3471"/>
    <w:rsid w:val="006D3BA9"/>
    <w:rsid w:val="006D409B"/>
    <w:rsid w:val="006D40C6"/>
    <w:rsid w:val="006D4243"/>
    <w:rsid w:val="006D465A"/>
    <w:rsid w:val="006D55C6"/>
    <w:rsid w:val="006D5C49"/>
    <w:rsid w:val="006D61B4"/>
    <w:rsid w:val="006D61B9"/>
    <w:rsid w:val="006D68AE"/>
    <w:rsid w:val="006D6FB3"/>
    <w:rsid w:val="006D7D68"/>
    <w:rsid w:val="006E0EA1"/>
    <w:rsid w:val="006E1390"/>
    <w:rsid w:val="006E15A8"/>
    <w:rsid w:val="006E17E4"/>
    <w:rsid w:val="006E2081"/>
    <w:rsid w:val="006E228A"/>
    <w:rsid w:val="006E2D34"/>
    <w:rsid w:val="006E34AB"/>
    <w:rsid w:val="006E3741"/>
    <w:rsid w:val="006E379A"/>
    <w:rsid w:val="006E3B64"/>
    <w:rsid w:val="006E3C31"/>
    <w:rsid w:val="006E3DAB"/>
    <w:rsid w:val="006E42F2"/>
    <w:rsid w:val="006E4391"/>
    <w:rsid w:val="006E4569"/>
    <w:rsid w:val="006E4898"/>
    <w:rsid w:val="006E4923"/>
    <w:rsid w:val="006E4B17"/>
    <w:rsid w:val="006E4C06"/>
    <w:rsid w:val="006E5744"/>
    <w:rsid w:val="006E594F"/>
    <w:rsid w:val="006E5E0F"/>
    <w:rsid w:val="006E6811"/>
    <w:rsid w:val="006E6BA5"/>
    <w:rsid w:val="006E6EFB"/>
    <w:rsid w:val="006E78DD"/>
    <w:rsid w:val="006E798E"/>
    <w:rsid w:val="006E7D2B"/>
    <w:rsid w:val="006F0A7B"/>
    <w:rsid w:val="006F0CA7"/>
    <w:rsid w:val="006F1138"/>
    <w:rsid w:val="006F1F5D"/>
    <w:rsid w:val="006F2072"/>
    <w:rsid w:val="006F21C0"/>
    <w:rsid w:val="006F26B5"/>
    <w:rsid w:val="006F2AB6"/>
    <w:rsid w:val="006F2CBB"/>
    <w:rsid w:val="006F306D"/>
    <w:rsid w:val="006F346F"/>
    <w:rsid w:val="006F34EC"/>
    <w:rsid w:val="006F351A"/>
    <w:rsid w:val="006F35F6"/>
    <w:rsid w:val="006F3870"/>
    <w:rsid w:val="006F3B4F"/>
    <w:rsid w:val="006F4916"/>
    <w:rsid w:val="006F4DE8"/>
    <w:rsid w:val="006F4E0C"/>
    <w:rsid w:val="006F578C"/>
    <w:rsid w:val="006F5E0A"/>
    <w:rsid w:val="006F6303"/>
    <w:rsid w:val="006F632C"/>
    <w:rsid w:val="006F6F50"/>
    <w:rsid w:val="006F70A6"/>
    <w:rsid w:val="006F7416"/>
    <w:rsid w:val="006F7657"/>
    <w:rsid w:val="006F789D"/>
    <w:rsid w:val="006F78EF"/>
    <w:rsid w:val="006F7B8F"/>
    <w:rsid w:val="006F7BF2"/>
    <w:rsid w:val="0070018D"/>
    <w:rsid w:val="007003B3"/>
    <w:rsid w:val="007009F4"/>
    <w:rsid w:val="00700A38"/>
    <w:rsid w:val="007011B0"/>
    <w:rsid w:val="00701360"/>
    <w:rsid w:val="007014F5"/>
    <w:rsid w:val="00701596"/>
    <w:rsid w:val="007019EA"/>
    <w:rsid w:val="007024A5"/>
    <w:rsid w:val="007031B9"/>
    <w:rsid w:val="00703F4D"/>
    <w:rsid w:val="007041C6"/>
    <w:rsid w:val="007047C3"/>
    <w:rsid w:val="00704A4A"/>
    <w:rsid w:val="00705066"/>
    <w:rsid w:val="0070568D"/>
    <w:rsid w:val="007056A5"/>
    <w:rsid w:val="00705835"/>
    <w:rsid w:val="00705A3C"/>
    <w:rsid w:val="007068DB"/>
    <w:rsid w:val="00707088"/>
    <w:rsid w:val="0070717D"/>
    <w:rsid w:val="0070722C"/>
    <w:rsid w:val="00707899"/>
    <w:rsid w:val="00707BBB"/>
    <w:rsid w:val="00707C5D"/>
    <w:rsid w:val="00710573"/>
    <w:rsid w:val="00710821"/>
    <w:rsid w:val="00710C35"/>
    <w:rsid w:val="00710EEA"/>
    <w:rsid w:val="00711C69"/>
    <w:rsid w:val="00711CC7"/>
    <w:rsid w:val="00711F75"/>
    <w:rsid w:val="0071241F"/>
    <w:rsid w:val="007127C2"/>
    <w:rsid w:val="007127CF"/>
    <w:rsid w:val="00712BE8"/>
    <w:rsid w:val="00713050"/>
    <w:rsid w:val="0071345E"/>
    <w:rsid w:val="007137DA"/>
    <w:rsid w:val="00714211"/>
    <w:rsid w:val="00714A6D"/>
    <w:rsid w:val="00714F1E"/>
    <w:rsid w:val="007152AC"/>
    <w:rsid w:val="007157CA"/>
    <w:rsid w:val="00715F2B"/>
    <w:rsid w:val="007160E2"/>
    <w:rsid w:val="00716175"/>
    <w:rsid w:val="00716627"/>
    <w:rsid w:val="007167EA"/>
    <w:rsid w:val="00716933"/>
    <w:rsid w:val="00716C51"/>
    <w:rsid w:val="00717070"/>
    <w:rsid w:val="0071710C"/>
    <w:rsid w:val="0071731C"/>
    <w:rsid w:val="00717338"/>
    <w:rsid w:val="00717C6E"/>
    <w:rsid w:val="00720074"/>
    <w:rsid w:val="007206BD"/>
    <w:rsid w:val="0072127C"/>
    <w:rsid w:val="007217CA"/>
    <w:rsid w:val="0072204B"/>
    <w:rsid w:val="00722C10"/>
    <w:rsid w:val="00722F16"/>
    <w:rsid w:val="00723C6E"/>
    <w:rsid w:val="00723D3A"/>
    <w:rsid w:val="0072437F"/>
    <w:rsid w:val="007245BD"/>
    <w:rsid w:val="00724656"/>
    <w:rsid w:val="00724E18"/>
    <w:rsid w:val="0072565D"/>
    <w:rsid w:val="007267F2"/>
    <w:rsid w:val="00726802"/>
    <w:rsid w:val="00726984"/>
    <w:rsid w:val="0072707B"/>
    <w:rsid w:val="00727402"/>
    <w:rsid w:val="007275B2"/>
    <w:rsid w:val="00727CF4"/>
    <w:rsid w:val="007302AF"/>
    <w:rsid w:val="00730542"/>
    <w:rsid w:val="0073106C"/>
    <w:rsid w:val="00731961"/>
    <w:rsid w:val="00731B6F"/>
    <w:rsid w:val="007325E3"/>
    <w:rsid w:val="00732848"/>
    <w:rsid w:val="00732EF0"/>
    <w:rsid w:val="0073307C"/>
    <w:rsid w:val="00733D6D"/>
    <w:rsid w:val="00734226"/>
    <w:rsid w:val="007343C5"/>
    <w:rsid w:val="00734C10"/>
    <w:rsid w:val="007353D9"/>
    <w:rsid w:val="007355E5"/>
    <w:rsid w:val="007359FD"/>
    <w:rsid w:val="0073612D"/>
    <w:rsid w:val="0073685C"/>
    <w:rsid w:val="00737551"/>
    <w:rsid w:val="0073798A"/>
    <w:rsid w:val="00737E37"/>
    <w:rsid w:val="0074000C"/>
    <w:rsid w:val="00740185"/>
    <w:rsid w:val="00740285"/>
    <w:rsid w:val="0074058D"/>
    <w:rsid w:val="007406A3"/>
    <w:rsid w:val="0074138F"/>
    <w:rsid w:val="00741817"/>
    <w:rsid w:val="00742A7C"/>
    <w:rsid w:val="00743235"/>
    <w:rsid w:val="00743A44"/>
    <w:rsid w:val="00743BA6"/>
    <w:rsid w:val="00743D9E"/>
    <w:rsid w:val="00744129"/>
    <w:rsid w:val="00744549"/>
    <w:rsid w:val="00744925"/>
    <w:rsid w:val="00744B30"/>
    <w:rsid w:val="007452B2"/>
    <w:rsid w:val="00745993"/>
    <w:rsid w:val="007465F8"/>
    <w:rsid w:val="00746730"/>
    <w:rsid w:val="00747950"/>
    <w:rsid w:val="00747958"/>
    <w:rsid w:val="00747B85"/>
    <w:rsid w:val="0075069E"/>
    <w:rsid w:val="00751162"/>
    <w:rsid w:val="007512C4"/>
    <w:rsid w:val="00751348"/>
    <w:rsid w:val="007515C2"/>
    <w:rsid w:val="00751991"/>
    <w:rsid w:val="007519F6"/>
    <w:rsid w:val="007523A5"/>
    <w:rsid w:val="00752EC5"/>
    <w:rsid w:val="007532A5"/>
    <w:rsid w:val="00753584"/>
    <w:rsid w:val="007536AA"/>
    <w:rsid w:val="00753822"/>
    <w:rsid w:val="00753831"/>
    <w:rsid w:val="007538DB"/>
    <w:rsid w:val="007539E9"/>
    <w:rsid w:val="00753FF3"/>
    <w:rsid w:val="00754312"/>
    <w:rsid w:val="00754389"/>
    <w:rsid w:val="00754D73"/>
    <w:rsid w:val="00755057"/>
    <w:rsid w:val="007553AB"/>
    <w:rsid w:val="007554FC"/>
    <w:rsid w:val="00755724"/>
    <w:rsid w:val="0075573E"/>
    <w:rsid w:val="007561AE"/>
    <w:rsid w:val="007565D0"/>
    <w:rsid w:val="00756686"/>
    <w:rsid w:val="00756ABD"/>
    <w:rsid w:val="0075702E"/>
    <w:rsid w:val="007573CC"/>
    <w:rsid w:val="00757B98"/>
    <w:rsid w:val="00757E06"/>
    <w:rsid w:val="00757EB6"/>
    <w:rsid w:val="00757FFB"/>
    <w:rsid w:val="00760230"/>
    <w:rsid w:val="0076035D"/>
    <w:rsid w:val="00760550"/>
    <w:rsid w:val="007609FD"/>
    <w:rsid w:val="00760D20"/>
    <w:rsid w:val="00760D99"/>
    <w:rsid w:val="00761033"/>
    <w:rsid w:val="00761259"/>
    <w:rsid w:val="00761518"/>
    <w:rsid w:val="007615A3"/>
    <w:rsid w:val="007628D2"/>
    <w:rsid w:val="00762936"/>
    <w:rsid w:val="00762B84"/>
    <w:rsid w:val="0076302E"/>
    <w:rsid w:val="007636F0"/>
    <w:rsid w:val="00763FA1"/>
    <w:rsid w:val="007648CA"/>
    <w:rsid w:val="00764B50"/>
    <w:rsid w:val="00764CE9"/>
    <w:rsid w:val="00764D1B"/>
    <w:rsid w:val="00765803"/>
    <w:rsid w:val="00765E83"/>
    <w:rsid w:val="007660AD"/>
    <w:rsid w:val="00766202"/>
    <w:rsid w:val="00766F53"/>
    <w:rsid w:val="00770032"/>
    <w:rsid w:val="0077072F"/>
    <w:rsid w:val="00771D0D"/>
    <w:rsid w:val="00771DF6"/>
    <w:rsid w:val="0077203E"/>
    <w:rsid w:val="007734CD"/>
    <w:rsid w:val="007734DC"/>
    <w:rsid w:val="00773827"/>
    <w:rsid w:val="00773EA7"/>
    <w:rsid w:val="0077492A"/>
    <w:rsid w:val="00774C2E"/>
    <w:rsid w:val="00774DA4"/>
    <w:rsid w:val="007753DD"/>
    <w:rsid w:val="00775530"/>
    <w:rsid w:val="0077583D"/>
    <w:rsid w:val="007773D4"/>
    <w:rsid w:val="00777979"/>
    <w:rsid w:val="00780034"/>
    <w:rsid w:val="007803FC"/>
    <w:rsid w:val="00780A58"/>
    <w:rsid w:val="00780A5C"/>
    <w:rsid w:val="007811A3"/>
    <w:rsid w:val="00781597"/>
    <w:rsid w:val="00781932"/>
    <w:rsid w:val="00781955"/>
    <w:rsid w:val="00781B00"/>
    <w:rsid w:val="00781CD8"/>
    <w:rsid w:val="00781E50"/>
    <w:rsid w:val="00782B79"/>
    <w:rsid w:val="00783306"/>
    <w:rsid w:val="0078358E"/>
    <w:rsid w:val="007837A9"/>
    <w:rsid w:val="00784417"/>
    <w:rsid w:val="007848B8"/>
    <w:rsid w:val="00784956"/>
    <w:rsid w:val="00785310"/>
    <w:rsid w:val="00785748"/>
    <w:rsid w:val="00785E8E"/>
    <w:rsid w:val="007860DC"/>
    <w:rsid w:val="0078621B"/>
    <w:rsid w:val="0078680D"/>
    <w:rsid w:val="007872AD"/>
    <w:rsid w:val="00787AAD"/>
    <w:rsid w:val="00790010"/>
    <w:rsid w:val="00790075"/>
    <w:rsid w:val="00790642"/>
    <w:rsid w:val="00790C07"/>
    <w:rsid w:val="00790C2A"/>
    <w:rsid w:val="00790F32"/>
    <w:rsid w:val="00791056"/>
    <w:rsid w:val="007914EB"/>
    <w:rsid w:val="0079154D"/>
    <w:rsid w:val="007927BD"/>
    <w:rsid w:val="00792851"/>
    <w:rsid w:val="00792B0A"/>
    <w:rsid w:val="00792EA6"/>
    <w:rsid w:val="00793DD0"/>
    <w:rsid w:val="00794662"/>
    <w:rsid w:val="007946A0"/>
    <w:rsid w:val="00794DBA"/>
    <w:rsid w:val="00795B1F"/>
    <w:rsid w:val="00796656"/>
    <w:rsid w:val="00796CE4"/>
    <w:rsid w:val="007976D4"/>
    <w:rsid w:val="007978C1"/>
    <w:rsid w:val="00797A40"/>
    <w:rsid w:val="007A08A9"/>
    <w:rsid w:val="007A11A5"/>
    <w:rsid w:val="007A1399"/>
    <w:rsid w:val="007A26DA"/>
    <w:rsid w:val="007A2C99"/>
    <w:rsid w:val="007A2E4E"/>
    <w:rsid w:val="007A325B"/>
    <w:rsid w:val="007A39C1"/>
    <w:rsid w:val="007A3C8F"/>
    <w:rsid w:val="007A3F0D"/>
    <w:rsid w:val="007A44A0"/>
    <w:rsid w:val="007A53DD"/>
    <w:rsid w:val="007A54BE"/>
    <w:rsid w:val="007A596F"/>
    <w:rsid w:val="007A59B1"/>
    <w:rsid w:val="007A5D24"/>
    <w:rsid w:val="007A6106"/>
    <w:rsid w:val="007A6520"/>
    <w:rsid w:val="007A6BEE"/>
    <w:rsid w:val="007A6DC1"/>
    <w:rsid w:val="007A7727"/>
    <w:rsid w:val="007A78E9"/>
    <w:rsid w:val="007A7AA0"/>
    <w:rsid w:val="007A7BB1"/>
    <w:rsid w:val="007B01C1"/>
    <w:rsid w:val="007B07B3"/>
    <w:rsid w:val="007B0B1F"/>
    <w:rsid w:val="007B0C5D"/>
    <w:rsid w:val="007B13AB"/>
    <w:rsid w:val="007B1A3D"/>
    <w:rsid w:val="007B1A58"/>
    <w:rsid w:val="007B22E7"/>
    <w:rsid w:val="007B2726"/>
    <w:rsid w:val="007B35DA"/>
    <w:rsid w:val="007B41B8"/>
    <w:rsid w:val="007B4265"/>
    <w:rsid w:val="007B42FD"/>
    <w:rsid w:val="007B4E87"/>
    <w:rsid w:val="007B4F5B"/>
    <w:rsid w:val="007B568D"/>
    <w:rsid w:val="007B578D"/>
    <w:rsid w:val="007B59F8"/>
    <w:rsid w:val="007B5C42"/>
    <w:rsid w:val="007B6DC2"/>
    <w:rsid w:val="007B7519"/>
    <w:rsid w:val="007B768C"/>
    <w:rsid w:val="007C0C38"/>
    <w:rsid w:val="007C0E3D"/>
    <w:rsid w:val="007C185F"/>
    <w:rsid w:val="007C1EE5"/>
    <w:rsid w:val="007C21B7"/>
    <w:rsid w:val="007C223A"/>
    <w:rsid w:val="007C2613"/>
    <w:rsid w:val="007C3798"/>
    <w:rsid w:val="007C3D10"/>
    <w:rsid w:val="007C3F5B"/>
    <w:rsid w:val="007C42C4"/>
    <w:rsid w:val="007C43ED"/>
    <w:rsid w:val="007C52C6"/>
    <w:rsid w:val="007C5839"/>
    <w:rsid w:val="007C5E9A"/>
    <w:rsid w:val="007C6573"/>
    <w:rsid w:val="007C6A46"/>
    <w:rsid w:val="007C6AB3"/>
    <w:rsid w:val="007C6C29"/>
    <w:rsid w:val="007C7245"/>
    <w:rsid w:val="007C786B"/>
    <w:rsid w:val="007C7CD9"/>
    <w:rsid w:val="007D009A"/>
    <w:rsid w:val="007D0735"/>
    <w:rsid w:val="007D0990"/>
    <w:rsid w:val="007D1784"/>
    <w:rsid w:val="007D1A82"/>
    <w:rsid w:val="007D249B"/>
    <w:rsid w:val="007D2AAD"/>
    <w:rsid w:val="007D306B"/>
    <w:rsid w:val="007D31F3"/>
    <w:rsid w:val="007D34CA"/>
    <w:rsid w:val="007D387D"/>
    <w:rsid w:val="007D45C2"/>
    <w:rsid w:val="007D4738"/>
    <w:rsid w:val="007D48F4"/>
    <w:rsid w:val="007D4EC0"/>
    <w:rsid w:val="007D50A3"/>
    <w:rsid w:val="007D5A1C"/>
    <w:rsid w:val="007D67FB"/>
    <w:rsid w:val="007D6A27"/>
    <w:rsid w:val="007D6A91"/>
    <w:rsid w:val="007D6B6A"/>
    <w:rsid w:val="007D6F07"/>
    <w:rsid w:val="007D71CB"/>
    <w:rsid w:val="007D7938"/>
    <w:rsid w:val="007E0097"/>
    <w:rsid w:val="007E02BE"/>
    <w:rsid w:val="007E0980"/>
    <w:rsid w:val="007E12CF"/>
    <w:rsid w:val="007E15E2"/>
    <w:rsid w:val="007E1C62"/>
    <w:rsid w:val="007E21B6"/>
    <w:rsid w:val="007E2F63"/>
    <w:rsid w:val="007E314E"/>
    <w:rsid w:val="007E317F"/>
    <w:rsid w:val="007E3C64"/>
    <w:rsid w:val="007E42E7"/>
    <w:rsid w:val="007E480B"/>
    <w:rsid w:val="007E547E"/>
    <w:rsid w:val="007E57DA"/>
    <w:rsid w:val="007E59F7"/>
    <w:rsid w:val="007E6E24"/>
    <w:rsid w:val="007E7147"/>
    <w:rsid w:val="007F08E9"/>
    <w:rsid w:val="007F0DC6"/>
    <w:rsid w:val="007F0F7C"/>
    <w:rsid w:val="007F14F1"/>
    <w:rsid w:val="007F15DA"/>
    <w:rsid w:val="007F15F2"/>
    <w:rsid w:val="007F1B22"/>
    <w:rsid w:val="007F1FCD"/>
    <w:rsid w:val="007F22A6"/>
    <w:rsid w:val="007F236E"/>
    <w:rsid w:val="007F2684"/>
    <w:rsid w:val="007F29E9"/>
    <w:rsid w:val="007F2EDB"/>
    <w:rsid w:val="007F305D"/>
    <w:rsid w:val="007F31C0"/>
    <w:rsid w:val="007F34C4"/>
    <w:rsid w:val="007F36FD"/>
    <w:rsid w:val="007F38EF"/>
    <w:rsid w:val="007F3C17"/>
    <w:rsid w:val="007F3E6E"/>
    <w:rsid w:val="007F432B"/>
    <w:rsid w:val="007F4CFE"/>
    <w:rsid w:val="007F5A66"/>
    <w:rsid w:val="007F5A87"/>
    <w:rsid w:val="007F5D94"/>
    <w:rsid w:val="007F676A"/>
    <w:rsid w:val="007F6A12"/>
    <w:rsid w:val="007F6A6F"/>
    <w:rsid w:val="007F6B5C"/>
    <w:rsid w:val="007F6BCF"/>
    <w:rsid w:val="007F6D26"/>
    <w:rsid w:val="007F780C"/>
    <w:rsid w:val="007F7F46"/>
    <w:rsid w:val="00800139"/>
    <w:rsid w:val="008002C6"/>
    <w:rsid w:val="008003F6"/>
    <w:rsid w:val="00801445"/>
    <w:rsid w:val="00801702"/>
    <w:rsid w:val="00801936"/>
    <w:rsid w:val="00801962"/>
    <w:rsid w:val="00802293"/>
    <w:rsid w:val="00802E71"/>
    <w:rsid w:val="00802F0E"/>
    <w:rsid w:val="00803028"/>
    <w:rsid w:val="008032B0"/>
    <w:rsid w:val="00803B8E"/>
    <w:rsid w:val="0080420E"/>
    <w:rsid w:val="00804803"/>
    <w:rsid w:val="008048C5"/>
    <w:rsid w:val="0080496A"/>
    <w:rsid w:val="0080570E"/>
    <w:rsid w:val="00805765"/>
    <w:rsid w:val="00805E0D"/>
    <w:rsid w:val="0080636B"/>
    <w:rsid w:val="00806582"/>
    <w:rsid w:val="008065B2"/>
    <w:rsid w:val="0080700C"/>
    <w:rsid w:val="00807490"/>
    <w:rsid w:val="00807CEC"/>
    <w:rsid w:val="008108AA"/>
    <w:rsid w:val="008109DB"/>
    <w:rsid w:val="00810D88"/>
    <w:rsid w:val="00810DF1"/>
    <w:rsid w:val="0081138B"/>
    <w:rsid w:val="00811BB9"/>
    <w:rsid w:val="00811BEA"/>
    <w:rsid w:val="00812064"/>
    <w:rsid w:val="008122EA"/>
    <w:rsid w:val="008125E2"/>
    <w:rsid w:val="00812A6C"/>
    <w:rsid w:val="00812AA6"/>
    <w:rsid w:val="00812B17"/>
    <w:rsid w:val="00812D8B"/>
    <w:rsid w:val="00812F0F"/>
    <w:rsid w:val="008139AD"/>
    <w:rsid w:val="008140D5"/>
    <w:rsid w:val="00814549"/>
    <w:rsid w:val="00814669"/>
    <w:rsid w:val="0081495E"/>
    <w:rsid w:val="00814AB4"/>
    <w:rsid w:val="00814BE5"/>
    <w:rsid w:val="00814D7A"/>
    <w:rsid w:val="00814E07"/>
    <w:rsid w:val="00815141"/>
    <w:rsid w:val="0081675B"/>
    <w:rsid w:val="00816E7D"/>
    <w:rsid w:val="00817214"/>
    <w:rsid w:val="00817222"/>
    <w:rsid w:val="0081783D"/>
    <w:rsid w:val="00820130"/>
    <w:rsid w:val="00820585"/>
    <w:rsid w:val="008206D7"/>
    <w:rsid w:val="008207A7"/>
    <w:rsid w:val="00820C26"/>
    <w:rsid w:val="008212AB"/>
    <w:rsid w:val="00821C63"/>
    <w:rsid w:val="00821E10"/>
    <w:rsid w:val="008224C8"/>
    <w:rsid w:val="008227EA"/>
    <w:rsid w:val="008229E6"/>
    <w:rsid w:val="00822D4D"/>
    <w:rsid w:val="0082327C"/>
    <w:rsid w:val="0082343A"/>
    <w:rsid w:val="0082357F"/>
    <w:rsid w:val="00823EEB"/>
    <w:rsid w:val="00823EF1"/>
    <w:rsid w:val="00824423"/>
    <w:rsid w:val="008249DA"/>
    <w:rsid w:val="00824B72"/>
    <w:rsid w:val="00824CA2"/>
    <w:rsid w:val="00825630"/>
    <w:rsid w:val="00825EBE"/>
    <w:rsid w:val="00826070"/>
    <w:rsid w:val="0082610F"/>
    <w:rsid w:val="0082614E"/>
    <w:rsid w:val="00826BE7"/>
    <w:rsid w:val="008273AE"/>
    <w:rsid w:val="0082791D"/>
    <w:rsid w:val="00827CC7"/>
    <w:rsid w:val="008305AD"/>
    <w:rsid w:val="008307F5"/>
    <w:rsid w:val="00831122"/>
    <w:rsid w:val="00831598"/>
    <w:rsid w:val="00831628"/>
    <w:rsid w:val="0083178F"/>
    <w:rsid w:val="00831CED"/>
    <w:rsid w:val="00832616"/>
    <w:rsid w:val="008327E5"/>
    <w:rsid w:val="00832986"/>
    <w:rsid w:val="008334CE"/>
    <w:rsid w:val="00833B10"/>
    <w:rsid w:val="00833CBD"/>
    <w:rsid w:val="00834765"/>
    <w:rsid w:val="00834852"/>
    <w:rsid w:val="00834D36"/>
    <w:rsid w:val="008354DF"/>
    <w:rsid w:val="00835B26"/>
    <w:rsid w:val="00835B8F"/>
    <w:rsid w:val="00836171"/>
    <w:rsid w:val="00836308"/>
    <w:rsid w:val="00836342"/>
    <w:rsid w:val="00836474"/>
    <w:rsid w:val="0083689A"/>
    <w:rsid w:val="00836DCF"/>
    <w:rsid w:val="00836DD1"/>
    <w:rsid w:val="00836F32"/>
    <w:rsid w:val="00837550"/>
    <w:rsid w:val="008378E9"/>
    <w:rsid w:val="00837CF8"/>
    <w:rsid w:val="00837F45"/>
    <w:rsid w:val="0084009C"/>
    <w:rsid w:val="008402CD"/>
    <w:rsid w:val="008405C0"/>
    <w:rsid w:val="00840A81"/>
    <w:rsid w:val="0084119E"/>
    <w:rsid w:val="0084159B"/>
    <w:rsid w:val="008419CE"/>
    <w:rsid w:val="0084213A"/>
    <w:rsid w:val="00842650"/>
    <w:rsid w:val="00842A29"/>
    <w:rsid w:val="008436FF"/>
    <w:rsid w:val="00844168"/>
    <w:rsid w:val="00844879"/>
    <w:rsid w:val="00844BA3"/>
    <w:rsid w:val="0084526F"/>
    <w:rsid w:val="00845751"/>
    <w:rsid w:val="008457CA"/>
    <w:rsid w:val="00845B6E"/>
    <w:rsid w:val="0084636A"/>
    <w:rsid w:val="0084637A"/>
    <w:rsid w:val="008464C3"/>
    <w:rsid w:val="00846FCE"/>
    <w:rsid w:val="008477F7"/>
    <w:rsid w:val="00847A0F"/>
    <w:rsid w:val="00850026"/>
    <w:rsid w:val="00850548"/>
    <w:rsid w:val="008507E6"/>
    <w:rsid w:val="008509C9"/>
    <w:rsid w:val="008510CB"/>
    <w:rsid w:val="00851C6B"/>
    <w:rsid w:val="00852383"/>
    <w:rsid w:val="00852ECE"/>
    <w:rsid w:val="00853AFB"/>
    <w:rsid w:val="00853B2D"/>
    <w:rsid w:val="00853D0C"/>
    <w:rsid w:val="00854107"/>
    <w:rsid w:val="00854190"/>
    <w:rsid w:val="00854194"/>
    <w:rsid w:val="00854481"/>
    <w:rsid w:val="0085459B"/>
    <w:rsid w:val="008549FC"/>
    <w:rsid w:val="00854F91"/>
    <w:rsid w:val="00855529"/>
    <w:rsid w:val="008558D5"/>
    <w:rsid w:val="008560FB"/>
    <w:rsid w:val="00856223"/>
    <w:rsid w:val="00856776"/>
    <w:rsid w:val="00856B49"/>
    <w:rsid w:val="00857571"/>
    <w:rsid w:val="0085792F"/>
    <w:rsid w:val="00857946"/>
    <w:rsid w:val="0085796A"/>
    <w:rsid w:val="00857DEA"/>
    <w:rsid w:val="00860254"/>
    <w:rsid w:val="0086030B"/>
    <w:rsid w:val="00860CEA"/>
    <w:rsid w:val="00860E43"/>
    <w:rsid w:val="0086146D"/>
    <w:rsid w:val="008618FC"/>
    <w:rsid w:val="00861991"/>
    <w:rsid w:val="008628CA"/>
    <w:rsid w:val="008628FA"/>
    <w:rsid w:val="00863025"/>
    <w:rsid w:val="008633F1"/>
    <w:rsid w:val="00863833"/>
    <w:rsid w:val="00863C38"/>
    <w:rsid w:val="00864106"/>
    <w:rsid w:val="00864591"/>
    <w:rsid w:val="008645A2"/>
    <w:rsid w:val="00864BCE"/>
    <w:rsid w:val="00864F74"/>
    <w:rsid w:val="00865301"/>
    <w:rsid w:val="00865381"/>
    <w:rsid w:val="008656C4"/>
    <w:rsid w:val="008656EF"/>
    <w:rsid w:val="00865AEC"/>
    <w:rsid w:val="00865B01"/>
    <w:rsid w:val="00865E8F"/>
    <w:rsid w:val="00866091"/>
    <w:rsid w:val="0086617B"/>
    <w:rsid w:val="008665F7"/>
    <w:rsid w:val="008667E2"/>
    <w:rsid w:val="00866A0D"/>
    <w:rsid w:val="00867727"/>
    <w:rsid w:val="00867890"/>
    <w:rsid w:val="008678C3"/>
    <w:rsid w:val="0087017F"/>
    <w:rsid w:val="0087029C"/>
    <w:rsid w:val="008705E6"/>
    <w:rsid w:val="00870640"/>
    <w:rsid w:val="008706C1"/>
    <w:rsid w:val="00870F74"/>
    <w:rsid w:val="0087124D"/>
    <w:rsid w:val="008715EE"/>
    <w:rsid w:val="008723AE"/>
    <w:rsid w:val="008732C3"/>
    <w:rsid w:val="00873421"/>
    <w:rsid w:val="00873890"/>
    <w:rsid w:val="00873946"/>
    <w:rsid w:val="00873ABA"/>
    <w:rsid w:val="00873BCC"/>
    <w:rsid w:val="00874CDE"/>
    <w:rsid w:val="00874F25"/>
    <w:rsid w:val="008753F2"/>
    <w:rsid w:val="00875E4F"/>
    <w:rsid w:val="00880284"/>
    <w:rsid w:val="008802EC"/>
    <w:rsid w:val="00880329"/>
    <w:rsid w:val="00880D8B"/>
    <w:rsid w:val="00880FE2"/>
    <w:rsid w:val="00881083"/>
    <w:rsid w:val="00881AB2"/>
    <w:rsid w:val="0088255E"/>
    <w:rsid w:val="00882963"/>
    <w:rsid w:val="00882FA5"/>
    <w:rsid w:val="0088359C"/>
    <w:rsid w:val="008841AD"/>
    <w:rsid w:val="00884635"/>
    <w:rsid w:val="00884C3C"/>
    <w:rsid w:val="00884FF6"/>
    <w:rsid w:val="008850E6"/>
    <w:rsid w:val="00885228"/>
    <w:rsid w:val="00885793"/>
    <w:rsid w:val="00885AFE"/>
    <w:rsid w:val="008861A9"/>
    <w:rsid w:val="00887005"/>
    <w:rsid w:val="00887033"/>
    <w:rsid w:val="00887C9F"/>
    <w:rsid w:val="0089089E"/>
    <w:rsid w:val="0089090E"/>
    <w:rsid w:val="00890B55"/>
    <w:rsid w:val="0089121F"/>
    <w:rsid w:val="008916D8"/>
    <w:rsid w:val="00891D74"/>
    <w:rsid w:val="00892005"/>
    <w:rsid w:val="008922A1"/>
    <w:rsid w:val="00893097"/>
    <w:rsid w:val="008930EC"/>
    <w:rsid w:val="00893406"/>
    <w:rsid w:val="008938BA"/>
    <w:rsid w:val="00893FE6"/>
    <w:rsid w:val="008943F0"/>
    <w:rsid w:val="00894600"/>
    <w:rsid w:val="00894C53"/>
    <w:rsid w:val="00894C62"/>
    <w:rsid w:val="00896300"/>
    <w:rsid w:val="0089649E"/>
    <w:rsid w:val="00896C82"/>
    <w:rsid w:val="008975B4"/>
    <w:rsid w:val="00897B79"/>
    <w:rsid w:val="008A014B"/>
    <w:rsid w:val="008A104E"/>
    <w:rsid w:val="008A1157"/>
    <w:rsid w:val="008A1592"/>
    <w:rsid w:val="008A17F0"/>
    <w:rsid w:val="008A1AD3"/>
    <w:rsid w:val="008A1C86"/>
    <w:rsid w:val="008A214A"/>
    <w:rsid w:val="008A30A8"/>
    <w:rsid w:val="008A3858"/>
    <w:rsid w:val="008A38A0"/>
    <w:rsid w:val="008A4451"/>
    <w:rsid w:val="008A4C00"/>
    <w:rsid w:val="008A4FAB"/>
    <w:rsid w:val="008A51A5"/>
    <w:rsid w:val="008A5BE8"/>
    <w:rsid w:val="008A604F"/>
    <w:rsid w:val="008A63BF"/>
    <w:rsid w:val="008A6769"/>
    <w:rsid w:val="008A687E"/>
    <w:rsid w:val="008A6AB1"/>
    <w:rsid w:val="008A6C04"/>
    <w:rsid w:val="008A6CBD"/>
    <w:rsid w:val="008A7C9F"/>
    <w:rsid w:val="008B0528"/>
    <w:rsid w:val="008B0D5B"/>
    <w:rsid w:val="008B1167"/>
    <w:rsid w:val="008B1580"/>
    <w:rsid w:val="008B1B47"/>
    <w:rsid w:val="008B2560"/>
    <w:rsid w:val="008B2A90"/>
    <w:rsid w:val="008B2D77"/>
    <w:rsid w:val="008B34E4"/>
    <w:rsid w:val="008B380B"/>
    <w:rsid w:val="008B392E"/>
    <w:rsid w:val="008B3D67"/>
    <w:rsid w:val="008B3D73"/>
    <w:rsid w:val="008B4325"/>
    <w:rsid w:val="008B457C"/>
    <w:rsid w:val="008B4CA5"/>
    <w:rsid w:val="008B53FE"/>
    <w:rsid w:val="008B5954"/>
    <w:rsid w:val="008B5E73"/>
    <w:rsid w:val="008B61A1"/>
    <w:rsid w:val="008B6413"/>
    <w:rsid w:val="008B73E0"/>
    <w:rsid w:val="008B7885"/>
    <w:rsid w:val="008B7D39"/>
    <w:rsid w:val="008C013F"/>
    <w:rsid w:val="008C103F"/>
    <w:rsid w:val="008C1820"/>
    <w:rsid w:val="008C23BD"/>
    <w:rsid w:val="008C25EA"/>
    <w:rsid w:val="008C29F0"/>
    <w:rsid w:val="008C2D23"/>
    <w:rsid w:val="008C305F"/>
    <w:rsid w:val="008C3522"/>
    <w:rsid w:val="008C41F4"/>
    <w:rsid w:val="008C51CD"/>
    <w:rsid w:val="008C5435"/>
    <w:rsid w:val="008C55CF"/>
    <w:rsid w:val="008C5645"/>
    <w:rsid w:val="008C5ADD"/>
    <w:rsid w:val="008C6A31"/>
    <w:rsid w:val="008C6EC6"/>
    <w:rsid w:val="008C736F"/>
    <w:rsid w:val="008C76B8"/>
    <w:rsid w:val="008C79B4"/>
    <w:rsid w:val="008C7F90"/>
    <w:rsid w:val="008D00B5"/>
    <w:rsid w:val="008D0721"/>
    <w:rsid w:val="008D09A9"/>
    <w:rsid w:val="008D0A55"/>
    <w:rsid w:val="008D151F"/>
    <w:rsid w:val="008D1FBA"/>
    <w:rsid w:val="008D25E2"/>
    <w:rsid w:val="008D2A30"/>
    <w:rsid w:val="008D2A96"/>
    <w:rsid w:val="008D2AFD"/>
    <w:rsid w:val="008D2D29"/>
    <w:rsid w:val="008D2EA8"/>
    <w:rsid w:val="008D30A8"/>
    <w:rsid w:val="008D33AB"/>
    <w:rsid w:val="008D3622"/>
    <w:rsid w:val="008D3665"/>
    <w:rsid w:val="008D3A8A"/>
    <w:rsid w:val="008D4119"/>
    <w:rsid w:val="008D443F"/>
    <w:rsid w:val="008D4D50"/>
    <w:rsid w:val="008D4EBA"/>
    <w:rsid w:val="008D62D9"/>
    <w:rsid w:val="008D6F83"/>
    <w:rsid w:val="008D7AA7"/>
    <w:rsid w:val="008D7EA6"/>
    <w:rsid w:val="008E0319"/>
    <w:rsid w:val="008E0862"/>
    <w:rsid w:val="008E0BDA"/>
    <w:rsid w:val="008E0F13"/>
    <w:rsid w:val="008E11B4"/>
    <w:rsid w:val="008E134C"/>
    <w:rsid w:val="008E17AF"/>
    <w:rsid w:val="008E1BD8"/>
    <w:rsid w:val="008E1D1C"/>
    <w:rsid w:val="008E2314"/>
    <w:rsid w:val="008E273D"/>
    <w:rsid w:val="008E2779"/>
    <w:rsid w:val="008E2920"/>
    <w:rsid w:val="008E3E9D"/>
    <w:rsid w:val="008E3FF4"/>
    <w:rsid w:val="008E467A"/>
    <w:rsid w:val="008E534C"/>
    <w:rsid w:val="008E5559"/>
    <w:rsid w:val="008E5908"/>
    <w:rsid w:val="008E5967"/>
    <w:rsid w:val="008E5C91"/>
    <w:rsid w:val="008E5DFE"/>
    <w:rsid w:val="008E5F91"/>
    <w:rsid w:val="008E6133"/>
    <w:rsid w:val="008E647A"/>
    <w:rsid w:val="008E69D2"/>
    <w:rsid w:val="008E6B02"/>
    <w:rsid w:val="008E6B39"/>
    <w:rsid w:val="008E6FD6"/>
    <w:rsid w:val="008E70E9"/>
    <w:rsid w:val="008E75CD"/>
    <w:rsid w:val="008E7B74"/>
    <w:rsid w:val="008E7BAC"/>
    <w:rsid w:val="008E7CA7"/>
    <w:rsid w:val="008E7CB6"/>
    <w:rsid w:val="008E7CEF"/>
    <w:rsid w:val="008F06A4"/>
    <w:rsid w:val="008F0A40"/>
    <w:rsid w:val="008F0B73"/>
    <w:rsid w:val="008F1369"/>
    <w:rsid w:val="008F1CA2"/>
    <w:rsid w:val="008F1CFF"/>
    <w:rsid w:val="008F2100"/>
    <w:rsid w:val="008F2829"/>
    <w:rsid w:val="008F2F55"/>
    <w:rsid w:val="008F305B"/>
    <w:rsid w:val="008F36B8"/>
    <w:rsid w:val="008F499F"/>
    <w:rsid w:val="008F4A92"/>
    <w:rsid w:val="008F4CDE"/>
    <w:rsid w:val="008F4D7B"/>
    <w:rsid w:val="008F5B73"/>
    <w:rsid w:val="008F604D"/>
    <w:rsid w:val="008F60CD"/>
    <w:rsid w:val="008F6249"/>
    <w:rsid w:val="008F64E5"/>
    <w:rsid w:val="008F7053"/>
    <w:rsid w:val="008F79BE"/>
    <w:rsid w:val="008F79F0"/>
    <w:rsid w:val="0090004E"/>
    <w:rsid w:val="009010F9"/>
    <w:rsid w:val="0090129C"/>
    <w:rsid w:val="00903328"/>
    <w:rsid w:val="009036A8"/>
    <w:rsid w:val="00903B09"/>
    <w:rsid w:val="009048F0"/>
    <w:rsid w:val="00904CBF"/>
    <w:rsid w:val="00904FE3"/>
    <w:rsid w:val="00905885"/>
    <w:rsid w:val="00905F50"/>
    <w:rsid w:val="0090605D"/>
    <w:rsid w:val="00906AF9"/>
    <w:rsid w:val="00907220"/>
    <w:rsid w:val="00907297"/>
    <w:rsid w:val="00907326"/>
    <w:rsid w:val="00907933"/>
    <w:rsid w:val="00910263"/>
    <w:rsid w:val="00910421"/>
    <w:rsid w:val="00910574"/>
    <w:rsid w:val="00910F74"/>
    <w:rsid w:val="00911135"/>
    <w:rsid w:val="009117EB"/>
    <w:rsid w:val="00911B5E"/>
    <w:rsid w:val="0091219C"/>
    <w:rsid w:val="00912945"/>
    <w:rsid w:val="00912C67"/>
    <w:rsid w:val="009131C4"/>
    <w:rsid w:val="0091354A"/>
    <w:rsid w:val="00913727"/>
    <w:rsid w:val="00914BEE"/>
    <w:rsid w:val="00914F10"/>
    <w:rsid w:val="00915624"/>
    <w:rsid w:val="0091562F"/>
    <w:rsid w:val="0091626D"/>
    <w:rsid w:val="0091655A"/>
    <w:rsid w:val="00916A5C"/>
    <w:rsid w:val="00916A7F"/>
    <w:rsid w:val="00916BF5"/>
    <w:rsid w:val="00920125"/>
    <w:rsid w:val="0092024D"/>
    <w:rsid w:val="00920559"/>
    <w:rsid w:val="00920C0A"/>
    <w:rsid w:val="00920C3A"/>
    <w:rsid w:val="00921179"/>
    <w:rsid w:val="00921BF7"/>
    <w:rsid w:val="0092226C"/>
    <w:rsid w:val="009230CE"/>
    <w:rsid w:val="0092340D"/>
    <w:rsid w:val="009237CA"/>
    <w:rsid w:val="00923A8A"/>
    <w:rsid w:val="00923D23"/>
    <w:rsid w:val="00923F3F"/>
    <w:rsid w:val="00924146"/>
    <w:rsid w:val="00924452"/>
    <w:rsid w:val="009249B2"/>
    <w:rsid w:val="009259CD"/>
    <w:rsid w:val="00926C3D"/>
    <w:rsid w:val="00927011"/>
    <w:rsid w:val="0092766F"/>
    <w:rsid w:val="00927A83"/>
    <w:rsid w:val="00927B47"/>
    <w:rsid w:val="0093009C"/>
    <w:rsid w:val="009313D6"/>
    <w:rsid w:val="0093156F"/>
    <w:rsid w:val="009316FA"/>
    <w:rsid w:val="00931999"/>
    <w:rsid w:val="00931DB7"/>
    <w:rsid w:val="00931E3B"/>
    <w:rsid w:val="009321E9"/>
    <w:rsid w:val="009324E0"/>
    <w:rsid w:val="00932956"/>
    <w:rsid w:val="00932DC8"/>
    <w:rsid w:val="0093309D"/>
    <w:rsid w:val="00933219"/>
    <w:rsid w:val="00933F6B"/>
    <w:rsid w:val="00934A6C"/>
    <w:rsid w:val="00934B1E"/>
    <w:rsid w:val="00934F66"/>
    <w:rsid w:val="00935A5F"/>
    <w:rsid w:val="00935CAF"/>
    <w:rsid w:val="00935EDA"/>
    <w:rsid w:val="00936B4B"/>
    <w:rsid w:val="00936F6A"/>
    <w:rsid w:val="00937436"/>
    <w:rsid w:val="0094023F"/>
    <w:rsid w:val="00940919"/>
    <w:rsid w:val="009412F2"/>
    <w:rsid w:val="00941760"/>
    <w:rsid w:val="00941D46"/>
    <w:rsid w:val="00941DE9"/>
    <w:rsid w:val="00942059"/>
    <w:rsid w:val="00942392"/>
    <w:rsid w:val="009428BA"/>
    <w:rsid w:val="009430F8"/>
    <w:rsid w:val="00943247"/>
    <w:rsid w:val="0094350D"/>
    <w:rsid w:val="00943995"/>
    <w:rsid w:val="00943F1F"/>
    <w:rsid w:val="0094476D"/>
    <w:rsid w:val="00944F15"/>
    <w:rsid w:val="00945033"/>
    <w:rsid w:val="00945073"/>
    <w:rsid w:val="00945519"/>
    <w:rsid w:val="00945ADF"/>
    <w:rsid w:val="00945BFC"/>
    <w:rsid w:val="0094638C"/>
    <w:rsid w:val="0094765E"/>
    <w:rsid w:val="00947EBF"/>
    <w:rsid w:val="009502B1"/>
    <w:rsid w:val="0095038B"/>
    <w:rsid w:val="00950B66"/>
    <w:rsid w:val="00951A68"/>
    <w:rsid w:val="00951D29"/>
    <w:rsid w:val="00951F47"/>
    <w:rsid w:val="00952227"/>
    <w:rsid w:val="00952635"/>
    <w:rsid w:val="00953179"/>
    <w:rsid w:val="0095317A"/>
    <w:rsid w:val="00953653"/>
    <w:rsid w:val="00953776"/>
    <w:rsid w:val="00953D4B"/>
    <w:rsid w:val="00953EBB"/>
    <w:rsid w:val="00953FB6"/>
    <w:rsid w:val="0095468F"/>
    <w:rsid w:val="00954F61"/>
    <w:rsid w:val="00955A97"/>
    <w:rsid w:val="00955E1F"/>
    <w:rsid w:val="00956279"/>
    <w:rsid w:val="0095651A"/>
    <w:rsid w:val="0095657C"/>
    <w:rsid w:val="009565CA"/>
    <w:rsid w:val="00956E0E"/>
    <w:rsid w:val="0095720E"/>
    <w:rsid w:val="009577B3"/>
    <w:rsid w:val="00960480"/>
    <w:rsid w:val="00960960"/>
    <w:rsid w:val="00960BDD"/>
    <w:rsid w:val="00960D57"/>
    <w:rsid w:val="009611A4"/>
    <w:rsid w:val="00961BD9"/>
    <w:rsid w:val="00961CA6"/>
    <w:rsid w:val="0096218F"/>
    <w:rsid w:val="00962876"/>
    <w:rsid w:val="00962ABF"/>
    <w:rsid w:val="009632EA"/>
    <w:rsid w:val="00963305"/>
    <w:rsid w:val="009636B9"/>
    <w:rsid w:val="00963D43"/>
    <w:rsid w:val="00963DF0"/>
    <w:rsid w:val="00963EE8"/>
    <w:rsid w:val="00964348"/>
    <w:rsid w:val="00964CE2"/>
    <w:rsid w:val="00964D3E"/>
    <w:rsid w:val="00964D4F"/>
    <w:rsid w:val="0096570A"/>
    <w:rsid w:val="0096597E"/>
    <w:rsid w:val="00965FE4"/>
    <w:rsid w:val="009665FF"/>
    <w:rsid w:val="0096687C"/>
    <w:rsid w:val="00967346"/>
    <w:rsid w:val="00967BC2"/>
    <w:rsid w:val="00970075"/>
    <w:rsid w:val="009700D6"/>
    <w:rsid w:val="009700FB"/>
    <w:rsid w:val="009703EA"/>
    <w:rsid w:val="00970DB7"/>
    <w:rsid w:val="00971118"/>
    <w:rsid w:val="0097125F"/>
    <w:rsid w:val="009717B3"/>
    <w:rsid w:val="009718D9"/>
    <w:rsid w:val="00972033"/>
    <w:rsid w:val="009722BA"/>
    <w:rsid w:val="00972449"/>
    <w:rsid w:val="00972EE1"/>
    <w:rsid w:val="00973051"/>
    <w:rsid w:val="0097306D"/>
    <w:rsid w:val="0097360B"/>
    <w:rsid w:val="0097386E"/>
    <w:rsid w:val="009738EC"/>
    <w:rsid w:val="00973E52"/>
    <w:rsid w:val="00974495"/>
    <w:rsid w:val="009744F7"/>
    <w:rsid w:val="00974D79"/>
    <w:rsid w:val="00975093"/>
    <w:rsid w:val="009757BA"/>
    <w:rsid w:val="009765C0"/>
    <w:rsid w:val="009766E7"/>
    <w:rsid w:val="009766EB"/>
    <w:rsid w:val="009769B2"/>
    <w:rsid w:val="00976D68"/>
    <w:rsid w:val="00976DFB"/>
    <w:rsid w:val="009777C1"/>
    <w:rsid w:val="009779F4"/>
    <w:rsid w:val="00977F1B"/>
    <w:rsid w:val="00980013"/>
    <w:rsid w:val="0098179A"/>
    <w:rsid w:val="0098209F"/>
    <w:rsid w:val="009825CA"/>
    <w:rsid w:val="00982967"/>
    <w:rsid w:val="00983817"/>
    <w:rsid w:val="00983C71"/>
    <w:rsid w:val="00983E46"/>
    <w:rsid w:val="009846F7"/>
    <w:rsid w:val="009848DB"/>
    <w:rsid w:val="009853A2"/>
    <w:rsid w:val="0098587E"/>
    <w:rsid w:val="0098591D"/>
    <w:rsid w:val="00985BEA"/>
    <w:rsid w:val="00985D9E"/>
    <w:rsid w:val="00986154"/>
    <w:rsid w:val="009871C9"/>
    <w:rsid w:val="0098763B"/>
    <w:rsid w:val="0098793C"/>
    <w:rsid w:val="00987BA3"/>
    <w:rsid w:val="0099012D"/>
    <w:rsid w:val="009909B8"/>
    <w:rsid w:val="00990F73"/>
    <w:rsid w:val="0099143D"/>
    <w:rsid w:val="00991AA3"/>
    <w:rsid w:val="009921E6"/>
    <w:rsid w:val="00992374"/>
    <w:rsid w:val="00992431"/>
    <w:rsid w:val="0099270F"/>
    <w:rsid w:val="009929B6"/>
    <w:rsid w:val="00992B01"/>
    <w:rsid w:val="00993053"/>
    <w:rsid w:val="0099333A"/>
    <w:rsid w:val="00993F46"/>
    <w:rsid w:val="00994301"/>
    <w:rsid w:val="0099486C"/>
    <w:rsid w:val="009948C4"/>
    <w:rsid w:val="009951C0"/>
    <w:rsid w:val="00995713"/>
    <w:rsid w:val="00995B91"/>
    <w:rsid w:val="009967F3"/>
    <w:rsid w:val="009969AE"/>
    <w:rsid w:val="00996C9B"/>
    <w:rsid w:val="00996D24"/>
    <w:rsid w:val="009971AF"/>
    <w:rsid w:val="009977EF"/>
    <w:rsid w:val="009A0606"/>
    <w:rsid w:val="009A0671"/>
    <w:rsid w:val="009A0A8C"/>
    <w:rsid w:val="009A0AFE"/>
    <w:rsid w:val="009A0C34"/>
    <w:rsid w:val="009A0FBF"/>
    <w:rsid w:val="009A1430"/>
    <w:rsid w:val="009A2397"/>
    <w:rsid w:val="009A23EC"/>
    <w:rsid w:val="009A2A0F"/>
    <w:rsid w:val="009A2BA0"/>
    <w:rsid w:val="009A2C67"/>
    <w:rsid w:val="009A3482"/>
    <w:rsid w:val="009A3EF7"/>
    <w:rsid w:val="009A4077"/>
    <w:rsid w:val="009A4D3B"/>
    <w:rsid w:val="009A5A69"/>
    <w:rsid w:val="009A655A"/>
    <w:rsid w:val="009A67FC"/>
    <w:rsid w:val="009A6EB8"/>
    <w:rsid w:val="009A70C4"/>
    <w:rsid w:val="009A7B93"/>
    <w:rsid w:val="009A7CE1"/>
    <w:rsid w:val="009A7E5C"/>
    <w:rsid w:val="009B013E"/>
    <w:rsid w:val="009B0237"/>
    <w:rsid w:val="009B03A5"/>
    <w:rsid w:val="009B097E"/>
    <w:rsid w:val="009B0D08"/>
    <w:rsid w:val="009B1371"/>
    <w:rsid w:val="009B1D72"/>
    <w:rsid w:val="009B1F76"/>
    <w:rsid w:val="009B25CD"/>
    <w:rsid w:val="009B2F0F"/>
    <w:rsid w:val="009B3DF8"/>
    <w:rsid w:val="009B3F48"/>
    <w:rsid w:val="009B46C8"/>
    <w:rsid w:val="009B4F00"/>
    <w:rsid w:val="009B5528"/>
    <w:rsid w:val="009B5640"/>
    <w:rsid w:val="009B5AF3"/>
    <w:rsid w:val="009B5B2D"/>
    <w:rsid w:val="009B5D52"/>
    <w:rsid w:val="009B61DF"/>
    <w:rsid w:val="009B6AE9"/>
    <w:rsid w:val="009B7027"/>
    <w:rsid w:val="009B7028"/>
    <w:rsid w:val="009B7186"/>
    <w:rsid w:val="009B7231"/>
    <w:rsid w:val="009B7D7B"/>
    <w:rsid w:val="009C04A9"/>
    <w:rsid w:val="009C15F4"/>
    <w:rsid w:val="009C1971"/>
    <w:rsid w:val="009C1F55"/>
    <w:rsid w:val="009C25E7"/>
    <w:rsid w:val="009C2686"/>
    <w:rsid w:val="009C30E2"/>
    <w:rsid w:val="009C33D2"/>
    <w:rsid w:val="009C3CF6"/>
    <w:rsid w:val="009C3E0A"/>
    <w:rsid w:val="009C3FEC"/>
    <w:rsid w:val="009C40CE"/>
    <w:rsid w:val="009C46A5"/>
    <w:rsid w:val="009C4A33"/>
    <w:rsid w:val="009C4A41"/>
    <w:rsid w:val="009C4B6B"/>
    <w:rsid w:val="009C516B"/>
    <w:rsid w:val="009C5966"/>
    <w:rsid w:val="009C6036"/>
    <w:rsid w:val="009C6867"/>
    <w:rsid w:val="009D045F"/>
    <w:rsid w:val="009D05BF"/>
    <w:rsid w:val="009D060D"/>
    <w:rsid w:val="009D07C3"/>
    <w:rsid w:val="009D0A8F"/>
    <w:rsid w:val="009D0EBC"/>
    <w:rsid w:val="009D0FF8"/>
    <w:rsid w:val="009D19E0"/>
    <w:rsid w:val="009D1A77"/>
    <w:rsid w:val="009D1BEC"/>
    <w:rsid w:val="009D1E9D"/>
    <w:rsid w:val="009D1F60"/>
    <w:rsid w:val="009D203E"/>
    <w:rsid w:val="009D227B"/>
    <w:rsid w:val="009D22E3"/>
    <w:rsid w:val="009D2EB9"/>
    <w:rsid w:val="009D2EBA"/>
    <w:rsid w:val="009D3148"/>
    <w:rsid w:val="009D3702"/>
    <w:rsid w:val="009D388C"/>
    <w:rsid w:val="009D3993"/>
    <w:rsid w:val="009D3E01"/>
    <w:rsid w:val="009D435B"/>
    <w:rsid w:val="009D44D6"/>
    <w:rsid w:val="009D4C66"/>
    <w:rsid w:val="009D5305"/>
    <w:rsid w:val="009D568A"/>
    <w:rsid w:val="009D5B8D"/>
    <w:rsid w:val="009D628D"/>
    <w:rsid w:val="009D6497"/>
    <w:rsid w:val="009D71FF"/>
    <w:rsid w:val="009D798A"/>
    <w:rsid w:val="009D7E3B"/>
    <w:rsid w:val="009E0097"/>
    <w:rsid w:val="009E0557"/>
    <w:rsid w:val="009E0720"/>
    <w:rsid w:val="009E0970"/>
    <w:rsid w:val="009E0F3D"/>
    <w:rsid w:val="009E2426"/>
    <w:rsid w:val="009E25BC"/>
    <w:rsid w:val="009E304F"/>
    <w:rsid w:val="009E3553"/>
    <w:rsid w:val="009E3C2E"/>
    <w:rsid w:val="009E4AD6"/>
    <w:rsid w:val="009E543F"/>
    <w:rsid w:val="009E5700"/>
    <w:rsid w:val="009E5BDB"/>
    <w:rsid w:val="009E5F82"/>
    <w:rsid w:val="009E6CCC"/>
    <w:rsid w:val="009E75BB"/>
    <w:rsid w:val="009E76BB"/>
    <w:rsid w:val="009E7CE5"/>
    <w:rsid w:val="009E7D99"/>
    <w:rsid w:val="009F01A8"/>
    <w:rsid w:val="009F033E"/>
    <w:rsid w:val="009F03F4"/>
    <w:rsid w:val="009F0E49"/>
    <w:rsid w:val="009F1D17"/>
    <w:rsid w:val="009F2111"/>
    <w:rsid w:val="009F229A"/>
    <w:rsid w:val="009F233B"/>
    <w:rsid w:val="009F236D"/>
    <w:rsid w:val="009F2C35"/>
    <w:rsid w:val="009F2D7E"/>
    <w:rsid w:val="009F3405"/>
    <w:rsid w:val="009F35BF"/>
    <w:rsid w:val="009F3641"/>
    <w:rsid w:val="009F3EAF"/>
    <w:rsid w:val="009F4798"/>
    <w:rsid w:val="009F4E8E"/>
    <w:rsid w:val="009F4F0E"/>
    <w:rsid w:val="009F54A2"/>
    <w:rsid w:val="009F5754"/>
    <w:rsid w:val="009F585A"/>
    <w:rsid w:val="009F6072"/>
    <w:rsid w:val="009F65CC"/>
    <w:rsid w:val="009F671E"/>
    <w:rsid w:val="009F67BD"/>
    <w:rsid w:val="009F6816"/>
    <w:rsid w:val="009F6CB1"/>
    <w:rsid w:val="009F731E"/>
    <w:rsid w:val="009F7795"/>
    <w:rsid w:val="009F786B"/>
    <w:rsid w:val="009F797E"/>
    <w:rsid w:val="009F79CF"/>
    <w:rsid w:val="00A001FE"/>
    <w:rsid w:val="00A00322"/>
    <w:rsid w:val="00A00611"/>
    <w:rsid w:val="00A00944"/>
    <w:rsid w:val="00A0169A"/>
    <w:rsid w:val="00A01F0D"/>
    <w:rsid w:val="00A027BA"/>
    <w:rsid w:val="00A02DD0"/>
    <w:rsid w:val="00A036A0"/>
    <w:rsid w:val="00A037A4"/>
    <w:rsid w:val="00A03C3A"/>
    <w:rsid w:val="00A040E8"/>
    <w:rsid w:val="00A0455D"/>
    <w:rsid w:val="00A046B0"/>
    <w:rsid w:val="00A04899"/>
    <w:rsid w:val="00A04950"/>
    <w:rsid w:val="00A04B51"/>
    <w:rsid w:val="00A04EA7"/>
    <w:rsid w:val="00A058AB"/>
    <w:rsid w:val="00A0606A"/>
    <w:rsid w:val="00A06F24"/>
    <w:rsid w:val="00A071AD"/>
    <w:rsid w:val="00A07267"/>
    <w:rsid w:val="00A0728A"/>
    <w:rsid w:val="00A07AE8"/>
    <w:rsid w:val="00A07B90"/>
    <w:rsid w:val="00A1035E"/>
    <w:rsid w:val="00A1102D"/>
    <w:rsid w:val="00A112DB"/>
    <w:rsid w:val="00A11343"/>
    <w:rsid w:val="00A11791"/>
    <w:rsid w:val="00A11829"/>
    <w:rsid w:val="00A1281A"/>
    <w:rsid w:val="00A1370A"/>
    <w:rsid w:val="00A13DB2"/>
    <w:rsid w:val="00A13F70"/>
    <w:rsid w:val="00A141F8"/>
    <w:rsid w:val="00A142F3"/>
    <w:rsid w:val="00A14C03"/>
    <w:rsid w:val="00A14CC1"/>
    <w:rsid w:val="00A14E0C"/>
    <w:rsid w:val="00A1537F"/>
    <w:rsid w:val="00A15BA0"/>
    <w:rsid w:val="00A15C20"/>
    <w:rsid w:val="00A16FFF"/>
    <w:rsid w:val="00A17B4E"/>
    <w:rsid w:val="00A17C8D"/>
    <w:rsid w:val="00A200E2"/>
    <w:rsid w:val="00A20208"/>
    <w:rsid w:val="00A20619"/>
    <w:rsid w:val="00A20EA7"/>
    <w:rsid w:val="00A2149B"/>
    <w:rsid w:val="00A214CC"/>
    <w:rsid w:val="00A21722"/>
    <w:rsid w:val="00A21807"/>
    <w:rsid w:val="00A22001"/>
    <w:rsid w:val="00A2267B"/>
    <w:rsid w:val="00A226D5"/>
    <w:rsid w:val="00A2285F"/>
    <w:rsid w:val="00A22B3B"/>
    <w:rsid w:val="00A22CFA"/>
    <w:rsid w:val="00A23026"/>
    <w:rsid w:val="00A23492"/>
    <w:rsid w:val="00A23B8F"/>
    <w:rsid w:val="00A23F77"/>
    <w:rsid w:val="00A24004"/>
    <w:rsid w:val="00A24779"/>
    <w:rsid w:val="00A248CF"/>
    <w:rsid w:val="00A24A55"/>
    <w:rsid w:val="00A24A85"/>
    <w:rsid w:val="00A24F1A"/>
    <w:rsid w:val="00A25AE4"/>
    <w:rsid w:val="00A25E9A"/>
    <w:rsid w:val="00A27A5B"/>
    <w:rsid w:val="00A301A6"/>
    <w:rsid w:val="00A3045D"/>
    <w:rsid w:val="00A308CE"/>
    <w:rsid w:val="00A30CEE"/>
    <w:rsid w:val="00A31749"/>
    <w:rsid w:val="00A31796"/>
    <w:rsid w:val="00A317A1"/>
    <w:rsid w:val="00A31823"/>
    <w:rsid w:val="00A31AFB"/>
    <w:rsid w:val="00A3215D"/>
    <w:rsid w:val="00A321A0"/>
    <w:rsid w:val="00A3225A"/>
    <w:rsid w:val="00A32321"/>
    <w:rsid w:val="00A327C0"/>
    <w:rsid w:val="00A32DC9"/>
    <w:rsid w:val="00A331D7"/>
    <w:rsid w:val="00A33751"/>
    <w:rsid w:val="00A337AE"/>
    <w:rsid w:val="00A33B1A"/>
    <w:rsid w:val="00A3458A"/>
    <w:rsid w:val="00A3475C"/>
    <w:rsid w:val="00A354E0"/>
    <w:rsid w:val="00A35C0C"/>
    <w:rsid w:val="00A3647F"/>
    <w:rsid w:val="00A3710D"/>
    <w:rsid w:val="00A3724A"/>
    <w:rsid w:val="00A372E9"/>
    <w:rsid w:val="00A37575"/>
    <w:rsid w:val="00A402A4"/>
    <w:rsid w:val="00A405CF"/>
    <w:rsid w:val="00A40C38"/>
    <w:rsid w:val="00A4100F"/>
    <w:rsid w:val="00A41673"/>
    <w:rsid w:val="00A41698"/>
    <w:rsid w:val="00A4174B"/>
    <w:rsid w:val="00A41A4F"/>
    <w:rsid w:val="00A41B59"/>
    <w:rsid w:val="00A41C09"/>
    <w:rsid w:val="00A41F7D"/>
    <w:rsid w:val="00A41F99"/>
    <w:rsid w:val="00A42194"/>
    <w:rsid w:val="00A42278"/>
    <w:rsid w:val="00A42338"/>
    <w:rsid w:val="00A4292C"/>
    <w:rsid w:val="00A429F9"/>
    <w:rsid w:val="00A42DBA"/>
    <w:rsid w:val="00A4355A"/>
    <w:rsid w:val="00A43701"/>
    <w:rsid w:val="00A43F2D"/>
    <w:rsid w:val="00A43F82"/>
    <w:rsid w:val="00A44414"/>
    <w:rsid w:val="00A4463F"/>
    <w:rsid w:val="00A44E4F"/>
    <w:rsid w:val="00A45145"/>
    <w:rsid w:val="00A45375"/>
    <w:rsid w:val="00A458E0"/>
    <w:rsid w:val="00A45C5B"/>
    <w:rsid w:val="00A45FE6"/>
    <w:rsid w:val="00A464FD"/>
    <w:rsid w:val="00A46D65"/>
    <w:rsid w:val="00A46DCD"/>
    <w:rsid w:val="00A509FF"/>
    <w:rsid w:val="00A50E21"/>
    <w:rsid w:val="00A51159"/>
    <w:rsid w:val="00A51646"/>
    <w:rsid w:val="00A5275E"/>
    <w:rsid w:val="00A528BF"/>
    <w:rsid w:val="00A52BE0"/>
    <w:rsid w:val="00A53203"/>
    <w:rsid w:val="00A53220"/>
    <w:rsid w:val="00A53735"/>
    <w:rsid w:val="00A53C6A"/>
    <w:rsid w:val="00A549B9"/>
    <w:rsid w:val="00A54A0D"/>
    <w:rsid w:val="00A54C21"/>
    <w:rsid w:val="00A550E4"/>
    <w:rsid w:val="00A5540A"/>
    <w:rsid w:val="00A5566F"/>
    <w:rsid w:val="00A557BE"/>
    <w:rsid w:val="00A56DA3"/>
    <w:rsid w:val="00A57003"/>
    <w:rsid w:val="00A5730D"/>
    <w:rsid w:val="00A5785F"/>
    <w:rsid w:val="00A57C93"/>
    <w:rsid w:val="00A60100"/>
    <w:rsid w:val="00A601AF"/>
    <w:rsid w:val="00A6087B"/>
    <w:rsid w:val="00A6090E"/>
    <w:rsid w:val="00A61ED1"/>
    <w:rsid w:val="00A62904"/>
    <w:rsid w:val="00A63513"/>
    <w:rsid w:val="00A63A82"/>
    <w:rsid w:val="00A63EF6"/>
    <w:rsid w:val="00A64272"/>
    <w:rsid w:val="00A646FD"/>
    <w:rsid w:val="00A6471B"/>
    <w:rsid w:val="00A64C91"/>
    <w:rsid w:val="00A64E5A"/>
    <w:rsid w:val="00A65353"/>
    <w:rsid w:val="00A657BD"/>
    <w:rsid w:val="00A65D60"/>
    <w:rsid w:val="00A65D9F"/>
    <w:rsid w:val="00A66A8C"/>
    <w:rsid w:val="00A66B80"/>
    <w:rsid w:val="00A6716D"/>
    <w:rsid w:val="00A67658"/>
    <w:rsid w:val="00A67B89"/>
    <w:rsid w:val="00A67CA2"/>
    <w:rsid w:val="00A67DAD"/>
    <w:rsid w:val="00A67DB8"/>
    <w:rsid w:val="00A70159"/>
    <w:rsid w:val="00A70938"/>
    <w:rsid w:val="00A70B31"/>
    <w:rsid w:val="00A70C29"/>
    <w:rsid w:val="00A7175D"/>
    <w:rsid w:val="00A719AF"/>
    <w:rsid w:val="00A719C1"/>
    <w:rsid w:val="00A72C41"/>
    <w:rsid w:val="00A73193"/>
    <w:rsid w:val="00A73716"/>
    <w:rsid w:val="00A73827"/>
    <w:rsid w:val="00A74A9D"/>
    <w:rsid w:val="00A75FE8"/>
    <w:rsid w:val="00A762A1"/>
    <w:rsid w:val="00A76D35"/>
    <w:rsid w:val="00A77268"/>
    <w:rsid w:val="00A77A84"/>
    <w:rsid w:val="00A77E3C"/>
    <w:rsid w:val="00A77E8A"/>
    <w:rsid w:val="00A8061F"/>
    <w:rsid w:val="00A8068F"/>
    <w:rsid w:val="00A80BCC"/>
    <w:rsid w:val="00A80D2D"/>
    <w:rsid w:val="00A80DCB"/>
    <w:rsid w:val="00A81977"/>
    <w:rsid w:val="00A81D70"/>
    <w:rsid w:val="00A8212E"/>
    <w:rsid w:val="00A8229D"/>
    <w:rsid w:val="00A828A2"/>
    <w:rsid w:val="00A82970"/>
    <w:rsid w:val="00A82E22"/>
    <w:rsid w:val="00A82FE0"/>
    <w:rsid w:val="00A8498A"/>
    <w:rsid w:val="00A84B86"/>
    <w:rsid w:val="00A84CA5"/>
    <w:rsid w:val="00A84E94"/>
    <w:rsid w:val="00A85157"/>
    <w:rsid w:val="00A853B0"/>
    <w:rsid w:val="00A85CA9"/>
    <w:rsid w:val="00A868AA"/>
    <w:rsid w:val="00A875E7"/>
    <w:rsid w:val="00A878AE"/>
    <w:rsid w:val="00A87AE0"/>
    <w:rsid w:val="00A87C2D"/>
    <w:rsid w:val="00A87D5D"/>
    <w:rsid w:val="00A903EB"/>
    <w:rsid w:val="00A9079B"/>
    <w:rsid w:val="00A9219F"/>
    <w:rsid w:val="00A92BCC"/>
    <w:rsid w:val="00A932E8"/>
    <w:rsid w:val="00A93955"/>
    <w:rsid w:val="00A93B28"/>
    <w:rsid w:val="00A93CDD"/>
    <w:rsid w:val="00A93D07"/>
    <w:rsid w:val="00A941DD"/>
    <w:rsid w:val="00A9435D"/>
    <w:rsid w:val="00A94D25"/>
    <w:rsid w:val="00A94FE2"/>
    <w:rsid w:val="00A94FF9"/>
    <w:rsid w:val="00A95186"/>
    <w:rsid w:val="00A95527"/>
    <w:rsid w:val="00A959EB"/>
    <w:rsid w:val="00A9694A"/>
    <w:rsid w:val="00A96D8E"/>
    <w:rsid w:val="00A97306"/>
    <w:rsid w:val="00A97800"/>
    <w:rsid w:val="00A9792B"/>
    <w:rsid w:val="00A979AD"/>
    <w:rsid w:val="00A97D91"/>
    <w:rsid w:val="00A97FF2"/>
    <w:rsid w:val="00AA0184"/>
    <w:rsid w:val="00AA0419"/>
    <w:rsid w:val="00AA044A"/>
    <w:rsid w:val="00AA052B"/>
    <w:rsid w:val="00AA0779"/>
    <w:rsid w:val="00AA0782"/>
    <w:rsid w:val="00AA0968"/>
    <w:rsid w:val="00AA0E4E"/>
    <w:rsid w:val="00AA0EC4"/>
    <w:rsid w:val="00AA11D0"/>
    <w:rsid w:val="00AA19C1"/>
    <w:rsid w:val="00AA24C1"/>
    <w:rsid w:val="00AA2671"/>
    <w:rsid w:val="00AA2ABE"/>
    <w:rsid w:val="00AA2C48"/>
    <w:rsid w:val="00AA36F1"/>
    <w:rsid w:val="00AA3864"/>
    <w:rsid w:val="00AA38A9"/>
    <w:rsid w:val="00AA399A"/>
    <w:rsid w:val="00AA3A9E"/>
    <w:rsid w:val="00AA3E93"/>
    <w:rsid w:val="00AA44FF"/>
    <w:rsid w:val="00AA4565"/>
    <w:rsid w:val="00AA55D4"/>
    <w:rsid w:val="00AA5ABD"/>
    <w:rsid w:val="00AA614B"/>
    <w:rsid w:val="00AA6C5A"/>
    <w:rsid w:val="00AA6D3C"/>
    <w:rsid w:val="00AA6F9D"/>
    <w:rsid w:val="00AA6FCF"/>
    <w:rsid w:val="00AA748E"/>
    <w:rsid w:val="00AA781B"/>
    <w:rsid w:val="00AA79CB"/>
    <w:rsid w:val="00AA7CAD"/>
    <w:rsid w:val="00AB06D9"/>
    <w:rsid w:val="00AB0E3A"/>
    <w:rsid w:val="00AB2323"/>
    <w:rsid w:val="00AB2F5E"/>
    <w:rsid w:val="00AB34FA"/>
    <w:rsid w:val="00AB364A"/>
    <w:rsid w:val="00AB3FAD"/>
    <w:rsid w:val="00AB4772"/>
    <w:rsid w:val="00AB546C"/>
    <w:rsid w:val="00AB546E"/>
    <w:rsid w:val="00AB5D99"/>
    <w:rsid w:val="00AB6560"/>
    <w:rsid w:val="00AB6B3E"/>
    <w:rsid w:val="00AB7413"/>
    <w:rsid w:val="00AB75F4"/>
    <w:rsid w:val="00AB78C4"/>
    <w:rsid w:val="00AB7DC1"/>
    <w:rsid w:val="00AC038E"/>
    <w:rsid w:val="00AC06DA"/>
    <w:rsid w:val="00AC28BB"/>
    <w:rsid w:val="00AC2976"/>
    <w:rsid w:val="00AC2A72"/>
    <w:rsid w:val="00AC2B90"/>
    <w:rsid w:val="00AC2D58"/>
    <w:rsid w:val="00AC2F64"/>
    <w:rsid w:val="00AC32F8"/>
    <w:rsid w:val="00AC35E0"/>
    <w:rsid w:val="00AC3E7B"/>
    <w:rsid w:val="00AC4A56"/>
    <w:rsid w:val="00AC4B5A"/>
    <w:rsid w:val="00AC4DF4"/>
    <w:rsid w:val="00AC5F63"/>
    <w:rsid w:val="00AC641D"/>
    <w:rsid w:val="00AC66F8"/>
    <w:rsid w:val="00AC6830"/>
    <w:rsid w:val="00AC6D1B"/>
    <w:rsid w:val="00AC6DFF"/>
    <w:rsid w:val="00AC6F48"/>
    <w:rsid w:val="00AC701E"/>
    <w:rsid w:val="00AC74DA"/>
    <w:rsid w:val="00AD0512"/>
    <w:rsid w:val="00AD112D"/>
    <w:rsid w:val="00AD1170"/>
    <w:rsid w:val="00AD1345"/>
    <w:rsid w:val="00AD1722"/>
    <w:rsid w:val="00AD1917"/>
    <w:rsid w:val="00AD1BDB"/>
    <w:rsid w:val="00AD1C83"/>
    <w:rsid w:val="00AD25D0"/>
    <w:rsid w:val="00AD2771"/>
    <w:rsid w:val="00AD2AAC"/>
    <w:rsid w:val="00AD2D74"/>
    <w:rsid w:val="00AD33CB"/>
    <w:rsid w:val="00AD3A86"/>
    <w:rsid w:val="00AD3B62"/>
    <w:rsid w:val="00AD3F01"/>
    <w:rsid w:val="00AD49E6"/>
    <w:rsid w:val="00AD4FDE"/>
    <w:rsid w:val="00AD5080"/>
    <w:rsid w:val="00AD50C1"/>
    <w:rsid w:val="00AD5515"/>
    <w:rsid w:val="00AD58A6"/>
    <w:rsid w:val="00AD62A9"/>
    <w:rsid w:val="00AD65E7"/>
    <w:rsid w:val="00AD67BE"/>
    <w:rsid w:val="00AD6D19"/>
    <w:rsid w:val="00AD6D75"/>
    <w:rsid w:val="00AD76C8"/>
    <w:rsid w:val="00AD777F"/>
    <w:rsid w:val="00AD7A91"/>
    <w:rsid w:val="00AE04CA"/>
    <w:rsid w:val="00AE0CD6"/>
    <w:rsid w:val="00AE1543"/>
    <w:rsid w:val="00AE1669"/>
    <w:rsid w:val="00AE16A2"/>
    <w:rsid w:val="00AE1BD4"/>
    <w:rsid w:val="00AE22B7"/>
    <w:rsid w:val="00AE2314"/>
    <w:rsid w:val="00AE284F"/>
    <w:rsid w:val="00AE2A3A"/>
    <w:rsid w:val="00AE2DD7"/>
    <w:rsid w:val="00AE319C"/>
    <w:rsid w:val="00AE3D22"/>
    <w:rsid w:val="00AE3D82"/>
    <w:rsid w:val="00AE438F"/>
    <w:rsid w:val="00AE4415"/>
    <w:rsid w:val="00AE4C03"/>
    <w:rsid w:val="00AE5436"/>
    <w:rsid w:val="00AE57B3"/>
    <w:rsid w:val="00AE57F5"/>
    <w:rsid w:val="00AE5DF2"/>
    <w:rsid w:val="00AE612E"/>
    <w:rsid w:val="00AE6848"/>
    <w:rsid w:val="00AE69BF"/>
    <w:rsid w:val="00AE6A4F"/>
    <w:rsid w:val="00AE6D17"/>
    <w:rsid w:val="00AE6D5A"/>
    <w:rsid w:val="00AE72F3"/>
    <w:rsid w:val="00AE72F7"/>
    <w:rsid w:val="00AE7309"/>
    <w:rsid w:val="00AF0240"/>
    <w:rsid w:val="00AF05BC"/>
    <w:rsid w:val="00AF05CB"/>
    <w:rsid w:val="00AF0795"/>
    <w:rsid w:val="00AF0861"/>
    <w:rsid w:val="00AF0A53"/>
    <w:rsid w:val="00AF0BD3"/>
    <w:rsid w:val="00AF0FCF"/>
    <w:rsid w:val="00AF1046"/>
    <w:rsid w:val="00AF12AA"/>
    <w:rsid w:val="00AF1CE1"/>
    <w:rsid w:val="00AF29A8"/>
    <w:rsid w:val="00AF2AAF"/>
    <w:rsid w:val="00AF30A5"/>
    <w:rsid w:val="00AF33EB"/>
    <w:rsid w:val="00AF3429"/>
    <w:rsid w:val="00AF37AC"/>
    <w:rsid w:val="00AF3A14"/>
    <w:rsid w:val="00AF3CD0"/>
    <w:rsid w:val="00AF403A"/>
    <w:rsid w:val="00AF483F"/>
    <w:rsid w:val="00AF610E"/>
    <w:rsid w:val="00AF623B"/>
    <w:rsid w:val="00AF6340"/>
    <w:rsid w:val="00AF6821"/>
    <w:rsid w:val="00AF6B60"/>
    <w:rsid w:val="00AF6F25"/>
    <w:rsid w:val="00AF7950"/>
    <w:rsid w:val="00AF7977"/>
    <w:rsid w:val="00B0077D"/>
    <w:rsid w:val="00B0099E"/>
    <w:rsid w:val="00B01951"/>
    <w:rsid w:val="00B019AF"/>
    <w:rsid w:val="00B0298F"/>
    <w:rsid w:val="00B0312C"/>
    <w:rsid w:val="00B03156"/>
    <w:rsid w:val="00B03224"/>
    <w:rsid w:val="00B03A2C"/>
    <w:rsid w:val="00B041FC"/>
    <w:rsid w:val="00B0481D"/>
    <w:rsid w:val="00B0509A"/>
    <w:rsid w:val="00B050E4"/>
    <w:rsid w:val="00B055F1"/>
    <w:rsid w:val="00B05D41"/>
    <w:rsid w:val="00B06163"/>
    <w:rsid w:val="00B0650B"/>
    <w:rsid w:val="00B066B0"/>
    <w:rsid w:val="00B06B3D"/>
    <w:rsid w:val="00B06BD0"/>
    <w:rsid w:val="00B06D92"/>
    <w:rsid w:val="00B06F85"/>
    <w:rsid w:val="00B06FA9"/>
    <w:rsid w:val="00B07122"/>
    <w:rsid w:val="00B07250"/>
    <w:rsid w:val="00B0731A"/>
    <w:rsid w:val="00B0767F"/>
    <w:rsid w:val="00B07D67"/>
    <w:rsid w:val="00B07E05"/>
    <w:rsid w:val="00B07F1A"/>
    <w:rsid w:val="00B10288"/>
    <w:rsid w:val="00B10350"/>
    <w:rsid w:val="00B104A5"/>
    <w:rsid w:val="00B1101F"/>
    <w:rsid w:val="00B1134F"/>
    <w:rsid w:val="00B11377"/>
    <w:rsid w:val="00B12437"/>
    <w:rsid w:val="00B1313A"/>
    <w:rsid w:val="00B13675"/>
    <w:rsid w:val="00B1368E"/>
    <w:rsid w:val="00B150CF"/>
    <w:rsid w:val="00B1574A"/>
    <w:rsid w:val="00B16344"/>
    <w:rsid w:val="00B16E5A"/>
    <w:rsid w:val="00B17D03"/>
    <w:rsid w:val="00B20080"/>
    <w:rsid w:val="00B204F2"/>
    <w:rsid w:val="00B20734"/>
    <w:rsid w:val="00B20E85"/>
    <w:rsid w:val="00B2181C"/>
    <w:rsid w:val="00B2186F"/>
    <w:rsid w:val="00B218A4"/>
    <w:rsid w:val="00B21AFF"/>
    <w:rsid w:val="00B21B8B"/>
    <w:rsid w:val="00B22156"/>
    <w:rsid w:val="00B2218F"/>
    <w:rsid w:val="00B22FD3"/>
    <w:rsid w:val="00B23677"/>
    <w:rsid w:val="00B23A25"/>
    <w:rsid w:val="00B243B5"/>
    <w:rsid w:val="00B2494B"/>
    <w:rsid w:val="00B24CAB"/>
    <w:rsid w:val="00B254DE"/>
    <w:rsid w:val="00B25AF0"/>
    <w:rsid w:val="00B260BB"/>
    <w:rsid w:val="00B27341"/>
    <w:rsid w:val="00B27B34"/>
    <w:rsid w:val="00B27D60"/>
    <w:rsid w:val="00B3004D"/>
    <w:rsid w:val="00B30549"/>
    <w:rsid w:val="00B306FC"/>
    <w:rsid w:val="00B30B9E"/>
    <w:rsid w:val="00B30CE5"/>
    <w:rsid w:val="00B30D54"/>
    <w:rsid w:val="00B30D6E"/>
    <w:rsid w:val="00B30F41"/>
    <w:rsid w:val="00B3126C"/>
    <w:rsid w:val="00B314F2"/>
    <w:rsid w:val="00B3155E"/>
    <w:rsid w:val="00B31731"/>
    <w:rsid w:val="00B31A7E"/>
    <w:rsid w:val="00B3209B"/>
    <w:rsid w:val="00B3254A"/>
    <w:rsid w:val="00B32EEF"/>
    <w:rsid w:val="00B33340"/>
    <w:rsid w:val="00B3337B"/>
    <w:rsid w:val="00B33CE5"/>
    <w:rsid w:val="00B33EB2"/>
    <w:rsid w:val="00B34053"/>
    <w:rsid w:val="00B343F3"/>
    <w:rsid w:val="00B344C0"/>
    <w:rsid w:val="00B3572B"/>
    <w:rsid w:val="00B362A5"/>
    <w:rsid w:val="00B363F6"/>
    <w:rsid w:val="00B36841"/>
    <w:rsid w:val="00B36C3A"/>
    <w:rsid w:val="00B3766F"/>
    <w:rsid w:val="00B40093"/>
    <w:rsid w:val="00B40726"/>
    <w:rsid w:val="00B40A1A"/>
    <w:rsid w:val="00B40BE5"/>
    <w:rsid w:val="00B40C32"/>
    <w:rsid w:val="00B4168B"/>
    <w:rsid w:val="00B41F55"/>
    <w:rsid w:val="00B42493"/>
    <w:rsid w:val="00B42AEF"/>
    <w:rsid w:val="00B42C17"/>
    <w:rsid w:val="00B433BD"/>
    <w:rsid w:val="00B43C37"/>
    <w:rsid w:val="00B43EA8"/>
    <w:rsid w:val="00B45F9F"/>
    <w:rsid w:val="00B46117"/>
    <w:rsid w:val="00B465B2"/>
    <w:rsid w:val="00B467FA"/>
    <w:rsid w:val="00B46A7F"/>
    <w:rsid w:val="00B46C2A"/>
    <w:rsid w:val="00B46D13"/>
    <w:rsid w:val="00B47A82"/>
    <w:rsid w:val="00B47D06"/>
    <w:rsid w:val="00B47EE2"/>
    <w:rsid w:val="00B50446"/>
    <w:rsid w:val="00B50694"/>
    <w:rsid w:val="00B514DF"/>
    <w:rsid w:val="00B51743"/>
    <w:rsid w:val="00B51F34"/>
    <w:rsid w:val="00B521CF"/>
    <w:rsid w:val="00B52716"/>
    <w:rsid w:val="00B52740"/>
    <w:rsid w:val="00B527DE"/>
    <w:rsid w:val="00B52B4C"/>
    <w:rsid w:val="00B52B4D"/>
    <w:rsid w:val="00B52CA0"/>
    <w:rsid w:val="00B52E3D"/>
    <w:rsid w:val="00B52FF3"/>
    <w:rsid w:val="00B53037"/>
    <w:rsid w:val="00B53670"/>
    <w:rsid w:val="00B53D06"/>
    <w:rsid w:val="00B53F36"/>
    <w:rsid w:val="00B54188"/>
    <w:rsid w:val="00B543A1"/>
    <w:rsid w:val="00B54B44"/>
    <w:rsid w:val="00B55068"/>
    <w:rsid w:val="00B550F2"/>
    <w:rsid w:val="00B5564B"/>
    <w:rsid w:val="00B55D4E"/>
    <w:rsid w:val="00B5634A"/>
    <w:rsid w:val="00B565F5"/>
    <w:rsid w:val="00B565F6"/>
    <w:rsid w:val="00B56FFC"/>
    <w:rsid w:val="00B5744B"/>
    <w:rsid w:val="00B5751B"/>
    <w:rsid w:val="00B57A5C"/>
    <w:rsid w:val="00B57C12"/>
    <w:rsid w:val="00B57F71"/>
    <w:rsid w:val="00B60442"/>
    <w:rsid w:val="00B60C1A"/>
    <w:rsid w:val="00B61727"/>
    <w:rsid w:val="00B61737"/>
    <w:rsid w:val="00B61D66"/>
    <w:rsid w:val="00B627F7"/>
    <w:rsid w:val="00B62B92"/>
    <w:rsid w:val="00B62D8C"/>
    <w:rsid w:val="00B63206"/>
    <w:rsid w:val="00B63E8B"/>
    <w:rsid w:val="00B63F0F"/>
    <w:rsid w:val="00B63F2E"/>
    <w:rsid w:val="00B63F97"/>
    <w:rsid w:val="00B6484C"/>
    <w:rsid w:val="00B6487C"/>
    <w:rsid w:val="00B64951"/>
    <w:rsid w:val="00B64969"/>
    <w:rsid w:val="00B65022"/>
    <w:rsid w:val="00B6589D"/>
    <w:rsid w:val="00B65C32"/>
    <w:rsid w:val="00B6631F"/>
    <w:rsid w:val="00B66918"/>
    <w:rsid w:val="00B66BC8"/>
    <w:rsid w:val="00B675B8"/>
    <w:rsid w:val="00B676A3"/>
    <w:rsid w:val="00B6793D"/>
    <w:rsid w:val="00B67BCD"/>
    <w:rsid w:val="00B7032E"/>
    <w:rsid w:val="00B705C8"/>
    <w:rsid w:val="00B70719"/>
    <w:rsid w:val="00B707CD"/>
    <w:rsid w:val="00B70B4A"/>
    <w:rsid w:val="00B71162"/>
    <w:rsid w:val="00B71163"/>
    <w:rsid w:val="00B71166"/>
    <w:rsid w:val="00B712C5"/>
    <w:rsid w:val="00B7137A"/>
    <w:rsid w:val="00B7181D"/>
    <w:rsid w:val="00B718A9"/>
    <w:rsid w:val="00B71AC5"/>
    <w:rsid w:val="00B71BE0"/>
    <w:rsid w:val="00B71F30"/>
    <w:rsid w:val="00B727A4"/>
    <w:rsid w:val="00B743C3"/>
    <w:rsid w:val="00B7523B"/>
    <w:rsid w:val="00B75AB6"/>
    <w:rsid w:val="00B76445"/>
    <w:rsid w:val="00B76564"/>
    <w:rsid w:val="00B76B7D"/>
    <w:rsid w:val="00B7743A"/>
    <w:rsid w:val="00B7760C"/>
    <w:rsid w:val="00B77713"/>
    <w:rsid w:val="00B77C7F"/>
    <w:rsid w:val="00B77D78"/>
    <w:rsid w:val="00B77F28"/>
    <w:rsid w:val="00B80422"/>
    <w:rsid w:val="00B80489"/>
    <w:rsid w:val="00B8059E"/>
    <w:rsid w:val="00B805A8"/>
    <w:rsid w:val="00B81132"/>
    <w:rsid w:val="00B81BCA"/>
    <w:rsid w:val="00B82011"/>
    <w:rsid w:val="00B82214"/>
    <w:rsid w:val="00B82E6C"/>
    <w:rsid w:val="00B830A3"/>
    <w:rsid w:val="00B83593"/>
    <w:rsid w:val="00B83B6C"/>
    <w:rsid w:val="00B83C90"/>
    <w:rsid w:val="00B83F58"/>
    <w:rsid w:val="00B84044"/>
    <w:rsid w:val="00B848E9"/>
    <w:rsid w:val="00B8530C"/>
    <w:rsid w:val="00B85397"/>
    <w:rsid w:val="00B85ACA"/>
    <w:rsid w:val="00B85D59"/>
    <w:rsid w:val="00B8601D"/>
    <w:rsid w:val="00B86393"/>
    <w:rsid w:val="00B86564"/>
    <w:rsid w:val="00B86910"/>
    <w:rsid w:val="00B86D45"/>
    <w:rsid w:val="00B86F7C"/>
    <w:rsid w:val="00B8701F"/>
    <w:rsid w:val="00B8709B"/>
    <w:rsid w:val="00B87207"/>
    <w:rsid w:val="00B876F9"/>
    <w:rsid w:val="00B87784"/>
    <w:rsid w:val="00B9057F"/>
    <w:rsid w:val="00B90580"/>
    <w:rsid w:val="00B90716"/>
    <w:rsid w:val="00B908F6"/>
    <w:rsid w:val="00B90FBB"/>
    <w:rsid w:val="00B918C4"/>
    <w:rsid w:val="00B919E3"/>
    <w:rsid w:val="00B91CDD"/>
    <w:rsid w:val="00B927D6"/>
    <w:rsid w:val="00B93042"/>
    <w:rsid w:val="00B93971"/>
    <w:rsid w:val="00B93A2E"/>
    <w:rsid w:val="00B93AB8"/>
    <w:rsid w:val="00B93B3A"/>
    <w:rsid w:val="00B93C00"/>
    <w:rsid w:val="00B93C0A"/>
    <w:rsid w:val="00B94558"/>
    <w:rsid w:val="00B94807"/>
    <w:rsid w:val="00B94E22"/>
    <w:rsid w:val="00B954BD"/>
    <w:rsid w:val="00B958CF"/>
    <w:rsid w:val="00B959DE"/>
    <w:rsid w:val="00B9637B"/>
    <w:rsid w:val="00B96A0E"/>
    <w:rsid w:val="00B96DBA"/>
    <w:rsid w:val="00B96E8A"/>
    <w:rsid w:val="00B96EBE"/>
    <w:rsid w:val="00B97417"/>
    <w:rsid w:val="00B977F9"/>
    <w:rsid w:val="00B9785B"/>
    <w:rsid w:val="00BA02DA"/>
    <w:rsid w:val="00BA1243"/>
    <w:rsid w:val="00BA1405"/>
    <w:rsid w:val="00BA14AD"/>
    <w:rsid w:val="00BA168E"/>
    <w:rsid w:val="00BA19D8"/>
    <w:rsid w:val="00BA1BA6"/>
    <w:rsid w:val="00BA1EEF"/>
    <w:rsid w:val="00BA222C"/>
    <w:rsid w:val="00BA26B4"/>
    <w:rsid w:val="00BA3D40"/>
    <w:rsid w:val="00BA42E9"/>
    <w:rsid w:val="00BA4BB9"/>
    <w:rsid w:val="00BA54EB"/>
    <w:rsid w:val="00BA57B6"/>
    <w:rsid w:val="00BA5CBC"/>
    <w:rsid w:val="00BA6ED6"/>
    <w:rsid w:val="00BA720A"/>
    <w:rsid w:val="00BA747F"/>
    <w:rsid w:val="00BA78FB"/>
    <w:rsid w:val="00BB04DE"/>
    <w:rsid w:val="00BB05CF"/>
    <w:rsid w:val="00BB0B30"/>
    <w:rsid w:val="00BB1C85"/>
    <w:rsid w:val="00BB3082"/>
    <w:rsid w:val="00BB30A5"/>
    <w:rsid w:val="00BB3764"/>
    <w:rsid w:val="00BB3FF3"/>
    <w:rsid w:val="00BB44AD"/>
    <w:rsid w:val="00BB45AB"/>
    <w:rsid w:val="00BB48AF"/>
    <w:rsid w:val="00BB4A92"/>
    <w:rsid w:val="00BB4DBD"/>
    <w:rsid w:val="00BB4DFC"/>
    <w:rsid w:val="00BB5105"/>
    <w:rsid w:val="00BB5475"/>
    <w:rsid w:val="00BB5749"/>
    <w:rsid w:val="00BB5DB4"/>
    <w:rsid w:val="00BB5E30"/>
    <w:rsid w:val="00BB745E"/>
    <w:rsid w:val="00BB7529"/>
    <w:rsid w:val="00BB7F3C"/>
    <w:rsid w:val="00BC04CA"/>
    <w:rsid w:val="00BC0855"/>
    <w:rsid w:val="00BC0C52"/>
    <w:rsid w:val="00BC0CC4"/>
    <w:rsid w:val="00BC0EF9"/>
    <w:rsid w:val="00BC10C3"/>
    <w:rsid w:val="00BC143B"/>
    <w:rsid w:val="00BC16F1"/>
    <w:rsid w:val="00BC1E10"/>
    <w:rsid w:val="00BC2133"/>
    <w:rsid w:val="00BC269B"/>
    <w:rsid w:val="00BC2932"/>
    <w:rsid w:val="00BC2AB7"/>
    <w:rsid w:val="00BC3092"/>
    <w:rsid w:val="00BC35EB"/>
    <w:rsid w:val="00BC3DD8"/>
    <w:rsid w:val="00BC4AF0"/>
    <w:rsid w:val="00BC5128"/>
    <w:rsid w:val="00BC5193"/>
    <w:rsid w:val="00BC5366"/>
    <w:rsid w:val="00BC5613"/>
    <w:rsid w:val="00BC5C0C"/>
    <w:rsid w:val="00BC5E4B"/>
    <w:rsid w:val="00BC613D"/>
    <w:rsid w:val="00BC64E0"/>
    <w:rsid w:val="00BC69EE"/>
    <w:rsid w:val="00BC72B2"/>
    <w:rsid w:val="00BC7403"/>
    <w:rsid w:val="00BD006F"/>
    <w:rsid w:val="00BD0423"/>
    <w:rsid w:val="00BD1A7D"/>
    <w:rsid w:val="00BD1AAE"/>
    <w:rsid w:val="00BD227B"/>
    <w:rsid w:val="00BD2727"/>
    <w:rsid w:val="00BD2A63"/>
    <w:rsid w:val="00BD2A6C"/>
    <w:rsid w:val="00BD2B17"/>
    <w:rsid w:val="00BD324B"/>
    <w:rsid w:val="00BD37A6"/>
    <w:rsid w:val="00BD4451"/>
    <w:rsid w:val="00BD4AD2"/>
    <w:rsid w:val="00BD4ADB"/>
    <w:rsid w:val="00BD4D87"/>
    <w:rsid w:val="00BD5C37"/>
    <w:rsid w:val="00BD603C"/>
    <w:rsid w:val="00BD62AD"/>
    <w:rsid w:val="00BD6677"/>
    <w:rsid w:val="00BD6AE5"/>
    <w:rsid w:val="00BD6E79"/>
    <w:rsid w:val="00BD71B1"/>
    <w:rsid w:val="00BD768F"/>
    <w:rsid w:val="00BE0080"/>
    <w:rsid w:val="00BE053F"/>
    <w:rsid w:val="00BE06B6"/>
    <w:rsid w:val="00BE096D"/>
    <w:rsid w:val="00BE09C5"/>
    <w:rsid w:val="00BE0E28"/>
    <w:rsid w:val="00BE104B"/>
    <w:rsid w:val="00BE1473"/>
    <w:rsid w:val="00BE179E"/>
    <w:rsid w:val="00BE1D99"/>
    <w:rsid w:val="00BE2285"/>
    <w:rsid w:val="00BE2486"/>
    <w:rsid w:val="00BE251E"/>
    <w:rsid w:val="00BE2819"/>
    <w:rsid w:val="00BE2AB0"/>
    <w:rsid w:val="00BE3228"/>
    <w:rsid w:val="00BE3923"/>
    <w:rsid w:val="00BE4138"/>
    <w:rsid w:val="00BE4DE3"/>
    <w:rsid w:val="00BE5024"/>
    <w:rsid w:val="00BE55D2"/>
    <w:rsid w:val="00BE5D77"/>
    <w:rsid w:val="00BE5D94"/>
    <w:rsid w:val="00BE6049"/>
    <w:rsid w:val="00BE69B0"/>
    <w:rsid w:val="00BE76C3"/>
    <w:rsid w:val="00BE76D1"/>
    <w:rsid w:val="00BE77EE"/>
    <w:rsid w:val="00BE7ADE"/>
    <w:rsid w:val="00BF0A51"/>
    <w:rsid w:val="00BF16F6"/>
    <w:rsid w:val="00BF1C5B"/>
    <w:rsid w:val="00BF1FF3"/>
    <w:rsid w:val="00BF23D7"/>
    <w:rsid w:val="00BF325C"/>
    <w:rsid w:val="00BF36F7"/>
    <w:rsid w:val="00BF3B2C"/>
    <w:rsid w:val="00BF3B94"/>
    <w:rsid w:val="00BF3D45"/>
    <w:rsid w:val="00BF3DD6"/>
    <w:rsid w:val="00BF5F86"/>
    <w:rsid w:val="00BF6C13"/>
    <w:rsid w:val="00BF702E"/>
    <w:rsid w:val="00BF77E0"/>
    <w:rsid w:val="00BF793C"/>
    <w:rsid w:val="00BF79D9"/>
    <w:rsid w:val="00BF7CB6"/>
    <w:rsid w:val="00C00428"/>
    <w:rsid w:val="00C008BC"/>
    <w:rsid w:val="00C01408"/>
    <w:rsid w:val="00C015F4"/>
    <w:rsid w:val="00C0194C"/>
    <w:rsid w:val="00C01D77"/>
    <w:rsid w:val="00C02929"/>
    <w:rsid w:val="00C02933"/>
    <w:rsid w:val="00C02AD1"/>
    <w:rsid w:val="00C02BD7"/>
    <w:rsid w:val="00C032D4"/>
    <w:rsid w:val="00C03692"/>
    <w:rsid w:val="00C03A9E"/>
    <w:rsid w:val="00C03E9E"/>
    <w:rsid w:val="00C0408A"/>
    <w:rsid w:val="00C05B0D"/>
    <w:rsid w:val="00C05CFA"/>
    <w:rsid w:val="00C0676D"/>
    <w:rsid w:val="00C070BF"/>
    <w:rsid w:val="00C07146"/>
    <w:rsid w:val="00C07362"/>
    <w:rsid w:val="00C07ECA"/>
    <w:rsid w:val="00C07FBE"/>
    <w:rsid w:val="00C10D65"/>
    <w:rsid w:val="00C10D78"/>
    <w:rsid w:val="00C12D12"/>
    <w:rsid w:val="00C12D15"/>
    <w:rsid w:val="00C12F86"/>
    <w:rsid w:val="00C1352D"/>
    <w:rsid w:val="00C135DF"/>
    <w:rsid w:val="00C13707"/>
    <w:rsid w:val="00C14673"/>
    <w:rsid w:val="00C14C69"/>
    <w:rsid w:val="00C14D2B"/>
    <w:rsid w:val="00C14EA7"/>
    <w:rsid w:val="00C14F54"/>
    <w:rsid w:val="00C1570A"/>
    <w:rsid w:val="00C1578D"/>
    <w:rsid w:val="00C15806"/>
    <w:rsid w:val="00C1619B"/>
    <w:rsid w:val="00C16434"/>
    <w:rsid w:val="00C1677B"/>
    <w:rsid w:val="00C1687D"/>
    <w:rsid w:val="00C16B56"/>
    <w:rsid w:val="00C171C7"/>
    <w:rsid w:val="00C1733C"/>
    <w:rsid w:val="00C17808"/>
    <w:rsid w:val="00C17A8F"/>
    <w:rsid w:val="00C20059"/>
    <w:rsid w:val="00C204FE"/>
    <w:rsid w:val="00C2056D"/>
    <w:rsid w:val="00C20B23"/>
    <w:rsid w:val="00C20D8A"/>
    <w:rsid w:val="00C20FAA"/>
    <w:rsid w:val="00C21267"/>
    <w:rsid w:val="00C214DD"/>
    <w:rsid w:val="00C215DD"/>
    <w:rsid w:val="00C22512"/>
    <w:rsid w:val="00C230D4"/>
    <w:rsid w:val="00C23BE6"/>
    <w:rsid w:val="00C23C02"/>
    <w:rsid w:val="00C24862"/>
    <w:rsid w:val="00C24C46"/>
    <w:rsid w:val="00C24FFF"/>
    <w:rsid w:val="00C25348"/>
    <w:rsid w:val="00C2581A"/>
    <w:rsid w:val="00C25CD0"/>
    <w:rsid w:val="00C26518"/>
    <w:rsid w:val="00C265C3"/>
    <w:rsid w:val="00C26EBA"/>
    <w:rsid w:val="00C270DD"/>
    <w:rsid w:val="00C27DF1"/>
    <w:rsid w:val="00C3105E"/>
    <w:rsid w:val="00C318C9"/>
    <w:rsid w:val="00C32E7A"/>
    <w:rsid w:val="00C331D3"/>
    <w:rsid w:val="00C331E8"/>
    <w:rsid w:val="00C333F6"/>
    <w:rsid w:val="00C33A45"/>
    <w:rsid w:val="00C34501"/>
    <w:rsid w:val="00C346A1"/>
    <w:rsid w:val="00C34875"/>
    <w:rsid w:val="00C34905"/>
    <w:rsid w:val="00C349A0"/>
    <w:rsid w:val="00C34A1B"/>
    <w:rsid w:val="00C34A52"/>
    <w:rsid w:val="00C34D64"/>
    <w:rsid w:val="00C34E1B"/>
    <w:rsid w:val="00C35245"/>
    <w:rsid w:val="00C35D1B"/>
    <w:rsid w:val="00C35F3A"/>
    <w:rsid w:val="00C3615D"/>
    <w:rsid w:val="00C3644A"/>
    <w:rsid w:val="00C364C5"/>
    <w:rsid w:val="00C36CD0"/>
    <w:rsid w:val="00C36CFD"/>
    <w:rsid w:val="00C37204"/>
    <w:rsid w:val="00C373C0"/>
    <w:rsid w:val="00C374E2"/>
    <w:rsid w:val="00C37A1C"/>
    <w:rsid w:val="00C4086E"/>
    <w:rsid w:val="00C40D38"/>
    <w:rsid w:val="00C40EB9"/>
    <w:rsid w:val="00C4168A"/>
    <w:rsid w:val="00C41E56"/>
    <w:rsid w:val="00C41EBF"/>
    <w:rsid w:val="00C422CF"/>
    <w:rsid w:val="00C4281A"/>
    <w:rsid w:val="00C4320E"/>
    <w:rsid w:val="00C433AF"/>
    <w:rsid w:val="00C4343B"/>
    <w:rsid w:val="00C43B36"/>
    <w:rsid w:val="00C441E7"/>
    <w:rsid w:val="00C4422D"/>
    <w:rsid w:val="00C442B3"/>
    <w:rsid w:val="00C442D6"/>
    <w:rsid w:val="00C444B4"/>
    <w:rsid w:val="00C45038"/>
    <w:rsid w:val="00C4616C"/>
    <w:rsid w:val="00C461FD"/>
    <w:rsid w:val="00C46EE3"/>
    <w:rsid w:val="00C4765B"/>
    <w:rsid w:val="00C4794F"/>
    <w:rsid w:val="00C47C24"/>
    <w:rsid w:val="00C47F0B"/>
    <w:rsid w:val="00C5004C"/>
    <w:rsid w:val="00C505BD"/>
    <w:rsid w:val="00C506C1"/>
    <w:rsid w:val="00C50D0B"/>
    <w:rsid w:val="00C50EDE"/>
    <w:rsid w:val="00C51164"/>
    <w:rsid w:val="00C51420"/>
    <w:rsid w:val="00C51545"/>
    <w:rsid w:val="00C51AC1"/>
    <w:rsid w:val="00C5244C"/>
    <w:rsid w:val="00C52677"/>
    <w:rsid w:val="00C52733"/>
    <w:rsid w:val="00C52FE8"/>
    <w:rsid w:val="00C539A4"/>
    <w:rsid w:val="00C53B5A"/>
    <w:rsid w:val="00C53C5E"/>
    <w:rsid w:val="00C54006"/>
    <w:rsid w:val="00C54047"/>
    <w:rsid w:val="00C545EB"/>
    <w:rsid w:val="00C54897"/>
    <w:rsid w:val="00C5528F"/>
    <w:rsid w:val="00C55AE3"/>
    <w:rsid w:val="00C56444"/>
    <w:rsid w:val="00C56627"/>
    <w:rsid w:val="00C56ED6"/>
    <w:rsid w:val="00C57215"/>
    <w:rsid w:val="00C574BD"/>
    <w:rsid w:val="00C5790C"/>
    <w:rsid w:val="00C57D50"/>
    <w:rsid w:val="00C6043A"/>
    <w:rsid w:val="00C60448"/>
    <w:rsid w:val="00C6070A"/>
    <w:rsid w:val="00C60B83"/>
    <w:rsid w:val="00C61A51"/>
    <w:rsid w:val="00C61A5F"/>
    <w:rsid w:val="00C61C2C"/>
    <w:rsid w:val="00C61FAA"/>
    <w:rsid w:val="00C620FE"/>
    <w:rsid w:val="00C62613"/>
    <w:rsid w:val="00C627F1"/>
    <w:rsid w:val="00C62AFB"/>
    <w:rsid w:val="00C62F0C"/>
    <w:rsid w:val="00C640FA"/>
    <w:rsid w:val="00C6460A"/>
    <w:rsid w:val="00C6499F"/>
    <w:rsid w:val="00C64BAC"/>
    <w:rsid w:val="00C64BC1"/>
    <w:rsid w:val="00C64F2F"/>
    <w:rsid w:val="00C65D72"/>
    <w:rsid w:val="00C65D79"/>
    <w:rsid w:val="00C65E92"/>
    <w:rsid w:val="00C65F1D"/>
    <w:rsid w:val="00C66291"/>
    <w:rsid w:val="00C664C7"/>
    <w:rsid w:val="00C6682F"/>
    <w:rsid w:val="00C66B94"/>
    <w:rsid w:val="00C66F0B"/>
    <w:rsid w:val="00C67734"/>
    <w:rsid w:val="00C6776D"/>
    <w:rsid w:val="00C677AE"/>
    <w:rsid w:val="00C67A3C"/>
    <w:rsid w:val="00C67C32"/>
    <w:rsid w:val="00C703DE"/>
    <w:rsid w:val="00C703E9"/>
    <w:rsid w:val="00C70580"/>
    <w:rsid w:val="00C70E5C"/>
    <w:rsid w:val="00C70E8E"/>
    <w:rsid w:val="00C71069"/>
    <w:rsid w:val="00C71CD4"/>
    <w:rsid w:val="00C71D86"/>
    <w:rsid w:val="00C71D8A"/>
    <w:rsid w:val="00C72033"/>
    <w:rsid w:val="00C72743"/>
    <w:rsid w:val="00C727B0"/>
    <w:rsid w:val="00C73411"/>
    <w:rsid w:val="00C73583"/>
    <w:rsid w:val="00C73613"/>
    <w:rsid w:val="00C73975"/>
    <w:rsid w:val="00C73E5D"/>
    <w:rsid w:val="00C746BF"/>
    <w:rsid w:val="00C74A23"/>
    <w:rsid w:val="00C74B46"/>
    <w:rsid w:val="00C74F68"/>
    <w:rsid w:val="00C755C3"/>
    <w:rsid w:val="00C758E0"/>
    <w:rsid w:val="00C760CE"/>
    <w:rsid w:val="00C76122"/>
    <w:rsid w:val="00C76E83"/>
    <w:rsid w:val="00C76E9C"/>
    <w:rsid w:val="00C77A34"/>
    <w:rsid w:val="00C77CEB"/>
    <w:rsid w:val="00C80B82"/>
    <w:rsid w:val="00C80BCF"/>
    <w:rsid w:val="00C80DAB"/>
    <w:rsid w:val="00C810C9"/>
    <w:rsid w:val="00C81201"/>
    <w:rsid w:val="00C812B5"/>
    <w:rsid w:val="00C81392"/>
    <w:rsid w:val="00C81540"/>
    <w:rsid w:val="00C81FD2"/>
    <w:rsid w:val="00C827F2"/>
    <w:rsid w:val="00C83A5F"/>
    <w:rsid w:val="00C83E68"/>
    <w:rsid w:val="00C84569"/>
    <w:rsid w:val="00C846B0"/>
    <w:rsid w:val="00C84EB8"/>
    <w:rsid w:val="00C85005"/>
    <w:rsid w:val="00C85750"/>
    <w:rsid w:val="00C858C2"/>
    <w:rsid w:val="00C85CB9"/>
    <w:rsid w:val="00C866C2"/>
    <w:rsid w:val="00C86940"/>
    <w:rsid w:val="00C86996"/>
    <w:rsid w:val="00C86A44"/>
    <w:rsid w:val="00C87B76"/>
    <w:rsid w:val="00C87FED"/>
    <w:rsid w:val="00C90299"/>
    <w:rsid w:val="00C908E2"/>
    <w:rsid w:val="00C91136"/>
    <w:rsid w:val="00C9126E"/>
    <w:rsid w:val="00C914B9"/>
    <w:rsid w:val="00C91692"/>
    <w:rsid w:val="00C91A36"/>
    <w:rsid w:val="00C92614"/>
    <w:rsid w:val="00C92779"/>
    <w:rsid w:val="00C92BF9"/>
    <w:rsid w:val="00C92FC9"/>
    <w:rsid w:val="00C93376"/>
    <w:rsid w:val="00C93945"/>
    <w:rsid w:val="00C93AB6"/>
    <w:rsid w:val="00C94627"/>
    <w:rsid w:val="00C94D30"/>
    <w:rsid w:val="00C94ECA"/>
    <w:rsid w:val="00C9562A"/>
    <w:rsid w:val="00C95ADE"/>
    <w:rsid w:val="00C966EE"/>
    <w:rsid w:val="00C96783"/>
    <w:rsid w:val="00C96FF2"/>
    <w:rsid w:val="00C97565"/>
    <w:rsid w:val="00C97C9B"/>
    <w:rsid w:val="00CA008E"/>
    <w:rsid w:val="00CA01A5"/>
    <w:rsid w:val="00CA0A27"/>
    <w:rsid w:val="00CA0DAC"/>
    <w:rsid w:val="00CA1126"/>
    <w:rsid w:val="00CA144C"/>
    <w:rsid w:val="00CA1451"/>
    <w:rsid w:val="00CA14D5"/>
    <w:rsid w:val="00CA1A88"/>
    <w:rsid w:val="00CA204A"/>
    <w:rsid w:val="00CA210E"/>
    <w:rsid w:val="00CA255E"/>
    <w:rsid w:val="00CA2837"/>
    <w:rsid w:val="00CA3525"/>
    <w:rsid w:val="00CA3C12"/>
    <w:rsid w:val="00CA41C5"/>
    <w:rsid w:val="00CA490A"/>
    <w:rsid w:val="00CA4D4E"/>
    <w:rsid w:val="00CA53BD"/>
    <w:rsid w:val="00CA60F0"/>
    <w:rsid w:val="00CA62BD"/>
    <w:rsid w:val="00CA65A4"/>
    <w:rsid w:val="00CA66A0"/>
    <w:rsid w:val="00CA67FD"/>
    <w:rsid w:val="00CA7655"/>
    <w:rsid w:val="00CA7984"/>
    <w:rsid w:val="00CA7A83"/>
    <w:rsid w:val="00CB0299"/>
    <w:rsid w:val="00CB0DC7"/>
    <w:rsid w:val="00CB1453"/>
    <w:rsid w:val="00CB14F4"/>
    <w:rsid w:val="00CB1696"/>
    <w:rsid w:val="00CB16E9"/>
    <w:rsid w:val="00CB16F6"/>
    <w:rsid w:val="00CB19D5"/>
    <w:rsid w:val="00CB19F0"/>
    <w:rsid w:val="00CB1AB3"/>
    <w:rsid w:val="00CB1D31"/>
    <w:rsid w:val="00CB24E8"/>
    <w:rsid w:val="00CB2551"/>
    <w:rsid w:val="00CB255F"/>
    <w:rsid w:val="00CB2B53"/>
    <w:rsid w:val="00CB2E1E"/>
    <w:rsid w:val="00CB32E5"/>
    <w:rsid w:val="00CB3B05"/>
    <w:rsid w:val="00CB3BD5"/>
    <w:rsid w:val="00CB4128"/>
    <w:rsid w:val="00CB4141"/>
    <w:rsid w:val="00CB4247"/>
    <w:rsid w:val="00CB446A"/>
    <w:rsid w:val="00CB4564"/>
    <w:rsid w:val="00CB48FE"/>
    <w:rsid w:val="00CB4FB8"/>
    <w:rsid w:val="00CB55BE"/>
    <w:rsid w:val="00CB5843"/>
    <w:rsid w:val="00CB5DA3"/>
    <w:rsid w:val="00CB65F2"/>
    <w:rsid w:val="00CB6656"/>
    <w:rsid w:val="00CB7D33"/>
    <w:rsid w:val="00CC0A63"/>
    <w:rsid w:val="00CC0CAE"/>
    <w:rsid w:val="00CC1587"/>
    <w:rsid w:val="00CC1EE2"/>
    <w:rsid w:val="00CC2861"/>
    <w:rsid w:val="00CC2BDC"/>
    <w:rsid w:val="00CC2F5D"/>
    <w:rsid w:val="00CC31F9"/>
    <w:rsid w:val="00CC3B25"/>
    <w:rsid w:val="00CC4226"/>
    <w:rsid w:val="00CC4255"/>
    <w:rsid w:val="00CC4FC0"/>
    <w:rsid w:val="00CC5B7E"/>
    <w:rsid w:val="00CC5F00"/>
    <w:rsid w:val="00CC6D09"/>
    <w:rsid w:val="00CC7800"/>
    <w:rsid w:val="00CC79CE"/>
    <w:rsid w:val="00CC7A4F"/>
    <w:rsid w:val="00CD0131"/>
    <w:rsid w:val="00CD07CD"/>
    <w:rsid w:val="00CD0B81"/>
    <w:rsid w:val="00CD11AB"/>
    <w:rsid w:val="00CD15A0"/>
    <w:rsid w:val="00CD1A01"/>
    <w:rsid w:val="00CD1AC5"/>
    <w:rsid w:val="00CD1C9C"/>
    <w:rsid w:val="00CD1EEC"/>
    <w:rsid w:val="00CD2767"/>
    <w:rsid w:val="00CD2A54"/>
    <w:rsid w:val="00CD2BEE"/>
    <w:rsid w:val="00CD2D7F"/>
    <w:rsid w:val="00CD3AF1"/>
    <w:rsid w:val="00CD3C43"/>
    <w:rsid w:val="00CD441E"/>
    <w:rsid w:val="00CD4496"/>
    <w:rsid w:val="00CD4CCF"/>
    <w:rsid w:val="00CD59CF"/>
    <w:rsid w:val="00CD5BBE"/>
    <w:rsid w:val="00CD5BF0"/>
    <w:rsid w:val="00CD7D7A"/>
    <w:rsid w:val="00CE0C38"/>
    <w:rsid w:val="00CE0E87"/>
    <w:rsid w:val="00CE0F29"/>
    <w:rsid w:val="00CE10A8"/>
    <w:rsid w:val="00CE1665"/>
    <w:rsid w:val="00CE2A41"/>
    <w:rsid w:val="00CE33B0"/>
    <w:rsid w:val="00CE33C3"/>
    <w:rsid w:val="00CE3749"/>
    <w:rsid w:val="00CE3A5E"/>
    <w:rsid w:val="00CE3C20"/>
    <w:rsid w:val="00CE4131"/>
    <w:rsid w:val="00CE4311"/>
    <w:rsid w:val="00CE459E"/>
    <w:rsid w:val="00CE4B34"/>
    <w:rsid w:val="00CE4FC8"/>
    <w:rsid w:val="00CE5087"/>
    <w:rsid w:val="00CE5170"/>
    <w:rsid w:val="00CE5F93"/>
    <w:rsid w:val="00CE6373"/>
    <w:rsid w:val="00CE673C"/>
    <w:rsid w:val="00CE7ABF"/>
    <w:rsid w:val="00CE7ADB"/>
    <w:rsid w:val="00CE7C10"/>
    <w:rsid w:val="00CE7FF3"/>
    <w:rsid w:val="00CF0418"/>
    <w:rsid w:val="00CF0573"/>
    <w:rsid w:val="00CF165C"/>
    <w:rsid w:val="00CF1761"/>
    <w:rsid w:val="00CF1861"/>
    <w:rsid w:val="00CF26A5"/>
    <w:rsid w:val="00CF29C8"/>
    <w:rsid w:val="00CF350F"/>
    <w:rsid w:val="00CF37C4"/>
    <w:rsid w:val="00CF390B"/>
    <w:rsid w:val="00CF3927"/>
    <w:rsid w:val="00CF3EA5"/>
    <w:rsid w:val="00CF4ABF"/>
    <w:rsid w:val="00CF51A2"/>
    <w:rsid w:val="00CF5412"/>
    <w:rsid w:val="00CF5AF0"/>
    <w:rsid w:val="00CF68B3"/>
    <w:rsid w:val="00CF6BA5"/>
    <w:rsid w:val="00CF6FDA"/>
    <w:rsid w:val="00CF724E"/>
    <w:rsid w:val="00CF7B9E"/>
    <w:rsid w:val="00D0138E"/>
    <w:rsid w:val="00D033D9"/>
    <w:rsid w:val="00D034F5"/>
    <w:rsid w:val="00D03AB2"/>
    <w:rsid w:val="00D03E1B"/>
    <w:rsid w:val="00D048FD"/>
    <w:rsid w:val="00D04A7D"/>
    <w:rsid w:val="00D05177"/>
    <w:rsid w:val="00D05667"/>
    <w:rsid w:val="00D056D3"/>
    <w:rsid w:val="00D0596E"/>
    <w:rsid w:val="00D05B06"/>
    <w:rsid w:val="00D06701"/>
    <w:rsid w:val="00D069FA"/>
    <w:rsid w:val="00D07DD8"/>
    <w:rsid w:val="00D07F97"/>
    <w:rsid w:val="00D1005A"/>
    <w:rsid w:val="00D10809"/>
    <w:rsid w:val="00D1085F"/>
    <w:rsid w:val="00D1095C"/>
    <w:rsid w:val="00D11091"/>
    <w:rsid w:val="00D1140E"/>
    <w:rsid w:val="00D115B0"/>
    <w:rsid w:val="00D116F9"/>
    <w:rsid w:val="00D11E6C"/>
    <w:rsid w:val="00D11FBD"/>
    <w:rsid w:val="00D126E5"/>
    <w:rsid w:val="00D12789"/>
    <w:rsid w:val="00D128A6"/>
    <w:rsid w:val="00D12B1F"/>
    <w:rsid w:val="00D12E2D"/>
    <w:rsid w:val="00D12EF8"/>
    <w:rsid w:val="00D138CD"/>
    <w:rsid w:val="00D13AF5"/>
    <w:rsid w:val="00D13E2E"/>
    <w:rsid w:val="00D14B59"/>
    <w:rsid w:val="00D155AA"/>
    <w:rsid w:val="00D15646"/>
    <w:rsid w:val="00D1591C"/>
    <w:rsid w:val="00D15958"/>
    <w:rsid w:val="00D15B30"/>
    <w:rsid w:val="00D16090"/>
    <w:rsid w:val="00D16295"/>
    <w:rsid w:val="00D162CD"/>
    <w:rsid w:val="00D16571"/>
    <w:rsid w:val="00D168B2"/>
    <w:rsid w:val="00D175B7"/>
    <w:rsid w:val="00D17A58"/>
    <w:rsid w:val="00D17AEE"/>
    <w:rsid w:val="00D17B45"/>
    <w:rsid w:val="00D17E76"/>
    <w:rsid w:val="00D203CF"/>
    <w:rsid w:val="00D21136"/>
    <w:rsid w:val="00D22A91"/>
    <w:rsid w:val="00D22B1C"/>
    <w:rsid w:val="00D22D42"/>
    <w:rsid w:val="00D22DC1"/>
    <w:rsid w:val="00D23001"/>
    <w:rsid w:val="00D233EB"/>
    <w:rsid w:val="00D238D4"/>
    <w:rsid w:val="00D2425A"/>
    <w:rsid w:val="00D24451"/>
    <w:rsid w:val="00D24EF0"/>
    <w:rsid w:val="00D25D70"/>
    <w:rsid w:val="00D25E39"/>
    <w:rsid w:val="00D262B3"/>
    <w:rsid w:val="00D26F4D"/>
    <w:rsid w:val="00D26FF3"/>
    <w:rsid w:val="00D271AD"/>
    <w:rsid w:val="00D27D1B"/>
    <w:rsid w:val="00D27EAB"/>
    <w:rsid w:val="00D30759"/>
    <w:rsid w:val="00D30FEC"/>
    <w:rsid w:val="00D31727"/>
    <w:rsid w:val="00D31AEF"/>
    <w:rsid w:val="00D31BC6"/>
    <w:rsid w:val="00D31E4E"/>
    <w:rsid w:val="00D32ACC"/>
    <w:rsid w:val="00D32C7E"/>
    <w:rsid w:val="00D33087"/>
    <w:rsid w:val="00D330B2"/>
    <w:rsid w:val="00D3402B"/>
    <w:rsid w:val="00D34702"/>
    <w:rsid w:val="00D34EDF"/>
    <w:rsid w:val="00D3587F"/>
    <w:rsid w:val="00D35F82"/>
    <w:rsid w:val="00D36274"/>
    <w:rsid w:val="00D367B2"/>
    <w:rsid w:val="00D36A78"/>
    <w:rsid w:val="00D36B8D"/>
    <w:rsid w:val="00D37430"/>
    <w:rsid w:val="00D37A7B"/>
    <w:rsid w:val="00D37B45"/>
    <w:rsid w:val="00D4011C"/>
    <w:rsid w:val="00D404B3"/>
    <w:rsid w:val="00D407A0"/>
    <w:rsid w:val="00D40B08"/>
    <w:rsid w:val="00D4194D"/>
    <w:rsid w:val="00D41A4D"/>
    <w:rsid w:val="00D41CE6"/>
    <w:rsid w:val="00D41DC0"/>
    <w:rsid w:val="00D42A48"/>
    <w:rsid w:val="00D42B94"/>
    <w:rsid w:val="00D4415D"/>
    <w:rsid w:val="00D44199"/>
    <w:rsid w:val="00D4419B"/>
    <w:rsid w:val="00D443B9"/>
    <w:rsid w:val="00D443E0"/>
    <w:rsid w:val="00D445B2"/>
    <w:rsid w:val="00D44B1B"/>
    <w:rsid w:val="00D44F2F"/>
    <w:rsid w:val="00D45572"/>
    <w:rsid w:val="00D46363"/>
    <w:rsid w:val="00D464F5"/>
    <w:rsid w:val="00D4717C"/>
    <w:rsid w:val="00D47C39"/>
    <w:rsid w:val="00D504A0"/>
    <w:rsid w:val="00D50A89"/>
    <w:rsid w:val="00D50C96"/>
    <w:rsid w:val="00D50F36"/>
    <w:rsid w:val="00D51923"/>
    <w:rsid w:val="00D51DFD"/>
    <w:rsid w:val="00D51E62"/>
    <w:rsid w:val="00D522B1"/>
    <w:rsid w:val="00D52DAF"/>
    <w:rsid w:val="00D53DFA"/>
    <w:rsid w:val="00D5436D"/>
    <w:rsid w:val="00D54378"/>
    <w:rsid w:val="00D54865"/>
    <w:rsid w:val="00D54889"/>
    <w:rsid w:val="00D54D6C"/>
    <w:rsid w:val="00D55275"/>
    <w:rsid w:val="00D553BC"/>
    <w:rsid w:val="00D555F0"/>
    <w:rsid w:val="00D556E3"/>
    <w:rsid w:val="00D556EA"/>
    <w:rsid w:val="00D55D33"/>
    <w:rsid w:val="00D55E0A"/>
    <w:rsid w:val="00D55FE7"/>
    <w:rsid w:val="00D5618C"/>
    <w:rsid w:val="00D56735"/>
    <w:rsid w:val="00D57447"/>
    <w:rsid w:val="00D60169"/>
    <w:rsid w:val="00D609B2"/>
    <w:rsid w:val="00D60F4F"/>
    <w:rsid w:val="00D60FE3"/>
    <w:rsid w:val="00D611E0"/>
    <w:rsid w:val="00D61BF9"/>
    <w:rsid w:val="00D6201A"/>
    <w:rsid w:val="00D62186"/>
    <w:rsid w:val="00D624FD"/>
    <w:rsid w:val="00D6264E"/>
    <w:rsid w:val="00D62E69"/>
    <w:rsid w:val="00D64559"/>
    <w:rsid w:val="00D64650"/>
    <w:rsid w:val="00D64AFE"/>
    <w:rsid w:val="00D64B0C"/>
    <w:rsid w:val="00D64EBE"/>
    <w:rsid w:val="00D64F9C"/>
    <w:rsid w:val="00D6522B"/>
    <w:rsid w:val="00D6534C"/>
    <w:rsid w:val="00D656CF"/>
    <w:rsid w:val="00D65719"/>
    <w:rsid w:val="00D65830"/>
    <w:rsid w:val="00D659EA"/>
    <w:rsid w:val="00D660D4"/>
    <w:rsid w:val="00D66632"/>
    <w:rsid w:val="00D6669F"/>
    <w:rsid w:val="00D670C5"/>
    <w:rsid w:val="00D67257"/>
    <w:rsid w:val="00D673C5"/>
    <w:rsid w:val="00D67469"/>
    <w:rsid w:val="00D67883"/>
    <w:rsid w:val="00D67BD7"/>
    <w:rsid w:val="00D67C51"/>
    <w:rsid w:val="00D70E3F"/>
    <w:rsid w:val="00D71877"/>
    <w:rsid w:val="00D71DF9"/>
    <w:rsid w:val="00D72154"/>
    <w:rsid w:val="00D723AC"/>
    <w:rsid w:val="00D72C22"/>
    <w:rsid w:val="00D732FC"/>
    <w:rsid w:val="00D7370B"/>
    <w:rsid w:val="00D73E84"/>
    <w:rsid w:val="00D747CD"/>
    <w:rsid w:val="00D75FBF"/>
    <w:rsid w:val="00D75FC3"/>
    <w:rsid w:val="00D75FE8"/>
    <w:rsid w:val="00D76ED1"/>
    <w:rsid w:val="00D77474"/>
    <w:rsid w:val="00D77B63"/>
    <w:rsid w:val="00D80C0E"/>
    <w:rsid w:val="00D81149"/>
    <w:rsid w:val="00D812FB"/>
    <w:rsid w:val="00D816AC"/>
    <w:rsid w:val="00D81B7D"/>
    <w:rsid w:val="00D820DF"/>
    <w:rsid w:val="00D825DC"/>
    <w:rsid w:val="00D82608"/>
    <w:rsid w:val="00D8285C"/>
    <w:rsid w:val="00D82A0C"/>
    <w:rsid w:val="00D82CAF"/>
    <w:rsid w:val="00D82F60"/>
    <w:rsid w:val="00D82F85"/>
    <w:rsid w:val="00D8302C"/>
    <w:rsid w:val="00D8337B"/>
    <w:rsid w:val="00D83659"/>
    <w:rsid w:val="00D83894"/>
    <w:rsid w:val="00D83EE4"/>
    <w:rsid w:val="00D84ABE"/>
    <w:rsid w:val="00D85027"/>
    <w:rsid w:val="00D85D5A"/>
    <w:rsid w:val="00D86149"/>
    <w:rsid w:val="00D862F6"/>
    <w:rsid w:val="00D8651E"/>
    <w:rsid w:val="00D86924"/>
    <w:rsid w:val="00D869DD"/>
    <w:rsid w:val="00D86D33"/>
    <w:rsid w:val="00D86E50"/>
    <w:rsid w:val="00D8723C"/>
    <w:rsid w:val="00D87455"/>
    <w:rsid w:val="00D90219"/>
    <w:rsid w:val="00D90BB9"/>
    <w:rsid w:val="00D90C6D"/>
    <w:rsid w:val="00D92864"/>
    <w:rsid w:val="00D928E2"/>
    <w:rsid w:val="00D92DF3"/>
    <w:rsid w:val="00D9343E"/>
    <w:rsid w:val="00D936D7"/>
    <w:rsid w:val="00D939D1"/>
    <w:rsid w:val="00D939DB"/>
    <w:rsid w:val="00D93F0D"/>
    <w:rsid w:val="00D93FB3"/>
    <w:rsid w:val="00D9413F"/>
    <w:rsid w:val="00D948D7"/>
    <w:rsid w:val="00D94B4B"/>
    <w:rsid w:val="00D953A0"/>
    <w:rsid w:val="00D9599F"/>
    <w:rsid w:val="00D95F57"/>
    <w:rsid w:val="00D961D9"/>
    <w:rsid w:val="00D9630F"/>
    <w:rsid w:val="00D96CF8"/>
    <w:rsid w:val="00D96ED0"/>
    <w:rsid w:val="00D96FF1"/>
    <w:rsid w:val="00D97370"/>
    <w:rsid w:val="00D9738C"/>
    <w:rsid w:val="00DA046C"/>
    <w:rsid w:val="00DA0CB6"/>
    <w:rsid w:val="00DA1257"/>
    <w:rsid w:val="00DA16F7"/>
    <w:rsid w:val="00DA1D08"/>
    <w:rsid w:val="00DA1DC8"/>
    <w:rsid w:val="00DA248B"/>
    <w:rsid w:val="00DA2754"/>
    <w:rsid w:val="00DA2BBD"/>
    <w:rsid w:val="00DA30F3"/>
    <w:rsid w:val="00DA3692"/>
    <w:rsid w:val="00DA3BB5"/>
    <w:rsid w:val="00DA3FC6"/>
    <w:rsid w:val="00DA4C7B"/>
    <w:rsid w:val="00DA4E24"/>
    <w:rsid w:val="00DA55E3"/>
    <w:rsid w:val="00DA6262"/>
    <w:rsid w:val="00DA645F"/>
    <w:rsid w:val="00DA6802"/>
    <w:rsid w:val="00DA6CA4"/>
    <w:rsid w:val="00DA7FEE"/>
    <w:rsid w:val="00DB01D9"/>
    <w:rsid w:val="00DB02FF"/>
    <w:rsid w:val="00DB0997"/>
    <w:rsid w:val="00DB0DCF"/>
    <w:rsid w:val="00DB0FFE"/>
    <w:rsid w:val="00DB1465"/>
    <w:rsid w:val="00DB16B1"/>
    <w:rsid w:val="00DB17DB"/>
    <w:rsid w:val="00DB1E01"/>
    <w:rsid w:val="00DB220D"/>
    <w:rsid w:val="00DB30A8"/>
    <w:rsid w:val="00DB332E"/>
    <w:rsid w:val="00DB33F9"/>
    <w:rsid w:val="00DB3E3C"/>
    <w:rsid w:val="00DB4225"/>
    <w:rsid w:val="00DB436E"/>
    <w:rsid w:val="00DB4E9C"/>
    <w:rsid w:val="00DB51DA"/>
    <w:rsid w:val="00DB5205"/>
    <w:rsid w:val="00DB5597"/>
    <w:rsid w:val="00DB5717"/>
    <w:rsid w:val="00DB5A7D"/>
    <w:rsid w:val="00DB5AE6"/>
    <w:rsid w:val="00DB5AFC"/>
    <w:rsid w:val="00DB5E79"/>
    <w:rsid w:val="00DB6409"/>
    <w:rsid w:val="00DB674A"/>
    <w:rsid w:val="00DB681D"/>
    <w:rsid w:val="00DB6B69"/>
    <w:rsid w:val="00DB706D"/>
    <w:rsid w:val="00DB709A"/>
    <w:rsid w:val="00DB7893"/>
    <w:rsid w:val="00DC00B5"/>
    <w:rsid w:val="00DC05C7"/>
    <w:rsid w:val="00DC090E"/>
    <w:rsid w:val="00DC0D44"/>
    <w:rsid w:val="00DC0DBF"/>
    <w:rsid w:val="00DC1448"/>
    <w:rsid w:val="00DC1FB7"/>
    <w:rsid w:val="00DC2367"/>
    <w:rsid w:val="00DC2B46"/>
    <w:rsid w:val="00DC2B78"/>
    <w:rsid w:val="00DC2C5F"/>
    <w:rsid w:val="00DC3377"/>
    <w:rsid w:val="00DC35B8"/>
    <w:rsid w:val="00DC3DDA"/>
    <w:rsid w:val="00DC4116"/>
    <w:rsid w:val="00DC4486"/>
    <w:rsid w:val="00DC4912"/>
    <w:rsid w:val="00DC4A12"/>
    <w:rsid w:val="00DC5341"/>
    <w:rsid w:val="00DC54A3"/>
    <w:rsid w:val="00DC5940"/>
    <w:rsid w:val="00DC5EB3"/>
    <w:rsid w:val="00DC6114"/>
    <w:rsid w:val="00DC6EF3"/>
    <w:rsid w:val="00DC6FE6"/>
    <w:rsid w:val="00DC7CA6"/>
    <w:rsid w:val="00DC7F90"/>
    <w:rsid w:val="00DD0678"/>
    <w:rsid w:val="00DD14FE"/>
    <w:rsid w:val="00DD15D2"/>
    <w:rsid w:val="00DD1DD5"/>
    <w:rsid w:val="00DD1F38"/>
    <w:rsid w:val="00DD20EF"/>
    <w:rsid w:val="00DD232B"/>
    <w:rsid w:val="00DD2776"/>
    <w:rsid w:val="00DD2EF6"/>
    <w:rsid w:val="00DD2F85"/>
    <w:rsid w:val="00DD344D"/>
    <w:rsid w:val="00DD39FD"/>
    <w:rsid w:val="00DD41CD"/>
    <w:rsid w:val="00DD429F"/>
    <w:rsid w:val="00DD461C"/>
    <w:rsid w:val="00DD4B85"/>
    <w:rsid w:val="00DD5402"/>
    <w:rsid w:val="00DD57A9"/>
    <w:rsid w:val="00DD586F"/>
    <w:rsid w:val="00DD5E0B"/>
    <w:rsid w:val="00DD6702"/>
    <w:rsid w:val="00DD6A73"/>
    <w:rsid w:val="00DD6CCC"/>
    <w:rsid w:val="00DD715C"/>
    <w:rsid w:val="00DD7469"/>
    <w:rsid w:val="00DD7539"/>
    <w:rsid w:val="00DD78EC"/>
    <w:rsid w:val="00DD7F1E"/>
    <w:rsid w:val="00DE01B6"/>
    <w:rsid w:val="00DE07AD"/>
    <w:rsid w:val="00DE0D4B"/>
    <w:rsid w:val="00DE1B1C"/>
    <w:rsid w:val="00DE29C0"/>
    <w:rsid w:val="00DE2EA5"/>
    <w:rsid w:val="00DE311C"/>
    <w:rsid w:val="00DE3E10"/>
    <w:rsid w:val="00DE40AA"/>
    <w:rsid w:val="00DE415F"/>
    <w:rsid w:val="00DE490B"/>
    <w:rsid w:val="00DE5B36"/>
    <w:rsid w:val="00DE6935"/>
    <w:rsid w:val="00DE6A6D"/>
    <w:rsid w:val="00DE76CC"/>
    <w:rsid w:val="00DE777D"/>
    <w:rsid w:val="00DE7BE2"/>
    <w:rsid w:val="00DE7F13"/>
    <w:rsid w:val="00DE7F9A"/>
    <w:rsid w:val="00DF076D"/>
    <w:rsid w:val="00DF0928"/>
    <w:rsid w:val="00DF0C99"/>
    <w:rsid w:val="00DF102E"/>
    <w:rsid w:val="00DF1136"/>
    <w:rsid w:val="00DF12BD"/>
    <w:rsid w:val="00DF1588"/>
    <w:rsid w:val="00DF182D"/>
    <w:rsid w:val="00DF18EE"/>
    <w:rsid w:val="00DF1AF7"/>
    <w:rsid w:val="00DF1ED1"/>
    <w:rsid w:val="00DF1FCC"/>
    <w:rsid w:val="00DF2069"/>
    <w:rsid w:val="00DF258F"/>
    <w:rsid w:val="00DF25DF"/>
    <w:rsid w:val="00DF2794"/>
    <w:rsid w:val="00DF395C"/>
    <w:rsid w:val="00DF459B"/>
    <w:rsid w:val="00DF47DB"/>
    <w:rsid w:val="00DF4873"/>
    <w:rsid w:val="00DF4E31"/>
    <w:rsid w:val="00DF5675"/>
    <w:rsid w:val="00DF5BAA"/>
    <w:rsid w:val="00DF5EA3"/>
    <w:rsid w:val="00DF6FB9"/>
    <w:rsid w:val="00DF70E5"/>
    <w:rsid w:val="00DF75AB"/>
    <w:rsid w:val="00DF77BD"/>
    <w:rsid w:val="00DF7886"/>
    <w:rsid w:val="00DF7959"/>
    <w:rsid w:val="00DF7BB6"/>
    <w:rsid w:val="00DF7CEB"/>
    <w:rsid w:val="00E0001E"/>
    <w:rsid w:val="00E000B1"/>
    <w:rsid w:val="00E00C6E"/>
    <w:rsid w:val="00E00EC4"/>
    <w:rsid w:val="00E01429"/>
    <w:rsid w:val="00E018D0"/>
    <w:rsid w:val="00E01DF6"/>
    <w:rsid w:val="00E01F1E"/>
    <w:rsid w:val="00E02BEA"/>
    <w:rsid w:val="00E02F63"/>
    <w:rsid w:val="00E03C26"/>
    <w:rsid w:val="00E03D8C"/>
    <w:rsid w:val="00E04783"/>
    <w:rsid w:val="00E04CE7"/>
    <w:rsid w:val="00E052BE"/>
    <w:rsid w:val="00E0575F"/>
    <w:rsid w:val="00E05D98"/>
    <w:rsid w:val="00E0626C"/>
    <w:rsid w:val="00E06492"/>
    <w:rsid w:val="00E06764"/>
    <w:rsid w:val="00E06FF0"/>
    <w:rsid w:val="00E106B0"/>
    <w:rsid w:val="00E10ADD"/>
    <w:rsid w:val="00E10C3C"/>
    <w:rsid w:val="00E10C88"/>
    <w:rsid w:val="00E11883"/>
    <w:rsid w:val="00E11FFF"/>
    <w:rsid w:val="00E12079"/>
    <w:rsid w:val="00E12EE7"/>
    <w:rsid w:val="00E13285"/>
    <w:rsid w:val="00E1376B"/>
    <w:rsid w:val="00E138F3"/>
    <w:rsid w:val="00E13950"/>
    <w:rsid w:val="00E13978"/>
    <w:rsid w:val="00E1550C"/>
    <w:rsid w:val="00E15D1A"/>
    <w:rsid w:val="00E161F7"/>
    <w:rsid w:val="00E16315"/>
    <w:rsid w:val="00E16A1A"/>
    <w:rsid w:val="00E1744D"/>
    <w:rsid w:val="00E17712"/>
    <w:rsid w:val="00E206BE"/>
    <w:rsid w:val="00E20723"/>
    <w:rsid w:val="00E21174"/>
    <w:rsid w:val="00E21B8D"/>
    <w:rsid w:val="00E2277F"/>
    <w:rsid w:val="00E22825"/>
    <w:rsid w:val="00E229CC"/>
    <w:rsid w:val="00E23618"/>
    <w:rsid w:val="00E238F6"/>
    <w:rsid w:val="00E23AF9"/>
    <w:rsid w:val="00E23F3A"/>
    <w:rsid w:val="00E24E0E"/>
    <w:rsid w:val="00E24F15"/>
    <w:rsid w:val="00E252BE"/>
    <w:rsid w:val="00E256F0"/>
    <w:rsid w:val="00E258B1"/>
    <w:rsid w:val="00E25A2A"/>
    <w:rsid w:val="00E25AD8"/>
    <w:rsid w:val="00E2740F"/>
    <w:rsid w:val="00E27508"/>
    <w:rsid w:val="00E277DA"/>
    <w:rsid w:val="00E27A3E"/>
    <w:rsid w:val="00E27F1D"/>
    <w:rsid w:val="00E27F2D"/>
    <w:rsid w:val="00E30870"/>
    <w:rsid w:val="00E30F9B"/>
    <w:rsid w:val="00E31529"/>
    <w:rsid w:val="00E31813"/>
    <w:rsid w:val="00E3198C"/>
    <w:rsid w:val="00E31E0C"/>
    <w:rsid w:val="00E31E1A"/>
    <w:rsid w:val="00E31F6B"/>
    <w:rsid w:val="00E3240B"/>
    <w:rsid w:val="00E324EB"/>
    <w:rsid w:val="00E326C2"/>
    <w:rsid w:val="00E3287A"/>
    <w:rsid w:val="00E32D1D"/>
    <w:rsid w:val="00E33989"/>
    <w:rsid w:val="00E339AD"/>
    <w:rsid w:val="00E33B3E"/>
    <w:rsid w:val="00E33CD1"/>
    <w:rsid w:val="00E33F53"/>
    <w:rsid w:val="00E33F62"/>
    <w:rsid w:val="00E344C2"/>
    <w:rsid w:val="00E34999"/>
    <w:rsid w:val="00E349F9"/>
    <w:rsid w:val="00E34B22"/>
    <w:rsid w:val="00E34C22"/>
    <w:rsid w:val="00E34ED4"/>
    <w:rsid w:val="00E3541C"/>
    <w:rsid w:val="00E35ED3"/>
    <w:rsid w:val="00E36B06"/>
    <w:rsid w:val="00E375B4"/>
    <w:rsid w:val="00E37645"/>
    <w:rsid w:val="00E37C02"/>
    <w:rsid w:val="00E4066C"/>
    <w:rsid w:val="00E40782"/>
    <w:rsid w:val="00E40ADC"/>
    <w:rsid w:val="00E41517"/>
    <w:rsid w:val="00E4164F"/>
    <w:rsid w:val="00E41FA5"/>
    <w:rsid w:val="00E42048"/>
    <w:rsid w:val="00E42AEB"/>
    <w:rsid w:val="00E42EA0"/>
    <w:rsid w:val="00E43A3A"/>
    <w:rsid w:val="00E44586"/>
    <w:rsid w:val="00E44748"/>
    <w:rsid w:val="00E44A20"/>
    <w:rsid w:val="00E4511E"/>
    <w:rsid w:val="00E45663"/>
    <w:rsid w:val="00E45EF1"/>
    <w:rsid w:val="00E46001"/>
    <w:rsid w:val="00E46126"/>
    <w:rsid w:val="00E46A36"/>
    <w:rsid w:val="00E46EE7"/>
    <w:rsid w:val="00E47E77"/>
    <w:rsid w:val="00E501E7"/>
    <w:rsid w:val="00E5020D"/>
    <w:rsid w:val="00E50925"/>
    <w:rsid w:val="00E50EF3"/>
    <w:rsid w:val="00E51335"/>
    <w:rsid w:val="00E517EB"/>
    <w:rsid w:val="00E52BA6"/>
    <w:rsid w:val="00E53631"/>
    <w:rsid w:val="00E53C37"/>
    <w:rsid w:val="00E53E69"/>
    <w:rsid w:val="00E54078"/>
    <w:rsid w:val="00E54336"/>
    <w:rsid w:val="00E543BE"/>
    <w:rsid w:val="00E550B1"/>
    <w:rsid w:val="00E561BB"/>
    <w:rsid w:val="00E572CE"/>
    <w:rsid w:val="00E574F3"/>
    <w:rsid w:val="00E60140"/>
    <w:rsid w:val="00E604B2"/>
    <w:rsid w:val="00E60862"/>
    <w:rsid w:val="00E61846"/>
    <w:rsid w:val="00E61F51"/>
    <w:rsid w:val="00E62082"/>
    <w:rsid w:val="00E62084"/>
    <w:rsid w:val="00E6224F"/>
    <w:rsid w:val="00E626D1"/>
    <w:rsid w:val="00E62D84"/>
    <w:rsid w:val="00E63179"/>
    <w:rsid w:val="00E6330D"/>
    <w:rsid w:val="00E63F65"/>
    <w:rsid w:val="00E64098"/>
    <w:rsid w:val="00E64508"/>
    <w:rsid w:val="00E6474E"/>
    <w:rsid w:val="00E65107"/>
    <w:rsid w:val="00E6583C"/>
    <w:rsid w:val="00E659C8"/>
    <w:rsid w:val="00E65A50"/>
    <w:rsid w:val="00E665BE"/>
    <w:rsid w:val="00E66761"/>
    <w:rsid w:val="00E667E9"/>
    <w:rsid w:val="00E66C25"/>
    <w:rsid w:val="00E66D84"/>
    <w:rsid w:val="00E67638"/>
    <w:rsid w:val="00E67C35"/>
    <w:rsid w:val="00E67DF4"/>
    <w:rsid w:val="00E700F6"/>
    <w:rsid w:val="00E70137"/>
    <w:rsid w:val="00E70905"/>
    <w:rsid w:val="00E70E9E"/>
    <w:rsid w:val="00E70F0D"/>
    <w:rsid w:val="00E71119"/>
    <w:rsid w:val="00E728F0"/>
    <w:rsid w:val="00E72EE6"/>
    <w:rsid w:val="00E730AB"/>
    <w:rsid w:val="00E730D7"/>
    <w:rsid w:val="00E73151"/>
    <w:rsid w:val="00E731A4"/>
    <w:rsid w:val="00E7394E"/>
    <w:rsid w:val="00E74757"/>
    <w:rsid w:val="00E74D89"/>
    <w:rsid w:val="00E74EBC"/>
    <w:rsid w:val="00E74F61"/>
    <w:rsid w:val="00E751D1"/>
    <w:rsid w:val="00E7593E"/>
    <w:rsid w:val="00E75A31"/>
    <w:rsid w:val="00E75BE6"/>
    <w:rsid w:val="00E7600B"/>
    <w:rsid w:val="00E76190"/>
    <w:rsid w:val="00E762D2"/>
    <w:rsid w:val="00E76B85"/>
    <w:rsid w:val="00E76C2D"/>
    <w:rsid w:val="00E76F8D"/>
    <w:rsid w:val="00E80014"/>
    <w:rsid w:val="00E8007C"/>
    <w:rsid w:val="00E805E3"/>
    <w:rsid w:val="00E807C9"/>
    <w:rsid w:val="00E810C1"/>
    <w:rsid w:val="00E81491"/>
    <w:rsid w:val="00E817DF"/>
    <w:rsid w:val="00E82150"/>
    <w:rsid w:val="00E8230D"/>
    <w:rsid w:val="00E8299C"/>
    <w:rsid w:val="00E82BC0"/>
    <w:rsid w:val="00E8344E"/>
    <w:rsid w:val="00E83645"/>
    <w:rsid w:val="00E83877"/>
    <w:rsid w:val="00E84203"/>
    <w:rsid w:val="00E84276"/>
    <w:rsid w:val="00E842FD"/>
    <w:rsid w:val="00E84ABC"/>
    <w:rsid w:val="00E84AD0"/>
    <w:rsid w:val="00E8500A"/>
    <w:rsid w:val="00E853C7"/>
    <w:rsid w:val="00E8573C"/>
    <w:rsid w:val="00E85817"/>
    <w:rsid w:val="00E85AF4"/>
    <w:rsid w:val="00E860B7"/>
    <w:rsid w:val="00E86157"/>
    <w:rsid w:val="00E864BF"/>
    <w:rsid w:val="00E86CEA"/>
    <w:rsid w:val="00E86CF9"/>
    <w:rsid w:val="00E86EE6"/>
    <w:rsid w:val="00E87015"/>
    <w:rsid w:val="00E8791E"/>
    <w:rsid w:val="00E87F32"/>
    <w:rsid w:val="00E907A3"/>
    <w:rsid w:val="00E9082B"/>
    <w:rsid w:val="00E90D87"/>
    <w:rsid w:val="00E925D9"/>
    <w:rsid w:val="00E92F60"/>
    <w:rsid w:val="00E93233"/>
    <w:rsid w:val="00E935BA"/>
    <w:rsid w:val="00E93A7C"/>
    <w:rsid w:val="00E93E57"/>
    <w:rsid w:val="00E946A9"/>
    <w:rsid w:val="00E94C99"/>
    <w:rsid w:val="00E94CAC"/>
    <w:rsid w:val="00E9501E"/>
    <w:rsid w:val="00E951C2"/>
    <w:rsid w:val="00E958F0"/>
    <w:rsid w:val="00E95B80"/>
    <w:rsid w:val="00E96448"/>
    <w:rsid w:val="00E96596"/>
    <w:rsid w:val="00E969BD"/>
    <w:rsid w:val="00E96A72"/>
    <w:rsid w:val="00E96AD3"/>
    <w:rsid w:val="00E97266"/>
    <w:rsid w:val="00E978D6"/>
    <w:rsid w:val="00E978F0"/>
    <w:rsid w:val="00EA0184"/>
    <w:rsid w:val="00EA0391"/>
    <w:rsid w:val="00EA0518"/>
    <w:rsid w:val="00EA0664"/>
    <w:rsid w:val="00EA0FFA"/>
    <w:rsid w:val="00EA1459"/>
    <w:rsid w:val="00EA1966"/>
    <w:rsid w:val="00EA2197"/>
    <w:rsid w:val="00EA2340"/>
    <w:rsid w:val="00EA26C8"/>
    <w:rsid w:val="00EA2724"/>
    <w:rsid w:val="00EA2E69"/>
    <w:rsid w:val="00EA301F"/>
    <w:rsid w:val="00EA3900"/>
    <w:rsid w:val="00EA44B5"/>
    <w:rsid w:val="00EA4B65"/>
    <w:rsid w:val="00EA53DD"/>
    <w:rsid w:val="00EA56A1"/>
    <w:rsid w:val="00EA5E85"/>
    <w:rsid w:val="00EA5EDB"/>
    <w:rsid w:val="00EA6F74"/>
    <w:rsid w:val="00EA6FB2"/>
    <w:rsid w:val="00EA7404"/>
    <w:rsid w:val="00EA7739"/>
    <w:rsid w:val="00EA7FBA"/>
    <w:rsid w:val="00EB0068"/>
    <w:rsid w:val="00EB05A6"/>
    <w:rsid w:val="00EB0ADE"/>
    <w:rsid w:val="00EB106D"/>
    <w:rsid w:val="00EB1B57"/>
    <w:rsid w:val="00EB1FA1"/>
    <w:rsid w:val="00EB2141"/>
    <w:rsid w:val="00EB2A26"/>
    <w:rsid w:val="00EB2DBC"/>
    <w:rsid w:val="00EB39EC"/>
    <w:rsid w:val="00EB3A3D"/>
    <w:rsid w:val="00EB3B99"/>
    <w:rsid w:val="00EB3C38"/>
    <w:rsid w:val="00EB3E66"/>
    <w:rsid w:val="00EB4209"/>
    <w:rsid w:val="00EB47DE"/>
    <w:rsid w:val="00EB4F07"/>
    <w:rsid w:val="00EB4F13"/>
    <w:rsid w:val="00EB554C"/>
    <w:rsid w:val="00EB55C6"/>
    <w:rsid w:val="00EB5939"/>
    <w:rsid w:val="00EB5CB3"/>
    <w:rsid w:val="00EB603D"/>
    <w:rsid w:val="00EB62E8"/>
    <w:rsid w:val="00EB6517"/>
    <w:rsid w:val="00EB67A5"/>
    <w:rsid w:val="00EB6DED"/>
    <w:rsid w:val="00EB6EF7"/>
    <w:rsid w:val="00EB7053"/>
    <w:rsid w:val="00EB7175"/>
    <w:rsid w:val="00EB747A"/>
    <w:rsid w:val="00EB78C9"/>
    <w:rsid w:val="00EC011E"/>
    <w:rsid w:val="00EC142E"/>
    <w:rsid w:val="00EC192B"/>
    <w:rsid w:val="00EC1A9E"/>
    <w:rsid w:val="00EC208C"/>
    <w:rsid w:val="00EC2256"/>
    <w:rsid w:val="00EC2AB2"/>
    <w:rsid w:val="00EC2E58"/>
    <w:rsid w:val="00EC2FF1"/>
    <w:rsid w:val="00EC32C7"/>
    <w:rsid w:val="00EC3415"/>
    <w:rsid w:val="00EC3666"/>
    <w:rsid w:val="00EC3A70"/>
    <w:rsid w:val="00EC3B9F"/>
    <w:rsid w:val="00EC3DA5"/>
    <w:rsid w:val="00EC4BC7"/>
    <w:rsid w:val="00EC4DC0"/>
    <w:rsid w:val="00EC5BD0"/>
    <w:rsid w:val="00EC5D9D"/>
    <w:rsid w:val="00EC5EBF"/>
    <w:rsid w:val="00EC60C9"/>
    <w:rsid w:val="00EC6540"/>
    <w:rsid w:val="00EC73C9"/>
    <w:rsid w:val="00EC7621"/>
    <w:rsid w:val="00EC77C7"/>
    <w:rsid w:val="00EC7A79"/>
    <w:rsid w:val="00EC7EB2"/>
    <w:rsid w:val="00ED00A0"/>
    <w:rsid w:val="00ED04DC"/>
    <w:rsid w:val="00ED12BC"/>
    <w:rsid w:val="00ED1FBC"/>
    <w:rsid w:val="00ED204D"/>
    <w:rsid w:val="00ED223C"/>
    <w:rsid w:val="00ED2989"/>
    <w:rsid w:val="00ED2F30"/>
    <w:rsid w:val="00ED34C3"/>
    <w:rsid w:val="00ED3853"/>
    <w:rsid w:val="00ED3C64"/>
    <w:rsid w:val="00ED55F9"/>
    <w:rsid w:val="00ED5E05"/>
    <w:rsid w:val="00ED67E4"/>
    <w:rsid w:val="00ED685E"/>
    <w:rsid w:val="00ED691E"/>
    <w:rsid w:val="00ED6C42"/>
    <w:rsid w:val="00ED7521"/>
    <w:rsid w:val="00ED78D5"/>
    <w:rsid w:val="00ED7FD1"/>
    <w:rsid w:val="00EE001E"/>
    <w:rsid w:val="00EE037F"/>
    <w:rsid w:val="00EE070C"/>
    <w:rsid w:val="00EE0CF9"/>
    <w:rsid w:val="00EE1594"/>
    <w:rsid w:val="00EE1E7F"/>
    <w:rsid w:val="00EE1F57"/>
    <w:rsid w:val="00EE2148"/>
    <w:rsid w:val="00EE232B"/>
    <w:rsid w:val="00EE26B2"/>
    <w:rsid w:val="00EE2AC3"/>
    <w:rsid w:val="00EE30FA"/>
    <w:rsid w:val="00EE355C"/>
    <w:rsid w:val="00EE3C29"/>
    <w:rsid w:val="00EE421C"/>
    <w:rsid w:val="00EE437C"/>
    <w:rsid w:val="00EE4BE9"/>
    <w:rsid w:val="00EE4DF0"/>
    <w:rsid w:val="00EE52A7"/>
    <w:rsid w:val="00EE55ED"/>
    <w:rsid w:val="00EE56EC"/>
    <w:rsid w:val="00EE5C1C"/>
    <w:rsid w:val="00EE63DB"/>
    <w:rsid w:val="00EE66D6"/>
    <w:rsid w:val="00EE6891"/>
    <w:rsid w:val="00EE705B"/>
    <w:rsid w:val="00EE72D0"/>
    <w:rsid w:val="00EF03B4"/>
    <w:rsid w:val="00EF07FA"/>
    <w:rsid w:val="00EF089D"/>
    <w:rsid w:val="00EF0CB6"/>
    <w:rsid w:val="00EF11B6"/>
    <w:rsid w:val="00EF1472"/>
    <w:rsid w:val="00EF1584"/>
    <w:rsid w:val="00EF1688"/>
    <w:rsid w:val="00EF1A52"/>
    <w:rsid w:val="00EF1D64"/>
    <w:rsid w:val="00EF1E0F"/>
    <w:rsid w:val="00EF1FB7"/>
    <w:rsid w:val="00EF2556"/>
    <w:rsid w:val="00EF26D8"/>
    <w:rsid w:val="00EF2D6E"/>
    <w:rsid w:val="00EF368F"/>
    <w:rsid w:val="00EF371F"/>
    <w:rsid w:val="00EF3C90"/>
    <w:rsid w:val="00EF3C9E"/>
    <w:rsid w:val="00EF47E3"/>
    <w:rsid w:val="00EF502B"/>
    <w:rsid w:val="00EF5291"/>
    <w:rsid w:val="00EF539B"/>
    <w:rsid w:val="00EF5CE8"/>
    <w:rsid w:val="00EF5E3C"/>
    <w:rsid w:val="00EF6263"/>
    <w:rsid w:val="00EF6395"/>
    <w:rsid w:val="00EF6595"/>
    <w:rsid w:val="00EF6825"/>
    <w:rsid w:val="00EF6929"/>
    <w:rsid w:val="00EF6EBE"/>
    <w:rsid w:val="00EF6F15"/>
    <w:rsid w:val="00F00345"/>
    <w:rsid w:val="00F00CF7"/>
    <w:rsid w:val="00F01853"/>
    <w:rsid w:val="00F02D2D"/>
    <w:rsid w:val="00F0314E"/>
    <w:rsid w:val="00F032F6"/>
    <w:rsid w:val="00F03410"/>
    <w:rsid w:val="00F03925"/>
    <w:rsid w:val="00F047D7"/>
    <w:rsid w:val="00F049B9"/>
    <w:rsid w:val="00F052D6"/>
    <w:rsid w:val="00F0533E"/>
    <w:rsid w:val="00F05A78"/>
    <w:rsid w:val="00F05C1E"/>
    <w:rsid w:val="00F05D91"/>
    <w:rsid w:val="00F06E09"/>
    <w:rsid w:val="00F06E47"/>
    <w:rsid w:val="00F073BE"/>
    <w:rsid w:val="00F07541"/>
    <w:rsid w:val="00F075AC"/>
    <w:rsid w:val="00F07EEB"/>
    <w:rsid w:val="00F07EFF"/>
    <w:rsid w:val="00F101D6"/>
    <w:rsid w:val="00F102E1"/>
    <w:rsid w:val="00F103D4"/>
    <w:rsid w:val="00F106F6"/>
    <w:rsid w:val="00F10C2B"/>
    <w:rsid w:val="00F10CCB"/>
    <w:rsid w:val="00F1116C"/>
    <w:rsid w:val="00F114DE"/>
    <w:rsid w:val="00F11A6F"/>
    <w:rsid w:val="00F120EF"/>
    <w:rsid w:val="00F12153"/>
    <w:rsid w:val="00F121F5"/>
    <w:rsid w:val="00F128BE"/>
    <w:rsid w:val="00F12C6F"/>
    <w:rsid w:val="00F12CC7"/>
    <w:rsid w:val="00F12EF9"/>
    <w:rsid w:val="00F1378A"/>
    <w:rsid w:val="00F1383A"/>
    <w:rsid w:val="00F14009"/>
    <w:rsid w:val="00F14175"/>
    <w:rsid w:val="00F14439"/>
    <w:rsid w:val="00F14456"/>
    <w:rsid w:val="00F1459D"/>
    <w:rsid w:val="00F14B3A"/>
    <w:rsid w:val="00F14EC9"/>
    <w:rsid w:val="00F156C1"/>
    <w:rsid w:val="00F16967"/>
    <w:rsid w:val="00F17124"/>
    <w:rsid w:val="00F2090F"/>
    <w:rsid w:val="00F211E1"/>
    <w:rsid w:val="00F21243"/>
    <w:rsid w:val="00F21358"/>
    <w:rsid w:val="00F21830"/>
    <w:rsid w:val="00F21DB3"/>
    <w:rsid w:val="00F22859"/>
    <w:rsid w:val="00F231EF"/>
    <w:rsid w:val="00F231F9"/>
    <w:rsid w:val="00F2341C"/>
    <w:rsid w:val="00F23588"/>
    <w:rsid w:val="00F23C3B"/>
    <w:rsid w:val="00F23DB3"/>
    <w:rsid w:val="00F243A2"/>
    <w:rsid w:val="00F24889"/>
    <w:rsid w:val="00F2519A"/>
    <w:rsid w:val="00F25A11"/>
    <w:rsid w:val="00F25A4E"/>
    <w:rsid w:val="00F26150"/>
    <w:rsid w:val="00F261AB"/>
    <w:rsid w:val="00F26422"/>
    <w:rsid w:val="00F26923"/>
    <w:rsid w:val="00F27108"/>
    <w:rsid w:val="00F27C1F"/>
    <w:rsid w:val="00F30246"/>
    <w:rsid w:val="00F30C37"/>
    <w:rsid w:val="00F31045"/>
    <w:rsid w:val="00F31073"/>
    <w:rsid w:val="00F31E5C"/>
    <w:rsid w:val="00F31F26"/>
    <w:rsid w:val="00F3229A"/>
    <w:rsid w:val="00F32A15"/>
    <w:rsid w:val="00F34059"/>
    <w:rsid w:val="00F3464C"/>
    <w:rsid w:val="00F3471C"/>
    <w:rsid w:val="00F34DCC"/>
    <w:rsid w:val="00F35254"/>
    <w:rsid w:val="00F35B5A"/>
    <w:rsid w:val="00F35B99"/>
    <w:rsid w:val="00F35CD3"/>
    <w:rsid w:val="00F36390"/>
    <w:rsid w:val="00F364C9"/>
    <w:rsid w:val="00F36940"/>
    <w:rsid w:val="00F36976"/>
    <w:rsid w:val="00F369BD"/>
    <w:rsid w:val="00F36FC3"/>
    <w:rsid w:val="00F371E8"/>
    <w:rsid w:val="00F377E4"/>
    <w:rsid w:val="00F37B30"/>
    <w:rsid w:val="00F4074F"/>
    <w:rsid w:val="00F407B6"/>
    <w:rsid w:val="00F408E2"/>
    <w:rsid w:val="00F40ABD"/>
    <w:rsid w:val="00F40F31"/>
    <w:rsid w:val="00F416A4"/>
    <w:rsid w:val="00F41799"/>
    <w:rsid w:val="00F41B55"/>
    <w:rsid w:val="00F4221A"/>
    <w:rsid w:val="00F423E7"/>
    <w:rsid w:val="00F42882"/>
    <w:rsid w:val="00F42DE8"/>
    <w:rsid w:val="00F43098"/>
    <w:rsid w:val="00F435CB"/>
    <w:rsid w:val="00F439F4"/>
    <w:rsid w:val="00F43A6F"/>
    <w:rsid w:val="00F44100"/>
    <w:rsid w:val="00F443A6"/>
    <w:rsid w:val="00F4459B"/>
    <w:rsid w:val="00F44B75"/>
    <w:rsid w:val="00F45A56"/>
    <w:rsid w:val="00F45D3D"/>
    <w:rsid w:val="00F46245"/>
    <w:rsid w:val="00F469C8"/>
    <w:rsid w:val="00F46A8D"/>
    <w:rsid w:val="00F47A16"/>
    <w:rsid w:val="00F47D41"/>
    <w:rsid w:val="00F51346"/>
    <w:rsid w:val="00F52089"/>
    <w:rsid w:val="00F523D8"/>
    <w:rsid w:val="00F52AFF"/>
    <w:rsid w:val="00F52BA7"/>
    <w:rsid w:val="00F53409"/>
    <w:rsid w:val="00F5358E"/>
    <w:rsid w:val="00F53967"/>
    <w:rsid w:val="00F53ABF"/>
    <w:rsid w:val="00F53BF9"/>
    <w:rsid w:val="00F54FBF"/>
    <w:rsid w:val="00F5523D"/>
    <w:rsid w:val="00F55245"/>
    <w:rsid w:val="00F566E1"/>
    <w:rsid w:val="00F56B35"/>
    <w:rsid w:val="00F56CDA"/>
    <w:rsid w:val="00F57190"/>
    <w:rsid w:val="00F5722E"/>
    <w:rsid w:val="00F57276"/>
    <w:rsid w:val="00F57A9F"/>
    <w:rsid w:val="00F57C50"/>
    <w:rsid w:val="00F57DC8"/>
    <w:rsid w:val="00F604F3"/>
    <w:rsid w:val="00F6050F"/>
    <w:rsid w:val="00F60523"/>
    <w:rsid w:val="00F606F8"/>
    <w:rsid w:val="00F60E37"/>
    <w:rsid w:val="00F60F33"/>
    <w:rsid w:val="00F612DB"/>
    <w:rsid w:val="00F61778"/>
    <w:rsid w:val="00F61ABA"/>
    <w:rsid w:val="00F61BBA"/>
    <w:rsid w:val="00F61CE8"/>
    <w:rsid w:val="00F61F09"/>
    <w:rsid w:val="00F62CF9"/>
    <w:rsid w:val="00F62F43"/>
    <w:rsid w:val="00F6375C"/>
    <w:rsid w:val="00F63C10"/>
    <w:rsid w:val="00F64726"/>
    <w:rsid w:val="00F65927"/>
    <w:rsid w:val="00F65A0B"/>
    <w:rsid w:val="00F65C05"/>
    <w:rsid w:val="00F65C21"/>
    <w:rsid w:val="00F66073"/>
    <w:rsid w:val="00F66512"/>
    <w:rsid w:val="00F6681D"/>
    <w:rsid w:val="00F66BB5"/>
    <w:rsid w:val="00F66C8C"/>
    <w:rsid w:val="00F66EE8"/>
    <w:rsid w:val="00F670CB"/>
    <w:rsid w:val="00F67769"/>
    <w:rsid w:val="00F67A1B"/>
    <w:rsid w:val="00F67E0C"/>
    <w:rsid w:val="00F703B4"/>
    <w:rsid w:val="00F70769"/>
    <w:rsid w:val="00F71169"/>
    <w:rsid w:val="00F713FB"/>
    <w:rsid w:val="00F72061"/>
    <w:rsid w:val="00F72AFF"/>
    <w:rsid w:val="00F72D07"/>
    <w:rsid w:val="00F72EB6"/>
    <w:rsid w:val="00F73295"/>
    <w:rsid w:val="00F737BE"/>
    <w:rsid w:val="00F73C19"/>
    <w:rsid w:val="00F744C0"/>
    <w:rsid w:val="00F7463A"/>
    <w:rsid w:val="00F74ED5"/>
    <w:rsid w:val="00F7514E"/>
    <w:rsid w:val="00F75329"/>
    <w:rsid w:val="00F75588"/>
    <w:rsid w:val="00F755ED"/>
    <w:rsid w:val="00F75811"/>
    <w:rsid w:val="00F75B88"/>
    <w:rsid w:val="00F76DC8"/>
    <w:rsid w:val="00F7733A"/>
    <w:rsid w:val="00F7778F"/>
    <w:rsid w:val="00F8000A"/>
    <w:rsid w:val="00F802AD"/>
    <w:rsid w:val="00F80778"/>
    <w:rsid w:val="00F807CE"/>
    <w:rsid w:val="00F809DE"/>
    <w:rsid w:val="00F80D3B"/>
    <w:rsid w:val="00F80F92"/>
    <w:rsid w:val="00F81A3D"/>
    <w:rsid w:val="00F81D49"/>
    <w:rsid w:val="00F81E74"/>
    <w:rsid w:val="00F82293"/>
    <w:rsid w:val="00F82A54"/>
    <w:rsid w:val="00F82AC3"/>
    <w:rsid w:val="00F82C63"/>
    <w:rsid w:val="00F83404"/>
    <w:rsid w:val="00F83C8B"/>
    <w:rsid w:val="00F84157"/>
    <w:rsid w:val="00F8523F"/>
    <w:rsid w:val="00F85A94"/>
    <w:rsid w:val="00F85D26"/>
    <w:rsid w:val="00F8659A"/>
    <w:rsid w:val="00F86FE0"/>
    <w:rsid w:val="00F87007"/>
    <w:rsid w:val="00F871DB"/>
    <w:rsid w:val="00F87321"/>
    <w:rsid w:val="00F8740E"/>
    <w:rsid w:val="00F8750E"/>
    <w:rsid w:val="00F879FA"/>
    <w:rsid w:val="00F87C58"/>
    <w:rsid w:val="00F90208"/>
    <w:rsid w:val="00F905E1"/>
    <w:rsid w:val="00F90761"/>
    <w:rsid w:val="00F90DBF"/>
    <w:rsid w:val="00F91432"/>
    <w:rsid w:val="00F91771"/>
    <w:rsid w:val="00F920B8"/>
    <w:rsid w:val="00F92462"/>
    <w:rsid w:val="00F92C77"/>
    <w:rsid w:val="00F93C51"/>
    <w:rsid w:val="00F93E6A"/>
    <w:rsid w:val="00F94505"/>
    <w:rsid w:val="00F9502C"/>
    <w:rsid w:val="00F95AA5"/>
    <w:rsid w:val="00F95C3F"/>
    <w:rsid w:val="00F95D85"/>
    <w:rsid w:val="00F9600A"/>
    <w:rsid w:val="00F96101"/>
    <w:rsid w:val="00F961AE"/>
    <w:rsid w:val="00F96635"/>
    <w:rsid w:val="00F966B6"/>
    <w:rsid w:val="00F96B01"/>
    <w:rsid w:val="00F9744D"/>
    <w:rsid w:val="00F977D2"/>
    <w:rsid w:val="00FA06F5"/>
    <w:rsid w:val="00FA07EC"/>
    <w:rsid w:val="00FA1045"/>
    <w:rsid w:val="00FA1980"/>
    <w:rsid w:val="00FA1A03"/>
    <w:rsid w:val="00FA1B0D"/>
    <w:rsid w:val="00FA1B76"/>
    <w:rsid w:val="00FA1C10"/>
    <w:rsid w:val="00FA22A8"/>
    <w:rsid w:val="00FA2458"/>
    <w:rsid w:val="00FA273F"/>
    <w:rsid w:val="00FA277F"/>
    <w:rsid w:val="00FA2AF3"/>
    <w:rsid w:val="00FA2B3B"/>
    <w:rsid w:val="00FA2CE4"/>
    <w:rsid w:val="00FA30AF"/>
    <w:rsid w:val="00FA3AA6"/>
    <w:rsid w:val="00FA4520"/>
    <w:rsid w:val="00FA466C"/>
    <w:rsid w:val="00FA4F30"/>
    <w:rsid w:val="00FA4FF6"/>
    <w:rsid w:val="00FA530F"/>
    <w:rsid w:val="00FA5D4F"/>
    <w:rsid w:val="00FA649D"/>
    <w:rsid w:val="00FA6AF2"/>
    <w:rsid w:val="00FA6BC2"/>
    <w:rsid w:val="00FA6C01"/>
    <w:rsid w:val="00FA6C9B"/>
    <w:rsid w:val="00FA7025"/>
    <w:rsid w:val="00FA72E8"/>
    <w:rsid w:val="00FA753E"/>
    <w:rsid w:val="00FB05BB"/>
    <w:rsid w:val="00FB0BC0"/>
    <w:rsid w:val="00FB0C66"/>
    <w:rsid w:val="00FB0E77"/>
    <w:rsid w:val="00FB1673"/>
    <w:rsid w:val="00FB1E46"/>
    <w:rsid w:val="00FB2241"/>
    <w:rsid w:val="00FB2CDD"/>
    <w:rsid w:val="00FB2DD6"/>
    <w:rsid w:val="00FB3B14"/>
    <w:rsid w:val="00FB3BEC"/>
    <w:rsid w:val="00FB3EC5"/>
    <w:rsid w:val="00FB4190"/>
    <w:rsid w:val="00FB41A1"/>
    <w:rsid w:val="00FB4304"/>
    <w:rsid w:val="00FB4A7E"/>
    <w:rsid w:val="00FB51D3"/>
    <w:rsid w:val="00FB5393"/>
    <w:rsid w:val="00FB5A62"/>
    <w:rsid w:val="00FB5D55"/>
    <w:rsid w:val="00FB6A69"/>
    <w:rsid w:val="00FB6FD5"/>
    <w:rsid w:val="00FB7739"/>
    <w:rsid w:val="00FB7EE1"/>
    <w:rsid w:val="00FC0B07"/>
    <w:rsid w:val="00FC0CD9"/>
    <w:rsid w:val="00FC10D1"/>
    <w:rsid w:val="00FC1FF9"/>
    <w:rsid w:val="00FC2424"/>
    <w:rsid w:val="00FC2B5B"/>
    <w:rsid w:val="00FC2B62"/>
    <w:rsid w:val="00FC2F92"/>
    <w:rsid w:val="00FC32AB"/>
    <w:rsid w:val="00FC34E5"/>
    <w:rsid w:val="00FC3FC7"/>
    <w:rsid w:val="00FC4351"/>
    <w:rsid w:val="00FC438B"/>
    <w:rsid w:val="00FC453D"/>
    <w:rsid w:val="00FC46C9"/>
    <w:rsid w:val="00FC4D35"/>
    <w:rsid w:val="00FC5211"/>
    <w:rsid w:val="00FC54DC"/>
    <w:rsid w:val="00FC6144"/>
    <w:rsid w:val="00FC6211"/>
    <w:rsid w:val="00FC66FF"/>
    <w:rsid w:val="00FC6A52"/>
    <w:rsid w:val="00FC6C6F"/>
    <w:rsid w:val="00FC6FD8"/>
    <w:rsid w:val="00FC741D"/>
    <w:rsid w:val="00FC7841"/>
    <w:rsid w:val="00FC7875"/>
    <w:rsid w:val="00FC7F83"/>
    <w:rsid w:val="00FD1280"/>
    <w:rsid w:val="00FD1899"/>
    <w:rsid w:val="00FD2658"/>
    <w:rsid w:val="00FD2D82"/>
    <w:rsid w:val="00FD3031"/>
    <w:rsid w:val="00FD3375"/>
    <w:rsid w:val="00FD361B"/>
    <w:rsid w:val="00FD36E3"/>
    <w:rsid w:val="00FD4812"/>
    <w:rsid w:val="00FD530D"/>
    <w:rsid w:val="00FD5327"/>
    <w:rsid w:val="00FD5500"/>
    <w:rsid w:val="00FD5F47"/>
    <w:rsid w:val="00FD6467"/>
    <w:rsid w:val="00FD76B0"/>
    <w:rsid w:val="00FD7AEB"/>
    <w:rsid w:val="00FD7BDB"/>
    <w:rsid w:val="00FD7DEF"/>
    <w:rsid w:val="00FD7DFA"/>
    <w:rsid w:val="00FD7EF1"/>
    <w:rsid w:val="00FD7F9B"/>
    <w:rsid w:val="00FE0317"/>
    <w:rsid w:val="00FE11AA"/>
    <w:rsid w:val="00FE12BD"/>
    <w:rsid w:val="00FE192C"/>
    <w:rsid w:val="00FE1CA7"/>
    <w:rsid w:val="00FE1F45"/>
    <w:rsid w:val="00FE1F64"/>
    <w:rsid w:val="00FE2372"/>
    <w:rsid w:val="00FE3553"/>
    <w:rsid w:val="00FE4356"/>
    <w:rsid w:val="00FE4757"/>
    <w:rsid w:val="00FE4C70"/>
    <w:rsid w:val="00FE5D3C"/>
    <w:rsid w:val="00FE5D61"/>
    <w:rsid w:val="00FE5F1D"/>
    <w:rsid w:val="00FE5FC8"/>
    <w:rsid w:val="00FE725C"/>
    <w:rsid w:val="00FE76AB"/>
    <w:rsid w:val="00FE7821"/>
    <w:rsid w:val="00FE7C86"/>
    <w:rsid w:val="00FF04EE"/>
    <w:rsid w:val="00FF0A80"/>
    <w:rsid w:val="00FF0B12"/>
    <w:rsid w:val="00FF0D40"/>
    <w:rsid w:val="00FF0E05"/>
    <w:rsid w:val="00FF0EE6"/>
    <w:rsid w:val="00FF20A5"/>
    <w:rsid w:val="00FF21D7"/>
    <w:rsid w:val="00FF2BBB"/>
    <w:rsid w:val="00FF2CB1"/>
    <w:rsid w:val="00FF2CBC"/>
    <w:rsid w:val="00FF3811"/>
    <w:rsid w:val="00FF4168"/>
    <w:rsid w:val="00FF4A88"/>
    <w:rsid w:val="00FF54DB"/>
    <w:rsid w:val="00FF5525"/>
    <w:rsid w:val="00FF57DF"/>
    <w:rsid w:val="00FF57FB"/>
    <w:rsid w:val="00FF5ADE"/>
    <w:rsid w:val="00FF6233"/>
    <w:rsid w:val="00FF6527"/>
    <w:rsid w:val="00FF654F"/>
    <w:rsid w:val="00FF67B9"/>
    <w:rsid w:val="00FF68DF"/>
    <w:rsid w:val="00FF6919"/>
    <w:rsid w:val="00FF6C53"/>
    <w:rsid w:val="00FF723B"/>
    <w:rsid w:val="00FF72A1"/>
    <w:rsid w:val="00FF7545"/>
    <w:rsid w:val="00FF7903"/>
    <w:rsid w:val="00FF7D42"/>
    <w:rsid w:val="00FF7D79"/>
    <w:rsid w:val="70213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73FA022"/>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737516">
      <w:bodyDiv w:val="1"/>
      <w:marLeft w:val="0"/>
      <w:marRight w:val="0"/>
      <w:marTop w:val="0"/>
      <w:marBottom w:val="0"/>
      <w:divBdr>
        <w:top w:val="none" w:sz="0" w:space="0" w:color="auto"/>
        <w:left w:val="none" w:sz="0" w:space="0" w:color="auto"/>
        <w:bottom w:val="none" w:sz="0" w:space="0" w:color="auto"/>
        <w:right w:val="none" w:sz="0" w:space="0" w:color="auto"/>
      </w:divBdr>
    </w:div>
    <w:div w:id="42102807">
      <w:bodyDiv w:val="1"/>
      <w:marLeft w:val="0"/>
      <w:marRight w:val="0"/>
      <w:marTop w:val="0"/>
      <w:marBottom w:val="0"/>
      <w:divBdr>
        <w:top w:val="none" w:sz="0" w:space="0" w:color="auto"/>
        <w:left w:val="none" w:sz="0" w:space="0" w:color="auto"/>
        <w:bottom w:val="none" w:sz="0" w:space="0" w:color="auto"/>
        <w:right w:val="none" w:sz="0" w:space="0" w:color="auto"/>
      </w:divBdr>
    </w:div>
    <w:div w:id="49765581">
      <w:bodyDiv w:val="1"/>
      <w:marLeft w:val="0"/>
      <w:marRight w:val="0"/>
      <w:marTop w:val="0"/>
      <w:marBottom w:val="0"/>
      <w:divBdr>
        <w:top w:val="none" w:sz="0" w:space="0" w:color="auto"/>
        <w:left w:val="none" w:sz="0" w:space="0" w:color="auto"/>
        <w:bottom w:val="none" w:sz="0" w:space="0" w:color="auto"/>
        <w:right w:val="none" w:sz="0" w:space="0" w:color="auto"/>
      </w:divBdr>
    </w:div>
    <w:div w:id="70808911">
      <w:bodyDiv w:val="1"/>
      <w:marLeft w:val="0"/>
      <w:marRight w:val="0"/>
      <w:marTop w:val="0"/>
      <w:marBottom w:val="0"/>
      <w:divBdr>
        <w:top w:val="none" w:sz="0" w:space="0" w:color="auto"/>
        <w:left w:val="none" w:sz="0" w:space="0" w:color="auto"/>
        <w:bottom w:val="none" w:sz="0" w:space="0" w:color="auto"/>
        <w:right w:val="none" w:sz="0" w:space="0" w:color="auto"/>
      </w:divBdr>
    </w:div>
    <w:div w:id="128478330">
      <w:bodyDiv w:val="1"/>
      <w:marLeft w:val="0"/>
      <w:marRight w:val="0"/>
      <w:marTop w:val="0"/>
      <w:marBottom w:val="0"/>
      <w:divBdr>
        <w:top w:val="none" w:sz="0" w:space="0" w:color="auto"/>
        <w:left w:val="none" w:sz="0" w:space="0" w:color="auto"/>
        <w:bottom w:val="none" w:sz="0" w:space="0" w:color="auto"/>
        <w:right w:val="none" w:sz="0" w:space="0" w:color="auto"/>
      </w:divBdr>
    </w:div>
    <w:div w:id="140318787">
      <w:bodyDiv w:val="1"/>
      <w:marLeft w:val="0"/>
      <w:marRight w:val="0"/>
      <w:marTop w:val="0"/>
      <w:marBottom w:val="0"/>
      <w:divBdr>
        <w:top w:val="none" w:sz="0" w:space="0" w:color="auto"/>
        <w:left w:val="none" w:sz="0" w:space="0" w:color="auto"/>
        <w:bottom w:val="none" w:sz="0" w:space="0" w:color="auto"/>
        <w:right w:val="none" w:sz="0" w:space="0" w:color="auto"/>
      </w:divBdr>
    </w:div>
    <w:div w:id="149105645">
      <w:bodyDiv w:val="1"/>
      <w:marLeft w:val="0"/>
      <w:marRight w:val="0"/>
      <w:marTop w:val="0"/>
      <w:marBottom w:val="0"/>
      <w:divBdr>
        <w:top w:val="none" w:sz="0" w:space="0" w:color="auto"/>
        <w:left w:val="none" w:sz="0" w:space="0" w:color="auto"/>
        <w:bottom w:val="none" w:sz="0" w:space="0" w:color="auto"/>
        <w:right w:val="none" w:sz="0" w:space="0" w:color="auto"/>
      </w:divBdr>
    </w:div>
    <w:div w:id="197862177">
      <w:bodyDiv w:val="1"/>
      <w:marLeft w:val="0"/>
      <w:marRight w:val="0"/>
      <w:marTop w:val="0"/>
      <w:marBottom w:val="0"/>
      <w:divBdr>
        <w:top w:val="none" w:sz="0" w:space="0" w:color="auto"/>
        <w:left w:val="none" w:sz="0" w:space="0" w:color="auto"/>
        <w:bottom w:val="none" w:sz="0" w:space="0" w:color="auto"/>
        <w:right w:val="none" w:sz="0" w:space="0" w:color="auto"/>
      </w:divBdr>
    </w:div>
    <w:div w:id="227425062">
      <w:bodyDiv w:val="1"/>
      <w:marLeft w:val="0"/>
      <w:marRight w:val="0"/>
      <w:marTop w:val="0"/>
      <w:marBottom w:val="0"/>
      <w:divBdr>
        <w:top w:val="none" w:sz="0" w:space="0" w:color="auto"/>
        <w:left w:val="none" w:sz="0" w:space="0" w:color="auto"/>
        <w:bottom w:val="none" w:sz="0" w:space="0" w:color="auto"/>
        <w:right w:val="none" w:sz="0" w:space="0" w:color="auto"/>
      </w:divBdr>
    </w:div>
    <w:div w:id="234555626">
      <w:bodyDiv w:val="1"/>
      <w:marLeft w:val="0"/>
      <w:marRight w:val="0"/>
      <w:marTop w:val="0"/>
      <w:marBottom w:val="0"/>
      <w:divBdr>
        <w:top w:val="none" w:sz="0" w:space="0" w:color="auto"/>
        <w:left w:val="none" w:sz="0" w:space="0" w:color="auto"/>
        <w:bottom w:val="none" w:sz="0" w:space="0" w:color="auto"/>
        <w:right w:val="none" w:sz="0" w:space="0" w:color="auto"/>
      </w:divBdr>
    </w:div>
    <w:div w:id="241332597">
      <w:bodyDiv w:val="1"/>
      <w:marLeft w:val="0"/>
      <w:marRight w:val="0"/>
      <w:marTop w:val="0"/>
      <w:marBottom w:val="0"/>
      <w:divBdr>
        <w:top w:val="none" w:sz="0" w:space="0" w:color="auto"/>
        <w:left w:val="none" w:sz="0" w:space="0" w:color="auto"/>
        <w:bottom w:val="none" w:sz="0" w:space="0" w:color="auto"/>
        <w:right w:val="none" w:sz="0" w:space="0" w:color="auto"/>
      </w:divBdr>
      <w:divsChild>
        <w:div w:id="324869102">
          <w:marLeft w:val="533"/>
          <w:marRight w:val="0"/>
          <w:marTop w:val="120"/>
          <w:marBottom w:val="0"/>
          <w:divBdr>
            <w:top w:val="none" w:sz="0" w:space="0" w:color="auto"/>
            <w:left w:val="none" w:sz="0" w:space="0" w:color="auto"/>
            <w:bottom w:val="none" w:sz="0" w:space="0" w:color="auto"/>
            <w:right w:val="none" w:sz="0" w:space="0" w:color="auto"/>
          </w:divBdr>
        </w:div>
      </w:divsChild>
    </w:div>
    <w:div w:id="266085068">
      <w:bodyDiv w:val="1"/>
      <w:marLeft w:val="0"/>
      <w:marRight w:val="0"/>
      <w:marTop w:val="0"/>
      <w:marBottom w:val="0"/>
      <w:divBdr>
        <w:top w:val="none" w:sz="0" w:space="0" w:color="auto"/>
        <w:left w:val="none" w:sz="0" w:space="0" w:color="auto"/>
        <w:bottom w:val="none" w:sz="0" w:space="0" w:color="auto"/>
        <w:right w:val="none" w:sz="0" w:space="0" w:color="auto"/>
      </w:divBdr>
      <w:divsChild>
        <w:div w:id="977614478">
          <w:marLeft w:val="533"/>
          <w:marRight w:val="0"/>
          <w:marTop w:val="120"/>
          <w:marBottom w:val="0"/>
          <w:divBdr>
            <w:top w:val="none" w:sz="0" w:space="0" w:color="auto"/>
            <w:left w:val="none" w:sz="0" w:space="0" w:color="auto"/>
            <w:bottom w:val="none" w:sz="0" w:space="0" w:color="auto"/>
            <w:right w:val="none" w:sz="0" w:space="0" w:color="auto"/>
          </w:divBdr>
        </w:div>
      </w:divsChild>
    </w:div>
    <w:div w:id="274336025">
      <w:bodyDiv w:val="1"/>
      <w:marLeft w:val="0"/>
      <w:marRight w:val="0"/>
      <w:marTop w:val="0"/>
      <w:marBottom w:val="0"/>
      <w:divBdr>
        <w:top w:val="none" w:sz="0" w:space="0" w:color="auto"/>
        <w:left w:val="none" w:sz="0" w:space="0" w:color="auto"/>
        <w:bottom w:val="none" w:sz="0" w:space="0" w:color="auto"/>
        <w:right w:val="none" w:sz="0" w:space="0" w:color="auto"/>
      </w:divBdr>
      <w:divsChild>
        <w:div w:id="1430197797">
          <w:marLeft w:val="0"/>
          <w:marRight w:val="0"/>
          <w:marTop w:val="0"/>
          <w:marBottom w:val="0"/>
          <w:divBdr>
            <w:top w:val="none" w:sz="0" w:space="0" w:color="auto"/>
            <w:left w:val="none" w:sz="0" w:space="0" w:color="auto"/>
            <w:bottom w:val="none" w:sz="0" w:space="0" w:color="auto"/>
            <w:right w:val="none" w:sz="0" w:space="0" w:color="auto"/>
          </w:divBdr>
          <w:divsChild>
            <w:div w:id="1872303054">
              <w:marLeft w:val="0"/>
              <w:marRight w:val="0"/>
              <w:marTop w:val="465"/>
              <w:marBottom w:val="300"/>
              <w:divBdr>
                <w:top w:val="none" w:sz="0" w:space="0" w:color="auto"/>
                <w:left w:val="none" w:sz="0" w:space="0" w:color="auto"/>
                <w:bottom w:val="none" w:sz="0" w:space="0" w:color="auto"/>
                <w:right w:val="none" w:sz="0" w:space="0" w:color="auto"/>
              </w:divBdr>
            </w:div>
          </w:divsChild>
        </w:div>
      </w:divsChild>
    </w:div>
    <w:div w:id="288633107">
      <w:bodyDiv w:val="1"/>
      <w:marLeft w:val="0"/>
      <w:marRight w:val="0"/>
      <w:marTop w:val="0"/>
      <w:marBottom w:val="0"/>
      <w:divBdr>
        <w:top w:val="none" w:sz="0" w:space="0" w:color="auto"/>
        <w:left w:val="none" w:sz="0" w:space="0" w:color="auto"/>
        <w:bottom w:val="none" w:sz="0" w:space="0" w:color="auto"/>
        <w:right w:val="none" w:sz="0" w:space="0" w:color="auto"/>
      </w:divBdr>
      <w:divsChild>
        <w:div w:id="715466554">
          <w:marLeft w:val="533"/>
          <w:marRight w:val="0"/>
          <w:marTop w:val="120"/>
          <w:marBottom w:val="0"/>
          <w:divBdr>
            <w:top w:val="none" w:sz="0" w:space="0" w:color="auto"/>
            <w:left w:val="none" w:sz="0" w:space="0" w:color="auto"/>
            <w:bottom w:val="none" w:sz="0" w:space="0" w:color="auto"/>
            <w:right w:val="none" w:sz="0" w:space="0" w:color="auto"/>
          </w:divBdr>
        </w:div>
        <w:div w:id="1716269990">
          <w:marLeft w:val="533"/>
          <w:marRight w:val="0"/>
          <w:marTop w:val="120"/>
          <w:marBottom w:val="0"/>
          <w:divBdr>
            <w:top w:val="none" w:sz="0" w:space="0" w:color="auto"/>
            <w:left w:val="none" w:sz="0" w:space="0" w:color="auto"/>
            <w:bottom w:val="none" w:sz="0" w:space="0" w:color="auto"/>
            <w:right w:val="none" w:sz="0" w:space="0" w:color="auto"/>
          </w:divBdr>
        </w:div>
      </w:divsChild>
    </w:div>
    <w:div w:id="325741675">
      <w:bodyDiv w:val="1"/>
      <w:marLeft w:val="0"/>
      <w:marRight w:val="0"/>
      <w:marTop w:val="0"/>
      <w:marBottom w:val="0"/>
      <w:divBdr>
        <w:top w:val="none" w:sz="0" w:space="0" w:color="auto"/>
        <w:left w:val="none" w:sz="0" w:space="0" w:color="auto"/>
        <w:bottom w:val="none" w:sz="0" w:space="0" w:color="auto"/>
        <w:right w:val="none" w:sz="0" w:space="0" w:color="auto"/>
      </w:divBdr>
    </w:div>
    <w:div w:id="384717838">
      <w:bodyDiv w:val="1"/>
      <w:marLeft w:val="0"/>
      <w:marRight w:val="0"/>
      <w:marTop w:val="0"/>
      <w:marBottom w:val="0"/>
      <w:divBdr>
        <w:top w:val="none" w:sz="0" w:space="0" w:color="auto"/>
        <w:left w:val="none" w:sz="0" w:space="0" w:color="auto"/>
        <w:bottom w:val="none" w:sz="0" w:space="0" w:color="auto"/>
        <w:right w:val="none" w:sz="0" w:space="0" w:color="auto"/>
      </w:divBdr>
    </w:div>
    <w:div w:id="394743066">
      <w:bodyDiv w:val="1"/>
      <w:marLeft w:val="0"/>
      <w:marRight w:val="0"/>
      <w:marTop w:val="0"/>
      <w:marBottom w:val="0"/>
      <w:divBdr>
        <w:top w:val="none" w:sz="0" w:space="0" w:color="auto"/>
        <w:left w:val="none" w:sz="0" w:space="0" w:color="auto"/>
        <w:bottom w:val="none" w:sz="0" w:space="0" w:color="auto"/>
        <w:right w:val="none" w:sz="0" w:space="0" w:color="auto"/>
      </w:divBdr>
    </w:div>
    <w:div w:id="394743696">
      <w:bodyDiv w:val="1"/>
      <w:marLeft w:val="0"/>
      <w:marRight w:val="0"/>
      <w:marTop w:val="0"/>
      <w:marBottom w:val="0"/>
      <w:divBdr>
        <w:top w:val="none" w:sz="0" w:space="0" w:color="auto"/>
        <w:left w:val="none" w:sz="0" w:space="0" w:color="auto"/>
        <w:bottom w:val="none" w:sz="0" w:space="0" w:color="auto"/>
        <w:right w:val="none" w:sz="0" w:space="0" w:color="auto"/>
      </w:divBdr>
    </w:div>
    <w:div w:id="422344079">
      <w:bodyDiv w:val="1"/>
      <w:marLeft w:val="0"/>
      <w:marRight w:val="0"/>
      <w:marTop w:val="0"/>
      <w:marBottom w:val="0"/>
      <w:divBdr>
        <w:top w:val="none" w:sz="0" w:space="0" w:color="auto"/>
        <w:left w:val="none" w:sz="0" w:space="0" w:color="auto"/>
        <w:bottom w:val="none" w:sz="0" w:space="0" w:color="auto"/>
        <w:right w:val="none" w:sz="0" w:space="0" w:color="auto"/>
      </w:divBdr>
      <w:divsChild>
        <w:div w:id="700126991">
          <w:marLeft w:val="533"/>
          <w:marRight w:val="0"/>
          <w:marTop w:val="120"/>
          <w:marBottom w:val="0"/>
          <w:divBdr>
            <w:top w:val="none" w:sz="0" w:space="0" w:color="auto"/>
            <w:left w:val="none" w:sz="0" w:space="0" w:color="auto"/>
            <w:bottom w:val="none" w:sz="0" w:space="0" w:color="auto"/>
            <w:right w:val="none" w:sz="0" w:space="0" w:color="auto"/>
          </w:divBdr>
        </w:div>
      </w:divsChild>
    </w:div>
    <w:div w:id="430392436">
      <w:bodyDiv w:val="1"/>
      <w:marLeft w:val="0"/>
      <w:marRight w:val="0"/>
      <w:marTop w:val="0"/>
      <w:marBottom w:val="0"/>
      <w:divBdr>
        <w:top w:val="none" w:sz="0" w:space="0" w:color="auto"/>
        <w:left w:val="none" w:sz="0" w:space="0" w:color="auto"/>
        <w:bottom w:val="none" w:sz="0" w:space="0" w:color="auto"/>
        <w:right w:val="none" w:sz="0" w:space="0" w:color="auto"/>
      </w:divBdr>
    </w:div>
    <w:div w:id="452286922">
      <w:bodyDiv w:val="1"/>
      <w:marLeft w:val="0"/>
      <w:marRight w:val="0"/>
      <w:marTop w:val="0"/>
      <w:marBottom w:val="0"/>
      <w:divBdr>
        <w:top w:val="none" w:sz="0" w:space="0" w:color="auto"/>
        <w:left w:val="none" w:sz="0" w:space="0" w:color="auto"/>
        <w:bottom w:val="none" w:sz="0" w:space="0" w:color="auto"/>
        <w:right w:val="none" w:sz="0" w:space="0" w:color="auto"/>
      </w:divBdr>
    </w:div>
    <w:div w:id="458954733">
      <w:bodyDiv w:val="1"/>
      <w:marLeft w:val="0"/>
      <w:marRight w:val="0"/>
      <w:marTop w:val="0"/>
      <w:marBottom w:val="0"/>
      <w:divBdr>
        <w:top w:val="none" w:sz="0" w:space="0" w:color="auto"/>
        <w:left w:val="none" w:sz="0" w:space="0" w:color="auto"/>
        <w:bottom w:val="none" w:sz="0" w:space="0" w:color="auto"/>
        <w:right w:val="none" w:sz="0" w:space="0" w:color="auto"/>
      </w:divBdr>
    </w:div>
    <w:div w:id="564724038">
      <w:bodyDiv w:val="1"/>
      <w:marLeft w:val="0"/>
      <w:marRight w:val="0"/>
      <w:marTop w:val="0"/>
      <w:marBottom w:val="0"/>
      <w:divBdr>
        <w:top w:val="none" w:sz="0" w:space="0" w:color="auto"/>
        <w:left w:val="none" w:sz="0" w:space="0" w:color="auto"/>
        <w:bottom w:val="none" w:sz="0" w:space="0" w:color="auto"/>
        <w:right w:val="none" w:sz="0" w:space="0" w:color="auto"/>
      </w:divBdr>
    </w:div>
    <w:div w:id="592320557">
      <w:bodyDiv w:val="1"/>
      <w:marLeft w:val="0"/>
      <w:marRight w:val="0"/>
      <w:marTop w:val="0"/>
      <w:marBottom w:val="0"/>
      <w:divBdr>
        <w:top w:val="none" w:sz="0" w:space="0" w:color="auto"/>
        <w:left w:val="none" w:sz="0" w:space="0" w:color="auto"/>
        <w:bottom w:val="none" w:sz="0" w:space="0" w:color="auto"/>
        <w:right w:val="none" w:sz="0" w:space="0" w:color="auto"/>
      </w:divBdr>
    </w:div>
    <w:div w:id="687369066">
      <w:bodyDiv w:val="1"/>
      <w:marLeft w:val="0"/>
      <w:marRight w:val="0"/>
      <w:marTop w:val="0"/>
      <w:marBottom w:val="0"/>
      <w:divBdr>
        <w:top w:val="none" w:sz="0" w:space="0" w:color="auto"/>
        <w:left w:val="none" w:sz="0" w:space="0" w:color="auto"/>
        <w:bottom w:val="none" w:sz="0" w:space="0" w:color="auto"/>
        <w:right w:val="none" w:sz="0" w:space="0" w:color="auto"/>
      </w:divBdr>
    </w:div>
    <w:div w:id="831338932">
      <w:bodyDiv w:val="1"/>
      <w:marLeft w:val="0"/>
      <w:marRight w:val="0"/>
      <w:marTop w:val="0"/>
      <w:marBottom w:val="0"/>
      <w:divBdr>
        <w:top w:val="none" w:sz="0" w:space="0" w:color="auto"/>
        <w:left w:val="none" w:sz="0" w:space="0" w:color="auto"/>
        <w:bottom w:val="none" w:sz="0" w:space="0" w:color="auto"/>
        <w:right w:val="none" w:sz="0" w:space="0" w:color="auto"/>
      </w:divBdr>
    </w:div>
    <w:div w:id="866721256">
      <w:bodyDiv w:val="1"/>
      <w:marLeft w:val="0"/>
      <w:marRight w:val="0"/>
      <w:marTop w:val="0"/>
      <w:marBottom w:val="0"/>
      <w:divBdr>
        <w:top w:val="none" w:sz="0" w:space="0" w:color="auto"/>
        <w:left w:val="none" w:sz="0" w:space="0" w:color="auto"/>
        <w:bottom w:val="none" w:sz="0" w:space="0" w:color="auto"/>
        <w:right w:val="none" w:sz="0" w:space="0" w:color="auto"/>
      </w:divBdr>
    </w:div>
    <w:div w:id="870651888">
      <w:bodyDiv w:val="1"/>
      <w:marLeft w:val="0"/>
      <w:marRight w:val="0"/>
      <w:marTop w:val="0"/>
      <w:marBottom w:val="0"/>
      <w:divBdr>
        <w:top w:val="none" w:sz="0" w:space="0" w:color="auto"/>
        <w:left w:val="none" w:sz="0" w:space="0" w:color="auto"/>
        <w:bottom w:val="none" w:sz="0" w:space="0" w:color="auto"/>
        <w:right w:val="none" w:sz="0" w:space="0" w:color="auto"/>
      </w:divBdr>
      <w:divsChild>
        <w:div w:id="949974996">
          <w:marLeft w:val="533"/>
          <w:marRight w:val="0"/>
          <w:marTop w:val="120"/>
          <w:marBottom w:val="0"/>
          <w:divBdr>
            <w:top w:val="none" w:sz="0" w:space="0" w:color="auto"/>
            <w:left w:val="none" w:sz="0" w:space="0" w:color="auto"/>
            <w:bottom w:val="none" w:sz="0" w:space="0" w:color="auto"/>
            <w:right w:val="none" w:sz="0" w:space="0" w:color="auto"/>
          </w:divBdr>
        </w:div>
      </w:divsChild>
    </w:div>
    <w:div w:id="872114340">
      <w:bodyDiv w:val="1"/>
      <w:marLeft w:val="0"/>
      <w:marRight w:val="0"/>
      <w:marTop w:val="0"/>
      <w:marBottom w:val="0"/>
      <w:divBdr>
        <w:top w:val="none" w:sz="0" w:space="0" w:color="auto"/>
        <w:left w:val="none" w:sz="0" w:space="0" w:color="auto"/>
        <w:bottom w:val="none" w:sz="0" w:space="0" w:color="auto"/>
        <w:right w:val="none" w:sz="0" w:space="0" w:color="auto"/>
      </w:divBdr>
    </w:div>
    <w:div w:id="885725113">
      <w:bodyDiv w:val="1"/>
      <w:marLeft w:val="0"/>
      <w:marRight w:val="0"/>
      <w:marTop w:val="0"/>
      <w:marBottom w:val="0"/>
      <w:divBdr>
        <w:top w:val="none" w:sz="0" w:space="0" w:color="auto"/>
        <w:left w:val="none" w:sz="0" w:space="0" w:color="auto"/>
        <w:bottom w:val="none" w:sz="0" w:space="0" w:color="auto"/>
        <w:right w:val="none" w:sz="0" w:space="0" w:color="auto"/>
      </w:divBdr>
    </w:div>
    <w:div w:id="931162208">
      <w:bodyDiv w:val="1"/>
      <w:marLeft w:val="0"/>
      <w:marRight w:val="0"/>
      <w:marTop w:val="0"/>
      <w:marBottom w:val="0"/>
      <w:divBdr>
        <w:top w:val="none" w:sz="0" w:space="0" w:color="auto"/>
        <w:left w:val="none" w:sz="0" w:space="0" w:color="auto"/>
        <w:bottom w:val="none" w:sz="0" w:space="0" w:color="auto"/>
        <w:right w:val="none" w:sz="0" w:space="0" w:color="auto"/>
      </w:divBdr>
      <w:divsChild>
        <w:div w:id="1223178686">
          <w:marLeft w:val="0"/>
          <w:marRight w:val="0"/>
          <w:marTop w:val="0"/>
          <w:marBottom w:val="0"/>
          <w:divBdr>
            <w:top w:val="none" w:sz="0" w:space="0" w:color="auto"/>
            <w:left w:val="none" w:sz="0" w:space="0" w:color="auto"/>
            <w:bottom w:val="none" w:sz="0" w:space="0" w:color="auto"/>
            <w:right w:val="none" w:sz="0" w:space="0" w:color="auto"/>
          </w:divBdr>
        </w:div>
      </w:divsChild>
    </w:div>
    <w:div w:id="937643826">
      <w:bodyDiv w:val="1"/>
      <w:marLeft w:val="0"/>
      <w:marRight w:val="0"/>
      <w:marTop w:val="0"/>
      <w:marBottom w:val="0"/>
      <w:divBdr>
        <w:top w:val="none" w:sz="0" w:space="0" w:color="auto"/>
        <w:left w:val="none" w:sz="0" w:space="0" w:color="auto"/>
        <w:bottom w:val="none" w:sz="0" w:space="0" w:color="auto"/>
        <w:right w:val="none" w:sz="0" w:space="0" w:color="auto"/>
      </w:divBdr>
    </w:div>
    <w:div w:id="995649443">
      <w:bodyDiv w:val="1"/>
      <w:marLeft w:val="0"/>
      <w:marRight w:val="0"/>
      <w:marTop w:val="0"/>
      <w:marBottom w:val="0"/>
      <w:divBdr>
        <w:top w:val="none" w:sz="0" w:space="0" w:color="auto"/>
        <w:left w:val="none" w:sz="0" w:space="0" w:color="auto"/>
        <w:bottom w:val="none" w:sz="0" w:space="0" w:color="auto"/>
        <w:right w:val="none" w:sz="0" w:space="0" w:color="auto"/>
      </w:divBdr>
      <w:divsChild>
        <w:div w:id="842208820">
          <w:marLeft w:val="533"/>
          <w:marRight w:val="0"/>
          <w:marTop w:val="120"/>
          <w:marBottom w:val="0"/>
          <w:divBdr>
            <w:top w:val="none" w:sz="0" w:space="0" w:color="auto"/>
            <w:left w:val="none" w:sz="0" w:space="0" w:color="auto"/>
            <w:bottom w:val="none" w:sz="0" w:space="0" w:color="auto"/>
            <w:right w:val="none" w:sz="0" w:space="0" w:color="auto"/>
          </w:divBdr>
        </w:div>
        <w:div w:id="951858792">
          <w:marLeft w:val="533"/>
          <w:marRight w:val="0"/>
          <w:marTop w:val="120"/>
          <w:marBottom w:val="0"/>
          <w:divBdr>
            <w:top w:val="none" w:sz="0" w:space="0" w:color="auto"/>
            <w:left w:val="none" w:sz="0" w:space="0" w:color="auto"/>
            <w:bottom w:val="none" w:sz="0" w:space="0" w:color="auto"/>
            <w:right w:val="none" w:sz="0" w:space="0" w:color="auto"/>
          </w:divBdr>
        </w:div>
      </w:divsChild>
    </w:div>
    <w:div w:id="1008754583">
      <w:bodyDiv w:val="1"/>
      <w:marLeft w:val="0"/>
      <w:marRight w:val="0"/>
      <w:marTop w:val="0"/>
      <w:marBottom w:val="0"/>
      <w:divBdr>
        <w:top w:val="none" w:sz="0" w:space="0" w:color="auto"/>
        <w:left w:val="none" w:sz="0" w:space="0" w:color="auto"/>
        <w:bottom w:val="none" w:sz="0" w:space="0" w:color="auto"/>
        <w:right w:val="none" w:sz="0" w:space="0" w:color="auto"/>
      </w:divBdr>
    </w:div>
    <w:div w:id="1035233045">
      <w:bodyDiv w:val="1"/>
      <w:marLeft w:val="0"/>
      <w:marRight w:val="0"/>
      <w:marTop w:val="0"/>
      <w:marBottom w:val="0"/>
      <w:divBdr>
        <w:top w:val="none" w:sz="0" w:space="0" w:color="auto"/>
        <w:left w:val="none" w:sz="0" w:space="0" w:color="auto"/>
        <w:bottom w:val="none" w:sz="0" w:space="0" w:color="auto"/>
        <w:right w:val="none" w:sz="0" w:space="0" w:color="auto"/>
      </w:divBdr>
    </w:div>
    <w:div w:id="1043362787">
      <w:bodyDiv w:val="1"/>
      <w:marLeft w:val="0"/>
      <w:marRight w:val="0"/>
      <w:marTop w:val="0"/>
      <w:marBottom w:val="0"/>
      <w:divBdr>
        <w:top w:val="none" w:sz="0" w:space="0" w:color="auto"/>
        <w:left w:val="none" w:sz="0" w:space="0" w:color="auto"/>
        <w:bottom w:val="none" w:sz="0" w:space="0" w:color="auto"/>
        <w:right w:val="none" w:sz="0" w:space="0" w:color="auto"/>
      </w:divBdr>
    </w:div>
    <w:div w:id="1064645468">
      <w:bodyDiv w:val="1"/>
      <w:marLeft w:val="0"/>
      <w:marRight w:val="0"/>
      <w:marTop w:val="0"/>
      <w:marBottom w:val="0"/>
      <w:divBdr>
        <w:top w:val="none" w:sz="0" w:space="0" w:color="auto"/>
        <w:left w:val="none" w:sz="0" w:space="0" w:color="auto"/>
        <w:bottom w:val="none" w:sz="0" w:space="0" w:color="auto"/>
        <w:right w:val="none" w:sz="0" w:space="0" w:color="auto"/>
      </w:divBdr>
    </w:div>
    <w:div w:id="1080910377">
      <w:bodyDiv w:val="1"/>
      <w:marLeft w:val="0"/>
      <w:marRight w:val="0"/>
      <w:marTop w:val="0"/>
      <w:marBottom w:val="0"/>
      <w:divBdr>
        <w:top w:val="none" w:sz="0" w:space="0" w:color="auto"/>
        <w:left w:val="none" w:sz="0" w:space="0" w:color="auto"/>
        <w:bottom w:val="none" w:sz="0" w:space="0" w:color="auto"/>
        <w:right w:val="none" w:sz="0" w:space="0" w:color="auto"/>
      </w:divBdr>
    </w:div>
    <w:div w:id="1086150425">
      <w:bodyDiv w:val="1"/>
      <w:marLeft w:val="0"/>
      <w:marRight w:val="0"/>
      <w:marTop w:val="0"/>
      <w:marBottom w:val="0"/>
      <w:divBdr>
        <w:top w:val="none" w:sz="0" w:space="0" w:color="auto"/>
        <w:left w:val="none" w:sz="0" w:space="0" w:color="auto"/>
        <w:bottom w:val="none" w:sz="0" w:space="0" w:color="auto"/>
        <w:right w:val="none" w:sz="0" w:space="0" w:color="auto"/>
      </w:divBdr>
    </w:div>
    <w:div w:id="1105463493">
      <w:bodyDiv w:val="1"/>
      <w:marLeft w:val="0"/>
      <w:marRight w:val="0"/>
      <w:marTop w:val="0"/>
      <w:marBottom w:val="0"/>
      <w:divBdr>
        <w:top w:val="none" w:sz="0" w:space="0" w:color="auto"/>
        <w:left w:val="none" w:sz="0" w:space="0" w:color="auto"/>
        <w:bottom w:val="none" w:sz="0" w:space="0" w:color="auto"/>
        <w:right w:val="none" w:sz="0" w:space="0" w:color="auto"/>
      </w:divBdr>
    </w:div>
    <w:div w:id="1114053025">
      <w:bodyDiv w:val="1"/>
      <w:marLeft w:val="0"/>
      <w:marRight w:val="0"/>
      <w:marTop w:val="0"/>
      <w:marBottom w:val="0"/>
      <w:divBdr>
        <w:top w:val="none" w:sz="0" w:space="0" w:color="auto"/>
        <w:left w:val="none" w:sz="0" w:space="0" w:color="auto"/>
        <w:bottom w:val="none" w:sz="0" w:space="0" w:color="auto"/>
        <w:right w:val="none" w:sz="0" w:space="0" w:color="auto"/>
      </w:divBdr>
    </w:div>
    <w:div w:id="1138767164">
      <w:bodyDiv w:val="1"/>
      <w:marLeft w:val="0"/>
      <w:marRight w:val="0"/>
      <w:marTop w:val="0"/>
      <w:marBottom w:val="0"/>
      <w:divBdr>
        <w:top w:val="none" w:sz="0" w:space="0" w:color="auto"/>
        <w:left w:val="none" w:sz="0" w:space="0" w:color="auto"/>
        <w:bottom w:val="none" w:sz="0" w:space="0" w:color="auto"/>
        <w:right w:val="none" w:sz="0" w:space="0" w:color="auto"/>
      </w:divBdr>
    </w:div>
    <w:div w:id="1184172945">
      <w:bodyDiv w:val="1"/>
      <w:marLeft w:val="0"/>
      <w:marRight w:val="0"/>
      <w:marTop w:val="0"/>
      <w:marBottom w:val="0"/>
      <w:divBdr>
        <w:top w:val="none" w:sz="0" w:space="0" w:color="auto"/>
        <w:left w:val="none" w:sz="0" w:space="0" w:color="auto"/>
        <w:bottom w:val="none" w:sz="0" w:space="0" w:color="auto"/>
        <w:right w:val="none" w:sz="0" w:space="0" w:color="auto"/>
      </w:divBdr>
    </w:div>
    <w:div w:id="1207570485">
      <w:bodyDiv w:val="1"/>
      <w:marLeft w:val="0"/>
      <w:marRight w:val="0"/>
      <w:marTop w:val="0"/>
      <w:marBottom w:val="0"/>
      <w:divBdr>
        <w:top w:val="none" w:sz="0" w:space="0" w:color="auto"/>
        <w:left w:val="none" w:sz="0" w:space="0" w:color="auto"/>
        <w:bottom w:val="none" w:sz="0" w:space="0" w:color="auto"/>
        <w:right w:val="none" w:sz="0" w:space="0" w:color="auto"/>
      </w:divBdr>
    </w:div>
    <w:div w:id="1280796680">
      <w:bodyDiv w:val="1"/>
      <w:marLeft w:val="0"/>
      <w:marRight w:val="0"/>
      <w:marTop w:val="0"/>
      <w:marBottom w:val="0"/>
      <w:divBdr>
        <w:top w:val="none" w:sz="0" w:space="0" w:color="auto"/>
        <w:left w:val="none" w:sz="0" w:space="0" w:color="auto"/>
        <w:bottom w:val="none" w:sz="0" w:space="0" w:color="auto"/>
        <w:right w:val="none" w:sz="0" w:space="0" w:color="auto"/>
      </w:divBdr>
    </w:div>
    <w:div w:id="1298413024">
      <w:bodyDiv w:val="1"/>
      <w:marLeft w:val="0"/>
      <w:marRight w:val="0"/>
      <w:marTop w:val="0"/>
      <w:marBottom w:val="0"/>
      <w:divBdr>
        <w:top w:val="none" w:sz="0" w:space="0" w:color="auto"/>
        <w:left w:val="none" w:sz="0" w:space="0" w:color="auto"/>
        <w:bottom w:val="none" w:sz="0" w:space="0" w:color="auto"/>
        <w:right w:val="none" w:sz="0" w:space="0" w:color="auto"/>
      </w:divBdr>
      <w:divsChild>
        <w:div w:id="1017848379">
          <w:marLeft w:val="533"/>
          <w:marRight w:val="0"/>
          <w:marTop w:val="120"/>
          <w:marBottom w:val="0"/>
          <w:divBdr>
            <w:top w:val="none" w:sz="0" w:space="0" w:color="auto"/>
            <w:left w:val="none" w:sz="0" w:space="0" w:color="auto"/>
            <w:bottom w:val="none" w:sz="0" w:space="0" w:color="auto"/>
            <w:right w:val="none" w:sz="0" w:space="0" w:color="auto"/>
          </w:divBdr>
        </w:div>
      </w:divsChild>
    </w:div>
    <w:div w:id="1344165116">
      <w:bodyDiv w:val="1"/>
      <w:marLeft w:val="0"/>
      <w:marRight w:val="0"/>
      <w:marTop w:val="0"/>
      <w:marBottom w:val="0"/>
      <w:divBdr>
        <w:top w:val="none" w:sz="0" w:space="0" w:color="auto"/>
        <w:left w:val="none" w:sz="0" w:space="0" w:color="auto"/>
        <w:bottom w:val="none" w:sz="0" w:space="0" w:color="auto"/>
        <w:right w:val="none" w:sz="0" w:space="0" w:color="auto"/>
      </w:divBdr>
    </w:div>
    <w:div w:id="1347027026">
      <w:bodyDiv w:val="1"/>
      <w:marLeft w:val="0"/>
      <w:marRight w:val="0"/>
      <w:marTop w:val="0"/>
      <w:marBottom w:val="0"/>
      <w:divBdr>
        <w:top w:val="none" w:sz="0" w:space="0" w:color="auto"/>
        <w:left w:val="none" w:sz="0" w:space="0" w:color="auto"/>
        <w:bottom w:val="none" w:sz="0" w:space="0" w:color="auto"/>
        <w:right w:val="none" w:sz="0" w:space="0" w:color="auto"/>
      </w:divBdr>
    </w:div>
    <w:div w:id="1371341028">
      <w:bodyDiv w:val="1"/>
      <w:marLeft w:val="0"/>
      <w:marRight w:val="0"/>
      <w:marTop w:val="0"/>
      <w:marBottom w:val="0"/>
      <w:divBdr>
        <w:top w:val="none" w:sz="0" w:space="0" w:color="auto"/>
        <w:left w:val="none" w:sz="0" w:space="0" w:color="auto"/>
        <w:bottom w:val="none" w:sz="0" w:space="0" w:color="auto"/>
        <w:right w:val="none" w:sz="0" w:space="0" w:color="auto"/>
      </w:divBdr>
    </w:div>
    <w:div w:id="1406148580">
      <w:bodyDiv w:val="1"/>
      <w:marLeft w:val="0"/>
      <w:marRight w:val="0"/>
      <w:marTop w:val="0"/>
      <w:marBottom w:val="0"/>
      <w:divBdr>
        <w:top w:val="none" w:sz="0" w:space="0" w:color="auto"/>
        <w:left w:val="none" w:sz="0" w:space="0" w:color="auto"/>
        <w:bottom w:val="none" w:sz="0" w:space="0" w:color="auto"/>
        <w:right w:val="none" w:sz="0" w:space="0" w:color="auto"/>
      </w:divBdr>
      <w:divsChild>
        <w:div w:id="2091074360">
          <w:marLeft w:val="533"/>
          <w:marRight w:val="0"/>
          <w:marTop w:val="120"/>
          <w:marBottom w:val="0"/>
          <w:divBdr>
            <w:top w:val="none" w:sz="0" w:space="0" w:color="auto"/>
            <w:left w:val="none" w:sz="0" w:space="0" w:color="auto"/>
            <w:bottom w:val="none" w:sz="0" w:space="0" w:color="auto"/>
            <w:right w:val="none" w:sz="0" w:space="0" w:color="auto"/>
          </w:divBdr>
        </w:div>
      </w:divsChild>
    </w:div>
    <w:div w:id="1525437365">
      <w:bodyDiv w:val="1"/>
      <w:marLeft w:val="0"/>
      <w:marRight w:val="0"/>
      <w:marTop w:val="0"/>
      <w:marBottom w:val="0"/>
      <w:divBdr>
        <w:top w:val="none" w:sz="0" w:space="0" w:color="auto"/>
        <w:left w:val="none" w:sz="0" w:space="0" w:color="auto"/>
        <w:bottom w:val="none" w:sz="0" w:space="0" w:color="auto"/>
        <w:right w:val="none" w:sz="0" w:space="0" w:color="auto"/>
      </w:divBdr>
    </w:div>
    <w:div w:id="1533687695">
      <w:bodyDiv w:val="1"/>
      <w:marLeft w:val="0"/>
      <w:marRight w:val="0"/>
      <w:marTop w:val="0"/>
      <w:marBottom w:val="0"/>
      <w:divBdr>
        <w:top w:val="none" w:sz="0" w:space="0" w:color="auto"/>
        <w:left w:val="none" w:sz="0" w:space="0" w:color="auto"/>
        <w:bottom w:val="none" w:sz="0" w:space="0" w:color="auto"/>
        <w:right w:val="none" w:sz="0" w:space="0" w:color="auto"/>
      </w:divBdr>
    </w:div>
    <w:div w:id="1567452836">
      <w:bodyDiv w:val="1"/>
      <w:marLeft w:val="0"/>
      <w:marRight w:val="0"/>
      <w:marTop w:val="0"/>
      <w:marBottom w:val="0"/>
      <w:divBdr>
        <w:top w:val="none" w:sz="0" w:space="0" w:color="auto"/>
        <w:left w:val="none" w:sz="0" w:space="0" w:color="auto"/>
        <w:bottom w:val="none" w:sz="0" w:space="0" w:color="auto"/>
        <w:right w:val="none" w:sz="0" w:space="0" w:color="auto"/>
      </w:divBdr>
    </w:div>
    <w:div w:id="1587768524">
      <w:bodyDiv w:val="1"/>
      <w:marLeft w:val="0"/>
      <w:marRight w:val="0"/>
      <w:marTop w:val="0"/>
      <w:marBottom w:val="0"/>
      <w:divBdr>
        <w:top w:val="none" w:sz="0" w:space="0" w:color="auto"/>
        <w:left w:val="none" w:sz="0" w:space="0" w:color="auto"/>
        <w:bottom w:val="none" w:sz="0" w:space="0" w:color="auto"/>
        <w:right w:val="none" w:sz="0" w:space="0" w:color="auto"/>
      </w:divBdr>
    </w:div>
    <w:div w:id="1607690740">
      <w:bodyDiv w:val="1"/>
      <w:marLeft w:val="0"/>
      <w:marRight w:val="0"/>
      <w:marTop w:val="0"/>
      <w:marBottom w:val="0"/>
      <w:divBdr>
        <w:top w:val="none" w:sz="0" w:space="0" w:color="auto"/>
        <w:left w:val="none" w:sz="0" w:space="0" w:color="auto"/>
        <w:bottom w:val="none" w:sz="0" w:space="0" w:color="auto"/>
        <w:right w:val="none" w:sz="0" w:space="0" w:color="auto"/>
      </w:divBdr>
    </w:div>
    <w:div w:id="1643121107">
      <w:bodyDiv w:val="1"/>
      <w:marLeft w:val="0"/>
      <w:marRight w:val="0"/>
      <w:marTop w:val="0"/>
      <w:marBottom w:val="0"/>
      <w:divBdr>
        <w:top w:val="none" w:sz="0" w:space="0" w:color="auto"/>
        <w:left w:val="none" w:sz="0" w:space="0" w:color="auto"/>
        <w:bottom w:val="none" w:sz="0" w:space="0" w:color="auto"/>
        <w:right w:val="none" w:sz="0" w:space="0" w:color="auto"/>
      </w:divBdr>
    </w:div>
    <w:div w:id="1689597116">
      <w:bodyDiv w:val="1"/>
      <w:marLeft w:val="0"/>
      <w:marRight w:val="0"/>
      <w:marTop w:val="0"/>
      <w:marBottom w:val="0"/>
      <w:divBdr>
        <w:top w:val="none" w:sz="0" w:space="0" w:color="auto"/>
        <w:left w:val="none" w:sz="0" w:space="0" w:color="auto"/>
        <w:bottom w:val="none" w:sz="0" w:space="0" w:color="auto"/>
        <w:right w:val="none" w:sz="0" w:space="0" w:color="auto"/>
      </w:divBdr>
    </w:div>
    <w:div w:id="1715813210">
      <w:bodyDiv w:val="1"/>
      <w:marLeft w:val="0"/>
      <w:marRight w:val="0"/>
      <w:marTop w:val="0"/>
      <w:marBottom w:val="0"/>
      <w:divBdr>
        <w:top w:val="none" w:sz="0" w:space="0" w:color="auto"/>
        <w:left w:val="none" w:sz="0" w:space="0" w:color="auto"/>
        <w:bottom w:val="none" w:sz="0" w:space="0" w:color="auto"/>
        <w:right w:val="none" w:sz="0" w:space="0" w:color="auto"/>
      </w:divBdr>
    </w:div>
    <w:div w:id="1768649751">
      <w:bodyDiv w:val="1"/>
      <w:marLeft w:val="0"/>
      <w:marRight w:val="0"/>
      <w:marTop w:val="0"/>
      <w:marBottom w:val="0"/>
      <w:divBdr>
        <w:top w:val="none" w:sz="0" w:space="0" w:color="auto"/>
        <w:left w:val="none" w:sz="0" w:space="0" w:color="auto"/>
        <w:bottom w:val="none" w:sz="0" w:space="0" w:color="auto"/>
        <w:right w:val="none" w:sz="0" w:space="0" w:color="auto"/>
      </w:divBdr>
    </w:div>
    <w:div w:id="1778795599">
      <w:bodyDiv w:val="1"/>
      <w:marLeft w:val="0"/>
      <w:marRight w:val="0"/>
      <w:marTop w:val="0"/>
      <w:marBottom w:val="0"/>
      <w:divBdr>
        <w:top w:val="none" w:sz="0" w:space="0" w:color="auto"/>
        <w:left w:val="none" w:sz="0" w:space="0" w:color="auto"/>
        <w:bottom w:val="none" w:sz="0" w:space="0" w:color="auto"/>
        <w:right w:val="none" w:sz="0" w:space="0" w:color="auto"/>
      </w:divBdr>
    </w:div>
    <w:div w:id="1792163722">
      <w:bodyDiv w:val="1"/>
      <w:marLeft w:val="0"/>
      <w:marRight w:val="0"/>
      <w:marTop w:val="0"/>
      <w:marBottom w:val="0"/>
      <w:divBdr>
        <w:top w:val="none" w:sz="0" w:space="0" w:color="auto"/>
        <w:left w:val="none" w:sz="0" w:space="0" w:color="auto"/>
        <w:bottom w:val="none" w:sz="0" w:space="0" w:color="auto"/>
        <w:right w:val="none" w:sz="0" w:space="0" w:color="auto"/>
      </w:divBdr>
    </w:div>
    <w:div w:id="1802070609">
      <w:bodyDiv w:val="1"/>
      <w:marLeft w:val="0"/>
      <w:marRight w:val="0"/>
      <w:marTop w:val="0"/>
      <w:marBottom w:val="0"/>
      <w:divBdr>
        <w:top w:val="none" w:sz="0" w:space="0" w:color="auto"/>
        <w:left w:val="none" w:sz="0" w:space="0" w:color="auto"/>
        <w:bottom w:val="none" w:sz="0" w:space="0" w:color="auto"/>
        <w:right w:val="none" w:sz="0" w:space="0" w:color="auto"/>
      </w:divBdr>
    </w:div>
    <w:div w:id="1814761323">
      <w:bodyDiv w:val="1"/>
      <w:marLeft w:val="0"/>
      <w:marRight w:val="0"/>
      <w:marTop w:val="0"/>
      <w:marBottom w:val="0"/>
      <w:divBdr>
        <w:top w:val="none" w:sz="0" w:space="0" w:color="auto"/>
        <w:left w:val="none" w:sz="0" w:space="0" w:color="auto"/>
        <w:bottom w:val="none" w:sz="0" w:space="0" w:color="auto"/>
        <w:right w:val="none" w:sz="0" w:space="0" w:color="auto"/>
      </w:divBdr>
    </w:div>
    <w:div w:id="1816945865">
      <w:bodyDiv w:val="1"/>
      <w:marLeft w:val="0"/>
      <w:marRight w:val="0"/>
      <w:marTop w:val="0"/>
      <w:marBottom w:val="0"/>
      <w:divBdr>
        <w:top w:val="none" w:sz="0" w:space="0" w:color="auto"/>
        <w:left w:val="none" w:sz="0" w:space="0" w:color="auto"/>
        <w:bottom w:val="none" w:sz="0" w:space="0" w:color="auto"/>
        <w:right w:val="none" w:sz="0" w:space="0" w:color="auto"/>
      </w:divBdr>
    </w:div>
    <w:div w:id="1827938263">
      <w:bodyDiv w:val="1"/>
      <w:marLeft w:val="0"/>
      <w:marRight w:val="0"/>
      <w:marTop w:val="0"/>
      <w:marBottom w:val="0"/>
      <w:divBdr>
        <w:top w:val="none" w:sz="0" w:space="0" w:color="auto"/>
        <w:left w:val="none" w:sz="0" w:space="0" w:color="auto"/>
        <w:bottom w:val="none" w:sz="0" w:space="0" w:color="auto"/>
        <w:right w:val="none" w:sz="0" w:space="0" w:color="auto"/>
      </w:divBdr>
    </w:div>
    <w:div w:id="1879973795">
      <w:bodyDiv w:val="1"/>
      <w:marLeft w:val="0"/>
      <w:marRight w:val="0"/>
      <w:marTop w:val="0"/>
      <w:marBottom w:val="0"/>
      <w:divBdr>
        <w:top w:val="none" w:sz="0" w:space="0" w:color="auto"/>
        <w:left w:val="none" w:sz="0" w:space="0" w:color="auto"/>
        <w:bottom w:val="none" w:sz="0" w:space="0" w:color="auto"/>
        <w:right w:val="none" w:sz="0" w:space="0" w:color="auto"/>
      </w:divBdr>
    </w:div>
    <w:div w:id="1904098233">
      <w:bodyDiv w:val="1"/>
      <w:marLeft w:val="0"/>
      <w:marRight w:val="0"/>
      <w:marTop w:val="0"/>
      <w:marBottom w:val="0"/>
      <w:divBdr>
        <w:top w:val="none" w:sz="0" w:space="0" w:color="auto"/>
        <w:left w:val="none" w:sz="0" w:space="0" w:color="auto"/>
        <w:bottom w:val="none" w:sz="0" w:space="0" w:color="auto"/>
        <w:right w:val="none" w:sz="0" w:space="0" w:color="auto"/>
      </w:divBdr>
      <w:divsChild>
        <w:div w:id="369652213">
          <w:marLeft w:val="533"/>
          <w:marRight w:val="0"/>
          <w:marTop w:val="120"/>
          <w:marBottom w:val="0"/>
          <w:divBdr>
            <w:top w:val="none" w:sz="0" w:space="0" w:color="auto"/>
            <w:left w:val="none" w:sz="0" w:space="0" w:color="auto"/>
            <w:bottom w:val="none" w:sz="0" w:space="0" w:color="auto"/>
            <w:right w:val="none" w:sz="0" w:space="0" w:color="auto"/>
          </w:divBdr>
        </w:div>
      </w:divsChild>
    </w:div>
    <w:div w:id="1908686704">
      <w:bodyDiv w:val="1"/>
      <w:marLeft w:val="0"/>
      <w:marRight w:val="0"/>
      <w:marTop w:val="0"/>
      <w:marBottom w:val="0"/>
      <w:divBdr>
        <w:top w:val="none" w:sz="0" w:space="0" w:color="auto"/>
        <w:left w:val="none" w:sz="0" w:space="0" w:color="auto"/>
        <w:bottom w:val="none" w:sz="0" w:space="0" w:color="auto"/>
        <w:right w:val="none" w:sz="0" w:space="0" w:color="auto"/>
      </w:divBdr>
    </w:div>
    <w:div w:id="1929970459">
      <w:bodyDiv w:val="1"/>
      <w:marLeft w:val="0"/>
      <w:marRight w:val="0"/>
      <w:marTop w:val="0"/>
      <w:marBottom w:val="0"/>
      <w:divBdr>
        <w:top w:val="none" w:sz="0" w:space="0" w:color="auto"/>
        <w:left w:val="none" w:sz="0" w:space="0" w:color="auto"/>
        <w:bottom w:val="none" w:sz="0" w:space="0" w:color="auto"/>
        <w:right w:val="none" w:sz="0" w:space="0" w:color="auto"/>
      </w:divBdr>
    </w:div>
    <w:div w:id="1964118590">
      <w:bodyDiv w:val="1"/>
      <w:marLeft w:val="0"/>
      <w:marRight w:val="0"/>
      <w:marTop w:val="0"/>
      <w:marBottom w:val="0"/>
      <w:divBdr>
        <w:top w:val="none" w:sz="0" w:space="0" w:color="auto"/>
        <w:left w:val="none" w:sz="0" w:space="0" w:color="auto"/>
        <w:bottom w:val="none" w:sz="0" w:space="0" w:color="auto"/>
        <w:right w:val="none" w:sz="0" w:space="0" w:color="auto"/>
      </w:divBdr>
      <w:divsChild>
        <w:div w:id="2129353941">
          <w:marLeft w:val="533"/>
          <w:marRight w:val="0"/>
          <w:marTop w:val="120"/>
          <w:marBottom w:val="0"/>
          <w:divBdr>
            <w:top w:val="none" w:sz="0" w:space="0" w:color="auto"/>
            <w:left w:val="none" w:sz="0" w:space="0" w:color="auto"/>
            <w:bottom w:val="none" w:sz="0" w:space="0" w:color="auto"/>
            <w:right w:val="none" w:sz="0" w:space="0" w:color="auto"/>
          </w:divBdr>
        </w:div>
      </w:divsChild>
    </w:div>
    <w:div w:id="1980376270">
      <w:bodyDiv w:val="1"/>
      <w:marLeft w:val="0"/>
      <w:marRight w:val="0"/>
      <w:marTop w:val="0"/>
      <w:marBottom w:val="0"/>
      <w:divBdr>
        <w:top w:val="none" w:sz="0" w:space="0" w:color="auto"/>
        <w:left w:val="none" w:sz="0" w:space="0" w:color="auto"/>
        <w:bottom w:val="none" w:sz="0" w:space="0" w:color="auto"/>
        <w:right w:val="none" w:sz="0" w:space="0" w:color="auto"/>
      </w:divBdr>
    </w:div>
    <w:div w:id="2011062938">
      <w:bodyDiv w:val="1"/>
      <w:marLeft w:val="0"/>
      <w:marRight w:val="0"/>
      <w:marTop w:val="0"/>
      <w:marBottom w:val="0"/>
      <w:divBdr>
        <w:top w:val="none" w:sz="0" w:space="0" w:color="auto"/>
        <w:left w:val="none" w:sz="0" w:space="0" w:color="auto"/>
        <w:bottom w:val="none" w:sz="0" w:space="0" w:color="auto"/>
        <w:right w:val="none" w:sz="0" w:space="0" w:color="auto"/>
      </w:divBdr>
      <w:divsChild>
        <w:div w:id="750197585">
          <w:marLeft w:val="533"/>
          <w:marRight w:val="0"/>
          <w:marTop w:val="120"/>
          <w:marBottom w:val="0"/>
          <w:divBdr>
            <w:top w:val="none" w:sz="0" w:space="0" w:color="auto"/>
            <w:left w:val="none" w:sz="0" w:space="0" w:color="auto"/>
            <w:bottom w:val="none" w:sz="0" w:space="0" w:color="auto"/>
            <w:right w:val="none" w:sz="0" w:space="0" w:color="auto"/>
          </w:divBdr>
        </w:div>
      </w:divsChild>
    </w:div>
    <w:div w:id="2077632041">
      <w:bodyDiv w:val="1"/>
      <w:marLeft w:val="0"/>
      <w:marRight w:val="0"/>
      <w:marTop w:val="0"/>
      <w:marBottom w:val="0"/>
      <w:divBdr>
        <w:top w:val="none" w:sz="0" w:space="0" w:color="auto"/>
        <w:left w:val="none" w:sz="0" w:space="0" w:color="auto"/>
        <w:bottom w:val="none" w:sz="0" w:space="0" w:color="auto"/>
        <w:right w:val="none" w:sz="0" w:space="0" w:color="auto"/>
      </w:divBdr>
    </w:div>
    <w:div w:id="2077891924">
      <w:bodyDiv w:val="1"/>
      <w:marLeft w:val="0"/>
      <w:marRight w:val="0"/>
      <w:marTop w:val="0"/>
      <w:marBottom w:val="0"/>
      <w:divBdr>
        <w:top w:val="none" w:sz="0" w:space="0" w:color="auto"/>
        <w:left w:val="none" w:sz="0" w:space="0" w:color="auto"/>
        <w:bottom w:val="none" w:sz="0" w:space="0" w:color="auto"/>
        <w:right w:val="none" w:sz="0" w:space="0" w:color="auto"/>
      </w:divBdr>
    </w:div>
    <w:div w:id="2103530604">
      <w:bodyDiv w:val="1"/>
      <w:marLeft w:val="0"/>
      <w:marRight w:val="0"/>
      <w:marTop w:val="0"/>
      <w:marBottom w:val="0"/>
      <w:divBdr>
        <w:top w:val="none" w:sz="0" w:space="0" w:color="auto"/>
        <w:left w:val="none" w:sz="0" w:space="0" w:color="auto"/>
        <w:bottom w:val="none" w:sz="0" w:space="0" w:color="auto"/>
        <w:right w:val="none" w:sz="0" w:space="0" w:color="auto"/>
      </w:divBdr>
      <w:divsChild>
        <w:div w:id="727412153">
          <w:marLeft w:val="533"/>
          <w:marRight w:val="0"/>
          <w:marTop w:val="120"/>
          <w:marBottom w:val="0"/>
          <w:divBdr>
            <w:top w:val="none" w:sz="0" w:space="0" w:color="auto"/>
            <w:left w:val="none" w:sz="0" w:space="0" w:color="auto"/>
            <w:bottom w:val="none" w:sz="0" w:space="0" w:color="auto"/>
            <w:right w:val="none" w:sz="0" w:space="0" w:color="auto"/>
          </w:divBdr>
        </w:div>
      </w:divsChild>
    </w:div>
    <w:div w:id="2109235321">
      <w:bodyDiv w:val="1"/>
      <w:marLeft w:val="0"/>
      <w:marRight w:val="0"/>
      <w:marTop w:val="0"/>
      <w:marBottom w:val="0"/>
      <w:divBdr>
        <w:top w:val="none" w:sz="0" w:space="0" w:color="auto"/>
        <w:left w:val="none" w:sz="0" w:space="0" w:color="auto"/>
        <w:bottom w:val="none" w:sz="0" w:space="0" w:color="auto"/>
        <w:right w:val="none" w:sz="0" w:space="0" w:color="auto"/>
      </w:divBdr>
      <w:divsChild>
        <w:div w:id="330455766">
          <w:marLeft w:val="0"/>
          <w:marRight w:val="0"/>
          <w:marTop w:val="0"/>
          <w:marBottom w:val="0"/>
          <w:divBdr>
            <w:top w:val="none" w:sz="0" w:space="0" w:color="auto"/>
            <w:left w:val="none" w:sz="0" w:space="0" w:color="auto"/>
            <w:bottom w:val="none" w:sz="0" w:space="0" w:color="auto"/>
            <w:right w:val="none" w:sz="0" w:space="0" w:color="auto"/>
          </w:divBdr>
          <w:divsChild>
            <w:div w:id="134801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671348">
      <w:bodyDiv w:val="1"/>
      <w:marLeft w:val="0"/>
      <w:marRight w:val="0"/>
      <w:marTop w:val="0"/>
      <w:marBottom w:val="0"/>
      <w:divBdr>
        <w:top w:val="none" w:sz="0" w:space="0" w:color="auto"/>
        <w:left w:val="none" w:sz="0" w:space="0" w:color="auto"/>
        <w:bottom w:val="none" w:sz="0" w:space="0" w:color="auto"/>
        <w:right w:val="none" w:sz="0" w:space="0" w:color="auto"/>
      </w:divBdr>
    </w:div>
    <w:div w:id="2126656195">
      <w:bodyDiv w:val="1"/>
      <w:marLeft w:val="0"/>
      <w:marRight w:val="0"/>
      <w:marTop w:val="0"/>
      <w:marBottom w:val="0"/>
      <w:divBdr>
        <w:top w:val="none" w:sz="0" w:space="0" w:color="auto"/>
        <w:left w:val="none" w:sz="0" w:space="0" w:color="auto"/>
        <w:bottom w:val="none" w:sz="0" w:space="0" w:color="auto"/>
        <w:right w:val="none" w:sz="0" w:space="0" w:color="auto"/>
      </w:divBdr>
    </w:div>
    <w:div w:id="2129398135">
      <w:bodyDiv w:val="1"/>
      <w:marLeft w:val="0"/>
      <w:marRight w:val="0"/>
      <w:marTop w:val="0"/>
      <w:marBottom w:val="0"/>
      <w:divBdr>
        <w:top w:val="none" w:sz="0" w:space="0" w:color="auto"/>
        <w:left w:val="none" w:sz="0" w:space="0" w:color="auto"/>
        <w:bottom w:val="none" w:sz="0" w:space="0" w:color="auto"/>
        <w:right w:val="none" w:sz="0" w:space="0" w:color="auto"/>
      </w:divBdr>
    </w:div>
    <w:div w:id="2144225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3.xml"/><Relationship Id="rId18" Type="http://schemas.openxmlformats.org/officeDocument/2006/relationships/chart" Target="charts/chart7.xml"/><Relationship Id="rId3" Type="http://schemas.openxmlformats.org/officeDocument/2006/relationships/styles" Target="styles.xml"/><Relationship Id="rId21" Type="http://schemas.openxmlformats.org/officeDocument/2006/relationships/chart" Target="charts/chart10.xml"/><Relationship Id="rId7" Type="http://schemas.openxmlformats.org/officeDocument/2006/relationships/footnotes" Target="footnotes.xml"/><Relationship Id="rId12" Type="http://schemas.openxmlformats.org/officeDocument/2006/relationships/chart" Target="charts/chart2.xml"/><Relationship Id="rId17" Type="http://schemas.openxmlformats.org/officeDocument/2006/relationships/chart" Target="charts/chart6.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chart" Target="charts/chart9.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1.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chart" Target="charts/chart5.xml"/><Relationship Id="rId23"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chart" Target="charts/chart8.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chart" Target="charts/chart4.xm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charts/_rels/chart1.xml.rels><?xml version="1.0" encoding="UTF-8" standalone="yes"?>
<Relationships xmlns="http://schemas.openxmlformats.org/package/2006/relationships"><Relationship Id="rId1" Type="http://schemas.openxmlformats.org/officeDocument/2006/relationships/oleObject" Target="file:///H:\&#37329;&#34701;&#34903;\&#30701;&#21048;.xlsx" TargetMode="Externa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1.xm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2.xml"/></Relationships>
</file>

<file path=word/charts/_rels/chart4.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3.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4.xml"/></Relationships>
</file>

<file path=word/charts/_rels/chart6.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5.xml"/></Relationships>
</file>

<file path=word/charts/_rels/chart7.xml.rels><?xml version="1.0" encoding="UTF-8" standalone="yes"?>
<Relationships xmlns="http://schemas.openxmlformats.org/package/2006/relationships"><Relationship Id="rId3" Type="http://schemas.openxmlformats.org/officeDocument/2006/relationships/chartUserShapes" Target="../drawings/drawing6.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6.xml"/></Relationships>
</file>

<file path=word/charts/_rels/chart8.xml.rels><?xml version="1.0" encoding="UTF-8" standalone="yes"?>
<Relationships xmlns="http://schemas.openxmlformats.org/package/2006/relationships"><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7.xml"/></Relationships>
</file>

<file path=word/charts/_rels/chart9.xml.rels><?xml version="1.0" encoding="UTF-8" standalone="yes"?>
<Relationships xmlns="http://schemas.openxmlformats.org/package/2006/relationships"><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8.xml"/></Relationships>
</file>

<file path=word/charts/_rels/chart10.xml.rels><?xml version="1.0" encoding="UTF-8" standalone="yes"?>
<Relationships xmlns="http://schemas.openxmlformats.org/package/2006/relationships"><Relationship Id="rId3" Type="http://schemas.openxmlformats.org/officeDocument/2006/relationships/chartUserShapes" Target="../drawings/drawing7.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9.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4.8548129898903607E-2"/>
          <c:y val="3.2285111040444903E-2"/>
          <c:w val="0.88903444068290638"/>
          <c:h val="0.62501543459057973"/>
        </c:manualLayout>
      </c:layout>
      <c:lineChart>
        <c:grouping val="standard"/>
        <c:varyColors val="0"/>
        <c:ser>
          <c:idx val="0"/>
          <c:order val="0"/>
          <c:tx>
            <c:strRef>
              <c:f>'Sheet3 (2)'!$B$1</c:f>
              <c:strCache>
                <c:ptCount val="1"/>
                <c:pt idx="0">
                  <c:v>平均值项:银行间质押式回购加权利率:1天</c:v>
                </c:pt>
              </c:strCache>
            </c:strRef>
          </c:tx>
          <c:spPr>
            <a:ln w="28575" cap="rnd">
              <a:solidFill>
                <a:schemeClr val="accent1"/>
              </a:solidFill>
              <a:round/>
            </a:ln>
            <a:effectLst/>
          </c:spPr>
          <c:marker>
            <c:symbol val="none"/>
          </c:marker>
          <c:cat>
            <c:numRef>
              <c:f>'Sheet3 (2)'!$A$2:$A$48</c:f>
              <c:numCache>
                <c:formatCode>yyyy"年"m"月";@</c:formatCode>
                <c:ptCount val="47"/>
                <c:pt idx="0">
                  <c:v>42736</c:v>
                </c:pt>
                <c:pt idx="1">
                  <c:v>42767</c:v>
                </c:pt>
                <c:pt idx="2">
                  <c:v>42795</c:v>
                </c:pt>
                <c:pt idx="3">
                  <c:v>42826</c:v>
                </c:pt>
                <c:pt idx="4">
                  <c:v>42857</c:v>
                </c:pt>
                <c:pt idx="5">
                  <c:v>42888</c:v>
                </c:pt>
                <c:pt idx="6">
                  <c:v>42919</c:v>
                </c:pt>
                <c:pt idx="7">
                  <c:v>42950</c:v>
                </c:pt>
                <c:pt idx="8">
                  <c:v>42981</c:v>
                </c:pt>
                <c:pt idx="9">
                  <c:v>43012</c:v>
                </c:pt>
                <c:pt idx="10">
                  <c:v>43043</c:v>
                </c:pt>
                <c:pt idx="11">
                  <c:v>43074</c:v>
                </c:pt>
                <c:pt idx="12">
                  <c:v>43101</c:v>
                </c:pt>
                <c:pt idx="13">
                  <c:v>43132</c:v>
                </c:pt>
                <c:pt idx="14">
                  <c:v>43160</c:v>
                </c:pt>
                <c:pt idx="15">
                  <c:v>43191</c:v>
                </c:pt>
                <c:pt idx="16">
                  <c:v>43222</c:v>
                </c:pt>
                <c:pt idx="17">
                  <c:v>43253</c:v>
                </c:pt>
                <c:pt idx="18">
                  <c:v>43284</c:v>
                </c:pt>
                <c:pt idx="19">
                  <c:v>43315</c:v>
                </c:pt>
                <c:pt idx="20">
                  <c:v>43346</c:v>
                </c:pt>
                <c:pt idx="21">
                  <c:v>43377</c:v>
                </c:pt>
                <c:pt idx="22">
                  <c:v>43408</c:v>
                </c:pt>
                <c:pt idx="23">
                  <c:v>43439</c:v>
                </c:pt>
                <c:pt idx="24">
                  <c:v>43466</c:v>
                </c:pt>
                <c:pt idx="25">
                  <c:v>43497</c:v>
                </c:pt>
                <c:pt idx="26">
                  <c:v>43525</c:v>
                </c:pt>
                <c:pt idx="27">
                  <c:v>43556</c:v>
                </c:pt>
                <c:pt idx="28">
                  <c:v>43587</c:v>
                </c:pt>
                <c:pt idx="29">
                  <c:v>43618</c:v>
                </c:pt>
                <c:pt idx="30">
                  <c:v>43649</c:v>
                </c:pt>
                <c:pt idx="31">
                  <c:v>43680</c:v>
                </c:pt>
                <c:pt idx="32">
                  <c:v>43711</c:v>
                </c:pt>
                <c:pt idx="33">
                  <c:v>43742</c:v>
                </c:pt>
                <c:pt idx="34">
                  <c:v>43773</c:v>
                </c:pt>
                <c:pt idx="35">
                  <c:v>43804</c:v>
                </c:pt>
                <c:pt idx="36">
                  <c:v>43831</c:v>
                </c:pt>
                <c:pt idx="37">
                  <c:v>43862</c:v>
                </c:pt>
                <c:pt idx="38">
                  <c:v>43891</c:v>
                </c:pt>
                <c:pt idx="39">
                  <c:v>43922</c:v>
                </c:pt>
                <c:pt idx="40">
                  <c:v>43953</c:v>
                </c:pt>
                <c:pt idx="41">
                  <c:v>43984</c:v>
                </c:pt>
                <c:pt idx="42">
                  <c:v>44015</c:v>
                </c:pt>
                <c:pt idx="43">
                  <c:v>44046</c:v>
                </c:pt>
                <c:pt idx="44">
                  <c:v>44077</c:v>
                </c:pt>
                <c:pt idx="45">
                  <c:v>44108</c:v>
                </c:pt>
                <c:pt idx="46">
                  <c:v>44139</c:v>
                </c:pt>
              </c:numCache>
            </c:numRef>
          </c:cat>
          <c:val>
            <c:numRef>
              <c:f>'Sheet3 (2)'!$B$2:$B$48</c:f>
              <c:numCache>
                <c:formatCode>0.00</c:formatCode>
                <c:ptCount val="47"/>
                <c:pt idx="0">
                  <c:v>2.2703526315789477</c:v>
                </c:pt>
                <c:pt idx="1">
                  <c:v>2.4200736842105268</c:v>
                </c:pt>
                <c:pt idx="2">
                  <c:v>2.5930391304347826</c:v>
                </c:pt>
                <c:pt idx="3">
                  <c:v>2.6694894736842101</c:v>
                </c:pt>
                <c:pt idx="4">
                  <c:v>2.782742857142857</c:v>
                </c:pt>
                <c:pt idx="5">
                  <c:v>2.8446090909090911</c:v>
                </c:pt>
                <c:pt idx="6">
                  <c:v>2.7964047619047623</c:v>
                </c:pt>
                <c:pt idx="7">
                  <c:v>2.9760521739130432</c:v>
                </c:pt>
                <c:pt idx="8">
                  <c:v>2.8509772727272735</c:v>
                </c:pt>
                <c:pt idx="9">
                  <c:v>2.7804352941176469</c:v>
                </c:pt>
                <c:pt idx="10">
                  <c:v>2.8320090909090911</c:v>
                </c:pt>
                <c:pt idx="11">
                  <c:v>2.7627000000000002</c:v>
                </c:pt>
                <c:pt idx="12">
                  <c:v>2.7109818181818186</c:v>
                </c:pt>
                <c:pt idx="13">
                  <c:v>2.6223117647058825</c:v>
                </c:pt>
                <c:pt idx="14">
                  <c:v>2.6976727272727277</c:v>
                </c:pt>
                <c:pt idx="15">
                  <c:v>2.8959300000000008</c:v>
                </c:pt>
                <c:pt idx="16">
                  <c:v>2.6731227272727272</c:v>
                </c:pt>
                <c:pt idx="17">
                  <c:v>2.6347749999999994</c:v>
                </c:pt>
                <c:pt idx="18">
                  <c:v>2.3417409090909089</c:v>
                </c:pt>
                <c:pt idx="19">
                  <c:v>2.2186999999999997</c:v>
                </c:pt>
                <c:pt idx="20">
                  <c:v>2.4937142857142853</c:v>
                </c:pt>
                <c:pt idx="21">
                  <c:v>2.3350388888888887</c:v>
                </c:pt>
                <c:pt idx="22">
                  <c:v>2.4282363636363637</c:v>
                </c:pt>
                <c:pt idx="23">
                  <c:v>2.3898952380952379</c:v>
                </c:pt>
                <c:pt idx="24">
                  <c:v>2.0586045454545459</c:v>
                </c:pt>
                <c:pt idx="25">
                  <c:v>2.1951058823529412</c:v>
                </c:pt>
                <c:pt idx="26">
                  <c:v>2.4096619047619052</c:v>
                </c:pt>
                <c:pt idx="27">
                  <c:v>2.3979772727272728</c:v>
                </c:pt>
                <c:pt idx="28">
                  <c:v>2.2356285714285713</c:v>
                </c:pt>
                <c:pt idx="29">
                  <c:v>1.5800368421052631</c:v>
                </c:pt>
                <c:pt idx="30">
                  <c:v>2.1808608695652181</c:v>
                </c:pt>
                <c:pt idx="31">
                  <c:v>2.6287409090909084</c:v>
                </c:pt>
                <c:pt idx="32">
                  <c:v>2.4153333333333333</c:v>
                </c:pt>
                <c:pt idx="33">
                  <c:v>2.519005263157895</c:v>
                </c:pt>
                <c:pt idx="34">
                  <c:v>2.2517047619047617</c:v>
                </c:pt>
                <c:pt idx="35">
                  <c:v>1.9522545454545459</c:v>
                </c:pt>
                <c:pt idx="36">
                  <c:v>2.0091941176470591</c:v>
                </c:pt>
                <c:pt idx="37">
                  <c:v>1.7157699999999998</c:v>
                </c:pt>
                <c:pt idx="38">
                  <c:v>1.3759772727272728</c:v>
                </c:pt>
                <c:pt idx="39">
                  <c:v>1.0597090909090909</c:v>
                </c:pt>
                <c:pt idx="40">
                  <c:v>1.301657894736842</c:v>
                </c:pt>
                <c:pt idx="41">
                  <c:v>1.7918904761904759</c:v>
                </c:pt>
                <c:pt idx="42">
                  <c:v>1.8715956521739137</c:v>
                </c:pt>
                <c:pt idx="43">
                  <c:v>2.0157095238095235</c:v>
                </c:pt>
                <c:pt idx="44">
                  <c:v>1.7465652173913042</c:v>
                </c:pt>
                <c:pt idx="45">
                  <c:v>2.1556294117647061</c:v>
                </c:pt>
                <c:pt idx="46">
                  <c:v>2.1241888888888889</c:v>
                </c:pt>
              </c:numCache>
            </c:numRef>
          </c:val>
          <c:smooth val="0"/>
          <c:extLst xmlns:c16r2="http://schemas.microsoft.com/office/drawing/2015/06/chart">
            <c:ext xmlns:c16="http://schemas.microsoft.com/office/drawing/2014/chart" uri="{C3380CC4-5D6E-409C-BE32-E72D297353CC}">
              <c16:uniqueId val="{00000000-7FAD-4BDD-99A2-4A304169AAF6}"/>
            </c:ext>
          </c:extLst>
        </c:ser>
        <c:ser>
          <c:idx val="1"/>
          <c:order val="1"/>
          <c:tx>
            <c:strRef>
              <c:f>'Sheet3 (2)'!$C$1</c:f>
              <c:strCache>
                <c:ptCount val="1"/>
                <c:pt idx="0">
                  <c:v>平均值项:银行间质押式回购加权利率:7天</c:v>
                </c:pt>
              </c:strCache>
            </c:strRef>
          </c:tx>
          <c:spPr>
            <a:ln w="28575" cap="rnd">
              <a:solidFill>
                <a:schemeClr val="accent2"/>
              </a:solidFill>
              <a:round/>
            </a:ln>
            <a:effectLst/>
          </c:spPr>
          <c:marker>
            <c:symbol val="none"/>
          </c:marker>
          <c:cat>
            <c:numRef>
              <c:f>'Sheet3 (2)'!$A$2:$A$48</c:f>
              <c:numCache>
                <c:formatCode>yyyy"年"m"月";@</c:formatCode>
                <c:ptCount val="47"/>
                <c:pt idx="0">
                  <c:v>42736</c:v>
                </c:pt>
                <c:pt idx="1">
                  <c:v>42767</c:v>
                </c:pt>
                <c:pt idx="2">
                  <c:v>42795</c:v>
                </c:pt>
                <c:pt idx="3">
                  <c:v>42826</c:v>
                </c:pt>
                <c:pt idx="4">
                  <c:v>42857</c:v>
                </c:pt>
                <c:pt idx="5">
                  <c:v>42888</c:v>
                </c:pt>
                <c:pt idx="6">
                  <c:v>42919</c:v>
                </c:pt>
                <c:pt idx="7">
                  <c:v>42950</c:v>
                </c:pt>
                <c:pt idx="8">
                  <c:v>42981</c:v>
                </c:pt>
                <c:pt idx="9">
                  <c:v>43012</c:v>
                </c:pt>
                <c:pt idx="10">
                  <c:v>43043</c:v>
                </c:pt>
                <c:pt idx="11">
                  <c:v>43074</c:v>
                </c:pt>
                <c:pt idx="12">
                  <c:v>43101</c:v>
                </c:pt>
                <c:pt idx="13">
                  <c:v>43132</c:v>
                </c:pt>
                <c:pt idx="14">
                  <c:v>43160</c:v>
                </c:pt>
                <c:pt idx="15">
                  <c:v>43191</c:v>
                </c:pt>
                <c:pt idx="16">
                  <c:v>43222</c:v>
                </c:pt>
                <c:pt idx="17">
                  <c:v>43253</c:v>
                </c:pt>
                <c:pt idx="18">
                  <c:v>43284</c:v>
                </c:pt>
                <c:pt idx="19">
                  <c:v>43315</c:v>
                </c:pt>
                <c:pt idx="20">
                  <c:v>43346</c:v>
                </c:pt>
                <c:pt idx="21">
                  <c:v>43377</c:v>
                </c:pt>
                <c:pt idx="22">
                  <c:v>43408</c:v>
                </c:pt>
                <c:pt idx="23">
                  <c:v>43439</c:v>
                </c:pt>
                <c:pt idx="24">
                  <c:v>43466</c:v>
                </c:pt>
                <c:pt idx="25">
                  <c:v>43497</c:v>
                </c:pt>
                <c:pt idx="26">
                  <c:v>43525</c:v>
                </c:pt>
                <c:pt idx="27">
                  <c:v>43556</c:v>
                </c:pt>
                <c:pt idx="28">
                  <c:v>43587</c:v>
                </c:pt>
                <c:pt idx="29">
                  <c:v>43618</c:v>
                </c:pt>
                <c:pt idx="30">
                  <c:v>43649</c:v>
                </c:pt>
                <c:pt idx="31">
                  <c:v>43680</c:v>
                </c:pt>
                <c:pt idx="32">
                  <c:v>43711</c:v>
                </c:pt>
                <c:pt idx="33">
                  <c:v>43742</c:v>
                </c:pt>
                <c:pt idx="34">
                  <c:v>43773</c:v>
                </c:pt>
                <c:pt idx="35">
                  <c:v>43804</c:v>
                </c:pt>
                <c:pt idx="36">
                  <c:v>43831</c:v>
                </c:pt>
                <c:pt idx="37">
                  <c:v>43862</c:v>
                </c:pt>
                <c:pt idx="38">
                  <c:v>43891</c:v>
                </c:pt>
                <c:pt idx="39">
                  <c:v>43922</c:v>
                </c:pt>
                <c:pt idx="40">
                  <c:v>43953</c:v>
                </c:pt>
                <c:pt idx="41">
                  <c:v>43984</c:v>
                </c:pt>
                <c:pt idx="42">
                  <c:v>44015</c:v>
                </c:pt>
                <c:pt idx="43">
                  <c:v>44046</c:v>
                </c:pt>
                <c:pt idx="44">
                  <c:v>44077</c:v>
                </c:pt>
                <c:pt idx="45">
                  <c:v>44108</c:v>
                </c:pt>
                <c:pt idx="46">
                  <c:v>44139</c:v>
                </c:pt>
              </c:numCache>
            </c:numRef>
          </c:cat>
          <c:val>
            <c:numRef>
              <c:f>'Sheet3 (2)'!$C$2:$C$48</c:f>
              <c:numCache>
                <c:formatCode>0.00</c:formatCode>
                <c:ptCount val="47"/>
                <c:pt idx="0">
                  <c:v>2.6760157894736842</c:v>
                </c:pt>
                <c:pt idx="1">
                  <c:v>3.0555157894736844</c:v>
                </c:pt>
                <c:pt idx="2">
                  <c:v>3.4684695652173914</c:v>
                </c:pt>
                <c:pt idx="3">
                  <c:v>3.3117000000000001</c:v>
                </c:pt>
                <c:pt idx="4">
                  <c:v>3.2629000000000006</c:v>
                </c:pt>
                <c:pt idx="5">
                  <c:v>3.4568863636363627</c:v>
                </c:pt>
                <c:pt idx="6">
                  <c:v>3.3185238095238092</c:v>
                </c:pt>
                <c:pt idx="7">
                  <c:v>3.5497347826086956</c:v>
                </c:pt>
                <c:pt idx="8">
                  <c:v>3.4659590909090912</c:v>
                </c:pt>
                <c:pt idx="9">
                  <c:v>3.3620823529411763</c:v>
                </c:pt>
                <c:pt idx="10">
                  <c:v>3.4734454545454541</c:v>
                </c:pt>
                <c:pt idx="11">
                  <c:v>3.6940523809523804</c:v>
                </c:pt>
                <c:pt idx="12">
                  <c:v>3.2348227272727272</c:v>
                </c:pt>
                <c:pt idx="13">
                  <c:v>3.0728</c:v>
                </c:pt>
                <c:pt idx="14">
                  <c:v>3.2892681818181817</c:v>
                </c:pt>
                <c:pt idx="15">
                  <c:v>3.6574499999999999</c:v>
                </c:pt>
                <c:pt idx="16">
                  <c:v>3.185254545454546</c:v>
                </c:pt>
                <c:pt idx="17">
                  <c:v>3.340180000000001</c:v>
                </c:pt>
                <c:pt idx="18">
                  <c:v>2.7339545454545453</c:v>
                </c:pt>
                <c:pt idx="19">
                  <c:v>2.5570695652173918</c:v>
                </c:pt>
                <c:pt idx="20">
                  <c:v>2.740504761904762</c:v>
                </c:pt>
                <c:pt idx="21">
                  <c:v>2.6530944444444446</c:v>
                </c:pt>
                <c:pt idx="22">
                  <c:v>2.6879636363636368</c:v>
                </c:pt>
                <c:pt idx="23">
                  <c:v>3.1380952380952376</c:v>
                </c:pt>
                <c:pt idx="24">
                  <c:v>2.5828863636363639</c:v>
                </c:pt>
                <c:pt idx="25">
                  <c:v>2.5864999999999991</c:v>
                </c:pt>
                <c:pt idx="26">
                  <c:v>2.7865047619047618</c:v>
                </c:pt>
                <c:pt idx="27">
                  <c:v>2.7478136363636363</c:v>
                </c:pt>
                <c:pt idx="28">
                  <c:v>2.6459619047619052</c:v>
                </c:pt>
                <c:pt idx="29">
                  <c:v>2.4973842105263153</c:v>
                </c:pt>
                <c:pt idx="30">
                  <c:v>2.6189695652173914</c:v>
                </c:pt>
                <c:pt idx="31">
                  <c:v>2.7798772727272723</c:v>
                </c:pt>
                <c:pt idx="32">
                  <c:v>2.7205142857142861</c:v>
                </c:pt>
                <c:pt idx="33">
                  <c:v>2.7968894736842107</c:v>
                </c:pt>
                <c:pt idx="34">
                  <c:v>2.68827619047619</c:v>
                </c:pt>
                <c:pt idx="35">
                  <c:v>2.5893090909090906</c:v>
                </c:pt>
                <c:pt idx="36">
                  <c:v>2.6662705882352946</c:v>
                </c:pt>
                <c:pt idx="37">
                  <c:v>2.3584199999999997</c:v>
                </c:pt>
                <c:pt idx="38">
                  <c:v>2.0371454545454544</c:v>
                </c:pt>
                <c:pt idx="39">
                  <c:v>1.5699045454545451</c:v>
                </c:pt>
                <c:pt idx="40">
                  <c:v>1.6166368421052626</c:v>
                </c:pt>
                <c:pt idx="41">
                  <c:v>2.0875238095238098</c:v>
                </c:pt>
                <c:pt idx="42">
                  <c:v>2.2306130434782605</c:v>
                </c:pt>
                <c:pt idx="43">
                  <c:v>2.3686000000000003</c:v>
                </c:pt>
                <c:pt idx="44">
                  <c:v>2.3929739130434782</c:v>
                </c:pt>
                <c:pt idx="45">
                  <c:v>2.568911764705883</c:v>
                </c:pt>
                <c:pt idx="46">
                  <c:v>2.5654777777777777</c:v>
                </c:pt>
              </c:numCache>
            </c:numRef>
          </c:val>
          <c:smooth val="0"/>
          <c:extLst xmlns:c16r2="http://schemas.microsoft.com/office/drawing/2015/06/chart">
            <c:ext xmlns:c16="http://schemas.microsoft.com/office/drawing/2014/chart" uri="{C3380CC4-5D6E-409C-BE32-E72D297353CC}">
              <c16:uniqueId val="{00000001-7FAD-4BDD-99A2-4A304169AAF6}"/>
            </c:ext>
          </c:extLst>
        </c:ser>
        <c:ser>
          <c:idx val="2"/>
          <c:order val="2"/>
          <c:tx>
            <c:strRef>
              <c:f>'Sheet3 (2)'!$D$1</c:f>
              <c:strCache>
                <c:ptCount val="1"/>
                <c:pt idx="0">
                  <c:v>平均值项:中债国开债到期收益率:1年</c:v>
                </c:pt>
              </c:strCache>
            </c:strRef>
          </c:tx>
          <c:spPr>
            <a:ln w="28575" cap="rnd">
              <a:solidFill>
                <a:schemeClr val="accent3"/>
              </a:solidFill>
              <a:round/>
            </a:ln>
            <a:effectLst/>
          </c:spPr>
          <c:marker>
            <c:symbol val="none"/>
          </c:marker>
          <c:cat>
            <c:numRef>
              <c:f>'Sheet3 (2)'!$A$2:$A$48</c:f>
              <c:numCache>
                <c:formatCode>yyyy"年"m"月";@</c:formatCode>
                <c:ptCount val="47"/>
                <c:pt idx="0">
                  <c:v>42736</c:v>
                </c:pt>
                <c:pt idx="1">
                  <c:v>42767</c:v>
                </c:pt>
                <c:pt idx="2">
                  <c:v>42795</c:v>
                </c:pt>
                <c:pt idx="3">
                  <c:v>42826</c:v>
                </c:pt>
                <c:pt idx="4">
                  <c:v>42857</c:v>
                </c:pt>
                <c:pt idx="5">
                  <c:v>42888</c:v>
                </c:pt>
                <c:pt idx="6">
                  <c:v>42919</c:v>
                </c:pt>
                <c:pt idx="7">
                  <c:v>42950</c:v>
                </c:pt>
                <c:pt idx="8">
                  <c:v>42981</c:v>
                </c:pt>
                <c:pt idx="9">
                  <c:v>43012</c:v>
                </c:pt>
                <c:pt idx="10">
                  <c:v>43043</c:v>
                </c:pt>
                <c:pt idx="11">
                  <c:v>43074</c:v>
                </c:pt>
                <c:pt idx="12">
                  <c:v>43101</c:v>
                </c:pt>
                <c:pt idx="13">
                  <c:v>43132</c:v>
                </c:pt>
                <c:pt idx="14">
                  <c:v>43160</c:v>
                </c:pt>
                <c:pt idx="15">
                  <c:v>43191</c:v>
                </c:pt>
                <c:pt idx="16">
                  <c:v>43222</c:v>
                </c:pt>
                <c:pt idx="17">
                  <c:v>43253</c:v>
                </c:pt>
                <c:pt idx="18">
                  <c:v>43284</c:v>
                </c:pt>
                <c:pt idx="19">
                  <c:v>43315</c:v>
                </c:pt>
                <c:pt idx="20">
                  <c:v>43346</c:v>
                </c:pt>
                <c:pt idx="21">
                  <c:v>43377</c:v>
                </c:pt>
                <c:pt idx="22">
                  <c:v>43408</c:v>
                </c:pt>
                <c:pt idx="23">
                  <c:v>43439</c:v>
                </c:pt>
                <c:pt idx="24">
                  <c:v>43466</c:v>
                </c:pt>
                <c:pt idx="25">
                  <c:v>43497</c:v>
                </c:pt>
                <c:pt idx="26">
                  <c:v>43525</c:v>
                </c:pt>
                <c:pt idx="27">
                  <c:v>43556</c:v>
                </c:pt>
                <c:pt idx="28">
                  <c:v>43587</c:v>
                </c:pt>
                <c:pt idx="29">
                  <c:v>43618</c:v>
                </c:pt>
                <c:pt idx="30">
                  <c:v>43649</c:v>
                </c:pt>
                <c:pt idx="31">
                  <c:v>43680</c:v>
                </c:pt>
                <c:pt idx="32">
                  <c:v>43711</c:v>
                </c:pt>
                <c:pt idx="33">
                  <c:v>43742</c:v>
                </c:pt>
                <c:pt idx="34">
                  <c:v>43773</c:v>
                </c:pt>
                <c:pt idx="35">
                  <c:v>43804</c:v>
                </c:pt>
                <c:pt idx="36">
                  <c:v>43831</c:v>
                </c:pt>
                <c:pt idx="37">
                  <c:v>43862</c:v>
                </c:pt>
                <c:pt idx="38">
                  <c:v>43891</c:v>
                </c:pt>
                <c:pt idx="39">
                  <c:v>43922</c:v>
                </c:pt>
                <c:pt idx="40">
                  <c:v>43953</c:v>
                </c:pt>
                <c:pt idx="41">
                  <c:v>43984</c:v>
                </c:pt>
                <c:pt idx="42">
                  <c:v>44015</c:v>
                </c:pt>
                <c:pt idx="43">
                  <c:v>44046</c:v>
                </c:pt>
                <c:pt idx="44">
                  <c:v>44077</c:v>
                </c:pt>
                <c:pt idx="45">
                  <c:v>44108</c:v>
                </c:pt>
                <c:pt idx="46">
                  <c:v>44139</c:v>
                </c:pt>
              </c:numCache>
            </c:numRef>
          </c:cat>
          <c:val>
            <c:numRef>
              <c:f>'Sheet3 (2)'!$D$2:$D$48</c:f>
              <c:numCache>
                <c:formatCode>0.00</c:formatCode>
                <c:ptCount val="47"/>
                <c:pt idx="0">
                  <c:v>3.1950789473684207</c:v>
                </c:pt>
                <c:pt idx="1">
                  <c:v>3.3235000000000001</c:v>
                </c:pt>
                <c:pt idx="2">
                  <c:v>3.4702956521739137</c:v>
                </c:pt>
                <c:pt idx="3">
                  <c:v>3.6416263157894737</c:v>
                </c:pt>
                <c:pt idx="4">
                  <c:v>4.0523000000000007</c:v>
                </c:pt>
                <c:pt idx="5">
                  <c:v>4.1099772727272734</c:v>
                </c:pt>
                <c:pt idx="6">
                  <c:v>3.7489142857142861</c:v>
                </c:pt>
                <c:pt idx="7">
                  <c:v>3.7513739130434782</c:v>
                </c:pt>
                <c:pt idx="8">
                  <c:v>3.921663636363637</c:v>
                </c:pt>
                <c:pt idx="9">
                  <c:v>3.9446470588235294</c:v>
                </c:pt>
                <c:pt idx="10">
                  <c:v>4.2479318181818178</c:v>
                </c:pt>
                <c:pt idx="11">
                  <c:v>4.5837782608695656</c:v>
                </c:pt>
                <c:pt idx="12">
                  <c:v>4.3153454545454553</c:v>
                </c:pt>
                <c:pt idx="13">
                  <c:v>4.2358882352941185</c:v>
                </c:pt>
                <c:pt idx="14">
                  <c:v>4.11565909090909</c:v>
                </c:pt>
                <c:pt idx="15">
                  <c:v>3.7465650000000004</c:v>
                </c:pt>
                <c:pt idx="16">
                  <c:v>3.8200727272727266</c:v>
                </c:pt>
                <c:pt idx="17">
                  <c:v>3.8734199999999994</c:v>
                </c:pt>
                <c:pt idx="18">
                  <c:v>3.3159045454545453</c:v>
                </c:pt>
                <c:pt idx="19">
                  <c:v>3.0350260869565222</c:v>
                </c:pt>
                <c:pt idx="20">
                  <c:v>3.1045571428571423</c:v>
                </c:pt>
                <c:pt idx="21">
                  <c:v>2.9209999999999998</c:v>
                </c:pt>
                <c:pt idx="22">
                  <c:v>2.8619772727272728</c:v>
                </c:pt>
                <c:pt idx="23">
                  <c:v>2.8913608695652169</c:v>
                </c:pt>
                <c:pt idx="24">
                  <c:v>2.5961545454545458</c:v>
                </c:pt>
                <c:pt idx="25">
                  <c:v>2.5447941176470592</c:v>
                </c:pt>
                <c:pt idx="26">
                  <c:v>2.5673714285714282</c:v>
                </c:pt>
                <c:pt idx="27">
                  <c:v>2.7264272727272725</c:v>
                </c:pt>
                <c:pt idx="28">
                  <c:v>2.8520952380952389</c:v>
                </c:pt>
                <c:pt idx="29">
                  <c:v>2.838836842105263</c:v>
                </c:pt>
                <c:pt idx="30">
                  <c:v>2.682239130434783</c:v>
                </c:pt>
                <c:pt idx="31">
                  <c:v>2.6998772727272726</c:v>
                </c:pt>
                <c:pt idx="32">
                  <c:v>2.7498904761904766</c:v>
                </c:pt>
                <c:pt idx="33">
                  <c:v>2.7356210526315783</c:v>
                </c:pt>
                <c:pt idx="34">
                  <c:v>2.7418619047619042</c:v>
                </c:pt>
                <c:pt idx="35">
                  <c:v>2.6848272727272731</c:v>
                </c:pt>
                <c:pt idx="36">
                  <c:v>2.446905882352941</c:v>
                </c:pt>
                <c:pt idx="37">
                  <c:v>2.079555</c:v>
                </c:pt>
                <c:pt idx="38">
                  <c:v>2.0150318181818183</c:v>
                </c:pt>
                <c:pt idx="39">
                  <c:v>1.3174681818181819</c:v>
                </c:pt>
                <c:pt idx="40">
                  <c:v>1.4609947368421052</c:v>
                </c:pt>
                <c:pt idx="41">
                  <c:v>2.2055095238095235</c:v>
                </c:pt>
                <c:pt idx="42">
                  <c:v>2.5070521739130442</c:v>
                </c:pt>
                <c:pt idx="43">
                  <c:v>2.7178047619047621</c:v>
                </c:pt>
                <c:pt idx="44">
                  <c:v>2.8308695652173919</c:v>
                </c:pt>
                <c:pt idx="45">
                  <c:v>2.846523529411765</c:v>
                </c:pt>
                <c:pt idx="46">
                  <c:v>2.8515555555555552</c:v>
                </c:pt>
              </c:numCache>
            </c:numRef>
          </c:val>
          <c:smooth val="0"/>
          <c:extLst xmlns:c16r2="http://schemas.microsoft.com/office/drawing/2015/06/chart">
            <c:ext xmlns:c16="http://schemas.microsoft.com/office/drawing/2014/chart" uri="{C3380CC4-5D6E-409C-BE32-E72D297353CC}">
              <c16:uniqueId val="{00000002-7FAD-4BDD-99A2-4A304169AAF6}"/>
            </c:ext>
          </c:extLst>
        </c:ser>
        <c:dLbls>
          <c:showLegendKey val="0"/>
          <c:showVal val="0"/>
          <c:showCatName val="0"/>
          <c:showSerName val="0"/>
          <c:showPercent val="0"/>
          <c:showBubbleSize val="0"/>
        </c:dLbls>
        <c:marker val="1"/>
        <c:smooth val="0"/>
        <c:axId val="273012992"/>
        <c:axId val="273014784"/>
      </c:lineChart>
      <c:lineChart>
        <c:grouping val="standard"/>
        <c:varyColors val="0"/>
        <c:ser>
          <c:idx val="3"/>
          <c:order val="3"/>
          <c:tx>
            <c:strRef>
              <c:f>'Sheet3 (2)'!$E$1</c:f>
              <c:strCache>
                <c:ptCount val="1"/>
                <c:pt idx="0">
                  <c:v>平均值项:1Y国开-7天</c:v>
                </c:pt>
              </c:strCache>
            </c:strRef>
          </c:tx>
          <c:spPr>
            <a:ln w="28575" cap="rnd">
              <a:solidFill>
                <a:schemeClr val="accent4"/>
              </a:solidFill>
              <a:round/>
            </a:ln>
            <a:effectLst/>
          </c:spPr>
          <c:marker>
            <c:symbol val="none"/>
          </c:marker>
          <c:cat>
            <c:numRef>
              <c:f>'Sheet3 (2)'!$A$2:$A$48</c:f>
              <c:numCache>
                <c:formatCode>yyyy"年"m"月";@</c:formatCode>
                <c:ptCount val="47"/>
                <c:pt idx="0">
                  <c:v>42736</c:v>
                </c:pt>
                <c:pt idx="1">
                  <c:v>42767</c:v>
                </c:pt>
                <c:pt idx="2">
                  <c:v>42795</c:v>
                </c:pt>
                <c:pt idx="3">
                  <c:v>42826</c:v>
                </c:pt>
                <c:pt idx="4">
                  <c:v>42857</c:v>
                </c:pt>
                <c:pt idx="5">
                  <c:v>42888</c:v>
                </c:pt>
                <c:pt idx="6">
                  <c:v>42919</c:v>
                </c:pt>
                <c:pt idx="7">
                  <c:v>42950</c:v>
                </c:pt>
                <c:pt idx="8">
                  <c:v>42981</c:v>
                </c:pt>
                <c:pt idx="9">
                  <c:v>43012</c:v>
                </c:pt>
                <c:pt idx="10">
                  <c:v>43043</c:v>
                </c:pt>
                <c:pt idx="11">
                  <c:v>43074</c:v>
                </c:pt>
                <c:pt idx="12">
                  <c:v>43101</c:v>
                </c:pt>
                <c:pt idx="13">
                  <c:v>43132</c:v>
                </c:pt>
                <c:pt idx="14">
                  <c:v>43160</c:v>
                </c:pt>
                <c:pt idx="15">
                  <c:v>43191</c:v>
                </c:pt>
                <c:pt idx="16">
                  <c:v>43222</c:v>
                </c:pt>
                <c:pt idx="17">
                  <c:v>43253</c:v>
                </c:pt>
                <c:pt idx="18">
                  <c:v>43284</c:v>
                </c:pt>
                <c:pt idx="19">
                  <c:v>43315</c:v>
                </c:pt>
                <c:pt idx="20">
                  <c:v>43346</c:v>
                </c:pt>
                <c:pt idx="21">
                  <c:v>43377</c:v>
                </c:pt>
                <c:pt idx="22">
                  <c:v>43408</c:v>
                </c:pt>
                <c:pt idx="23">
                  <c:v>43439</c:v>
                </c:pt>
                <c:pt idx="24">
                  <c:v>43466</c:v>
                </c:pt>
                <c:pt idx="25">
                  <c:v>43497</c:v>
                </c:pt>
                <c:pt idx="26">
                  <c:v>43525</c:v>
                </c:pt>
                <c:pt idx="27">
                  <c:v>43556</c:v>
                </c:pt>
                <c:pt idx="28">
                  <c:v>43587</c:v>
                </c:pt>
                <c:pt idx="29">
                  <c:v>43618</c:v>
                </c:pt>
                <c:pt idx="30">
                  <c:v>43649</c:v>
                </c:pt>
                <c:pt idx="31">
                  <c:v>43680</c:v>
                </c:pt>
                <c:pt idx="32">
                  <c:v>43711</c:v>
                </c:pt>
                <c:pt idx="33">
                  <c:v>43742</c:v>
                </c:pt>
                <c:pt idx="34">
                  <c:v>43773</c:v>
                </c:pt>
                <c:pt idx="35">
                  <c:v>43804</c:v>
                </c:pt>
                <c:pt idx="36">
                  <c:v>43831</c:v>
                </c:pt>
                <c:pt idx="37">
                  <c:v>43862</c:v>
                </c:pt>
                <c:pt idx="38">
                  <c:v>43891</c:v>
                </c:pt>
                <c:pt idx="39">
                  <c:v>43922</c:v>
                </c:pt>
                <c:pt idx="40">
                  <c:v>43953</c:v>
                </c:pt>
                <c:pt idx="41">
                  <c:v>43984</c:v>
                </c:pt>
                <c:pt idx="42">
                  <c:v>44015</c:v>
                </c:pt>
                <c:pt idx="43">
                  <c:v>44046</c:v>
                </c:pt>
                <c:pt idx="44">
                  <c:v>44077</c:v>
                </c:pt>
                <c:pt idx="45">
                  <c:v>44108</c:v>
                </c:pt>
                <c:pt idx="46">
                  <c:v>44139</c:v>
                </c:pt>
              </c:numCache>
            </c:numRef>
          </c:cat>
          <c:val>
            <c:numRef>
              <c:f>'Sheet3 (2)'!$E$2:$E$48</c:f>
              <c:numCache>
                <c:formatCode>0.00</c:formatCode>
                <c:ptCount val="47"/>
                <c:pt idx="0">
                  <c:v>0.51906315789473678</c:v>
                </c:pt>
                <c:pt idx="1">
                  <c:v>0.26798421052631588</c:v>
                </c:pt>
                <c:pt idx="2">
                  <c:v>1.8260869565217505E-3</c:v>
                </c:pt>
                <c:pt idx="3">
                  <c:v>0.32992631578947362</c:v>
                </c:pt>
                <c:pt idx="4">
                  <c:v>0.78939999999999999</c:v>
                </c:pt>
                <c:pt idx="5">
                  <c:v>0.65309090909090917</c:v>
                </c:pt>
                <c:pt idx="6">
                  <c:v>0.43039047619047627</c:v>
                </c:pt>
                <c:pt idx="7">
                  <c:v>0.20163913043478271</c:v>
                </c:pt>
                <c:pt idx="8">
                  <c:v>0.45570454545454547</c:v>
                </c:pt>
                <c:pt idx="9">
                  <c:v>0.58256470588235287</c:v>
                </c:pt>
                <c:pt idx="10">
                  <c:v>0.77448636363636369</c:v>
                </c:pt>
                <c:pt idx="11">
                  <c:v>1.2109478260869562</c:v>
                </c:pt>
                <c:pt idx="12">
                  <c:v>1.0805227272727274</c:v>
                </c:pt>
                <c:pt idx="13">
                  <c:v>1.1630882352941176</c:v>
                </c:pt>
                <c:pt idx="14">
                  <c:v>0.82639090909090906</c:v>
                </c:pt>
                <c:pt idx="15">
                  <c:v>8.9114999999999972E-2</c:v>
                </c:pt>
                <c:pt idx="16">
                  <c:v>0.63481818181818184</c:v>
                </c:pt>
                <c:pt idx="17">
                  <c:v>0.53323999999999994</c:v>
                </c:pt>
                <c:pt idx="18">
                  <c:v>0.58195000000000008</c:v>
                </c:pt>
                <c:pt idx="19">
                  <c:v>0.47795652173913045</c:v>
                </c:pt>
                <c:pt idx="20">
                  <c:v>0.36405238095238091</c:v>
                </c:pt>
                <c:pt idx="21">
                  <c:v>0.26790555555555556</c:v>
                </c:pt>
                <c:pt idx="22">
                  <c:v>0.17401363636363631</c:v>
                </c:pt>
                <c:pt idx="23">
                  <c:v>2.6143478260869574E-2</c:v>
                </c:pt>
                <c:pt idx="24">
                  <c:v>1.326818181818182E-2</c:v>
                </c:pt>
                <c:pt idx="25">
                  <c:v>-4.1705882352941259E-2</c:v>
                </c:pt>
                <c:pt idx="26">
                  <c:v>-0.21913333333333329</c:v>
                </c:pt>
                <c:pt idx="27">
                  <c:v>-2.1386363636363651E-2</c:v>
                </c:pt>
                <c:pt idx="28">
                  <c:v>0.20613333333333339</c:v>
                </c:pt>
                <c:pt idx="29">
                  <c:v>0.34145263157894729</c:v>
                </c:pt>
                <c:pt idx="30">
                  <c:v>6.3269565217391313E-2</c:v>
                </c:pt>
                <c:pt idx="31">
                  <c:v>-7.9999999999999988E-2</c:v>
                </c:pt>
                <c:pt idx="32">
                  <c:v>2.9376190476190465E-2</c:v>
                </c:pt>
                <c:pt idx="33">
                  <c:v>-6.1268421052631646E-2</c:v>
                </c:pt>
                <c:pt idx="34">
                  <c:v>5.3585714285714292E-2</c:v>
                </c:pt>
                <c:pt idx="35">
                  <c:v>9.5518181818181794E-2</c:v>
                </c:pt>
                <c:pt idx="36">
                  <c:v>-0.21936470588235299</c:v>
                </c:pt>
                <c:pt idx="37">
                  <c:v>-0.27886500000000003</c:v>
                </c:pt>
                <c:pt idx="38">
                  <c:v>-2.2113636363636412E-2</c:v>
                </c:pt>
                <c:pt idx="39">
                  <c:v>-0.25243636363636363</c:v>
                </c:pt>
                <c:pt idx="40">
                  <c:v>-0.15564210526315736</c:v>
                </c:pt>
                <c:pt idx="41">
                  <c:v>0.11798571428571369</c:v>
                </c:pt>
                <c:pt idx="42">
                  <c:v>0.27643913043478374</c:v>
                </c:pt>
                <c:pt idx="43">
                  <c:v>0.3492047619047618</c:v>
                </c:pt>
                <c:pt idx="44">
                  <c:v>0.43789565217391369</c:v>
                </c:pt>
                <c:pt idx="45">
                  <c:v>0.277611764705882</c:v>
                </c:pt>
                <c:pt idx="46">
                  <c:v>0.28607777777777743</c:v>
                </c:pt>
              </c:numCache>
            </c:numRef>
          </c:val>
          <c:smooth val="0"/>
          <c:extLst xmlns:c16r2="http://schemas.microsoft.com/office/drawing/2015/06/chart">
            <c:ext xmlns:c16="http://schemas.microsoft.com/office/drawing/2014/chart" uri="{C3380CC4-5D6E-409C-BE32-E72D297353CC}">
              <c16:uniqueId val="{00000003-7FAD-4BDD-99A2-4A304169AAF6}"/>
            </c:ext>
          </c:extLst>
        </c:ser>
        <c:dLbls>
          <c:showLegendKey val="0"/>
          <c:showVal val="0"/>
          <c:showCatName val="0"/>
          <c:showSerName val="0"/>
          <c:showPercent val="0"/>
          <c:showBubbleSize val="0"/>
        </c:dLbls>
        <c:marker val="1"/>
        <c:smooth val="0"/>
        <c:axId val="273017856"/>
        <c:axId val="273016320"/>
      </c:lineChart>
      <c:dateAx>
        <c:axId val="273012992"/>
        <c:scaling>
          <c:orientation val="minMax"/>
        </c:scaling>
        <c:delete val="0"/>
        <c:axPos val="b"/>
        <c:numFmt formatCode="yyyy&quot;年&quot;m&quot;月&quot;;@"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700" b="0" i="0" u="none" strike="noStrike" kern="1200" baseline="0">
                <a:solidFill>
                  <a:schemeClr val="tx1">
                    <a:lumMod val="65000"/>
                    <a:lumOff val="35000"/>
                  </a:schemeClr>
                </a:solidFill>
                <a:latin typeface="+mn-lt"/>
                <a:ea typeface="+mn-ea"/>
                <a:cs typeface="+mn-cs"/>
              </a:defRPr>
            </a:pPr>
            <a:endParaRPr lang="zh-CN"/>
          </a:p>
        </c:txPr>
        <c:crossAx val="273014784"/>
        <c:crosses val="autoZero"/>
        <c:auto val="1"/>
        <c:lblOffset val="100"/>
        <c:baseTimeUnit val="days"/>
      </c:dateAx>
      <c:valAx>
        <c:axId val="273014784"/>
        <c:scaling>
          <c:orientation val="minMax"/>
        </c:scaling>
        <c:delete val="0"/>
        <c:axPos val="l"/>
        <c:majorGridlines>
          <c:spPr>
            <a:ln w="9525" cap="flat" cmpd="sng" algn="ctr">
              <a:solidFill>
                <a:schemeClr val="tx1">
                  <a:lumMod val="15000"/>
                  <a:lumOff val="85000"/>
                </a:schemeClr>
              </a:solidFill>
              <a:round/>
            </a:ln>
            <a:effectLst/>
          </c:spPr>
        </c:majorGridlines>
        <c:numFmt formatCode="#,##0.0_);[Red]\(#,##0.0\)" sourceLinked="0"/>
        <c:majorTickMark val="none"/>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chemeClr val="tx1">
                    <a:lumMod val="65000"/>
                    <a:lumOff val="35000"/>
                  </a:schemeClr>
                </a:solidFill>
                <a:latin typeface="+mn-lt"/>
                <a:ea typeface="+mn-ea"/>
                <a:cs typeface="+mn-cs"/>
              </a:defRPr>
            </a:pPr>
            <a:endParaRPr lang="zh-CN"/>
          </a:p>
        </c:txPr>
        <c:crossAx val="273012992"/>
        <c:crosses val="autoZero"/>
        <c:crossBetween val="between"/>
      </c:valAx>
      <c:valAx>
        <c:axId val="273016320"/>
        <c:scaling>
          <c:orientation val="minMax"/>
          <c:max val="4"/>
          <c:min val="-0.4"/>
        </c:scaling>
        <c:delete val="0"/>
        <c:axPos val="r"/>
        <c:numFmt formatCode="#,##0.0_);[Red]\(#,##0.0\)" sourceLinked="0"/>
        <c:majorTickMark val="out"/>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chemeClr val="tx1">
                    <a:lumMod val="65000"/>
                    <a:lumOff val="35000"/>
                  </a:schemeClr>
                </a:solidFill>
                <a:latin typeface="+mn-lt"/>
                <a:ea typeface="+mn-ea"/>
                <a:cs typeface="+mn-cs"/>
              </a:defRPr>
            </a:pPr>
            <a:endParaRPr lang="zh-CN"/>
          </a:p>
        </c:txPr>
        <c:crossAx val="273017856"/>
        <c:crosses val="max"/>
        <c:crossBetween val="between"/>
      </c:valAx>
      <c:dateAx>
        <c:axId val="273017856"/>
        <c:scaling>
          <c:orientation val="minMax"/>
        </c:scaling>
        <c:delete val="1"/>
        <c:axPos val="b"/>
        <c:numFmt formatCode="yyyy&quot;年&quot;m&quot;月&quot;;@" sourceLinked="1"/>
        <c:majorTickMark val="out"/>
        <c:minorTickMark val="none"/>
        <c:tickLblPos val="nextTo"/>
        <c:crossAx val="273016320"/>
        <c:crosses val="autoZero"/>
        <c:auto val="1"/>
        <c:lblOffset val="100"/>
        <c:baseTimeUnit val="days"/>
      </c:dateAx>
      <c:spPr>
        <a:noFill/>
        <a:ln>
          <a:noFill/>
        </a:ln>
        <a:effectLst/>
      </c:spPr>
    </c:plotArea>
    <c:legend>
      <c:legendPos val="b"/>
      <c:layout>
        <c:manualLayout>
          <c:xMode val="edge"/>
          <c:yMode val="edge"/>
          <c:x val="1.08003600120004E-3"/>
          <c:y val="0.90534523114013343"/>
          <c:w val="0.99104373246550082"/>
          <c:h val="9.4654768859866442E-2"/>
        </c:manualLayout>
      </c:layout>
      <c:overlay val="0"/>
      <c:spPr>
        <a:noFill/>
        <a:ln>
          <a:noFill/>
        </a:ln>
        <a:effectLst/>
      </c:spPr>
      <c:txPr>
        <a:bodyPr rot="0" spcFirstLastPara="1" vertOverflow="ellipsis" vert="horz" wrap="square" anchor="ctr" anchorCtr="1"/>
        <a:lstStyle/>
        <a:p>
          <a:pPr>
            <a:defRPr sz="7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sz="700"/>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9.8077063283756191E-2"/>
          <c:w val="0.86467847769028872"/>
          <c:h val="0.82797992287517586"/>
        </c:manualLayout>
      </c:layout>
      <c:barChart>
        <c:barDir val="col"/>
        <c:grouping val="stacked"/>
        <c:varyColors val="0"/>
        <c:ser>
          <c:idx val="0"/>
          <c:order val="0"/>
          <c:tx>
            <c:strRef>
              <c:f>央行!$B$4</c:f>
              <c:strCache>
                <c:ptCount val="1"/>
                <c:pt idx="0">
                  <c:v>货币投放</c:v>
                </c:pt>
              </c:strCache>
            </c:strRef>
          </c:tx>
          <c:spPr>
            <a:solidFill>
              <a:srgbClr val="F8CBAD"/>
            </a:solidFill>
            <a:ln w="22225">
              <a:noFill/>
            </a:ln>
          </c:spPr>
          <c:invertIfNegative val="0"/>
          <c:cat>
            <c:numRef>
              <c:f>央行!$A$5:$A$27</c:f>
              <c:numCache>
                <c:formatCode>yyyy\-mm\-dd;@</c:formatCode>
                <c:ptCount val="23"/>
                <c:pt idx="0">
                  <c:v>44015</c:v>
                </c:pt>
                <c:pt idx="1">
                  <c:v>44022</c:v>
                </c:pt>
                <c:pt idx="2">
                  <c:v>44029</c:v>
                </c:pt>
                <c:pt idx="3">
                  <c:v>44036</c:v>
                </c:pt>
                <c:pt idx="4">
                  <c:v>44043</c:v>
                </c:pt>
                <c:pt idx="5">
                  <c:v>44050</c:v>
                </c:pt>
                <c:pt idx="6">
                  <c:v>44057</c:v>
                </c:pt>
                <c:pt idx="7">
                  <c:v>44064</c:v>
                </c:pt>
                <c:pt idx="8">
                  <c:v>44071</c:v>
                </c:pt>
                <c:pt idx="9">
                  <c:v>44078</c:v>
                </c:pt>
                <c:pt idx="10">
                  <c:v>44085</c:v>
                </c:pt>
                <c:pt idx="11">
                  <c:v>44092</c:v>
                </c:pt>
                <c:pt idx="12">
                  <c:v>44099</c:v>
                </c:pt>
                <c:pt idx="13">
                  <c:v>44106</c:v>
                </c:pt>
                <c:pt idx="14">
                  <c:v>44113</c:v>
                </c:pt>
                <c:pt idx="15">
                  <c:v>44120</c:v>
                </c:pt>
                <c:pt idx="16">
                  <c:v>44127</c:v>
                </c:pt>
                <c:pt idx="17">
                  <c:v>44134</c:v>
                </c:pt>
                <c:pt idx="18">
                  <c:v>44141</c:v>
                </c:pt>
                <c:pt idx="19">
                  <c:v>44148</c:v>
                </c:pt>
                <c:pt idx="20">
                  <c:v>44155</c:v>
                </c:pt>
                <c:pt idx="21">
                  <c:v>44162</c:v>
                </c:pt>
                <c:pt idx="22">
                  <c:v>44169</c:v>
                </c:pt>
              </c:numCache>
            </c:numRef>
          </c:cat>
          <c:val>
            <c:numRef>
              <c:f>央行!$B$5:$B$27</c:f>
              <c:numCache>
                <c:formatCode>###,###,###,###,##0.00</c:formatCode>
                <c:ptCount val="23"/>
                <c:pt idx="0">
                  <c:v>1025</c:v>
                </c:pt>
                <c:pt idx="1">
                  <c:v>0</c:v>
                </c:pt>
                <c:pt idx="2">
                  <c:v>3300</c:v>
                </c:pt>
                <c:pt idx="3">
                  <c:v>1650</c:v>
                </c:pt>
                <c:pt idx="4">
                  <c:v>2800</c:v>
                </c:pt>
                <c:pt idx="5">
                  <c:v>100</c:v>
                </c:pt>
                <c:pt idx="6">
                  <c:v>5000</c:v>
                </c:pt>
                <c:pt idx="7">
                  <c:v>6600</c:v>
                </c:pt>
                <c:pt idx="8">
                  <c:v>8150</c:v>
                </c:pt>
                <c:pt idx="9">
                  <c:v>2800</c:v>
                </c:pt>
                <c:pt idx="10">
                  <c:v>6200</c:v>
                </c:pt>
                <c:pt idx="11">
                  <c:v>4800</c:v>
                </c:pt>
                <c:pt idx="12">
                  <c:v>9000</c:v>
                </c:pt>
                <c:pt idx="13">
                  <c:v>2150</c:v>
                </c:pt>
                <c:pt idx="14">
                  <c:v>0</c:v>
                </c:pt>
                <c:pt idx="15">
                  <c:v>1000</c:v>
                </c:pt>
                <c:pt idx="16">
                  <c:v>3200</c:v>
                </c:pt>
                <c:pt idx="17">
                  <c:v>5150</c:v>
                </c:pt>
                <c:pt idx="18">
                  <c:v>3200</c:v>
                </c:pt>
                <c:pt idx="19">
                  <c:v>5500</c:v>
                </c:pt>
                <c:pt idx="20">
                  <c:v>3000</c:v>
                </c:pt>
                <c:pt idx="21">
                  <c:v>4350</c:v>
                </c:pt>
                <c:pt idx="22">
                  <c:v>2000</c:v>
                </c:pt>
              </c:numCache>
            </c:numRef>
          </c:val>
          <c:extLst xmlns:c16r2="http://schemas.microsoft.com/office/drawing/2015/06/chart">
            <c:ext xmlns:c16="http://schemas.microsoft.com/office/drawing/2014/chart" uri="{C3380CC4-5D6E-409C-BE32-E72D297353CC}">
              <c16:uniqueId val="{00000000-EB57-4469-BDD5-40CE8CE88BD6}"/>
            </c:ext>
          </c:extLst>
        </c:ser>
        <c:ser>
          <c:idx val="2"/>
          <c:order val="1"/>
          <c:tx>
            <c:strRef>
              <c:f>央行!$C$4</c:f>
              <c:strCache>
                <c:ptCount val="1"/>
                <c:pt idx="0">
                  <c:v>货币回笼</c:v>
                </c:pt>
              </c:strCache>
            </c:strRef>
          </c:tx>
          <c:spPr>
            <a:solidFill>
              <a:srgbClr val="E7E6E6">
                <a:lumMod val="90000"/>
              </a:srgbClr>
            </a:solidFill>
            <a:ln w="22225">
              <a:noFill/>
              <a:prstDash val="sysDash"/>
            </a:ln>
          </c:spPr>
          <c:invertIfNegative val="0"/>
          <c:cat>
            <c:numRef>
              <c:f>央行!$A$5:$A$27</c:f>
              <c:numCache>
                <c:formatCode>yyyy\-mm\-dd;@</c:formatCode>
                <c:ptCount val="23"/>
                <c:pt idx="0">
                  <c:v>44015</c:v>
                </c:pt>
                <c:pt idx="1">
                  <c:v>44022</c:v>
                </c:pt>
                <c:pt idx="2">
                  <c:v>44029</c:v>
                </c:pt>
                <c:pt idx="3">
                  <c:v>44036</c:v>
                </c:pt>
                <c:pt idx="4">
                  <c:v>44043</c:v>
                </c:pt>
                <c:pt idx="5">
                  <c:v>44050</c:v>
                </c:pt>
                <c:pt idx="6">
                  <c:v>44057</c:v>
                </c:pt>
                <c:pt idx="7">
                  <c:v>44064</c:v>
                </c:pt>
                <c:pt idx="8">
                  <c:v>44071</c:v>
                </c:pt>
                <c:pt idx="9">
                  <c:v>44078</c:v>
                </c:pt>
                <c:pt idx="10">
                  <c:v>44085</c:v>
                </c:pt>
                <c:pt idx="11">
                  <c:v>44092</c:v>
                </c:pt>
                <c:pt idx="12">
                  <c:v>44099</c:v>
                </c:pt>
                <c:pt idx="13">
                  <c:v>44106</c:v>
                </c:pt>
                <c:pt idx="14">
                  <c:v>44113</c:v>
                </c:pt>
                <c:pt idx="15">
                  <c:v>44120</c:v>
                </c:pt>
                <c:pt idx="16">
                  <c:v>44127</c:v>
                </c:pt>
                <c:pt idx="17">
                  <c:v>44134</c:v>
                </c:pt>
                <c:pt idx="18">
                  <c:v>44141</c:v>
                </c:pt>
                <c:pt idx="19">
                  <c:v>44148</c:v>
                </c:pt>
                <c:pt idx="20">
                  <c:v>44155</c:v>
                </c:pt>
                <c:pt idx="21">
                  <c:v>44162</c:v>
                </c:pt>
                <c:pt idx="22">
                  <c:v>44169</c:v>
                </c:pt>
              </c:numCache>
            </c:numRef>
          </c:cat>
          <c:val>
            <c:numRef>
              <c:f>央行!$C$5:$C$27</c:f>
              <c:numCache>
                <c:formatCode>###,###,###,###,##0.00</c:formatCode>
                <c:ptCount val="23"/>
                <c:pt idx="0">
                  <c:v>-4950</c:v>
                </c:pt>
                <c:pt idx="1">
                  <c:v>-2900</c:v>
                </c:pt>
                <c:pt idx="2">
                  <c:v>0</c:v>
                </c:pt>
                <c:pt idx="3">
                  <c:v>-3300</c:v>
                </c:pt>
                <c:pt idx="4">
                  <c:v>-1650</c:v>
                </c:pt>
                <c:pt idx="5">
                  <c:v>-2800</c:v>
                </c:pt>
                <c:pt idx="6">
                  <c:v>-100</c:v>
                </c:pt>
                <c:pt idx="7">
                  <c:v>-5000</c:v>
                </c:pt>
                <c:pt idx="8">
                  <c:v>-6150</c:v>
                </c:pt>
                <c:pt idx="9">
                  <c:v>-7500</c:v>
                </c:pt>
                <c:pt idx="10">
                  <c:v>-3900</c:v>
                </c:pt>
                <c:pt idx="11">
                  <c:v>-6200</c:v>
                </c:pt>
                <c:pt idx="12">
                  <c:v>-4200</c:v>
                </c:pt>
                <c:pt idx="13">
                  <c:v>-4650</c:v>
                </c:pt>
                <c:pt idx="14">
                  <c:v>-5000</c:v>
                </c:pt>
                <c:pt idx="15">
                  <c:v>-2100</c:v>
                </c:pt>
                <c:pt idx="16">
                  <c:v>-1000</c:v>
                </c:pt>
                <c:pt idx="17">
                  <c:v>-3250</c:v>
                </c:pt>
                <c:pt idx="18">
                  <c:v>-5100</c:v>
                </c:pt>
                <c:pt idx="19">
                  <c:v>-3200</c:v>
                </c:pt>
                <c:pt idx="20">
                  <c:v>-5500</c:v>
                </c:pt>
                <c:pt idx="21">
                  <c:v>-3050</c:v>
                </c:pt>
                <c:pt idx="22">
                  <c:v>-4300</c:v>
                </c:pt>
              </c:numCache>
            </c:numRef>
          </c:val>
          <c:extLst xmlns:c16r2="http://schemas.microsoft.com/office/drawing/2015/06/chart">
            <c:ext xmlns:c16="http://schemas.microsoft.com/office/drawing/2014/chart" uri="{C3380CC4-5D6E-409C-BE32-E72D297353CC}">
              <c16:uniqueId val="{00000001-EB57-4469-BDD5-40CE8CE88BD6}"/>
            </c:ext>
          </c:extLst>
        </c:ser>
        <c:dLbls>
          <c:showLegendKey val="0"/>
          <c:showVal val="0"/>
          <c:showCatName val="0"/>
          <c:showSerName val="0"/>
          <c:showPercent val="0"/>
          <c:showBubbleSize val="0"/>
        </c:dLbls>
        <c:gapWidth val="150"/>
        <c:overlap val="100"/>
        <c:axId val="273129472"/>
        <c:axId val="273131392"/>
      </c:barChart>
      <c:lineChart>
        <c:grouping val="standard"/>
        <c:varyColors val="0"/>
        <c:ser>
          <c:idx val="1"/>
          <c:order val="2"/>
          <c:tx>
            <c:strRef>
              <c:f>央行!$D$4</c:f>
              <c:strCache>
                <c:ptCount val="1"/>
                <c:pt idx="0">
                  <c:v>货币净投放</c:v>
                </c:pt>
              </c:strCache>
            </c:strRef>
          </c:tx>
          <c:spPr>
            <a:ln w="22225">
              <a:solidFill>
                <a:srgbClr val="BF5711"/>
              </a:solidFill>
              <a:prstDash val="sysDash"/>
            </a:ln>
          </c:spPr>
          <c:marker>
            <c:symbol val="diamond"/>
            <c:size val="7"/>
            <c:spPr>
              <a:solidFill>
                <a:sysClr val="window" lastClr="FFFFFF"/>
              </a:solidFill>
              <a:ln w="15875">
                <a:solidFill>
                  <a:srgbClr val="BF5711"/>
                </a:solidFill>
              </a:ln>
            </c:spPr>
          </c:marker>
          <c:cat>
            <c:numRef>
              <c:f>央行!$A$5:$A$27</c:f>
              <c:numCache>
                <c:formatCode>yyyy\-mm\-dd;@</c:formatCode>
                <c:ptCount val="23"/>
                <c:pt idx="0">
                  <c:v>44015</c:v>
                </c:pt>
                <c:pt idx="1">
                  <c:v>44022</c:v>
                </c:pt>
                <c:pt idx="2">
                  <c:v>44029</c:v>
                </c:pt>
                <c:pt idx="3">
                  <c:v>44036</c:v>
                </c:pt>
                <c:pt idx="4">
                  <c:v>44043</c:v>
                </c:pt>
                <c:pt idx="5">
                  <c:v>44050</c:v>
                </c:pt>
                <c:pt idx="6">
                  <c:v>44057</c:v>
                </c:pt>
                <c:pt idx="7">
                  <c:v>44064</c:v>
                </c:pt>
                <c:pt idx="8">
                  <c:v>44071</c:v>
                </c:pt>
                <c:pt idx="9">
                  <c:v>44078</c:v>
                </c:pt>
                <c:pt idx="10">
                  <c:v>44085</c:v>
                </c:pt>
                <c:pt idx="11">
                  <c:v>44092</c:v>
                </c:pt>
                <c:pt idx="12">
                  <c:v>44099</c:v>
                </c:pt>
                <c:pt idx="13">
                  <c:v>44106</c:v>
                </c:pt>
                <c:pt idx="14">
                  <c:v>44113</c:v>
                </c:pt>
                <c:pt idx="15">
                  <c:v>44120</c:v>
                </c:pt>
                <c:pt idx="16">
                  <c:v>44127</c:v>
                </c:pt>
                <c:pt idx="17">
                  <c:v>44134</c:v>
                </c:pt>
                <c:pt idx="18">
                  <c:v>44141</c:v>
                </c:pt>
                <c:pt idx="19">
                  <c:v>44148</c:v>
                </c:pt>
                <c:pt idx="20">
                  <c:v>44155</c:v>
                </c:pt>
                <c:pt idx="21">
                  <c:v>44162</c:v>
                </c:pt>
                <c:pt idx="22">
                  <c:v>44169</c:v>
                </c:pt>
              </c:numCache>
            </c:numRef>
          </c:cat>
          <c:val>
            <c:numRef>
              <c:f>央行!$D$5:$D$27</c:f>
              <c:numCache>
                <c:formatCode>###,###,###,###,##0.00</c:formatCode>
                <c:ptCount val="23"/>
                <c:pt idx="0">
                  <c:v>-3925</c:v>
                </c:pt>
                <c:pt idx="1">
                  <c:v>-2900</c:v>
                </c:pt>
                <c:pt idx="2">
                  <c:v>3300</c:v>
                </c:pt>
                <c:pt idx="3">
                  <c:v>-1650</c:v>
                </c:pt>
                <c:pt idx="4">
                  <c:v>1150</c:v>
                </c:pt>
                <c:pt idx="5">
                  <c:v>-2700</c:v>
                </c:pt>
                <c:pt idx="6">
                  <c:v>4900</c:v>
                </c:pt>
                <c:pt idx="7">
                  <c:v>1600</c:v>
                </c:pt>
                <c:pt idx="8">
                  <c:v>2000</c:v>
                </c:pt>
                <c:pt idx="9">
                  <c:v>-4700</c:v>
                </c:pt>
                <c:pt idx="10">
                  <c:v>2300</c:v>
                </c:pt>
                <c:pt idx="11">
                  <c:v>-1400</c:v>
                </c:pt>
                <c:pt idx="12">
                  <c:v>4800</c:v>
                </c:pt>
                <c:pt idx="13">
                  <c:v>-2500</c:v>
                </c:pt>
                <c:pt idx="14">
                  <c:v>-5000</c:v>
                </c:pt>
                <c:pt idx="15">
                  <c:v>-1100</c:v>
                </c:pt>
                <c:pt idx="16">
                  <c:v>2200</c:v>
                </c:pt>
                <c:pt idx="17">
                  <c:v>1900</c:v>
                </c:pt>
                <c:pt idx="18">
                  <c:v>-1900</c:v>
                </c:pt>
                <c:pt idx="19">
                  <c:v>2300</c:v>
                </c:pt>
                <c:pt idx="20">
                  <c:v>-2500</c:v>
                </c:pt>
                <c:pt idx="21">
                  <c:v>1300</c:v>
                </c:pt>
                <c:pt idx="22">
                  <c:v>-2300</c:v>
                </c:pt>
              </c:numCache>
            </c:numRef>
          </c:val>
          <c:smooth val="0"/>
          <c:extLst xmlns:c16r2="http://schemas.microsoft.com/office/drawing/2015/06/chart">
            <c:ext xmlns:c16="http://schemas.microsoft.com/office/drawing/2014/chart" uri="{C3380CC4-5D6E-409C-BE32-E72D297353CC}">
              <c16:uniqueId val="{00000002-EB57-4469-BDD5-40CE8CE88BD6}"/>
            </c:ext>
          </c:extLst>
        </c:ser>
        <c:dLbls>
          <c:showLegendKey val="0"/>
          <c:showVal val="0"/>
          <c:showCatName val="0"/>
          <c:showSerName val="0"/>
          <c:showPercent val="0"/>
          <c:showBubbleSize val="0"/>
        </c:dLbls>
        <c:marker val="1"/>
        <c:smooth val="0"/>
        <c:axId val="273129472"/>
        <c:axId val="273131392"/>
      </c:lineChart>
      <c:catAx>
        <c:axId val="273129472"/>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73131392"/>
        <c:crosses val="autoZero"/>
        <c:auto val="0"/>
        <c:lblAlgn val="ctr"/>
        <c:lblOffset val="0"/>
        <c:tickMarkSkip val="2"/>
        <c:noMultiLvlLbl val="0"/>
      </c:catAx>
      <c:valAx>
        <c:axId val="273131392"/>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73129472"/>
        <c:crosses val="autoZero"/>
        <c:crossBetween val="between"/>
      </c:valAx>
    </c:plotArea>
    <c:legend>
      <c:legendPos val="r"/>
      <c:layout>
        <c:manualLayout>
          <c:xMode val="edge"/>
          <c:yMode val="edge"/>
          <c:x val="0.15225"/>
          <c:y val="2.3337707786526686E-3"/>
          <c:w val="0.81834886264216977"/>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643285214348206E-2"/>
          <c:y val="0.11196595217264509"/>
          <c:w val="0.89333093210870873"/>
          <c:h val="0.81409120734908136"/>
        </c:manualLayout>
      </c:layout>
      <c:lineChart>
        <c:grouping val="standard"/>
        <c:varyColors val="0"/>
        <c:ser>
          <c:idx val="0"/>
          <c:order val="0"/>
          <c:tx>
            <c:strRef>
              <c:f>资金!$B$2</c:f>
              <c:strCache>
                <c:ptCount val="1"/>
                <c:pt idx="0">
                  <c:v>银行间质押式回购加权利率:1天</c:v>
                </c:pt>
              </c:strCache>
            </c:strRef>
          </c:tx>
          <c:spPr>
            <a:ln w="25400">
              <a:solidFill>
                <a:srgbClr val="ED7D31">
                  <a:lumMod val="75000"/>
                </a:srgbClr>
              </a:solidFill>
            </a:ln>
          </c:spPr>
          <c:marker>
            <c:symbol val="none"/>
          </c:marker>
          <c:cat>
            <c:numRef>
              <c:f>资金!$A$3:$A$61</c:f>
              <c:numCache>
                <c:formatCode>yyyy\-mm\-dd;@</c:formatCode>
                <c:ptCount val="59"/>
                <c:pt idx="0">
                  <c:v>44169</c:v>
                </c:pt>
                <c:pt idx="1">
                  <c:v>44168</c:v>
                </c:pt>
                <c:pt idx="2">
                  <c:v>44167</c:v>
                </c:pt>
                <c:pt idx="3">
                  <c:v>44166</c:v>
                </c:pt>
                <c:pt idx="4">
                  <c:v>44165</c:v>
                </c:pt>
                <c:pt idx="5">
                  <c:v>44162</c:v>
                </c:pt>
                <c:pt idx="6">
                  <c:v>44161</c:v>
                </c:pt>
                <c:pt idx="7">
                  <c:v>44160</c:v>
                </c:pt>
                <c:pt idx="8">
                  <c:v>44159</c:v>
                </c:pt>
                <c:pt idx="9">
                  <c:v>44158</c:v>
                </c:pt>
                <c:pt idx="10">
                  <c:v>44155</c:v>
                </c:pt>
                <c:pt idx="11">
                  <c:v>44154</c:v>
                </c:pt>
                <c:pt idx="12">
                  <c:v>44153</c:v>
                </c:pt>
                <c:pt idx="13">
                  <c:v>44152</c:v>
                </c:pt>
                <c:pt idx="14">
                  <c:v>44151</c:v>
                </c:pt>
                <c:pt idx="15">
                  <c:v>44148</c:v>
                </c:pt>
                <c:pt idx="16">
                  <c:v>44147</c:v>
                </c:pt>
                <c:pt idx="17">
                  <c:v>44146</c:v>
                </c:pt>
                <c:pt idx="18">
                  <c:v>44145</c:v>
                </c:pt>
                <c:pt idx="19">
                  <c:v>44144</c:v>
                </c:pt>
                <c:pt idx="20">
                  <c:v>44141</c:v>
                </c:pt>
                <c:pt idx="21">
                  <c:v>44140</c:v>
                </c:pt>
                <c:pt idx="22">
                  <c:v>44139</c:v>
                </c:pt>
                <c:pt idx="23">
                  <c:v>44138</c:v>
                </c:pt>
                <c:pt idx="24">
                  <c:v>44137</c:v>
                </c:pt>
                <c:pt idx="25">
                  <c:v>44134</c:v>
                </c:pt>
                <c:pt idx="26">
                  <c:v>44133</c:v>
                </c:pt>
                <c:pt idx="27">
                  <c:v>44132</c:v>
                </c:pt>
                <c:pt idx="28">
                  <c:v>44131</c:v>
                </c:pt>
                <c:pt idx="29">
                  <c:v>44130</c:v>
                </c:pt>
                <c:pt idx="30">
                  <c:v>44127</c:v>
                </c:pt>
                <c:pt idx="31">
                  <c:v>44126</c:v>
                </c:pt>
                <c:pt idx="32">
                  <c:v>44125</c:v>
                </c:pt>
                <c:pt idx="33">
                  <c:v>44124</c:v>
                </c:pt>
                <c:pt idx="34">
                  <c:v>44123</c:v>
                </c:pt>
                <c:pt idx="35">
                  <c:v>44120</c:v>
                </c:pt>
                <c:pt idx="36">
                  <c:v>44119</c:v>
                </c:pt>
                <c:pt idx="37">
                  <c:v>44118</c:v>
                </c:pt>
                <c:pt idx="38">
                  <c:v>44117</c:v>
                </c:pt>
                <c:pt idx="39">
                  <c:v>44116</c:v>
                </c:pt>
                <c:pt idx="40">
                  <c:v>44114</c:v>
                </c:pt>
                <c:pt idx="41">
                  <c:v>44113</c:v>
                </c:pt>
                <c:pt idx="42">
                  <c:v>44104</c:v>
                </c:pt>
                <c:pt idx="43">
                  <c:v>44103</c:v>
                </c:pt>
                <c:pt idx="44">
                  <c:v>44102</c:v>
                </c:pt>
                <c:pt idx="45">
                  <c:v>44101</c:v>
                </c:pt>
                <c:pt idx="46">
                  <c:v>44099</c:v>
                </c:pt>
                <c:pt idx="47">
                  <c:v>44098</c:v>
                </c:pt>
                <c:pt idx="48">
                  <c:v>44097</c:v>
                </c:pt>
                <c:pt idx="49">
                  <c:v>44096</c:v>
                </c:pt>
                <c:pt idx="50">
                  <c:v>44095</c:v>
                </c:pt>
                <c:pt idx="51">
                  <c:v>44092</c:v>
                </c:pt>
                <c:pt idx="52">
                  <c:v>44091</c:v>
                </c:pt>
                <c:pt idx="53">
                  <c:v>44090</c:v>
                </c:pt>
                <c:pt idx="54">
                  <c:v>44089</c:v>
                </c:pt>
                <c:pt idx="55">
                  <c:v>44088</c:v>
                </c:pt>
                <c:pt idx="56">
                  <c:v>44085</c:v>
                </c:pt>
                <c:pt idx="57">
                  <c:v>44084</c:v>
                </c:pt>
                <c:pt idx="58">
                  <c:v>44083</c:v>
                </c:pt>
              </c:numCache>
            </c:numRef>
          </c:cat>
          <c:val>
            <c:numRef>
              <c:f>资金!$B$3:$B$61</c:f>
              <c:numCache>
                <c:formatCode>###,###,###,###,##0.0000</c:formatCode>
                <c:ptCount val="59"/>
                <c:pt idx="0">
                  <c:v>1.147</c:v>
                </c:pt>
                <c:pt idx="1">
                  <c:v>0.97250000000000003</c:v>
                </c:pt>
                <c:pt idx="2">
                  <c:v>0.81740000000000002</c:v>
                </c:pt>
                <c:pt idx="3">
                  <c:v>0.84609999999999996</c:v>
                </c:pt>
                <c:pt idx="4">
                  <c:v>1.2567999999999999</c:v>
                </c:pt>
                <c:pt idx="5">
                  <c:v>0.89139999999999997</c:v>
                </c:pt>
                <c:pt idx="6">
                  <c:v>1.3314999999999999</c:v>
                </c:pt>
                <c:pt idx="7">
                  <c:v>1.6241000000000001</c:v>
                </c:pt>
                <c:pt idx="8">
                  <c:v>1.8728</c:v>
                </c:pt>
                <c:pt idx="9">
                  <c:v>1.895</c:v>
                </c:pt>
                <c:pt idx="10">
                  <c:v>1.982</c:v>
                </c:pt>
                <c:pt idx="11">
                  <c:v>1.9603999999999999</c:v>
                </c:pt>
                <c:pt idx="12">
                  <c:v>1.7726</c:v>
                </c:pt>
                <c:pt idx="13">
                  <c:v>1.8414999999999999</c:v>
                </c:pt>
                <c:pt idx="14">
                  <c:v>2.2904</c:v>
                </c:pt>
                <c:pt idx="15">
                  <c:v>2.7808999999999999</c:v>
                </c:pt>
                <c:pt idx="16">
                  <c:v>2.8058000000000001</c:v>
                </c:pt>
                <c:pt idx="17">
                  <c:v>2.4857</c:v>
                </c:pt>
                <c:pt idx="18">
                  <c:v>2.4521999999999999</c:v>
                </c:pt>
                <c:pt idx="19">
                  <c:v>2.2858000000000001</c:v>
                </c:pt>
                <c:pt idx="20">
                  <c:v>1.8764000000000001</c:v>
                </c:pt>
                <c:pt idx="21">
                  <c:v>1.4429000000000001</c:v>
                </c:pt>
                <c:pt idx="22">
                  <c:v>1.4752000000000001</c:v>
                </c:pt>
                <c:pt idx="23">
                  <c:v>1.8856999999999999</c:v>
                </c:pt>
                <c:pt idx="24">
                  <c:v>2.4079999999999999</c:v>
                </c:pt>
                <c:pt idx="25">
                  <c:v>2.9178999999999999</c:v>
                </c:pt>
                <c:pt idx="26">
                  <c:v>2.2277999999999998</c:v>
                </c:pt>
                <c:pt idx="27">
                  <c:v>2.6492</c:v>
                </c:pt>
                <c:pt idx="28">
                  <c:v>2.6776</c:v>
                </c:pt>
                <c:pt idx="29">
                  <c:v>2.3357999999999999</c:v>
                </c:pt>
                <c:pt idx="30">
                  <c:v>2.2181999999999999</c:v>
                </c:pt>
                <c:pt idx="31">
                  <c:v>1.9681</c:v>
                </c:pt>
                <c:pt idx="32">
                  <c:v>2.0144000000000002</c:v>
                </c:pt>
                <c:pt idx="33">
                  <c:v>2.2193000000000001</c:v>
                </c:pt>
                <c:pt idx="34">
                  <c:v>2.2770000000000001</c:v>
                </c:pt>
                <c:pt idx="35">
                  <c:v>2.0550000000000002</c:v>
                </c:pt>
                <c:pt idx="36">
                  <c:v>2.1076000000000001</c:v>
                </c:pt>
                <c:pt idx="37">
                  <c:v>2.04</c:v>
                </c:pt>
                <c:pt idx="38">
                  <c:v>1.7559</c:v>
                </c:pt>
                <c:pt idx="39">
                  <c:v>1.5719000000000001</c:v>
                </c:pt>
                <c:pt idx="40">
                  <c:v>1.5667</c:v>
                </c:pt>
                <c:pt idx="41">
                  <c:v>2.0432999999999999</c:v>
                </c:pt>
                <c:pt idx="42">
                  <c:v>2.5255999999999998</c:v>
                </c:pt>
                <c:pt idx="43">
                  <c:v>1.0124</c:v>
                </c:pt>
                <c:pt idx="44">
                  <c:v>0.68540000000000001</c:v>
                </c:pt>
                <c:pt idx="45">
                  <c:v>0.67789999999999995</c:v>
                </c:pt>
                <c:pt idx="46">
                  <c:v>1.0967</c:v>
                </c:pt>
                <c:pt idx="47">
                  <c:v>1.4666999999999999</c:v>
                </c:pt>
                <c:pt idx="48">
                  <c:v>1.9109</c:v>
                </c:pt>
                <c:pt idx="49">
                  <c:v>2.4359999999999999</c:v>
                </c:pt>
                <c:pt idx="50">
                  <c:v>2.4319999999999999</c:v>
                </c:pt>
                <c:pt idx="51">
                  <c:v>2.2553000000000001</c:v>
                </c:pt>
                <c:pt idx="52">
                  <c:v>1.8871</c:v>
                </c:pt>
                <c:pt idx="53">
                  <c:v>1.4536</c:v>
                </c:pt>
                <c:pt idx="54">
                  <c:v>1.7635000000000001</c:v>
                </c:pt>
                <c:pt idx="55">
                  <c:v>1.6466000000000001</c:v>
                </c:pt>
                <c:pt idx="56">
                  <c:v>1.5072000000000001</c:v>
                </c:pt>
                <c:pt idx="57">
                  <c:v>1.3864000000000001</c:v>
                </c:pt>
                <c:pt idx="58">
                  <c:v>1.6471</c:v>
                </c:pt>
              </c:numCache>
            </c:numRef>
          </c:val>
          <c:smooth val="1"/>
          <c:extLst xmlns:c16r2="http://schemas.microsoft.com/office/drawing/2015/06/chart">
            <c:ext xmlns:c16="http://schemas.microsoft.com/office/drawing/2014/chart" uri="{C3380CC4-5D6E-409C-BE32-E72D297353CC}">
              <c16:uniqueId val="{00000000-FB26-4560-BF82-E44BC96AA276}"/>
            </c:ext>
          </c:extLst>
        </c:ser>
        <c:ser>
          <c:idx val="2"/>
          <c:order val="1"/>
          <c:tx>
            <c:strRef>
              <c:f>资金!$C$2</c:f>
              <c:strCache>
                <c:ptCount val="1"/>
                <c:pt idx="0">
                  <c:v>银行间质押式回购加权利率:7天</c:v>
                </c:pt>
              </c:strCache>
            </c:strRef>
          </c:tx>
          <c:spPr>
            <a:ln w="25400">
              <a:solidFill>
                <a:srgbClr val="ED7D31"/>
              </a:solidFill>
              <a:prstDash val="sysDash"/>
            </a:ln>
          </c:spPr>
          <c:marker>
            <c:symbol val="none"/>
          </c:marker>
          <c:cat>
            <c:numRef>
              <c:f>资金!$A$3:$A$61</c:f>
              <c:numCache>
                <c:formatCode>yyyy\-mm\-dd;@</c:formatCode>
                <c:ptCount val="59"/>
                <c:pt idx="0">
                  <c:v>44169</c:v>
                </c:pt>
                <c:pt idx="1">
                  <c:v>44168</c:v>
                </c:pt>
                <c:pt idx="2">
                  <c:v>44167</c:v>
                </c:pt>
                <c:pt idx="3">
                  <c:v>44166</c:v>
                </c:pt>
                <c:pt idx="4">
                  <c:v>44165</c:v>
                </c:pt>
                <c:pt idx="5">
                  <c:v>44162</c:v>
                </c:pt>
                <c:pt idx="6">
                  <c:v>44161</c:v>
                </c:pt>
                <c:pt idx="7">
                  <c:v>44160</c:v>
                </c:pt>
                <c:pt idx="8">
                  <c:v>44159</c:v>
                </c:pt>
                <c:pt idx="9">
                  <c:v>44158</c:v>
                </c:pt>
                <c:pt idx="10">
                  <c:v>44155</c:v>
                </c:pt>
                <c:pt idx="11">
                  <c:v>44154</c:v>
                </c:pt>
                <c:pt idx="12">
                  <c:v>44153</c:v>
                </c:pt>
                <c:pt idx="13">
                  <c:v>44152</c:v>
                </c:pt>
                <c:pt idx="14">
                  <c:v>44151</c:v>
                </c:pt>
                <c:pt idx="15">
                  <c:v>44148</c:v>
                </c:pt>
                <c:pt idx="16">
                  <c:v>44147</c:v>
                </c:pt>
                <c:pt idx="17">
                  <c:v>44146</c:v>
                </c:pt>
                <c:pt idx="18">
                  <c:v>44145</c:v>
                </c:pt>
                <c:pt idx="19">
                  <c:v>44144</c:v>
                </c:pt>
                <c:pt idx="20">
                  <c:v>44141</c:v>
                </c:pt>
                <c:pt idx="21">
                  <c:v>44140</c:v>
                </c:pt>
                <c:pt idx="22">
                  <c:v>44139</c:v>
                </c:pt>
                <c:pt idx="23">
                  <c:v>44138</c:v>
                </c:pt>
                <c:pt idx="24">
                  <c:v>44137</c:v>
                </c:pt>
                <c:pt idx="25">
                  <c:v>44134</c:v>
                </c:pt>
                <c:pt idx="26">
                  <c:v>44133</c:v>
                </c:pt>
                <c:pt idx="27">
                  <c:v>44132</c:v>
                </c:pt>
                <c:pt idx="28">
                  <c:v>44131</c:v>
                </c:pt>
                <c:pt idx="29">
                  <c:v>44130</c:v>
                </c:pt>
                <c:pt idx="30">
                  <c:v>44127</c:v>
                </c:pt>
                <c:pt idx="31">
                  <c:v>44126</c:v>
                </c:pt>
                <c:pt idx="32">
                  <c:v>44125</c:v>
                </c:pt>
                <c:pt idx="33">
                  <c:v>44124</c:v>
                </c:pt>
                <c:pt idx="34">
                  <c:v>44123</c:v>
                </c:pt>
                <c:pt idx="35">
                  <c:v>44120</c:v>
                </c:pt>
                <c:pt idx="36">
                  <c:v>44119</c:v>
                </c:pt>
                <c:pt idx="37">
                  <c:v>44118</c:v>
                </c:pt>
                <c:pt idx="38">
                  <c:v>44117</c:v>
                </c:pt>
                <c:pt idx="39">
                  <c:v>44116</c:v>
                </c:pt>
                <c:pt idx="40">
                  <c:v>44114</c:v>
                </c:pt>
                <c:pt idx="41">
                  <c:v>44113</c:v>
                </c:pt>
                <c:pt idx="42">
                  <c:v>44104</c:v>
                </c:pt>
                <c:pt idx="43">
                  <c:v>44103</c:v>
                </c:pt>
                <c:pt idx="44">
                  <c:v>44102</c:v>
                </c:pt>
                <c:pt idx="45">
                  <c:v>44101</c:v>
                </c:pt>
                <c:pt idx="46">
                  <c:v>44099</c:v>
                </c:pt>
                <c:pt idx="47">
                  <c:v>44098</c:v>
                </c:pt>
                <c:pt idx="48">
                  <c:v>44097</c:v>
                </c:pt>
                <c:pt idx="49">
                  <c:v>44096</c:v>
                </c:pt>
                <c:pt idx="50">
                  <c:v>44095</c:v>
                </c:pt>
                <c:pt idx="51">
                  <c:v>44092</c:v>
                </c:pt>
                <c:pt idx="52">
                  <c:v>44091</c:v>
                </c:pt>
                <c:pt idx="53">
                  <c:v>44090</c:v>
                </c:pt>
                <c:pt idx="54">
                  <c:v>44089</c:v>
                </c:pt>
                <c:pt idx="55">
                  <c:v>44088</c:v>
                </c:pt>
                <c:pt idx="56">
                  <c:v>44085</c:v>
                </c:pt>
                <c:pt idx="57">
                  <c:v>44084</c:v>
                </c:pt>
                <c:pt idx="58">
                  <c:v>44083</c:v>
                </c:pt>
              </c:numCache>
            </c:numRef>
          </c:cat>
          <c:val>
            <c:numRef>
              <c:f>资金!$C$3:$C$61</c:f>
              <c:numCache>
                <c:formatCode>###,###,###,###,##0.0000</c:formatCode>
                <c:ptCount val="59"/>
                <c:pt idx="0">
                  <c:v>2.3256999999999999</c:v>
                </c:pt>
                <c:pt idx="1">
                  <c:v>2.2808999999999999</c:v>
                </c:pt>
                <c:pt idx="2">
                  <c:v>2.0720000000000001</c:v>
                </c:pt>
                <c:pt idx="3">
                  <c:v>2.13</c:v>
                </c:pt>
                <c:pt idx="4">
                  <c:v>2.4761000000000002</c:v>
                </c:pt>
                <c:pt idx="5">
                  <c:v>2.5836999999999999</c:v>
                </c:pt>
                <c:pt idx="6">
                  <c:v>2.7519999999999998</c:v>
                </c:pt>
                <c:pt idx="7">
                  <c:v>3.1027</c:v>
                </c:pt>
                <c:pt idx="8">
                  <c:v>3.0409000000000002</c:v>
                </c:pt>
                <c:pt idx="9">
                  <c:v>2.3380000000000001</c:v>
                </c:pt>
                <c:pt idx="10">
                  <c:v>2.3595999999999999</c:v>
                </c:pt>
                <c:pt idx="11">
                  <c:v>2.4016999999999999</c:v>
                </c:pt>
                <c:pt idx="12">
                  <c:v>2.3649</c:v>
                </c:pt>
                <c:pt idx="13">
                  <c:v>2.4184999999999999</c:v>
                </c:pt>
                <c:pt idx="14">
                  <c:v>2.7439</c:v>
                </c:pt>
                <c:pt idx="15">
                  <c:v>3.3582000000000001</c:v>
                </c:pt>
                <c:pt idx="16">
                  <c:v>3.1901000000000002</c:v>
                </c:pt>
                <c:pt idx="17">
                  <c:v>2.7547000000000001</c:v>
                </c:pt>
                <c:pt idx="18">
                  <c:v>2.6374</c:v>
                </c:pt>
                <c:pt idx="19">
                  <c:v>2.5253000000000001</c:v>
                </c:pt>
                <c:pt idx="20">
                  <c:v>2.4022000000000001</c:v>
                </c:pt>
                <c:pt idx="21">
                  <c:v>2.1776</c:v>
                </c:pt>
                <c:pt idx="22">
                  <c:v>2.2040000000000002</c:v>
                </c:pt>
                <c:pt idx="23">
                  <c:v>2.3984000000000001</c:v>
                </c:pt>
                <c:pt idx="24">
                  <c:v>2.7995999999999999</c:v>
                </c:pt>
                <c:pt idx="25">
                  <c:v>3.3693</c:v>
                </c:pt>
                <c:pt idx="26">
                  <c:v>3.1760000000000002</c:v>
                </c:pt>
                <c:pt idx="27">
                  <c:v>3.2090000000000001</c:v>
                </c:pt>
                <c:pt idx="28">
                  <c:v>3.2181000000000002</c:v>
                </c:pt>
                <c:pt idx="29">
                  <c:v>2.9083999999999999</c:v>
                </c:pt>
                <c:pt idx="30">
                  <c:v>2.3586999999999998</c:v>
                </c:pt>
                <c:pt idx="31">
                  <c:v>2.3241999999999998</c:v>
                </c:pt>
                <c:pt idx="32">
                  <c:v>2.4226999999999999</c:v>
                </c:pt>
                <c:pt idx="33">
                  <c:v>2.5091999999999999</c:v>
                </c:pt>
                <c:pt idx="34">
                  <c:v>2.4037999999999999</c:v>
                </c:pt>
                <c:pt idx="35">
                  <c:v>2.3121</c:v>
                </c:pt>
                <c:pt idx="36">
                  <c:v>2.3601999999999999</c:v>
                </c:pt>
                <c:pt idx="37">
                  <c:v>2.3079000000000001</c:v>
                </c:pt>
                <c:pt idx="38">
                  <c:v>2.2389000000000001</c:v>
                </c:pt>
                <c:pt idx="39">
                  <c:v>2.2442000000000002</c:v>
                </c:pt>
                <c:pt idx="40">
                  <c:v>2.0114999999999998</c:v>
                </c:pt>
                <c:pt idx="41">
                  <c:v>2.2972999999999999</c:v>
                </c:pt>
                <c:pt idx="42">
                  <c:v>2.5514000000000001</c:v>
                </c:pt>
                <c:pt idx="43">
                  <c:v>3.0106999999999999</c:v>
                </c:pt>
                <c:pt idx="44">
                  <c:v>2.7132000000000001</c:v>
                </c:pt>
                <c:pt idx="45">
                  <c:v>1.89</c:v>
                </c:pt>
                <c:pt idx="46">
                  <c:v>1.968</c:v>
                </c:pt>
                <c:pt idx="47">
                  <c:v>2.1869000000000001</c:v>
                </c:pt>
                <c:pt idx="48">
                  <c:v>2.3142</c:v>
                </c:pt>
                <c:pt idx="49">
                  <c:v>2.9742999999999999</c:v>
                </c:pt>
                <c:pt idx="50">
                  <c:v>2.8206000000000002</c:v>
                </c:pt>
                <c:pt idx="51">
                  <c:v>2.6425999999999998</c:v>
                </c:pt>
                <c:pt idx="52">
                  <c:v>2.3935</c:v>
                </c:pt>
                <c:pt idx="53">
                  <c:v>2.2740999999999998</c:v>
                </c:pt>
                <c:pt idx="54">
                  <c:v>2.2704</c:v>
                </c:pt>
                <c:pt idx="55">
                  <c:v>2.2275999999999998</c:v>
                </c:pt>
                <c:pt idx="56">
                  <c:v>2.1873999999999998</c:v>
                </c:pt>
                <c:pt idx="57">
                  <c:v>2.2033</c:v>
                </c:pt>
                <c:pt idx="58">
                  <c:v>2.2875999999999999</c:v>
                </c:pt>
              </c:numCache>
            </c:numRef>
          </c:val>
          <c:smooth val="1"/>
          <c:extLst xmlns:c16r2="http://schemas.microsoft.com/office/drawing/2015/06/chart">
            <c:ext xmlns:c16="http://schemas.microsoft.com/office/drawing/2014/chart" uri="{C3380CC4-5D6E-409C-BE32-E72D297353CC}">
              <c16:uniqueId val="{00000004-FB26-4560-BF82-E44BC96AA276}"/>
            </c:ext>
          </c:extLst>
        </c:ser>
        <c:dLbls>
          <c:showLegendKey val="0"/>
          <c:showVal val="0"/>
          <c:showCatName val="0"/>
          <c:showSerName val="0"/>
          <c:showPercent val="0"/>
          <c:showBubbleSize val="0"/>
        </c:dLbls>
        <c:marker val="1"/>
        <c:smooth val="0"/>
        <c:axId val="273171584"/>
        <c:axId val="273173120"/>
      </c:lineChart>
      <c:dateAx>
        <c:axId val="273171584"/>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73173120"/>
        <c:crosses val="autoZero"/>
        <c:auto val="0"/>
        <c:lblOffset val="0"/>
        <c:baseTimeUnit val="days"/>
        <c:majorUnit val="14"/>
        <c:majorTimeUnit val="days"/>
        <c:minorUnit val="7"/>
        <c:minorTimeUnit val="days"/>
      </c:dateAx>
      <c:valAx>
        <c:axId val="273173120"/>
        <c:scaling>
          <c:orientation val="minMax"/>
        </c:scaling>
        <c:delete val="0"/>
        <c:axPos val="l"/>
        <c:numFmt formatCode="#,##0.0_);[Red]\(#,##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73171584"/>
        <c:crosses val="autoZero"/>
        <c:crossBetween val="between"/>
      </c:valAx>
    </c:plotArea>
    <c:legend>
      <c:legendPos val="r"/>
      <c:layout>
        <c:manualLayout>
          <c:xMode val="edge"/>
          <c:yMode val="edge"/>
          <c:x val="0.15502777777777776"/>
          <c:y val="2.3337707786526686E-3"/>
          <c:w val="0.690571084864392"/>
          <c:h val="0.12288604549431321"/>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8363429571303587"/>
          <c:h val="0.81409120734908136"/>
        </c:manualLayout>
      </c:layout>
      <c:barChart>
        <c:barDir val="col"/>
        <c:grouping val="clustered"/>
        <c:varyColors val="0"/>
        <c:ser>
          <c:idx val="0"/>
          <c:order val="0"/>
          <c:tx>
            <c:strRef>
              <c:f>国债!$J$3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国债!$K$3:$Q$3</c:f>
              <c:numCache>
                <c:formatCode>0.0_ ;[Red]\-0.0\ </c:formatCode>
                <c:ptCount val="7"/>
                <c:pt idx="0">
                  <c:v>-7.7999999999999847</c:v>
                </c:pt>
                <c:pt idx="1">
                  <c:v>-7.2299999999999809</c:v>
                </c:pt>
                <c:pt idx="2">
                  <c:v>-3.960000000000008</c:v>
                </c:pt>
                <c:pt idx="3">
                  <c:v>-4.8899999999999721</c:v>
                </c:pt>
                <c:pt idx="4">
                  <c:v>-3.6599999999999966</c:v>
                </c:pt>
                <c:pt idx="5">
                  <c:v>-4.8800000000000399</c:v>
                </c:pt>
                <c:pt idx="6">
                  <c:v>-3.4899999999999931</c:v>
                </c:pt>
              </c:numCache>
            </c:numRef>
          </c:val>
          <c:extLst xmlns:c16r2="http://schemas.microsoft.com/office/drawing/2015/06/chart">
            <c:ext xmlns:c16="http://schemas.microsoft.com/office/drawing/2014/chart" uri="{C3380CC4-5D6E-409C-BE32-E72D297353CC}">
              <c16:uniqueId val="{00000000-FB26-4560-BF82-E44BC96AA276}"/>
            </c:ext>
          </c:extLst>
        </c:ser>
        <c:dLbls>
          <c:showLegendKey val="0"/>
          <c:showVal val="0"/>
          <c:showCatName val="0"/>
          <c:showSerName val="0"/>
          <c:showPercent val="0"/>
          <c:showBubbleSize val="0"/>
        </c:dLbls>
        <c:gapWidth val="150"/>
        <c:axId val="273229312"/>
        <c:axId val="273231232"/>
      </c:barChart>
      <c:lineChart>
        <c:grouping val="standard"/>
        <c:varyColors val="0"/>
        <c:ser>
          <c:idx val="2"/>
          <c:order val="1"/>
          <c:tx>
            <c:strRef>
              <c:f>国债!$J$4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B-F10F-4D2D-834C-E6E69D663A7D}"/>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A-F10F-4D2D-834C-E6E69D663A7D}"/>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9-F10F-4D2D-834C-E6E69D663A7D}"/>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8-F10F-4D2D-834C-E6E69D663A7D}"/>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7-F10F-4D2D-834C-E6E69D663A7D}"/>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F10F-4D2D-834C-E6E69D663A7D}"/>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国债!$K$4:$Q$4</c:f>
              <c:numCache>
                <c:formatCode>###,###,###,###,##0.00</c:formatCode>
                <c:ptCount val="7"/>
                <c:pt idx="0">
                  <c:v>1.7895000000000001</c:v>
                </c:pt>
                <c:pt idx="1">
                  <c:v>2.8551000000000002</c:v>
                </c:pt>
                <c:pt idx="2">
                  <c:v>2.8708</c:v>
                </c:pt>
                <c:pt idx="3">
                  <c:v>3.0348000000000002</c:v>
                </c:pt>
                <c:pt idx="4">
                  <c:v>3.1156000000000001</c:v>
                </c:pt>
                <c:pt idx="5">
                  <c:v>3.2700999999999998</c:v>
                </c:pt>
                <c:pt idx="6">
                  <c:v>3.2650999999999999</c:v>
                </c:pt>
              </c:numCache>
            </c:numRef>
          </c:val>
          <c:smooth val="0"/>
          <c:extLst xmlns:c16r2="http://schemas.microsoft.com/office/drawing/2015/06/chart">
            <c:ext xmlns:c16="http://schemas.microsoft.com/office/drawing/2014/chart" uri="{C3380CC4-5D6E-409C-BE32-E72D297353CC}">
              <c16:uniqueId val="{00000004-FB26-4560-BF82-E44BC96AA276}"/>
            </c:ext>
          </c:extLst>
        </c:ser>
        <c:ser>
          <c:idx val="1"/>
          <c:order val="2"/>
          <c:tx>
            <c:strRef>
              <c:f>国债!$J$5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国债!$K$2:$Q$2</c:f>
              <c:strCache>
                <c:ptCount val="7"/>
                <c:pt idx="0">
                  <c:v>1M</c:v>
                </c:pt>
                <c:pt idx="1">
                  <c:v>3M</c:v>
                </c:pt>
                <c:pt idx="2">
                  <c:v>1Y</c:v>
                </c:pt>
                <c:pt idx="3">
                  <c:v>3Y</c:v>
                </c:pt>
                <c:pt idx="4">
                  <c:v>5Y</c:v>
                </c:pt>
                <c:pt idx="5">
                  <c:v>7Y</c:v>
                </c:pt>
                <c:pt idx="6">
                  <c:v>10Y</c:v>
                </c:pt>
              </c:strCache>
            </c:strRef>
          </c:cat>
          <c:val>
            <c:numRef>
              <c:f>国债!$K$5:$Q$5</c:f>
              <c:numCache>
                <c:formatCode>###,###,###,###,##0.00</c:formatCode>
                <c:ptCount val="7"/>
                <c:pt idx="0">
                  <c:v>1.8674999999999999</c:v>
                </c:pt>
                <c:pt idx="1">
                  <c:v>2.9274</c:v>
                </c:pt>
                <c:pt idx="2">
                  <c:v>2.9104000000000001</c:v>
                </c:pt>
                <c:pt idx="3">
                  <c:v>3.0836999999999999</c:v>
                </c:pt>
                <c:pt idx="4">
                  <c:v>3.1522000000000001</c:v>
                </c:pt>
                <c:pt idx="5">
                  <c:v>3.3189000000000002</c:v>
                </c:pt>
                <c:pt idx="6">
                  <c:v>3.3</c:v>
                </c:pt>
              </c:numCache>
            </c:numRef>
          </c:val>
          <c:smooth val="0"/>
          <c:extLst xmlns:c16r2="http://schemas.microsoft.com/office/drawing/2015/06/chart">
            <c:ext xmlns:c16="http://schemas.microsoft.com/office/drawing/2014/chart" uri="{C3380CC4-5D6E-409C-BE32-E72D297353CC}">
              <c16:uniqueId val="{00000006-6B3B-44ED-B0DA-E22873EBDCAA}"/>
            </c:ext>
          </c:extLst>
        </c:ser>
        <c:dLbls>
          <c:showLegendKey val="0"/>
          <c:showVal val="0"/>
          <c:showCatName val="0"/>
          <c:showSerName val="0"/>
          <c:showPercent val="0"/>
          <c:showBubbleSize val="0"/>
        </c:dLbls>
        <c:marker val="1"/>
        <c:smooth val="0"/>
        <c:axId val="273234560"/>
        <c:axId val="273233024"/>
      </c:lineChart>
      <c:dateAx>
        <c:axId val="273229312"/>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73231232"/>
        <c:crosses val="autoZero"/>
        <c:auto val="0"/>
        <c:lblOffset val="0"/>
        <c:baseTimeUnit val="days"/>
      </c:dateAx>
      <c:valAx>
        <c:axId val="273231232"/>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73229312"/>
        <c:crosses val="autoZero"/>
        <c:crossBetween val="between"/>
      </c:valAx>
      <c:valAx>
        <c:axId val="273233024"/>
        <c:scaling>
          <c:orientation val="minMax"/>
        </c:scaling>
        <c:delete val="0"/>
        <c:axPos val="r"/>
        <c:numFmt formatCode="#,##0.0_);[Red]\(#,##0.0\)" sourceLinked="0"/>
        <c:majorTickMark val="out"/>
        <c:minorTickMark val="none"/>
        <c:tickLblPos val="nextTo"/>
        <c:spPr>
          <a:ln w="3175">
            <a:solidFill>
              <a:sysClr val="windowText" lastClr="000000"/>
            </a:solidFill>
          </a:ln>
        </c:spPr>
        <c:crossAx val="273234560"/>
        <c:crosses val="max"/>
        <c:crossBetween val="between"/>
      </c:valAx>
      <c:dateAx>
        <c:axId val="273234560"/>
        <c:scaling>
          <c:orientation val="minMax"/>
        </c:scaling>
        <c:delete val="1"/>
        <c:axPos val="b"/>
        <c:numFmt formatCode="General" sourceLinked="1"/>
        <c:majorTickMark val="out"/>
        <c:minorTickMark val="none"/>
        <c:tickLblPos val="nextTo"/>
        <c:crossAx val="273233024"/>
        <c:crosses val="autoZero"/>
        <c:auto val="0"/>
        <c:lblOffset val="100"/>
        <c:baseTimeUnit val="years"/>
      </c:dateAx>
    </c:plotArea>
    <c:legend>
      <c:legendPos val="r"/>
      <c:layout>
        <c:manualLayout>
          <c:xMode val="edge"/>
          <c:yMode val="edge"/>
          <c:x val="0.12684250801489111"/>
          <c:y val="2.3337304239184125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6463429571303585"/>
          <c:h val="0.81409120734908136"/>
        </c:manualLayout>
      </c:layout>
      <c:barChart>
        <c:barDir val="col"/>
        <c:grouping val="clustered"/>
        <c:varyColors val="0"/>
        <c:ser>
          <c:idx val="0"/>
          <c:order val="0"/>
          <c:tx>
            <c:strRef>
              <c:f>国开!$J$3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国开!$K$3:$Q$3</c:f>
              <c:numCache>
                <c:formatCode>0.0_ ;[Red]\-0.0\ </c:formatCode>
                <c:ptCount val="7"/>
                <c:pt idx="0">
                  <c:v>-7.8000000000000069</c:v>
                </c:pt>
                <c:pt idx="1">
                  <c:v>-11.070000000000002</c:v>
                </c:pt>
                <c:pt idx="2">
                  <c:v>-6.3700000000000312</c:v>
                </c:pt>
                <c:pt idx="3">
                  <c:v>-5.1499999999999879</c:v>
                </c:pt>
                <c:pt idx="4">
                  <c:v>-1.8999999999999684</c:v>
                </c:pt>
                <c:pt idx="5">
                  <c:v>-3.9100000000000357</c:v>
                </c:pt>
                <c:pt idx="6">
                  <c:v>-3.7399999999999878</c:v>
                </c:pt>
              </c:numCache>
            </c:numRef>
          </c:val>
          <c:extLst xmlns:c16r2="http://schemas.microsoft.com/office/drawing/2015/06/chart">
            <c:ext xmlns:c16="http://schemas.microsoft.com/office/drawing/2014/chart" uri="{C3380CC4-5D6E-409C-BE32-E72D297353CC}">
              <c16:uniqueId val="{00000000-0319-4AA3-8886-0F871A1F4B20}"/>
            </c:ext>
          </c:extLst>
        </c:ser>
        <c:dLbls>
          <c:showLegendKey val="0"/>
          <c:showVal val="0"/>
          <c:showCatName val="0"/>
          <c:showSerName val="0"/>
          <c:showPercent val="0"/>
          <c:showBubbleSize val="0"/>
        </c:dLbls>
        <c:gapWidth val="150"/>
        <c:axId val="273282944"/>
        <c:axId val="273301504"/>
      </c:barChart>
      <c:lineChart>
        <c:grouping val="standard"/>
        <c:varyColors val="0"/>
        <c:ser>
          <c:idx val="2"/>
          <c:order val="1"/>
          <c:tx>
            <c:strRef>
              <c:f>国开!$J$4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0319-4AA3-8886-0F871A1F4B20}"/>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0319-4AA3-8886-0F871A1F4B20}"/>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0319-4AA3-8886-0F871A1F4B20}"/>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0319-4AA3-8886-0F871A1F4B20}"/>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0319-4AA3-8886-0F871A1F4B20}"/>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0319-4AA3-8886-0F871A1F4B20}"/>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国开!$K$4:$Q$4</c:f>
              <c:numCache>
                <c:formatCode>###,###,###,###,##0.00</c:formatCode>
                <c:ptCount val="7"/>
                <c:pt idx="0">
                  <c:v>1.8210999999999999</c:v>
                </c:pt>
                <c:pt idx="1">
                  <c:v>2.95</c:v>
                </c:pt>
                <c:pt idx="2">
                  <c:v>3.0055999999999998</c:v>
                </c:pt>
                <c:pt idx="3">
                  <c:v>3.2642000000000002</c:v>
                </c:pt>
                <c:pt idx="4">
                  <c:v>3.4384000000000001</c:v>
                </c:pt>
                <c:pt idx="5">
                  <c:v>3.51</c:v>
                </c:pt>
                <c:pt idx="6">
                  <c:v>3.7079</c:v>
                </c:pt>
              </c:numCache>
            </c:numRef>
          </c:val>
          <c:smooth val="0"/>
          <c:extLst xmlns:c16r2="http://schemas.microsoft.com/office/drawing/2015/06/chart">
            <c:ext xmlns:c16="http://schemas.microsoft.com/office/drawing/2014/chart" uri="{C3380CC4-5D6E-409C-BE32-E72D297353CC}">
              <c16:uniqueId val="{00000007-0319-4AA3-8886-0F871A1F4B20}"/>
            </c:ext>
          </c:extLst>
        </c:ser>
        <c:ser>
          <c:idx val="1"/>
          <c:order val="2"/>
          <c:tx>
            <c:strRef>
              <c:f>国开!$J$5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国开!$K$2:$Q$2</c:f>
              <c:strCache>
                <c:ptCount val="7"/>
                <c:pt idx="0">
                  <c:v>1M</c:v>
                </c:pt>
                <c:pt idx="1">
                  <c:v>3M</c:v>
                </c:pt>
                <c:pt idx="2">
                  <c:v>1Y</c:v>
                </c:pt>
                <c:pt idx="3">
                  <c:v>3Y</c:v>
                </c:pt>
                <c:pt idx="4">
                  <c:v>5Y</c:v>
                </c:pt>
                <c:pt idx="5">
                  <c:v>7Y</c:v>
                </c:pt>
                <c:pt idx="6">
                  <c:v>10Y</c:v>
                </c:pt>
              </c:strCache>
            </c:strRef>
          </c:cat>
          <c:val>
            <c:numRef>
              <c:f>国开!$K$5:$Q$5</c:f>
              <c:numCache>
                <c:formatCode>###,###,###,###,##0.00</c:formatCode>
                <c:ptCount val="7"/>
                <c:pt idx="0">
                  <c:v>1.8991</c:v>
                </c:pt>
                <c:pt idx="1">
                  <c:v>3.0607000000000002</c:v>
                </c:pt>
                <c:pt idx="2">
                  <c:v>3.0693000000000001</c:v>
                </c:pt>
                <c:pt idx="3">
                  <c:v>3.3157000000000001</c:v>
                </c:pt>
                <c:pt idx="4">
                  <c:v>3.4573999999999998</c:v>
                </c:pt>
                <c:pt idx="5">
                  <c:v>3.5491000000000001</c:v>
                </c:pt>
                <c:pt idx="6">
                  <c:v>3.7452999999999999</c:v>
                </c:pt>
              </c:numCache>
            </c:numRef>
          </c:val>
          <c:smooth val="0"/>
          <c:extLst xmlns:c16r2="http://schemas.microsoft.com/office/drawing/2015/06/chart">
            <c:ext xmlns:c16="http://schemas.microsoft.com/office/drawing/2014/chart" uri="{C3380CC4-5D6E-409C-BE32-E72D297353CC}">
              <c16:uniqueId val="{00000008-0319-4AA3-8886-0F871A1F4B20}"/>
            </c:ext>
          </c:extLst>
        </c:ser>
        <c:dLbls>
          <c:showLegendKey val="0"/>
          <c:showVal val="0"/>
          <c:showCatName val="0"/>
          <c:showSerName val="0"/>
          <c:showPercent val="0"/>
          <c:showBubbleSize val="0"/>
        </c:dLbls>
        <c:marker val="1"/>
        <c:smooth val="0"/>
        <c:axId val="273304576"/>
        <c:axId val="273303040"/>
      </c:lineChart>
      <c:dateAx>
        <c:axId val="273282944"/>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73301504"/>
        <c:crosses val="autoZero"/>
        <c:auto val="0"/>
        <c:lblOffset val="0"/>
        <c:baseTimeUnit val="days"/>
      </c:dateAx>
      <c:valAx>
        <c:axId val="273301504"/>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73282944"/>
        <c:crosses val="autoZero"/>
        <c:crossBetween val="between"/>
      </c:valAx>
      <c:valAx>
        <c:axId val="273303040"/>
        <c:scaling>
          <c:orientation val="minMax"/>
        </c:scaling>
        <c:delete val="0"/>
        <c:axPos val="r"/>
        <c:numFmt formatCode="#,##0.0_);[Red]\(#,##0.0\)" sourceLinked="0"/>
        <c:majorTickMark val="out"/>
        <c:minorTickMark val="none"/>
        <c:tickLblPos val="nextTo"/>
        <c:spPr>
          <a:ln w="3175">
            <a:solidFill>
              <a:sysClr val="windowText" lastClr="000000"/>
            </a:solidFill>
          </a:ln>
        </c:spPr>
        <c:crossAx val="273304576"/>
        <c:crosses val="max"/>
        <c:crossBetween val="between"/>
      </c:valAx>
      <c:dateAx>
        <c:axId val="273304576"/>
        <c:scaling>
          <c:orientation val="minMax"/>
        </c:scaling>
        <c:delete val="1"/>
        <c:axPos val="b"/>
        <c:numFmt formatCode="General" sourceLinked="1"/>
        <c:majorTickMark val="out"/>
        <c:minorTickMark val="none"/>
        <c:tickLblPos val="nextTo"/>
        <c:crossAx val="273303040"/>
        <c:crosses val="autoZero"/>
        <c:auto val="0"/>
        <c:lblOffset val="100"/>
        <c:baseTimeUnit val="years"/>
      </c:dateAx>
    </c:plotArea>
    <c:legend>
      <c:legendPos val="r"/>
      <c:layout>
        <c:manualLayout>
          <c:xMode val="edge"/>
          <c:yMode val="edge"/>
          <c:x val="0.10565955303871639"/>
          <c:y val="2.3338066348263845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0270669291338583"/>
          <c:w val="0.91250459317585297"/>
          <c:h val="0.81409120734908136"/>
        </c:manualLayout>
      </c:layout>
      <c:lineChart>
        <c:grouping val="standard"/>
        <c:varyColors val="0"/>
        <c:ser>
          <c:idx val="0"/>
          <c:order val="0"/>
          <c:tx>
            <c:strRef>
              <c:f>转债!$H$4</c:f>
              <c:strCache>
                <c:ptCount val="1"/>
                <c:pt idx="0">
                  <c:v>中证转债</c:v>
                </c:pt>
              </c:strCache>
            </c:strRef>
          </c:tx>
          <c:spPr>
            <a:ln w="25400">
              <a:solidFill>
                <a:srgbClr val="ED7D31">
                  <a:lumMod val="75000"/>
                </a:srgbClr>
              </a:solidFill>
            </a:ln>
          </c:spPr>
          <c:marker>
            <c:symbol val="none"/>
          </c:marker>
          <c:cat>
            <c:numRef>
              <c:f>转债!$G$5:$G$28</c:f>
              <c:numCache>
                <c:formatCode>yyyy\-mm\-dd</c:formatCode>
                <c:ptCount val="24"/>
                <c:pt idx="0">
                  <c:v>44120</c:v>
                </c:pt>
                <c:pt idx="1">
                  <c:v>44113</c:v>
                </c:pt>
                <c:pt idx="2">
                  <c:v>44104</c:v>
                </c:pt>
                <c:pt idx="3">
                  <c:v>44099</c:v>
                </c:pt>
                <c:pt idx="4">
                  <c:v>44092</c:v>
                </c:pt>
                <c:pt idx="5">
                  <c:v>44085</c:v>
                </c:pt>
                <c:pt idx="6">
                  <c:v>44078</c:v>
                </c:pt>
                <c:pt idx="7">
                  <c:v>44071</c:v>
                </c:pt>
                <c:pt idx="8">
                  <c:v>44064</c:v>
                </c:pt>
                <c:pt idx="9">
                  <c:v>44057</c:v>
                </c:pt>
                <c:pt idx="10">
                  <c:v>44050</c:v>
                </c:pt>
                <c:pt idx="11">
                  <c:v>44043</c:v>
                </c:pt>
                <c:pt idx="12">
                  <c:v>44036</c:v>
                </c:pt>
                <c:pt idx="13">
                  <c:v>44029</c:v>
                </c:pt>
                <c:pt idx="14">
                  <c:v>44022</c:v>
                </c:pt>
                <c:pt idx="15">
                  <c:v>44015</c:v>
                </c:pt>
                <c:pt idx="16">
                  <c:v>44006</c:v>
                </c:pt>
                <c:pt idx="17">
                  <c:v>44001</c:v>
                </c:pt>
                <c:pt idx="18">
                  <c:v>43994</c:v>
                </c:pt>
                <c:pt idx="19">
                  <c:v>43987</c:v>
                </c:pt>
                <c:pt idx="20">
                  <c:v>43980</c:v>
                </c:pt>
                <c:pt idx="21">
                  <c:v>43973</c:v>
                </c:pt>
                <c:pt idx="22">
                  <c:v>43966</c:v>
                </c:pt>
                <c:pt idx="23">
                  <c:v>43959</c:v>
                </c:pt>
              </c:numCache>
            </c:numRef>
          </c:cat>
          <c:val>
            <c:numRef>
              <c:f>转债!$H$5:$H$28</c:f>
              <c:numCache>
                <c:formatCode>General</c:formatCode>
                <c:ptCount val="24"/>
                <c:pt idx="0">
                  <c:v>4.4655783818184691</c:v>
                </c:pt>
                <c:pt idx="1">
                  <c:v>2.6900709625438113</c:v>
                </c:pt>
                <c:pt idx="2">
                  <c:v>1.6940304380789195</c:v>
                </c:pt>
                <c:pt idx="3">
                  <c:v>0.70996516137142862</c:v>
                </c:pt>
                <c:pt idx="4">
                  <c:v>2.8739462206627708</c:v>
                </c:pt>
                <c:pt idx="5">
                  <c:v>2.7512777844149738</c:v>
                </c:pt>
                <c:pt idx="6">
                  <c:v>5.484805024281747</c:v>
                </c:pt>
                <c:pt idx="7">
                  <c:v>5.2105067369969671</c:v>
                </c:pt>
                <c:pt idx="8">
                  <c:v>5.3213697871576704</c:v>
                </c:pt>
                <c:pt idx="9">
                  <c:v>5.2064866774661045</c:v>
                </c:pt>
                <c:pt idx="10">
                  <c:v>5.651609184533779</c:v>
                </c:pt>
                <c:pt idx="11">
                  <c:v>4.5006265064607032</c:v>
                </c:pt>
                <c:pt idx="12">
                  <c:v>2.1775983031951718</c:v>
                </c:pt>
                <c:pt idx="13">
                  <c:v>1.7234448173222727</c:v>
                </c:pt>
                <c:pt idx="14">
                  <c:v>5.3964486454381122</c:v>
                </c:pt>
                <c:pt idx="15">
                  <c:v>1.350088865963861</c:v>
                </c:pt>
                <c:pt idx="16">
                  <c:v>-2.7976500204117016</c:v>
                </c:pt>
                <c:pt idx="17">
                  <c:v>-2.2967279546446617</c:v>
                </c:pt>
                <c:pt idx="18">
                  <c:v>-3.1412518691861346</c:v>
                </c:pt>
                <c:pt idx="19">
                  <c:v>-2.8055202778030974</c:v>
                </c:pt>
                <c:pt idx="20">
                  <c:v>-3.2064221300313611</c:v>
                </c:pt>
                <c:pt idx="21">
                  <c:v>-3.9660435196923416</c:v>
                </c:pt>
                <c:pt idx="22">
                  <c:v>-1.5405321086684354</c:v>
                </c:pt>
                <c:pt idx="23">
                  <c:v>0</c:v>
                </c:pt>
              </c:numCache>
            </c:numRef>
          </c:val>
          <c:smooth val="1"/>
          <c:extLst xmlns:c16r2="http://schemas.microsoft.com/office/drawing/2015/06/chart">
            <c:ext xmlns:c16="http://schemas.microsoft.com/office/drawing/2014/chart" uri="{C3380CC4-5D6E-409C-BE32-E72D297353CC}">
              <c16:uniqueId val="{00000000-FB26-4560-BF82-E44BC96AA276}"/>
            </c:ext>
          </c:extLst>
        </c:ser>
        <c:ser>
          <c:idx val="2"/>
          <c:order val="1"/>
          <c:tx>
            <c:strRef>
              <c:f>转债!$I$4</c:f>
              <c:strCache>
                <c:ptCount val="1"/>
                <c:pt idx="0">
                  <c:v>中债总净价</c:v>
                </c:pt>
              </c:strCache>
            </c:strRef>
          </c:tx>
          <c:spPr>
            <a:ln w="25400">
              <a:solidFill>
                <a:srgbClr val="ED7D31"/>
              </a:solidFill>
              <a:prstDash val="sysDash"/>
            </a:ln>
          </c:spPr>
          <c:marker>
            <c:symbol val="none"/>
          </c:marker>
          <c:cat>
            <c:numRef>
              <c:f>转债!$G$5:$G$28</c:f>
              <c:numCache>
                <c:formatCode>yyyy\-mm\-dd</c:formatCode>
                <c:ptCount val="24"/>
                <c:pt idx="0">
                  <c:v>44120</c:v>
                </c:pt>
                <c:pt idx="1">
                  <c:v>44113</c:v>
                </c:pt>
                <c:pt idx="2">
                  <c:v>44104</c:v>
                </c:pt>
                <c:pt idx="3">
                  <c:v>44099</c:v>
                </c:pt>
                <c:pt idx="4">
                  <c:v>44092</c:v>
                </c:pt>
                <c:pt idx="5">
                  <c:v>44085</c:v>
                </c:pt>
                <c:pt idx="6">
                  <c:v>44078</c:v>
                </c:pt>
                <c:pt idx="7">
                  <c:v>44071</c:v>
                </c:pt>
                <c:pt idx="8">
                  <c:v>44064</c:v>
                </c:pt>
                <c:pt idx="9">
                  <c:v>44057</c:v>
                </c:pt>
                <c:pt idx="10">
                  <c:v>44050</c:v>
                </c:pt>
                <c:pt idx="11">
                  <c:v>44043</c:v>
                </c:pt>
                <c:pt idx="12">
                  <c:v>44036</c:v>
                </c:pt>
                <c:pt idx="13">
                  <c:v>44029</c:v>
                </c:pt>
                <c:pt idx="14">
                  <c:v>44022</c:v>
                </c:pt>
                <c:pt idx="15">
                  <c:v>44015</c:v>
                </c:pt>
                <c:pt idx="16">
                  <c:v>44006</c:v>
                </c:pt>
                <c:pt idx="17">
                  <c:v>44001</c:v>
                </c:pt>
                <c:pt idx="18">
                  <c:v>43994</c:v>
                </c:pt>
                <c:pt idx="19">
                  <c:v>43987</c:v>
                </c:pt>
                <c:pt idx="20">
                  <c:v>43980</c:v>
                </c:pt>
                <c:pt idx="21">
                  <c:v>43973</c:v>
                </c:pt>
                <c:pt idx="22">
                  <c:v>43966</c:v>
                </c:pt>
                <c:pt idx="23">
                  <c:v>43959</c:v>
                </c:pt>
              </c:numCache>
            </c:numRef>
          </c:cat>
          <c:val>
            <c:numRef>
              <c:f>转债!$I$5:$I$28</c:f>
              <c:numCache>
                <c:formatCode>General</c:formatCode>
                <c:ptCount val="24"/>
                <c:pt idx="0">
                  <c:v>-4.6348988799144291</c:v>
                </c:pt>
                <c:pt idx="1">
                  <c:v>-4.5624453634247164</c:v>
                </c:pt>
                <c:pt idx="2">
                  <c:v>-4.3661830162742383</c:v>
                </c:pt>
                <c:pt idx="3">
                  <c:v>-4.2674794108531477</c:v>
                </c:pt>
                <c:pt idx="4">
                  <c:v>-4.2702597941044473</c:v>
                </c:pt>
                <c:pt idx="5">
                  <c:v>-4.288577613171829</c:v>
                </c:pt>
                <c:pt idx="6">
                  <c:v>-4.3145823741692624</c:v>
                </c:pt>
                <c:pt idx="7">
                  <c:v>-4.076123622381445</c:v>
                </c:pt>
                <c:pt idx="8">
                  <c:v>-3.6028860378148564</c:v>
                </c:pt>
                <c:pt idx="9">
                  <c:v>-3.3830722090063103</c:v>
                </c:pt>
                <c:pt idx="10">
                  <c:v>-3.5837504589676827</c:v>
                </c:pt>
                <c:pt idx="11">
                  <c:v>-3.3789834101073501</c:v>
                </c:pt>
                <c:pt idx="12">
                  <c:v>-2.8500563845368254</c:v>
                </c:pt>
                <c:pt idx="13">
                  <c:v>-3.4810398306256096</c:v>
                </c:pt>
                <c:pt idx="14">
                  <c:v>-3.7046153544211813</c:v>
                </c:pt>
                <c:pt idx="15">
                  <c:v>-2.5004640786750465</c:v>
                </c:pt>
                <c:pt idx="16">
                  <c:v>-2.5404525319069449</c:v>
                </c:pt>
                <c:pt idx="17">
                  <c:v>-2.4835364512333147</c:v>
                </c:pt>
                <c:pt idx="18">
                  <c:v>-1.9752169721135804</c:v>
                </c:pt>
                <c:pt idx="19">
                  <c:v>-2.4319358091283272</c:v>
                </c:pt>
                <c:pt idx="20">
                  <c:v>-1.2123288735440774</c:v>
                </c:pt>
                <c:pt idx="21">
                  <c:v>-0.46702261024015312</c:v>
                </c:pt>
                <c:pt idx="22">
                  <c:v>-0.41746636758466238</c:v>
                </c:pt>
                <c:pt idx="23">
                  <c:v>0</c:v>
                </c:pt>
              </c:numCache>
            </c:numRef>
          </c:val>
          <c:smooth val="1"/>
          <c:extLst xmlns:c16r2="http://schemas.microsoft.com/office/drawing/2015/06/chart">
            <c:ext xmlns:c16="http://schemas.microsoft.com/office/drawing/2014/chart" uri="{C3380CC4-5D6E-409C-BE32-E72D297353CC}">
              <c16:uniqueId val="{00000004-FB26-4560-BF82-E44BC96AA276}"/>
            </c:ext>
          </c:extLst>
        </c:ser>
        <c:ser>
          <c:idx val="1"/>
          <c:order val="2"/>
          <c:tx>
            <c:strRef>
              <c:f>转债!$J$4</c:f>
              <c:strCache>
                <c:ptCount val="1"/>
                <c:pt idx="0">
                  <c:v>沪深300</c:v>
                </c:pt>
              </c:strCache>
            </c:strRef>
          </c:tx>
          <c:spPr>
            <a:ln w="25400">
              <a:solidFill>
                <a:sysClr val="windowText" lastClr="000000">
                  <a:lumMod val="50000"/>
                  <a:lumOff val="50000"/>
                </a:sysClr>
              </a:solidFill>
              <a:prstDash val="sysDash"/>
            </a:ln>
          </c:spPr>
          <c:marker>
            <c:symbol val="none"/>
          </c:marker>
          <c:cat>
            <c:numRef>
              <c:f>转债!$G$5:$G$28</c:f>
              <c:numCache>
                <c:formatCode>yyyy\-mm\-dd</c:formatCode>
                <c:ptCount val="24"/>
                <c:pt idx="0">
                  <c:v>44120</c:v>
                </c:pt>
                <c:pt idx="1">
                  <c:v>44113</c:v>
                </c:pt>
                <c:pt idx="2">
                  <c:v>44104</c:v>
                </c:pt>
                <c:pt idx="3">
                  <c:v>44099</c:v>
                </c:pt>
                <c:pt idx="4">
                  <c:v>44092</c:v>
                </c:pt>
                <c:pt idx="5">
                  <c:v>44085</c:v>
                </c:pt>
                <c:pt idx="6">
                  <c:v>44078</c:v>
                </c:pt>
                <c:pt idx="7">
                  <c:v>44071</c:v>
                </c:pt>
                <c:pt idx="8">
                  <c:v>44064</c:v>
                </c:pt>
                <c:pt idx="9">
                  <c:v>44057</c:v>
                </c:pt>
                <c:pt idx="10">
                  <c:v>44050</c:v>
                </c:pt>
                <c:pt idx="11">
                  <c:v>44043</c:v>
                </c:pt>
                <c:pt idx="12">
                  <c:v>44036</c:v>
                </c:pt>
                <c:pt idx="13">
                  <c:v>44029</c:v>
                </c:pt>
                <c:pt idx="14">
                  <c:v>44022</c:v>
                </c:pt>
                <c:pt idx="15">
                  <c:v>44015</c:v>
                </c:pt>
                <c:pt idx="16">
                  <c:v>44006</c:v>
                </c:pt>
                <c:pt idx="17">
                  <c:v>44001</c:v>
                </c:pt>
                <c:pt idx="18">
                  <c:v>43994</c:v>
                </c:pt>
                <c:pt idx="19">
                  <c:v>43987</c:v>
                </c:pt>
                <c:pt idx="20">
                  <c:v>43980</c:v>
                </c:pt>
                <c:pt idx="21">
                  <c:v>43973</c:v>
                </c:pt>
                <c:pt idx="22">
                  <c:v>43966</c:v>
                </c:pt>
                <c:pt idx="23">
                  <c:v>43959</c:v>
                </c:pt>
              </c:numCache>
            </c:numRef>
          </c:cat>
          <c:val>
            <c:numRef>
              <c:f>转债!$J$5:$J$28</c:f>
              <c:numCache>
                <c:formatCode>General</c:formatCode>
                <c:ptCount val="24"/>
                <c:pt idx="0">
                  <c:v>20.891355499441346</c:v>
                </c:pt>
                <c:pt idx="1">
                  <c:v>18.102623164062305</c:v>
                </c:pt>
                <c:pt idx="2">
                  <c:v>15.737465560853092</c:v>
                </c:pt>
                <c:pt idx="3">
                  <c:v>15.299136645659184</c:v>
                </c:pt>
                <c:pt idx="4">
                  <c:v>19.514147881469125</c:v>
                </c:pt>
                <c:pt idx="5">
                  <c:v>16.743800247132555</c:v>
                </c:pt>
                <c:pt idx="6">
                  <c:v>20.350007166425588</c:v>
                </c:pt>
                <c:pt idx="7">
                  <c:v>22.218152151099567</c:v>
                </c:pt>
                <c:pt idx="8">
                  <c:v>19.053821407830117</c:v>
                </c:pt>
                <c:pt idx="9">
                  <c:v>18.695202420553912</c:v>
                </c:pt>
                <c:pt idx="10">
                  <c:v>18.778394012728295</c:v>
                </c:pt>
                <c:pt idx="11">
                  <c:v>18.453438682102274</c:v>
                </c:pt>
                <c:pt idx="12">
                  <c:v>13.673577879543863</c:v>
                </c:pt>
                <c:pt idx="13">
                  <c:v>14.660304236400767</c:v>
                </c:pt>
                <c:pt idx="14">
                  <c:v>19.918944333158748</c:v>
                </c:pt>
                <c:pt idx="15">
                  <c:v>11.503968706196165</c:v>
                </c:pt>
                <c:pt idx="16">
                  <c:v>4.4244333408508529</c:v>
                </c:pt>
                <c:pt idx="17">
                  <c:v>3.4081910491104539</c:v>
                </c:pt>
                <c:pt idx="18">
                  <c:v>0.99558441715059676</c:v>
                </c:pt>
                <c:pt idx="19">
                  <c:v>0.94936406267025486</c:v>
                </c:pt>
                <c:pt idx="20">
                  <c:v>-2.4371271355185131</c:v>
                </c:pt>
                <c:pt idx="21">
                  <c:v>-3.5209641727413143</c:v>
                </c:pt>
                <c:pt idx="22">
                  <c:v>-1.2818024485030999</c:v>
                </c:pt>
                <c:pt idx="23">
                  <c:v>0</c:v>
                </c:pt>
              </c:numCache>
            </c:numRef>
          </c:val>
          <c:smooth val="1"/>
          <c:extLst xmlns:c16r2="http://schemas.microsoft.com/office/drawing/2015/06/chart">
            <c:ext xmlns:c16="http://schemas.microsoft.com/office/drawing/2014/chart" uri="{C3380CC4-5D6E-409C-BE32-E72D297353CC}">
              <c16:uniqueId val="{00000006-6B3B-44ED-B0DA-E22873EBDCAA}"/>
            </c:ext>
          </c:extLst>
        </c:ser>
        <c:dLbls>
          <c:showLegendKey val="0"/>
          <c:showVal val="0"/>
          <c:showCatName val="0"/>
          <c:showSerName val="0"/>
          <c:showPercent val="0"/>
          <c:showBubbleSize val="0"/>
        </c:dLbls>
        <c:marker val="1"/>
        <c:smooth val="0"/>
        <c:axId val="273335040"/>
        <c:axId val="273336576"/>
      </c:lineChart>
      <c:dateAx>
        <c:axId val="273335040"/>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sz="600"/>
            </a:pPr>
            <a:endParaRPr lang="zh-CN"/>
          </a:p>
        </c:txPr>
        <c:crossAx val="273336576"/>
        <c:crosses val="autoZero"/>
        <c:auto val="0"/>
        <c:lblOffset val="0"/>
        <c:baseTimeUnit val="days"/>
        <c:majorUnit val="14"/>
        <c:majorTimeUnit val="days"/>
      </c:dateAx>
      <c:valAx>
        <c:axId val="273336576"/>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73335040"/>
        <c:crosses val="autoZero"/>
        <c:crossBetween val="between"/>
      </c:valAx>
    </c:plotArea>
    <c:legend>
      <c:legendPos val="r"/>
      <c:layout>
        <c:manualLayout>
          <c:xMode val="edge"/>
          <c:yMode val="edge"/>
          <c:x val="9.9472222222222226E-2"/>
          <c:y val="2.3337707786526686E-3"/>
          <c:w val="0.86834886264216971"/>
          <c:h val="8.1219378827646557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高炉!$H$1</c:f>
              <c:strCache>
                <c:ptCount val="1"/>
                <c:pt idx="0">
                  <c:v>2018</c:v>
                </c:pt>
              </c:strCache>
            </c:strRef>
          </c:tx>
          <c:spPr>
            <a:ln w="28575">
              <a:solidFill>
                <a:srgbClr val="E7E6E6">
                  <a:lumMod val="75000"/>
                </a:srgbClr>
              </a:solidFill>
              <a:prstDash val="solid"/>
            </a:ln>
          </c:spPr>
          <c:marker>
            <c:symbol val="none"/>
          </c:marker>
          <c:cat>
            <c:numRef>
              <c:f>高炉!$G$2:$G$366</c:f>
              <c:numCache>
                <c:formatCode>m/d/yyyy</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高炉!$H$2:$H$366</c:f>
              <c:numCache>
                <c:formatCode>General</c:formatCode>
                <c:ptCount val="365"/>
                <c:pt idx="0">
                  <c:v>#N/A</c:v>
                </c:pt>
                <c:pt idx="1">
                  <c:v>#N/A</c:v>
                </c:pt>
                <c:pt idx="2">
                  <c:v>#N/A</c:v>
                </c:pt>
                <c:pt idx="3">
                  <c:v>#N/A</c:v>
                </c:pt>
                <c:pt idx="4">
                  <c:v>63.12</c:v>
                </c:pt>
                <c:pt idx="5">
                  <c:v>#N/A</c:v>
                </c:pt>
                <c:pt idx="6">
                  <c:v>#N/A</c:v>
                </c:pt>
                <c:pt idx="7">
                  <c:v>#N/A</c:v>
                </c:pt>
                <c:pt idx="8">
                  <c:v>#N/A</c:v>
                </c:pt>
                <c:pt idx="9">
                  <c:v>#N/A</c:v>
                </c:pt>
                <c:pt idx="10">
                  <c:v>#N/A</c:v>
                </c:pt>
                <c:pt idx="11">
                  <c:v>64.09</c:v>
                </c:pt>
                <c:pt idx="12">
                  <c:v>#N/A</c:v>
                </c:pt>
                <c:pt idx="13">
                  <c:v>#N/A</c:v>
                </c:pt>
                <c:pt idx="14">
                  <c:v>#N/A</c:v>
                </c:pt>
                <c:pt idx="15">
                  <c:v>#N/A</c:v>
                </c:pt>
                <c:pt idx="16">
                  <c:v>#N/A</c:v>
                </c:pt>
                <c:pt idx="17">
                  <c:v>#N/A</c:v>
                </c:pt>
                <c:pt idx="18">
                  <c:v>64.09</c:v>
                </c:pt>
                <c:pt idx="19">
                  <c:v>#N/A</c:v>
                </c:pt>
                <c:pt idx="20">
                  <c:v>#N/A</c:v>
                </c:pt>
                <c:pt idx="21">
                  <c:v>#N/A</c:v>
                </c:pt>
                <c:pt idx="22">
                  <c:v>#N/A</c:v>
                </c:pt>
                <c:pt idx="23">
                  <c:v>#N/A</c:v>
                </c:pt>
                <c:pt idx="24">
                  <c:v>#N/A</c:v>
                </c:pt>
                <c:pt idx="25">
                  <c:v>64.09</c:v>
                </c:pt>
                <c:pt idx="26">
                  <c:v>#N/A</c:v>
                </c:pt>
                <c:pt idx="27">
                  <c:v>#N/A</c:v>
                </c:pt>
                <c:pt idx="28">
                  <c:v>#N/A</c:v>
                </c:pt>
                <c:pt idx="29">
                  <c:v>#N/A</c:v>
                </c:pt>
                <c:pt idx="30">
                  <c:v>#N/A</c:v>
                </c:pt>
                <c:pt idx="31">
                  <c:v>#N/A</c:v>
                </c:pt>
                <c:pt idx="32">
                  <c:v>63.67</c:v>
                </c:pt>
                <c:pt idx="33">
                  <c:v>#N/A</c:v>
                </c:pt>
                <c:pt idx="34">
                  <c:v>#N/A</c:v>
                </c:pt>
                <c:pt idx="35">
                  <c:v>#N/A</c:v>
                </c:pt>
                <c:pt idx="36">
                  <c:v>#N/A</c:v>
                </c:pt>
                <c:pt idx="37">
                  <c:v>#N/A</c:v>
                </c:pt>
                <c:pt idx="38">
                  <c:v>#N/A</c:v>
                </c:pt>
                <c:pt idx="39">
                  <c:v>63.67</c:v>
                </c:pt>
                <c:pt idx="40">
                  <c:v>#N/A</c:v>
                </c:pt>
                <c:pt idx="41">
                  <c:v>#N/A</c:v>
                </c:pt>
                <c:pt idx="42">
                  <c:v>#N/A</c:v>
                </c:pt>
                <c:pt idx="43">
                  <c:v>#N/A</c:v>
                </c:pt>
                <c:pt idx="44">
                  <c:v>#N/A</c:v>
                </c:pt>
                <c:pt idx="45">
                  <c:v>#N/A</c:v>
                </c:pt>
                <c:pt idx="46">
                  <c:v>#N/A</c:v>
                </c:pt>
                <c:pt idx="47">
                  <c:v>#N/A</c:v>
                </c:pt>
                <c:pt idx="48">
                  <c:v>#N/A</c:v>
                </c:pt>
                <c:pt idx="49">
                  <c:v>#N/A</c:v>
                </c:pt>
                <c:pt idx="50">
                  <c:v>#N/A</c:v>
                </c:pt>
                <c:pt idx="51">
                  <c:v>#N/A</c:v>
                </c:pt>
                <c:pt idx="52">
                  <c:v>#N/A</c:v>
                </c:pt>
                <c:pt idx="53">
                  <c:v>63.81</c:v>
                </c:pt>
                <c:pt idx="54">
                  <c:v>#N/A</c:v>
                </c:pt>
                <c:pt idx="55">
                  <c:v>#N/A</c:v>
                </c:pt>
                <c:pt idx="56">
                  <c:v>#N/A</c:v>
                </c:pt>
                <c:pt idx="57">
                  <c:v>#N/A</c:v>
                </c:pt>
                <c:pt idx="58">
                  <c:v>#N/A</c:v>
                </c:pt>
                <c:pt idx="59">
                  <c:v>#N/A</c:v>
                </c:pt>
                <c:pt idx="60">
                  <c:v>63.26</c:v>
                </c:pt>
                <c:pt idx="61">
                  <c:v>#N/A</c:v>
                </c:pt>
                <c:pt idx="62">
                  <c:v>#N/A</c:v>
                </c:pt>
                <c:pt idx="63">
                  <c:v>#N/A</c:v>
                </c:pt>
                <c:pt idx="64">
                  <c:v>#N/A</c:v>
                </c:pt>
                <c:pt idx="65">
                  <c:v>#N/A</c:v>
                </c:pt>
                <c:pt idx="66">
                  <c:v>#N/A</c:v>
                </c:pt>
                <c:pt idx="67">
                  <c:v>62.57</c:v>
                </c:pt>
                <c:pt idx="68">
                  <c:v>#N/A</c:v>
                </c:pt>
                <c:pt idx="69">
                  <c:v>#N/A</c:v>
                </c:pt>
                <c:pt idx="70">
                  <c:v>#N/A</c:v>
                </c:pt>
                <c:pt idx="71">
                  <c:v>#N/A</c:v>
                </c:pt>
                <c:pt idx="72">
                  <c:v>#N/A</c:v>
                </c:pt>
                <c:pt idx="73">
                  <c:v>#N/A</c:v>
                </c:pt>
                <c:pt idx="74">
                  <c:v>62.02</c:v>
                </c:pt>
                <c:pt idx="75">
                  <c:v>#N/A</c:v>
                </c:pt>
                <c:pt idx="76">
                  <c:v>#N/A</c:v>
                </c:pt>
                <c:pt idx="77">
                  <c:v>#N/A</c:v>
                </c:pt>
                <c:pt idx="78">
                  <c:v>#N/A</c:v>
                </c:pt>
                <c:pt idx="79">
                  <c:v>#N/A</c:v>
                </c:pt>
                <c:pt idx="80">
                  <c:v>#N/A</c:v>
                </c:pt>
                <c:pt idx="81">
                  <c:v>63.12</c:v>
                </c:pt>
                <c:pt idx="82">
                  <c:v>#N/A</c:v>
                </c:pt>
                <c:pt idx="83">
                  <c:v>#N/A</c:v>
                </c:pt>
                <c:pt idx="84">
                  <c:v>#N/A</c:v>
                </c:pt>
                <c:pt idx="85">
                  <c:v>#N/A</c:v>
                </c:pt>
                <c:pt idx="86">
                  <c:v>#N/A</c:v>
                </c:pt>
                <c:pt idx="87">
                  <c:v>#N/A</c:v>
                </c:pt>
                <c:pt idx="88">
                  <c:v>64.5</c:v>
                </c:pt>
                <c:pt idx="89">
                  <c:v>#N/A</c:v>
                </c:pt>
                <c:pt idx="90">
                  <c:v>#N/A</c:v>
                </c:pt>
                <c:pt idx="91">
                  <c:v>#N/A</c:v>
                </c:pt>
                <c:pt idx="92">
                  <c:v>#N/A</c:v>
                </c:pt>
                <c:pt idx="93">
                  <c:v>#N/A</c:v>
                </c:pt>
                <c:pt idx="94">
                  <c:v>#N/A</c:v>
                </c:pt>
                <c:pt idx="95">
                  <c:v>#N/A</c:v>
                </c:pt>
                <c:pt idx="96">
                  <c:v>#N/A</c:v>
                </c:pt>
                <c:pt idx="97">
                  <c:v>#N/A</c:v>
                </c:pt>
                <c:pt idx="98">
                  <c:v>65.06</c:v>
                </c:pt>
                <c:pt idx="99">
                  <c:v>#N/A</c:v>
                </c:pt>
                <c:pt idx="100">
                  <c:v>#N/A</c:v>
                </c:pt>
                <c:pt idx="101">
                  <c:v>#N/A</c:v>
                </c:pt>
                <c:pt idx="102">
                  <c:v>66.989999999999995</c:v>
                </c:pt>
                <c:pt idx="103">
                  <c:v>#N/A</c:v>
                </c:pt>
                <c:pt idx="104">
                  <c:v>#N/A</c:v>
                </c:pt>
                <c:pt idx="105">
                  <c:v>#N/A</c:v>
                </c:pt>
                <c:pt idx="106">
                  <c:v>#N/A</c:v>
                </c:pt>
                <c:pt idx="107">
                  <c:v>#N/A</c:v>
                </c:pt>
                <c:pt idx="108">
                  <c:v>#N/A</c:v>
                </c:pt>
                <c:pt idx="109">
                  <c:v>67.27</c:v>
                </c:pt>
                <c:pt idx="110">
                  <c:v>#N/A</c:v>
                </c:pt>
                <c:pt idx="111">
                  <c:v>#N/A</c:v>
                </c:pt>
                <c:pt idx="112">
                  <c:v>#N/A</c:v>
                </c:pt>
                <c:pt idx="113">
                  <c:v>#N/A</c:v>
                </c:pt>
                <c:pt idx="114">
                  <c:v>#N/A</c:v>
                </c:pt>
                <c:pt idx="115">
                  <c:v>#N/A</c:v>
                </c:pt>
                <c:pt idx="116">
                  <c:v>67.680000000000007</c:v>
                </c:pt>
                <c:pt idx="117">
                  <c:v>#N/A</c:v>
                </c:pt>
                <c:pt idx="118">
                  <c:v>#N/A</c:v>
                </c:pt>
                <c:pt idx="119">
                  <c:v>#N/A</c:v>
                </c:pt>
                <c:pt idx="120">
                  <c:v>#N/A</c:v>
                </c:pt>
                <c:pt idx="121">
                  <c:v>#N/A</c:v>
                </c:pt>
                <c:pt idx="122">
                  <c:v>#N/A</c:v>
                </c:pt>
                <c:pt idx="123">
                  <c:v>68.92</c:v>
                </c:pt>
                <c:pt idx="124">
                  <c:v>#N/A</c:v>
                </c:pt>
                <c:pt idx="125">
                  <c:v>#N/A</c:v>
                </c:pt>
                <c:pt idx="126">
                  <c:v>#N/A</c:v>
                </c:pt>
                <c:pt idx="127">
                  <c:v>#N/A</c:v>
                </c:pt>
                <c:pt idx="128">
                  <c:v>#N/A</c:v>
                </c:pt>
                <c:pt idx="129">
                  <c:v>#N/A</c:v>
                </c:pt>
                <c:pt idx="130">
                  <c:v>69.98</c:v>
                </c:pt>
                <c:pt idx="131">
                  <c:v>#N/A</c:v>
                </c:pt>
                <c:pt idx="132">
                  <c:v>#N/A</c:v>
                </c:pt>
                <c:pt idx="133">
                  <c:v>#N/A</c:v>
                </c:pt>
                <c:pt idx="134">
                  <c:v>#N/A</c:v>
                </c:pt>
                <c:pt idx="135">
                  <c:v>#N/A</c:v>
                </c:pt>
                <c:pt idx="136">
                  <c:v>#N/A</c:v>
                </c:pt>
                <c:pt idx="137">
                  <c:v>70.17</c:v>
                </c:pt>
                <c:pt idx="138">
                  <c:v>#N/A</c:v>
                </c:pt>
                <c:pt idx="139">
                  <c:v>#N/A</c:v>
                </c:pt>
                <c:pt idx="140">
                  <c:v>#N/A</c:v>
                </c:pt>
                <c:pt idx="141">
                  <c:v>#N/A</c:v>
                </c:pt>
                <c:pt idx="142">
                  <c:v>#N/A</c:v>
                </c:pt>
                <c:pt idx="143">
                  <c:v>#N/A</c:v>
                </c:pt>
                <c:pt idx="144">
                  <c:v>71.959999999999994</c:v>
                </c:pt>
                <c:pt idx="145">
                  <c:v>#N/A</c:v>
                </c:pt>
                <c:pt idx="146">
                  <c:v>#N/A</c:v>
                </c:pt>
                <c:pt idx="147">
                  <c:v>#N/A</c:v>
                </c:pt>
                <c:pt idx="148">
                  <c:v>#N/A</c:v>
                </c:pt>
                <c:pt idx="149">
                  <c:v>#N/A</c:v>
                </c:pt>
                <c:pt idx="150">
                  <c:v>#N/A</c:v>
                </c:pt>
                <c:pt idx="151">
                  <c:v>71.819999999999993</c:v>
                </c:pt>
                <c:pt idx="152">
                  <c:v>#N/A</c:v>
                </c:pt>
                <c:pt idx="153">
                  <c:v>#N/A</c:v>
                </c:pt>
                <c:pt idx="154">
                  <c:v>#N/A</c:v>
                </c:pt>
                <c:pt idx="155">
                  <c:v>#N/A</c:v>
                </c:pt>
                <c:pt idx="156">
                  <c:v>#N/A</c:v>
                </c:pt>
                <c:pt idx="157">
                  <c:v>#N/A</c:v>
                </c:pt>
                <c:pt idx="158">
                  <c:v>71.41</c:v>
                </c:pt>
                <c:pt idx="159">
                  <c:v>#N/A</c:v>
                </c:pt>
                <c:pt idx="160">
                  <c:v>#N/A</c:v>
                </c:pt>
                <c:pt idx="161">
                  <c:v>#N/A</c:v>
                </c:pt>
                <c:pt idx="162">
                  <c:v>#N/A</c:v>
                </c:pt>
                <c:pt idx="163">
                  <c:v>#N/A</c:v>
                </c:pt>
                <c:pt idx="164">
                  <c:v>#N/A</c:v>
                </c:pt>
                <c:pt idx="165">
                  <c:v>71.41</c:v>
                </c:pt>
                <c:pt idx="166">
                  <c:v>#N/A</c:v>
                </c:pt>
                <c:pt idx="167">
                  <c:v>#N/A</c:v>
                </c:pt>
                <c:pt idx="168">
                  <c:v>#N/A</c:v>
                </c:pt>
                <c:pt idx="169">
                  <c:v>#N/A</c:v>
                </c:pt>
                <c:pt idx="170">
                  <c:v>#N/A</c:v>
                </c:pt>
                <c:pt idx="171">
                  <c:v>#N/A</c:v>
                </c:pt>
                <c:pt idx="172">
                  <c:v>71.55</c:v>
                </c:pt>
                <c:pt idx="173">
                  <c:v>#N/A</c:v>
                </c:pt>
                <c:pt idx="174">
                  <c:v>#N/A</c:v>
                </c:pt>
                <c:pt idx="175">
                  <c:v>#N/A</c:v>
                </c:pt>
                <c:pt idx="176">
                  <c:v>#N/A</c:v>
                </c:pt>
                <c:pt idx="177">
                  <c:v>#N/A</c:v>
                </c:pt>
                <c:pt idx="178">
                  <c:v>#N/A</c:v>
                </c:pt>
                <c:pt idx="179">
                  <c:v>71.27</c:v>
                </c:pt>
                <c:pt idx="180">
                  <c:v>#N/A</c:v>
                </c:pt>
                <c:pt idx="181">
                  <c:v>#N/A</c:v>
                </c:pt>
                <c:pt idx="182">
                  <c:v>#N/A</c:v>
                </c:pt>
                <c:pt idx="183">
                  <c:v>#N/A</c:v>
                </c:pt>
                <c:pt idx="184">
                  <c:v>#N/A</c:v>
                </c:pt>
                <c:pt idx="185">
                  <c:v>#N/A</c:v>
                </c:pt>
                <c:pt idx="186">
                  <c:v>71.55</c:v>
                </c:pt>
                <c:pt idx="187">
                  <c:v>#N/A</c:v>
                </c:pt>
                <c:pt idx="188">
                  <c:v>#N/A</c:v>
                </c:pt>
                <c:pt idx="189">
                  <c:v>#N/A</c:v>
                </c:pt>
                <c:pt idx="190">
                  <c:v>#N/A</c:v>
                </c:pt>
                <c:pt idx="191">
                  <c:v>#N/A</c:v>
                </c:pt>
                <c:pt idx="192">
                  <c:v>#N/A</c:v>
                </c:pt>
                <c:pt idx="193">
                  <c:v>70.86</c:v>
                </c:pt>
                <c:pt idx="194">
                  <c:v>#N/A</c:v>
                </c:pt>
                <c:pt idx="195">
                  <c:v>#N/A</c:v>
                </c:pt>
                <c:pt idx="196">
                  <c:v>#N/A</c:v>
                </c:pt>
                <c:pt idx="197">
                  <c:v>#N/A</c:v>
                </c:pt>
                <c:pt idx="198">
                  <c:v>#N/A</c:v>
                </c:pt>
                <c:pt idx="199">
                  <c:v>#N/A</c:v>
                </c:pt>
                <c:pt idx="200">
                  <c:v>70.989999999999995</c:v>
                </c:pt>
                <c:pt idx="201">
                  <c:v>#N/A</c:v>
                </c:pt>
                <c:pt idx="202">
                  <c:v>#N/A</c:v>
                </c:pt>
                <c:pt idx="203">
                  <c:v>#N/A</c:v>
                </c:pt>
                <c:pt idx="204">
                  <c:v>#N/A</c:v>
                </c:pt>
                <c:pt idx="205">
                  <c:v>#N/A</c:v>
                </c:pt>
                <c:pt idx="206">
                  <c:v>#N/A</c:v>
                </c:pt>
                <c:pt idx="207">
                  <c:v>67.400000000000006</c:v>
                </c:pt>
                <c:pt idx="208">
                  <c:v>#N/A</c:v>
                </c:pt>
                <c:pt idx="209">
                  <c:v>#N/A</c:v>
                </c:pt>
                <c:pt idx="210">
                  <c:v>#N/A</c:v>
                </c:pt>
                <c:pt idx="211">
                  <c:v>#N/A</c:v>
                </c:pt>
                <c:pt idx="212">
                  <c:v>#N/A</c:v>
                </c:pt>
                <c:pt idx="213">
                  <c:v>#N/A</c:v>
                </c:pt>
                <c:pt idx="214">
                  <c:v>66.989999999999995</c:v>
                </c:pt>
                <c:pt idx="215">
                  <c:v>#N/A</c:v>
                </c:pt>
                <c:pt idx="216">
                  <c:v>#N/A</c:v>
                </c:pt>
                <c:pt idx="217">
                  <c:v>#N/A</c:v>
                </c:pt>
                <c:pt idx="218">
                  <c:v>#N/A</c:v>
                </c:pt>
                <c:pt idx="219">
                  <c:v>#N/A</c:v>
                </c:pt>
                <c:pt idx="220">
                  <c:v>#N/A</c:v>
                </c:pt>
                <c:pt idx="221">
                  <c:v>66.16</c:v>
                </c:pt>
                <c:pt idx="222">
                  <c:v>#N/A</c:v>
                </c:pt>
                <c:pt idx="223">
                  <c:v>#N/A</c:v>
                </c:pt>
                <c:pt idx="224">
                  <c:v>#N/A</c:v>
                </c:pt>
                <c:pt idx="225">
                  <c:v>#N/A</c:v>
                </c:pt>
                <c:pt idx="226">
                  <c:v>#N/A</c:v>
                </c:pt>
                <c:pt idx="227">
                  <c:v>#N/A</c:v>
                </c:pt>
                <c:pt idx="228">
                  <c:v>66.16</c:v>
                </c:pt>
                <c:pt idx="229">
                  <c:v>#N/A</c:v>
                </c:pt>
                <c:pt idx="230">
                  <c:v>#N/A</c:v>
                </c:pt>
                <c:pt idx="231">
                  <c:v>#N/A</c:v>
                </c:pt>
                <c:pt idx="232">
                  <c:v>#N/A</c:v>
                </c:pt>
                <c:pt idx="233">
                  <c:v>#N/A</c:v>
                </c:pt>
                <c:pt idx="234">
                  <c:v>#N/A</c:v>
                </c:pt>
                <c:pt idx="235">
                  <c:v>66.44</c:v>
                </c:pt>
                <c:pt idx="236">
                  <c:v>#N/A</c:v>
                </c:pt>
                <c:pt idx="237">
                  <c:v>#N/A</c:v>
                </c:pt>
                <c:pt idx="238">
                  <c:v>#N/A</c:v>
                </c:pt>
                <c:pt idx="239">
                  <c:v>#N/A</c:v>
                </c:pt>
                <c:pt idx="240">
                  <c:v>#N/A</c:v>
                </c:pt>
                <c:pt idx="241">
                  <c:v>#N/A</c:v>
                </c:pt>
                <c:pt idx="242">
                  <c:v>66.709999999999994</c:v>
                </c:pt>
                <c:pt idx="243">
                  <c:v>#N/A</c:v>
                </c:pt>
                <c:pt idx="244">
                  <c:v>#N/A</c:v>
                </c:pt>
                <c:pt idx="245">
                  <c:v>#N/A</c:v>
                </c:pt>
                <c:pt idx="246">
                  <c:v>#N/A</c:v>
                </c:pt>
                <c:pt idx="247">
                  <c:v>#N/A</c:v>
                </c:pt>
                <c:pt idx="248">
                  <c:v>#N/A</c:v>
                </c:pt>
                <c:pt idx="249">
                  <c:v>67.540000000000006</c:v>
                </c:pt>
                <c:pt idx="250">
                  <c:v>#N/A</c:v>
                </c:pt>
                <c:pt idx="251">
                  <c:v>#N/A</c:v>
                </c:pt>
                <c:pt idx="252">
                  <c:v>#N/A</c:v>
                </c:pt>
                <c:pt idx="253">
                  <c:v>#N/A</c:v>
                </c:pt>
                <c:pt idx="254">
                  <c:v>#N/A</c:v>
                </c:pt>
                <c:pt idx="255">
                  <c:v>#N/A</c:v>
                </c:pt>
                <c:pt idx="256">
                  <c:v>68.23</c:v>
                </c:pt>
                <c:pt idx="257">
                  <c:v>#N/A</c:v>
                </c:pt>
                <c:pt idx="258">
                  <c:v>#N/A</c:v>
                </c:pt>
                <c:pt idx="259">
                  <c:v>#N/A</c:v>
                </c:pt>
                <c:pt idx="260">
                  <c:v>#N/A</c:v>
                </c:pt>
                <c:pt idx="261">
                  <c:v>#N/A</c:v>
                </c:pt>
                <c:pt idx="262">
                  <c:v>#N/A</c:v>
                </c:pt>
                <c:pt idx="263">
                  <c:v>67.959999999999994</c:v>
                </c:pt>
                <c:pt idx="264">
                  <c:v>#N/A</c:v>
                </c:pt>
                <c:pt idx="265">
                  <c:v>#N/A</c:v>
                </c:pt>
                <c:pt idx="266">
                  <c:v>#N/A</c:v>
                </c:pt>
                <c:pt idx="267">
                  <c:v>#N/A</c:v>
                </c:pt>
                <c:pt idx="268">
                  <c:v>#N/A</c:v>
                </c:pt>
                <c:pt idx="269">
                  <c:v>#N/A</c:v>
                </c:pt>
                <c:pt idx="270">
                  <c:v>68.09</c:v>
                </c:pt>
                <c:pt idx="271">
                  <c:v>#N/A</c:v>
                </c:pt>
                <c:pt idx="272">
                  <c:v>#N/A</c:v>
                </c:pt>
                <c:pt idx="273">
                  <c:v>#N/A</c:v>
                </c:pt>
                <c:pt idx="274">
                  <c:v>#N/A</c:v>
                </c:pt>
                <c:pt idx="275">
                  <c:v>#N/A</c:v>
                </c:pt>
                <c:pt idx="276">
                  <c:v>#N/A</c:v>
                </c:pt>
                <c:pt idx="277">
                  <c:v>68.09</c:v>
                </c:pt>
                <c:pt idx="278">
                  <c:v>#N/A</c:v>
                </c:pt>
                <c:pt idx="279">
                  <c:v>#N/A</c:v>
                </c:pt>
                <c:pt idx="280">
                  <c:v>#N/A</c:v>
                </c:pt>
                <c:pt idx="281">
                  <c:v>#N/A</c:v>
                </c:pt>
                <c:pt idx="282">
                  <c:v>#N/A</c:v>
                </c:pt>
                <c:pt idx="283">
                  <c:v>#N/A</c:v>
                </c:pt>
                <c:pt idx="284">
                  <c:v>68.650000000000006</c:v>
                </c:pt>
                <c:pt idx="285">
                  <c:v>#N/A</c:v>
                </c:pt>
                <c:pt idx="286">
                  <c:v>#N/A</c:v>
                </c:pt>
                <c:pt idx="287">
                  <c:v>#N/A</c:v>
                </c:pt>
                <c:pt idx="288">
                  <c:v>#N/A</c:v>
                </c:pt>
                <c:pt idx="289">
                  <c:v>#N/A</c:v>
                </c:pt>
                <c:pt idx="290">
                  <c:v>#N/A</c:v>
                </c:pt>
                <c:pt idx="291">
                  <c:v>68.37</c:v>
                </c:pt>
                <c:pt idx="292">
                  <c:v>#N/A</c:v>
                </c:pt>
                <c:pt idx="293">
                  <c:v>#N/A</c:v>
                </c:pt>
                <c:pt idx="294">
                  <c:v>#N/A</c:v>
                </c:pt>
                <c:pt idx="295">
                  <c:v>#N/A</c:v>
                </c:pt>
                <c:pt idx="296">
                  <c:v>#N/A</c:v>
                </c:pt>
                <c:pt idx="297">
                  <c:v>#N/A</c:v>
                </c:pt>
                <c:pt idx="298">
                  <c:v>68.23</c:v>
                </c:pt>
                <c:pt idx="299">
                  <c:v>#N/A</c:v>
                </c:pt>
                <c:pt idx="300">
                  <c:v>#N/A</c:v>
                </c:pt>
                <c:pt idx="301">
                  <c:v>#N/A</c:v>
                </c:pt>
                <c:pt idx="302">
                  <c:v>#N/A</c:v>
                </c:pt>
                <c:pt idx="303">
                  <c:v>#N/A</c:v>
                </c:pt>
                <c:pt idx="304">
                  <c:v>#N/A</c:v>
                </c:pt>
                <c:pt idx="305">
                  <c:v>67.540000000000006</c:v>
                </c:pt>
                <c:pt idx="306">
                  <c:v>#N/A</c:v>
                </c:pt>
                <c:pt idx="307">
                  <c:v>#N/A</c:v>
                </c:pt>
                <c:pt idx="308">
                  <c:v>#N/A</c:v>
                </c:pt>
                <c:pt idx="309">
                  <c:v>#N/A</c:v>
                </c:pt>
                <c:pt idx="310">
                  <c:v>#N/A</c:v>
                </c:pt>
                <c:pt idx="311">
                  <c:v>#N/A</c:v>
                </c:pt>
                <c:pt idx="312">
                  <c:v>67.680000000000007</c:v>
                </c:pt>
                <c:pt idx="313">
                  <c:v>#N/A</c:v>
                </c:pt>
                <c:pt idx="314">
                  <c:v>#N/A</c:v>
                </c:pt>
                <c:pt idx="315">
                  <c:v>#N/A</c:v>
                </c:pt>
                <c:pt idx="316">
                  <c:v>#N/A</c:v>
                </c:pt>
                <c:pt idx="317">
                  <c:v>#N/A</c:v>
                </c:pt>
                <c:pt idx="318">
                  <c:v>#N/A</c:v>
                </c:pt>
                <c:pt idx="319">
                  <c:v>67.819999999999993</c:v>
                </c:pt>
                <c:pt idx="320">
                  <c:v>#N/A</c:v>
                </c:pt>
                <c:pt idx="321">
                  <c:v>#N/A</c:v>
                </c:pt>
                <c:pt idx="322">
                  <c:v>#N/A</c:v>
                </c:pt>
                <c:pt idx="323">
                  <c:v>#N/A</c:v>
                </c:pt>
                <c:pt idx="324">
                  <c:v>#N/A</c:v>
                </c:pt>
                <c:pt idx="325">
                  <c:v>#N/A</c:v>
                </c:pt>
                <c:pt idx="326">
                  <c:v>67.540000000000006</c:v>
                </c:pt>
                <c:pt idx="327">
                  <c:v>#N/A</c:v>
                </c:pt>
                <c:pt idx="328">
                  <c:v>#N/A</c:v>
                </c:pt>
                <c:pt idx="329">
                  <c:v>#N/A</c:v>
                </c:pt>
                <c:pt idx="330">
                  <c:v>#N/A</c:v>
                </c:pt>
                <c:pt idx="331">
                  <c:v>#N/A</c:v>
                </c:pt>
                <c:pt idx="332">
                  <c:v>#N/A</c:v>
                </c:pt>
                <c:pt idx="333">
                  <c:v>66.709999999999994</c:v>
                </c:pt>
                <c:pt idx="334">
                  <c:v>#N/A</c:v>
                </c:pt>
                <c:pt idx="335">
                  <c:v>#N/A</c:v>
                </c:pt>
                <c:pt idx="336">
                  <c:v>#N/A</c:v>
                </c:pt>
                <c:pt idx="337">
                  <c:v>#N/A</c:v>
                </c:pt>
                <c:pt idx="338">
                  <c:v>#N/A</c:v>
                </c:pt>
                <c:pt idx="339">
                  <c:v>#N/A</c:v>
                </c:pt>
                <c:pt idx="340">
                  <c:v>65.88</c:v>
                </c:pt>
                <c:pt idx="341">
                  <c:v>#N/A</c:v>
                </c:pt>
                <c:pt idx="342">
                  <c:v>#N/A</c:v>
                </c:pt>
                <c:pt idx="343">
                  <c:v>#N/A</c:v>
                </c:pt>
                <c:pt idx="344">
                  <c:v>#N/A</c:v>
                </c:pt>
                <c:pt idx="345">
                  <c:v>#N/A</c:v>
                </c:pt>
                <c:pt idx="346">
                  <c:v>#N/A</c:v>
                </c:pt>
                <c:pt idx="347">
                  <c:v>65.75</c:v>
                </c:pt>
                <c:pt idx="348">
                  <c:v>#N/A</c:v>
                </c:pt>
                <c:pt idx="349">
                  <c:v>#N/A</c:v>
                </c:pt>
                <c:pt idx="350">
                  <c:v>#N/A</c:v>
                </c:pt>
                <c:pt idx="351">
                  <c:v>#N/A</c:v>
                </c:pt>
                <c:pt idx="352">
                  <c:v>#N/A</c:v>
                </c:pt>
                <c:pt idx="353">
                  <c:v>#N/A</c:v>
                </c:pt>
                <c:pt idx="354">
                  <c:v>65.06</c:v>
                </c:pt>
                <c:pt idx="355">
                  <c:v>#N/A</c:v>
                </c:pt>
                <c:pt idx="356">
                  <c:v>#N/A</c:v>
                </c:pt>
                <c:pt idx="357">
                  <c:v>#N/A</c:v>
                </c:pt>
                <c:pt idx="358">
                  <c:v>#N/A</c:v>
                </c:pt>
                <c:pt idx="359">
                  <c:v>#N/A</c:v>
                </c:pt>
                <c:pt idx="360">
                  <c:v>#N/A</c:v>
                </c:pt>
                <c:pt idx="361">
                  <c:v>64.92</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1B61-405E-B422-D7A57FDA5907}"/>
            </c:ext>
          </c:extLst>
        </c:ser>
        <c:ser>
          <c:idx val="2"/>
          <c:order val="1"/>
          <c:tx>
            <c:strRef>
              <c:f>高炉!$I$1</c:f>
              <c:strCache>
                <c:ptCount val="1"/>
                <c:pt idx="0">
                  <c:v>2019</c:v>
                </c:pt>
              </c:strCache>
            </c:strRef>
          </c:tx>
          <c:spPr>
            <a:ln w="28575">
              <a:solidFill>
                <a:srgbClr val="F8CBAD"/>
              </a:solidFill>
              <a:prstDash val="solid"/>
            </a:ln>
          </c:spPr>
          <c:marker>
            <c:symbol val="none"/>
          </c:marker>
          <c:cat>
            <c:numRef>
              <c:f>高炉!$G$2:$G$366</c:f>
              <c:numCache>
                <c:formatCode>m/d/yyyy</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高炉!$I$2:$I$366</c:f>
              <c:numCache>
                <c:formatCode>General</c:formatCode>
                <c:ptCount val="365"/>
                <c:pt idx="0">
                  <c:v>#N/A</c:v>
                </c:pt>
                <c:pt idx="1">
                  <c:v>#N/A</c:v>
                </c:pt>
                <c:pt idx="2">
                  <c:v>#N/A</c:v>
                </c:pt>
                <c:pt idx="3">
                  <c:v>64.23</c:v>
                </c:pt>
                <c:pt idx="4">
                  <c:v>#N/A</c:v>
                </c:pt>
                <c:pt idx="5">
                  <c:v>#N/A</c:v>
                </c:pt>
                <c:pt idx="6">
                  <c:v>#N/A</c:v>
                </c:pt>
                <c:pt idx="7">
                  <c:v>#N/A</c:v>
                </c:pt>
                <c:pt idx="8">
                  <c:v>#N/A</c:v>
                </c:pt>
                <c:pt idx="9">
                  <c:v>#N/A</c:v>
                </c:pt>
                <c:pt idx="10">
                  <c:v>64.36</c:v>
                </c:pt>
                <c:pt idx="11">
                  <c:v>#N/A</c:v>
                </c:pt>
                <c:pt idx="12">
                  <c:v>#N/A</c:v>
                </c:pt>
                <c:pt idx="13">
                  <c:v>#N/A</c:v>
                </c:pt>
                <c:pt idx="14">
                  <c:v>#N/A</c:v>
                </c:pt>
                <c:pt idx="15">
                  <c:v>#N/A</c:v>
                </c:pt>
                <c:pt idx="16">
                  <c:v>#N/A</c:v>
                </c:pt>
                <c:pt idx="17">
                  <c:v>64.92</c:v>
                </c:pt>
                <c:pt idx="18">
                  <c:v>#N/A</c:v>
                </c:pt>
                <c:pt idx="19">
                  <c:v>#N/A</c:v>
                </c:pt>
                <c:pt idx="20">
                  <c:v>#N/A</c:v>
                </c:pt>
                <c:pt idx="21">
                  <c:v>#N/A</c:v>
                </c:pt>
                <c:pt idx="22">
                  <c:v>#N/A</c:v>
                </c:pt>
                <c:pt idx="23">
                  <c:v>#N/A</c:v>
                </c:pt>
                <c:pt idx="24">
                  <c:v>65.47</c:v>
                </c:pt>
                <c:pt idx="25">
                  <c:v>#N/A</c:v>
                </c:pt>
                <c:pt idx="26">
                  <c:v>#N/A</c:v>
                </c:pt>
                <c:pt idx="27">
                  <c:v>#N/A</c:v>
                </c:pt>
                <c:pt idx="28">
                  <c:v>#N/A</c:v>
                </c:pt>
                <c:pt idx="29">
                  <c:v>#N/A</c:v>
                </c:pt>
                <c:pt idx="30">
                  <c:v>#N/A</c:v>
                </c:pt>
                <c:pt idx="31">
                  <c:v>65.75</c:v>
                </c:pt>
                <c:pt idx="32">
                  <c:v>#N/A</c:v>
                </c:pt>
                <c:pt idx="33">
                  <c:v>#N/A</c:v>
                </c:pt>
                <c:pt idx="34">
                  <c:v>#N/A</c:v>
                </c:pt>
                <c:pt idx="35">
                  <c:v>#N/A</c:v>
                </c:pt>
                <c:pt idx="36">
                  <c:v>#N/A</c:v>
                </c:pt>
                <c:pt idx="37">
                  <c:v>#N/A</c:v>
                </c:pt>
                <c:pt idx="38">
                  <c:v>#N/A</c:v>
                </c:pt>
                <c:pt idx="39">
                  <c:v>#N/A</c:v>
                </c:pt>
                <c:pt idx="40">
                  <c:v>#N/A</c:v>
                </c:pt>
                <c:pt idx="41">
                  <c:v>65.75</c:v>
                </c:pt>
                <c:pt idx="42">
                  <c:v>#N/A</c:v>
                </c:pt>
                <c:pt idx="43">
                  <c:v>#N/A</c:v>
                </c:pt>
                <c:pt idx="44">
                  <c:v>#N/A</c:v>
                </c:pt>
                <c:pt idx="45">
                  <c:v>65.61</c:v>
                </c:pt>
                <c:pt idx="46">
                  <c:v>#N/A</c:v>
                </c:pt>
                <c:pt idx="47">
                  <c:v>#N/A</c:v>
                </c:pt>
                <c:pt idx="48">
                  <c:v>#N/A</c:v>
                </c:pt>
                <c:pt idx="49">
                  <c:v>#N/A</c:v>
                </c:pt>
                <c:pt idx="50">
                  <c:v>#N/A</c:v>
                </c:pt>
                <c:pt idx="51">
                  <c:v>#N/A</c:v>
                </c:pt>
                <c:pt idx="52">
                  <c:v>65.75</c:v>
                </c:pt>
                <c:pt idx="53">
                  <c:v>#N/A</c:v>
                </c:pt>
                <c:pt idx="54">
                  <c:v>#N/A</c:v>
                </c:pt>
                <c:pt idx="55">
                  <c:v>#N/A</c:v>
                </c:pt>
                <c:pt idx="56">
                  <c:v>#N/A</c:v>
                </c:pt>
                <c:pt idx="57">
                  <c:v>#N/A</c:v>
                </c:pt>
                <c:pt idx="58">
                  <c:v>#N/A</c:v>
                </c:pt>
                <c:pt idx="59">
                  <c:v>65.75</c:v>
                </c:pt>
                <c:pt idx="60">
                  <c:v>#N/A</c:v>
                </c:pt>
                <c:pt idx="61">
                  <c:v>#N/A</c:v>
                </c:pt>
                <c:pt idx="62">
                  <c:v>#N/A</c:v>
                </c:pt>
                <c:pt idx="63">
                  <c:v>#N/A</c:v>
                </c:pt>
                <c:pt idx="64">
                  <c:v>#N/A</c:v>
                </c:pt>
                <c:pt idx="65">
                  <c:v>#N/A</c:v>
                </c:pt>
                <c:pt idx="66">
                  <c:v>62.98</c:v>
                </c:pt>
                <c:pt idx="67">
                  <c:v>#N/A</c:v>
                </c:pt>
                <c:pt idx="68">
                  <c:v>#N/A</c:v>
                </c:pt>
                <c:pt idx="69">
                  <c:v>#N/A</c:v>
                </c:pt>
                <c:pt idx="70">
                  <c:v>#N/A</c:v>
                </c:pt>
                <c:pt idx="71">
                  <c:v>#N/A</c:v>
                </c:pt>
                <c:pt idx="72">
                  <c:v>#N/A</c:v>
                </c:pt>
                <c:pt idx="73">
                  <c:v>62.29</c:v>
                </c:pt>
                <c:pt idx="74">
                  <c:v>#N/A</c:v>
                </c:pt>
                <c:pt idx="75">
                  <c:v>#N/A</c:v>
                </c:pt>
                <c:pt idx="76">
                  <c:v>#N/A</c:v>
                </c:pt>
                <c:pt idx="77">
                  <c:v>#N/A</c:v>
                </c:pt>
                <c:pt idx="78">
                  <c:v>#N/A</c:v>
                </c:pt>
                <c:pt idx="79">
                  <c:v>#N/A</c:v>
                </c:pt>
                <c:pt idx="80">
                  <c:v>63.4</c:v>
                </c:pt>
                <c:pt idx="81">
                  <c:v>#N/A</c:v>
                </c:pt>
                <c:pt idx="82">
                  <c:v>#N/A</c:v>
                </c:pt>
                <c:pt idx="83">
                  <c:v>#N/A</c:v>
                </c:pt>
                <c:pt idx="84">
                  <c:v>#N/A</c:v>
                </c:pt>
                <c:pt idx="85">
                  <c:v>#N/A</c:v>
                </c:pt>
                <c:pt idx="86">
                  <c:v>#N/A</c:v>
                </c:pt>
                <c:pt idx="87">
                  <c:v>64.64</c:v>
                </c:pt>
                <c:pt idx="88">
                  <c:v>#N/A</c:v>
                </c:pt>
                <c:pt idx="89">
                  <c:v>#N/A</c:v>
                </c:pt>
                <c:pt idx="90">
                  <c:v>#N/A</c:v>
                </c:pt>
                <c:pt idx="91">
                  <c:v>#N/A</c:v>
                </c:pt>
                <c:pt idx="92">
                  <c:v>#N/A</c:v>
                </c:pt>
                <c:pt idx="93">
                  <c:v>67.680000000000007</c:v>
                </c:pt>
                <c:pt idx="94">
                  <c:v>#N/A</c:v>
                </c:pt>
                <c:pt idx="95">
                  <c:v>#N/A</c:v>
                </c:pt>
                <c:pt idx="96">
                  <c:v>#N/A</c:v>
                </c:pt>
                <c:pt idx="97">
                  <c:v>#N/A</c:v>
                </c:pt>
                <c:pt idx="98">
                  <c:v>#N/A</c:v>
                </c:pt>
                <c:pt idx="99">
                  <c:v>#N/A</c:v>
                </c:pt>
                <c:pt idx="100">
                  <c:v>#N/A</c:v>
                </c:pt>
                <c:pt idx="101">
                  <c:v>69.48</c:v>
                </c:pt>
                <c:pt idx="102">
                  <c:v>#N/A</c:v>
                </c:pt>
                <c:pt idx="103">
                  <c:v>#N/A</c:v>
                </c:pt>
                <c:pt idx="104">
                  <c:v>#N/A</c:v>
                </c:pt>
                <c:pt idx="105">
                  <c:v>#N/A</c:v>
                </c:pt>
                <c:pt idx="106">
                  <c:v>#N/A</c:v>
                </c:pt>
                <c:pt idx="107">
                  <c:v>#N/A</c:v>
                </c:pt>
                <c:pt idx="108">
                  <c:v>70.03</c:v>
                </c:pt>
                <c:pt idx="109">
                  <c:v>#N/A</c:v>
                </c:pt>
                <c:pt idx="110">
                  <c:v>#N/A</c:v>
                </c:pt>
                <c:pt idx="111">
                  <c:v>#N/A</c:v>
                </c:pt>
                <c:pt idx="112">
                  <c:v>#N/A</c:v>
                </c:pt>
                <c:pt idx="113">
                  <c:v>#N/A</c:v>
                </c:pt>
                <c:pt idx="114">
                  <c:v>#N/A</c:v>
                </c:pt>
                <c:pt idx="115">
                  <c:v>70.58</c:v>
                </c:pt>
                <c:pt idx="116">
                  <c:v>#N/A</c:v>
                </c:pt>
                <c:pt idx="117">
                  <c:v>#N/A</c:v>
                </c:pt>
                <c:pt idx="118">
                  <c:v>#N/A</c:v>
                </c:pt>
                <c:pt idx="119">
                  <c:v>#N/A</c:v>
                </c:pt>
                <c:pt idx="120">
                  <c:v>#N/A</c:v>
                </c:pt>
                <c:pt idx="121">
                  <c:v>#N/A</c:v>
                </c:pt>
                <c:pt idx="122">
                  <c:v>#N/A</c:v>
                </c:pt>
                <c:pt idx="123">
                  <c:v>#N/A</c:v>
                </c:pt>
                <c:pt idx="124">
                  <c:v>70.58</c:v>
                </c:pt>
                <c:pt idx="125">
                  <c:v>#N/A</c:v>
                </c:pt>
                <c:pt idx="126">
                  <c:v>#N/A</c:v>
                </c:pt>
                <c:pt idx="127">
                  <c:v>#N/A</c:v>
                </c:pt>
                <c:pt idx="128">
                  <c:v>#N/A</c:v>
                </c:pt>
                <c:pt idx="129">
                  <c:v>68.78</c:v>
                </c:pt>
                <c:pt idx="130">
                  <c:v>#N/A</c:v>
                </c:pt>
                <c:pt idx="131">
                  <c:v>#N/A</c:v>
                </c:pt>
                <c:pt idx="132">
                  <c:v>#N/A</c:v>
                </c:pt>
                <c:pt idx="133">
                  <c:v>#N/A</c:v>
                </c:pt>
                <c:pt idx="134">
                  <c:v>#N/A</c:v>
                </c:pt>
                <c:pt idx="135">
                  <c:v>#N/A</c:v>
                </c:pt>
                <c:pt idx="136">
                  <c:v>69.06</c:v>
                </c:pt>
                <c:pt idx="137">
                  <c:v>#N/A</c:v>
                </c:pt>
                <c:pt idx="138">
                  <c:v>#N/A</c:v>
                </c:pt>
                <c:pt idx="139">
                  <c:v>#N/A</c:v>
                </c:pt>
                <c:pt idx="140">
                  <c:v>#N/A</c:v>
                </c:pt>
                <c:pt idx="141">
                  <c:v>#N/A</c:v>
                </c:pt>
                <c:pt idx="142">
                  <c:v>#N/A</c:v>
                </c:pt>
                <c:pt idx="143">
                  <c:v>71.13</c:v>
                </c:pt>
                <c:pt idx="144">
                  <c:v>#N/A</c:v>
                </c:pt>
                <c:pt idx="145">
                  <c:v>#N/A</c:v>
                </c:pt>
                <c:pt idx="146">
                  <c:v>#N/A</c:v>
                </c:pt>
                <c:pt idx="147">
                  <c:v>#N/A</c:v>
                </c:pt>
                <c:pt idx="148">
                  <c:v>#N/A</c:v>
                </c:pt>
                <c:pt idx="149">
                  <c:v>#N/A</c:v>
                </c:pt>
                <c:pt idx="150">
                  <c:v>71.69</c:v>
                </c:pt>
                <c:pt idx="151">
                  <c:v>#N/A</c:v>
                </c:pt>
                <c:pt idx="152">
                  <c:v>#N/A</c:v>
                </c:pt>
                <c:pt idx="153">
                  <c:v>#N/A</c:v>
                </c:pt>
                <c:pt idx="154">
                  <c:v>#N/A</c:v>
                </c:pt>
                <c:pt idx="155">
                  <c:v>#N/A</c:v>
                </c:pt>
                <c:pt idx="156">
                  <c:v>71.41</c:v>
                </c:pt>
                <c:pt idx="157">
                  <c:v>#N/A</c:v>
                </c:pt>
                <c:pt idx="158">
                  <c:v>#N/A</c:v>
                </c:pt>
                <c:pt idx="159">
                  <c:v>#N/A</c:v>
                </c:pt>
                <c:pt idx="160">
                  <c:v>#N/A</c:v>
                </c:pt>
                <c:pt idx="161">
                  <c:v>#N/A</c:v>
                </c:pt>
                <c:pt idx="162">
                  <c:v>#N/A</c:v>
                </c:pt>
                <c:pt idx="163">
                  <c:v>#N/A</c:v>
                </c:pt>
                <c:pt idx="164">
                  <c:v>71.13</c:v>
                </c:pt>
                <c:pt idx="165">
                  <c:v>#N/A</c:v>
                </c:pt>
                <c:pt idx="166">
                  <c:v>#N/A</c:v>
                </c:pt>
                <c:pt idx="167">
                  <c:v>#N/A</c:v>
                </c:pt>
                <c:pt idx="168">
                  <c:v>#N/A</c:v>
                </c:pt>
                <c:pt idx="169">
                  <c:v>#N/A</c:v>
                </c:pt>
                <c:pt idx="170">
                  <c:v>#N/A</c:v>
                </c:pt>
                <c:pt idx="171">
                  <c:v>71.13</c:v>
                </c:pt>
                <c:pt idx="172">
                  <c:v>#N/A</c:v>
                </c:pt>
                <c:pt idx="173">
                  <c:v>#N/A</c:v>
                </c:pt>
                <c:pt idx="174">
                  <c:v>#N/A</c:v>
                </c:pt>
                <c:pt idx="175">
                  <c:v>#N/A</c:v>
                </c:pt>
                <c:pt idx="176">
                  <c:v>#N/A</c:v>
                </c:pt>
                <c:pt idx="177">
                  <c:v>#N/A</c:v>
                </c:pt>
                <c:pt idx="178">
                  <c:v>67.959999999999994</c:v>
                </c:pt>
                <c:pt idx="179">
                  <c:v>#N/A</c:v>
                </c:pt>
                <c:pt idx="180">
                  <c:v>#N/A</c:v>
                </c:pt>
                <c:pt idx="181">
                  <c:v>#N/A</c:v>
                </c:pt>
                <c:pt idx="182">
                  <c:v>#N/A</c:v>
                </c:pt>
                <c:pt idx="183">
                  <c:v>#N/A</c:v>
                </c:pt>
                <c:pt idx="184">
                  <c:v>#N/A</c:v>
                </c:pt>
                <c:pt idx="185">
                  <c:v>66.3</c:v>
                </c:pt>
                <c:pt idx="186">
                  <c:v>#N/A</c:v>
                </c:pt>
                <c:pt idx="187">
                  <c:v>#N/A</c:v>
                </c:pt>
                <c:pt idx="188">
                  <c:v>#N/A</c:v>
                </c:pt>
                <c:pt idx="189">
                  <c:v>#N/A</c:v>
                </c:pt>
                <c:pt idx="190">
                  <c:v>#N/A</c:v>
                </c:pt>
                <c:pt idx="191">
                  <c:v>#N/A</c:v>
                </c:pt>
                <c:pt idx="192">
                  <c:v>66.02</c:v>
                </c:pt>
                <c:pt idx="193">
                  <c:v>#N/A</c:v>
                </c:pt>
                <c:pt idx="194">
                  <c:v>#N/A</c:v>
                </c:pt>
                <c:pt idx="195">
                  <c:v>#N/A</c:v>
                </c:pt>
                <c:pt idx="196">
                  <c:v>#N/A</c:v>
                </c:pt>
                <c:pt idx="197">
                  <c:v>#N/A</c:v>
                </c:pt>
                <c:pt idx="198">
                  <c:v>#N/A</c:v>
                </c:pt>
                <c:pt idx="199">
                  <c:v>66.709999999999994</c:v>
                </c:pt>
                <c:pt idx="200">
                  <c:v>#N/A</c:v>
                </c:pt>
                <c:pt idx="201">
                  <c:v>#N/A</c:v>
                </c:pt>
                <c:pt idx="202">
                  <c:v>#N/A</c:v>
                </c:pt>
                <c:pt idx="203">
                  <c:v>#N/A</c:v>
                </c:pt>
                <c:pt idx="204">
                  <c:v>#N/A</c:v>
                </c:pt>
                <c:pt idx="205">
                  <c:v>#N/A</c:v>
                </c:pt>
                <c:pt idx="206">
                  <c:v>66.709999999999994</c:v>
                </c:pt>
                <c:pt idx="207">
                  <c:v>#N/A</c:v>
                </c:pt>
                <c:pt idx="208">
                  <c:v>#N/A</c:v>
                </c:pt>
                <c:pt idx="209">
                  <c:v>#N/A</c:v>
                </c:pt>
                <c:pt idx="210">
                  <c:v>#N/A</c:v>
                </c:pt>
                <c:pt idx="211">
                  <c:v>#N/A</c:v>
                </c:pt>
                <c:pt idx="212">
                  <c:v>#N/A</c:v>
                </c:pt>
                <c:pt idx="213">
                  <c:v>67.27</c:v>
                </c:pt>
                <c:pt idx="214">
                  <c:v>#N/A</c:v>
                </c:pt>
                <c:pt idx="215">
                  <c:v>#N/A</c:v>
                </c:pt>
                <c:pt idx="216">
                  <c:v>#N/A</c:v>
                </c:pt>
                <c:pt idx="217">
                  <c:v>#N/A</c:v>
                </c:pt>
                <c:pt idx="218">
                  <c:v>#N/A</c:v>
                </c:pt>
                <c:pt idx="219">
                  <c:v>#N/A</c:v>
                </c:pt>
                <c:pt idx="220">
                  <c:v>69.48</c:v>
                </c:pt>
                <c:pt idx="221">
                  <c:v>#N/A</c:v>
                </c:pt>
                <c:pt idx="222">
                  <c:v>#N/A</c:v>
                </c:pt>
                <c:pt idx="223">
                  <c:v>#N/A</c:v>
                </c:pt>
                <c:pt idx="224">
                  <c:v>#N/A</c:v>
                </c:pt>
                <c:pt idx="225">
                  <c:v>#N/A</c:v>
                </c:pt>
                <c:pt idx="226">
                  <c:v>#N/A</c:v>
                </c:pt>
                <c:pt idx="227">
                  <c:v>68.09</c:v>
                </c:pt>
                <c:pt idx="228">
                  <c:v>#N/A</c:v>
                </c:pt>
                <c:pt idx="229">
                  <c:v>#N/A</c:v>
                </c:pt>
                <c:pt idx="230">
                  <c:v>#N/A</c:v>
                </c:pt>
                <c:pt idx="231">
                  <c:v>#N/A</c:v>
                </c:pt>
                <c:pt idx="232">
                  <c:v>#N/A</c:v>
                </c:pt>
                <c:pt idx="233">
                  <c:v>#N/A</c:v>
                </c:pt>
                <c:pt idx="234">
                  <c:v>68.23</c:v>
                </c:pt>
                <c:pt idx="235">
                  <c:v>#N/A</c:v>
                </c:pt>
                <c:pt idx="236">
                  <c:v>#N/A</c:v>
                </c:pt>
                <c:pt idx="237">
                  <c:v>#N/A</c:v>
                </c:pt>
                <c:pt idx="238">
                  <c:v>#N/A</c:v>
                </c:pt>
                <c:pt idx="239">
                  <c:v>#N/A</c:v>
                </c:pt>
                <c:pt idx="240">
                  <c:v>#N/A</c:v>
                </c:pt>
                <c:pt idx="241">
                  <c:v>67.959999999999994</c:v>
                </c:pt>
                <c:pt idx="242">
                  <c:v>#N/A</c:v>
                </c:pt>
                <c:pt idx="243">
                  <c:v>#N/A</c:v>
                </c:pt>
                <c:pt idx="244">
                  <c:v>#N/A</c:v>
                </c:pt>
                <c:pt idx="245">
                  <c:v>#N/A</c:v>
                </c:pt>
                <c:pt idx="246">
                  <c:v>#N/A</c:v>
                </c:pt>
                <c:pt idx="247">
                  <c:v>#N/A</c:v>
                </c:pt>
                <c:pt idx="248">
                  <c:v>68.23</c:v>
                </c:pt>
                <c:pt idx="249">
                  <c:v>#N/A</c:v>
                </c:pt>
                <c:pt idx="250">
                  <c:v>#N/A</c:v>
                </c:pt>
                <c:pt idx="251">
                  <c:v>#N/A</c:v>
                </c:pt>
                <c:pt idx="252">
                  <c:v>#N/A</c:v>
                </c:pt>
                <c:pt idx="253">
                  <c:v>#N/A</c:v>
                </c:pt>
                <c:pt idx="254">
                  <c:v>68.09</c:v>
                </c:pt>
                <c:pt idx="255">
                  <c:v>#N/A</c:v>
                </c:pt>
                <c:pt idx="256">
                  <c:v>#N/A</c:v>
                </c:pt>
                <c:pt idx="257">
                  <c:v>#N/A</c:v>
                </c:pt>
                <c:pt idx="258">
                  <c:v>#N/A</c:v>
                </c:pt>
                <c:pt idx="259">
                  <c:v>#N/A</c:v>
                </c:pt>
                <c:pt idx="260">
                  <c:v>#N/A</c:v>
                </c:pt>
                <c:pt idx="261">
                  <c:v>#N/A</c:v>
                </c:pt>
                <c:pt idx="262">
                  <c:v>68.09</c:v>
                </c:pt>
                <c:pt idx="263">
                  <c:v>#N/A</c:v>
                </c:pt>
                <c:pt idx="264">
                  <c:v>#N/A</c:v>
                </c:pt>
                <c:pt idx="265">
                  <c:v>#N/A</c:v>
                </c:pt>
                <c:pt idx="266">
                  <c:v>#N/A</c:v>
                </c:pt>
                <c:pt idx="267">
                  <c:v>#N/A</c:v>
                </c:pt>
                <c:pt idx="268">
                  <c:v>#N/A</c:v>
                </c:pt>
                <c:pt idx="269">
                  <c:v>57.6</c:v>
                </c:pt>
                <c:pt idx="270">
                  <c:v>#N/A</c:v>
                </c:pt>
                <c:pt idx="271">
                  <c:v>#N/A</c:v>
                </c:pt>
                <c:pt idx="272">
                  <c:v>#N/A</c:v>
                </c:pt>
                <c:pt idx="273">
                  <c:v>#N/A</c:v>
                </c:pt>
                <c:pt idx="274">
                  <c:v>#N/A</c:v>
                </c:pt>
                <c:pt idx="275">
                  <c:v>#N/A</c:v>
                </c:pt>
                <c:pt idx="276">
                  <c:v>56.22</c:v>
                </c:pt>
                <c:pt idx="277">
                  <c:v>#N/A</c:v>
                </c:pt>
                <c:pt idx="278">
                  <c:v>#N/A</c:v>
                </c:pt>
                <c:pt idx="279">
                  <c:v>#N/A</c:v>
                </c:pt>
                <c:pt idx="280">
                  <c:v>#N/A</c:v>
                </c:pt>
                <c:pt idx="281">
                  <c:v>#N/A</c:v>
                </c:pt>
                <c:pt idx="282">
                  <c:v>#N/A</c:v>
                </c:pt>
                <c:pt idx="283">
                  <c:v>64.36</c:v>
                </c:pt>
                <c:pt idx="284">
                  <c:v>#N/A</c:v>
                </c:pt>
                <c:pt idx="285">
                  <c:v>#N/A</c:v>
                </c:pt>
                <c:pt idx="286">
                  <c:v>#N/A</c:v>
                </c:pt>
                <c:pt idx="287">
                  <c:v>#N/A</c:v>
                </c:pt>
                <c:pt idx="288">
                  <c:v>#N/A</c:v>
                </c:pt>
                <c:pt idx="289">
                  <c:v>#N/A</c:v>
                </c:pt>
                <c:pt idx="290">
                  <c:v>63.54</c:v>
                </c:pt>
                <c:pt idx="291">
                  <c:v>#N/A</c:v>
                </c:pt>
                <c:pt idx="292">
                  <c:v>#N/A</c:v>
                </c:pt>
                <c:pt idx="293">
                  <c:v>#N/A</c:v>
                </c:pt>
                <c:pt idx="294">
                  <c:v>#N/A</c:v>
                </c:pt>
                <c:pt idx="295">
                  <c:v>#N/A</c:v>
                </c:pt>
                <c:pt idx="296">
                  <c:v>#N/A</c:v>
                </c:pt>
                <c:pt idx="297">
                  <c:v>63.54</c:v>
                </c:pt>
                <c:pt idx="298">
                  <c:v>#N/A</c:v>
                </c:pt>
                <c:pt idx="299">
                  <c:v>#N/A</c:v>
                </c:pt>
                <c:pt idx="300">
                  <c:v>#N/A</c:v>
                </c:pt>
                <c:pt idx="301">
                  <c:v>#N/A</c:v>
                </c:pt>
                <c:pt idx="302">
                  <c:v>#N/A</c:v>
                </c:pt>
                <c:pt idx="303">
                  <c:v>#N/A</c:v>
                </c:pt>
                <c:pt idx="304">
                  <c:v>64.92</c:v>
                </c:pt>
                <c:pt idx="305">
                  <c:v>#N/A</c:v>
                </c:pt>
                <c:pt idx="306">
                  <c:v>#N/A</c:v>
                </c:pt>
                <c:pt idx="307">
                  <c:v>#N/A</c:v>
                </c:pt>
                <c:pt idx="308">
                  <c:v>#N/A</c:v>
                </c:pt>
                <c:pt idx="309">
                  <c:v>#N/A</c:v>
                </c:pt>
                <c:pt idx="310">
                  <c:v>#N/A</c:v>
                </c:pt>
                <c:pt idx="311">
                  <c:v>64.23</c:v>
                </c:pt>
                <c:pt idx="312">
                  <c:v>#N/A</c:v>
                </c:pt>
                <c:pt idx="313">
                  <c:v>#N/A</c:v>
                </c:pt>
                <c:pt idx="314">
                  <c:v>#N/A</c:v>
                </c:pt>
                <c:pt idx="315">
                  <c:v>#N/A</c:v>
                </c:pt>
                <c:pt idx="316">
                  <c:v>#N/A</c:v>
                </c:pt>
                <c:pt idx="317">
                  <c:v>#N/A</c:v>
                </c:pt>
                <c:pt idx="318">
                  <c:v>66.02</c:v>
                </c:pt>
                <c:pt idx="319">
                  <c:v>#N/A</c:v>
                </c:pt>
                <c:pt idx="320">
                  <c:v>#N/A</c:v>
                </c:pt>
                <c:pt idx="321">
                  <c:v>#N/A</c:v>
                </c:pt>
                <c:pt idx="322">
                  <c:v>#N/A</c:v>
                </c:pt>
                <c:pt idx="323">
                  <c:v>#N/A</c:v>
                </c:pt>
                <c:pt idx="324">
                  <c:v>#N/A</c:v>
                </c:pt>
                <c:pt idx="325">
                  <c:v>65.33</c:v>
                </c:pt>
                <c:pt idx="326">
                  <c:v>#N/A</c:v>
                </c:pt>
                <c:pt idx="327">
                  <c:v>#N/A</c:v>
                </c:pt>
                <c:pt idx="328">
                  <c:v>#N/A</c:v>
                </c:pt>
                <c:pt idx="329">
                  <c:v>#N/A</c:v>
                </c:pt>
                <c:pt idx="330">
                  <c:v>#N/A</c:v>
                </c:pt>
                <c:pt idx="331">
                  <c:v>#N/A</c:v>
                </c:pt>
                <c:pt idx="332">
                  <c:v>65.88</c:v>
                </c:pt>
                <c:pt idx="333">
                  <c:v>#N/A</c:v>
                </c:pt>
                <c:pt idx="334">
                  <c:v>#N/A</c:v>
                </c:pt>
                <c:pt idx="335">
                  <c:v>#N/A</c:v>
                </c:pt>
                <c:pt idx="336">
                  <c:v>#N/A</c:v>
                </c:pt>
                <c:pt idx="337">
                  <c:v>#N/A</c:v>
                </c:pt>
                <c:pt idx="338">
                  <c:v>#N/A</c:v>
                </c:pt>
                <c:pt idx="339">
                  <c:v>66.849999999999994</c:v>
                </c:pt>
                <c:pt idx="340">
                  <c:v>#N/A</c:v>
                </c:pt>
                <c:pt idx="341">
                  <c:v>#N/A</c:v>
                </c:pt>
                <c:pt idx="342">
                  <c:v>#N/A</c:v>
                </c:pt>
                <c:pt idx="343">
                  <c:v>#N/A</c:v>
                </c:pt>
                <c:pt idx="344">
                  <c:v>#N/A</c:v>
                </c:pt>
                <c:pt idx="345">
                  <c:v>#N/A</c:v>
                </c:pt>
                <c:pt idx="346">
                  <c:v>65.88</c:v>
                </c:pt>
                <c:pt idx="347">
                  <c:v>#N/A</c:v>
                </c:pt>
                <c:pt idx="348">
                  <c:v>#N/A</c:v>
                </c:pt>
                <c:pt idx="349">
                  <c:v>#N/A</c:v>
                </c:pt>
                <c:pt idx="350">
                  <c:v>#N/A</c:v>
                </c:pt>
                <c:pt idx="351">
                  <c:v>#N/A</c:v>
                </c:pt>
                <c:pt idx="352">
                  <c:v>#N/A</c:v>
                </c:pt>
                <c:pt idx="353">
                  <c:v>65.75</c:v>
                </c:pt>
                <c:pt idx="354">
                  <c:v>#N/A</c:v>
                </c:pt>
                <c:pt idx="355">
                  <c:v>#N/A</c:v>
                </c:pt>
                <c:pt idx="356">
                  <c:v>#N/A</c:v>
                </c:pt>
                <c:pt idx="357">
                  <c:v>#N/A</c:v>
                </c:pt>
                <c:pt idx="358">
                  <c:v>#N/A</c:v>
                </c:pt>
                <c:pt idx="359">
                  <c:v>#N/A</c:v>
                </c:pt>
                <c:pt idx="360">
                  <c:v>65.33</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1B61-405E-B422-D7A57FDA5907}"/>
            </c:ext>
          </c:extLst>
        </c:ser>
        <c:ser>
          <c:idx val="1"/>
          <c:order val="2"/>
          <c:tx>
            <c:strRef>
              <c:f>高炉!$J$1</c:f>
              <c:strCache>
                <c:ptCount val="1"/>
                <c:pt idx="0">
                  <c:v>2020</c:v>
                </c:pt>
              </c:strCache>
            </c:strRef>
          </c:tx>
          <c:spPr>
            <a:ln w="28575">
              <a:solidFill>
                <a:srgbClr val="BF5711"/>
              </a:solidFill>
              <a:prstDash val="solid"/>
            </a:ln>
          </c:spPr>
          <c:marker>
            <c:symbol val="none"/>
          </c:marker>
          <c:cat>
            <c:numRef>
              <c:f>高炉!$G$2:$G$366</c:f>
              <c:numCache>
                <c:formatCode>m/d/yyyy</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高炉!$J$2:$J$366</c:f>
              <c:numCache>
                <c:formatCode>General</c:formatCode>
                <c:ptCount val="365"/>
                <c:pt idx="0">
                  <c:v>#N/A</c:v>
                </c:pt>
                <c:pt idx="1">
                  <c:v>#N/A</c:v>
                </c:pt>
                <c:pt idx="2">
                  <c:v>66.709999999999994</c:v>
                </c:pt>
                <c:pt idx="3">
                  <c:v>#N/A</c:v>
                </c:pt>
                <c:pt idx="4">
                  <c:v>#N/A</c:v>
                </c:pt>
                <c:pt idx="5">
                  <c:v>#N/A</c:v>
                </c:pt>
                <c:pt idx="6">
                  <c:v>#N/A</c:v>
                </c:pt>
                <c:pt idx="7">
                  <c:v>#N/A</c:v>
                </c:pt>
                <c:pt idx="8">
                  <c:v>#N/A</c:v>
                </c:pt>
                <c:pt idx="9">
                  <c:v>66.569999999999993</c:v>
                </c:pt>
                <c:pt idx="10">
                  <c:v>#N/A</c:v>
                </c:pt>
                <c:pt idx="11">
                  <c:v>#N/A</c:v>
                </c:pt>
                <c:pt idx="12">
                  <c:v>#N/A</c:v>
                </c:pt>
                <c:pt idx="13">
                  <c:v>#N/A</c:v>
                </c:pt>
                <c:pt idx="14">
                  <c:v>#N/A</c:v>
                </c:pt>
                <c:pt idx="15">
                  <c:v>#N/A</c:v>
                </c:pt>
                <c:pt idx="16">
                  <c:v>66.709999999999994</c:v>
                </c:pt>
                <c:pt idx="17">
                  <c:v>#N/A</c:v>
                </c:pt>
                <c:pt idx="18">
                  <c:v>#N/A</c:v>
                </c:pt>
                <c:pt idx="19">
                  <c:v>#N/A</c:v>
                </c:pt>
                <c:pt idx="20">
                  <c:v>#N/A</c:v>
                </c:pt>
                <c:pt idx="21">
                  <c:v>#N/A</c:v>
                </c:pt>
                <c:pt idx="22">
                  <c:v>66.849999999999994</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#N/A</c:v>
                </c:pt>
                <c:pt idx="37">
                  <c:v>64.09</c:v>
                </c:pt>
                <c:pt idx="38">
                  <c:v>#N/A</c:v>
                </c:pt>
                <c:pt idx="39">
                  <c:v>#N/A</c:v>
                </c:pt>
                <c:pt idx="40">
                  <c:v>#N/A</c:v>
                </c:pt>
                <c:pt idx="41">
                  <c:v>#N/A</c:v>
                </c:pt>
                <c:pt idx="42">
                  <c:v>#N/A</c:v>
                </c:pt>
                <c:pt idx="43">
                  <c:v>#N/A</c:v>
                </c:pt>
                <c:pt idx="44">
                  <c:v>62.71</c:v>
                </c:pt>
                <c:pt idx="45">
                  <c:v>#N/A</c:v>
                </c:pt>
                <c:pt idx="46">
                  <c:v>#N/A</c:v>
                </c:pt>
                <c:pt idx="47">
                  <c:v>#N/A</c:v>
                </c:pt>
                <c:pt idx="48">
                  <c:v>#N/A</c:v>
                </c:pt>
                <c:pt idx="49">
                  <c:v>#N/A</c:v>
                </c:pt>
                <c:pt idx="50">
                  <c:v>#N/A</c:v>
                </c:pt>
                <c:pt idx="51">
                  <c:v>61.88</c:v>
                </c:pt>
                <c:pt idx="52">
                  <c:v>#N/A</c:v>
                </c:pt>
                <c:pt idx="53">
                  <c:v>#N/A</c:v>
                </c:pt>
                <c:pt idx="54">
                  <c:v>#N/A</c:v>
                </c:pt>
                <c:pt idx="55">
                  <c:v>#N/A</c:v>
                </c:pt>
                <c:pt idx="56">
                  <c:v>#N/A</c:v>
                </c:pt>
                <c:pt idx="57">
                  <c:v>#N/A</c:v>
                </c:pt>
                <c:pt idx="58">
                  <c:v>62.85</c:v>
                </c:pt>
                <c:pt idx="59">
                  <c:v>#N/A</c:v>
                </c:pt>
                <c:pt idx="60">
                  <c:v>#N/A</c:v>
                </c:pt>
                <c:pt idx="61">
                  <c:v>#N/A</c:v>
                </c:pt>
                <c:pt idx="62">
                  <c:v>#N/A</c:v>
                </c:pt>
                <c:pt idx="63">
                  <c:v>#N/A</c:v>
                </c:pt>
                <c:pt idx="64">
                  <c:v>#N/A</c:v>
                </c:pt>
                <c:pt idx="65">
                  <c:v>63.54</c:v>
                </c:pt>
                <c:pt idx="66">
                  <c:v>#N/A</c:v>
                </c:pt>
                <c:pt idx="67">
                  <c:v>#N/A</c:v>
                </c:pt>
                <c:pt idx="68">
                  <c:v>#N/A</c:v>
                </c:pt>
                <c:pt idx="69">
                  <c:v>#N/A</c:v>
                </c:pt>
                <c:pt idx="70">
                  <c:v>#N/A</c:v>
                </c:pt>
                <c:pt idx="71">
                  <c:v>#N/A</c:v>
                </c:pt>
                <c:pt idx="72">
                  <c:v>64.5</c:v>
                </c:pt>
                <c:pt idx="73">
                  <c:v>#N/A</c:v>
                </c:pt>
                <c:pt idx="74">
                  <c:v>#N/A</c:v>
                </c:pt>
                <c:pt idx="75">
                  <c:v>#N/A</c:v>
                </c:pt>
                <c:pt idx="76">
                  <c:v>#N/A</c:v>
                </c:pt>
                <c:pt idx="77">
                  <c:v>#N/A</c:v>
                </c:pt>
                <c:pt idx="78">
                  <c:v>#N/A</c:v>
                </c:pt>
                <c:pt idx="79">
                  <c:v>65.06</c:v>
                </c:pt>
                <c:pt idx="80">
                  <c:v>#N/A</c:v>
                </c:pt>
                <c:pt idx="81">
                  <c:v>#N/A</c:v>
                </c:pt>
                <c:pt idx="82">
                  <c:v>#N/A</c:v>
                </c:pt>
                <c:pt idx="83">
                  <c:v>#N/A</c:v>
                </c:pt>
                <c:pt idx="84">
                  <c:v>#N/A</c:v>
                </c:pt>
                <c:pt idx="85">
                  <c:v>#N/A</c:v>
                </c:pt>
                <c:pt idx="86">
                  <c:v>65.88</c:v>
                </c:pt>
                <c:pt idx="87">
                  <c:v>#N/A</c:v>
                </c:pt>
                <c:pt idx="88">
                  <c:v>#N/A</c:v>
                </c:pt>
                <c:pt idx="89">
                  <c:v>#N/A</c:v>
                </c:pt>
                <c:pt idx="90">
                  <c:v>#N/A</c:v>
                </c:pt>
                <c:pt idx="91">
                  <c:v>#N/A</c:v>
                </c:pt>
                <c:pt idx="92">
                  <c:v>#N/A</c:v>
                </c:pt>
                <c:pt idx="93">
                  <c:v>66.989999999999995</c:v>
                </c:pt>
                <c:pt idx="94">
                  <c:v>#N/A</c:v>
                </c:pt>
                <c:pt idx="95">
                  <c:v>#N/A</c:v>
                </c:pt>
                <c:pt idx="96">
                  <c:v>#N/A</c:v>
                </c:pt>
                <c:pt idx="97">
                  <c:v>#N/A</c:v>
                </c:pt>
                <c:pt idx="98">
                  <c:v>#N/A</c:v>
                </c:pt>
                <c:pt idx="99">
                  <c:v>#N/A</c:v>
                </c:pt>
                <c:pt idx="100">
                  <c:v>68.09</c:v>
                </c:pt>
                <c:pt idx="101">
                  <c:v>#N/A</c:v>
                </c:pt>
                <c:pt idx="102">
                  <c:v>#N/A</c:v>
                </c:pt>
                <c:pt idx="103">
                  <c:v>#N/A</c:v>
                </c:pt>
                <c:pt idx="104">
                  <c:v>#N/A</c:v>
                </c:pt>
                <c:pt idx="105">
                  <c:v>#N/A</c:v>
                </c:pt>
                <c:pt idx="106">
                  <c:v>#N/A</c:v>
                </c:pt>
                <c:pt idx="107">
                  <c:v>68.650000000000006</c:v>
                </c:pt>
                <c:pt idx="108">
                  <c:v>#N/A</c:v>
                </c:pt>
                <c:pt idx="109">
                  <c:v>#N/A</c:v>
                </c:pt>
                <c:pt idx="110">
                  <c:v>#N/A</c:v>
                </c:pt>
                <c:pt idx="111">
                  <c:v>#N/A</c:v>
                </c:pt>
                <c:pt idx="112">
                  <c:v>#N/A</c:v>
                </c:pt>
                <c:pt idx="113">
                  <c:v>#N/A</c:v>
                </c:pt>
                <c:pt idx="114">
                  <c:v>68.650000000000006</c:v>
                </c:pt>
                <c:pt idx="115">
                  <c:v>#N/A</c:v>
                </c:pt>
                <c:pt idx="116">
                  <c:v>#N/A</c:v>
                </c:pt>
                <c:pt idx="117">
                  <c:v>#N/A</c:v>
                </c:pt>
                <c:pt idx="118">
                  <c:v>#N/A</c:v>
                </c:pt>
                <c:pt idx="119">
                  <c:v>#N/A</c:v>
                </c:pt>
                <c:pt idx="120">
                  <c:v>69.06</c:v>
                </c:pt>
                <c:pt idx="121">
                  <c:v>#N/A</c:v>
                </c:pt>
                <c:pt idx="122">
                  <c:v>#N/A</c:v>
                </c:pt>
                <c:pt idx="123">
                  <c:v>#N/A</c:v>
                </c:pt>
                <c:pt idx="124">
                  <c:v>#N/A</c:v>
                </c:pt>
                <c:pt idx="125">
                  <c:v>#N/A</c:v>
                </c:pt>
                <c:pt idx="126">
                  <c:v>#N/A</c:v>
                </c:pt>
                <c:pt idx="127">
                  <c:v>#N/A</c:v>
                </c:pt>
                <c:pt idx="128">
                  <c:v>69.06</c:v>
                </c:pt>
                <c:pt idx="129">
                  <c:v>#N/A</c:v>
                </c:pt>
                <c:pt idx="130">
                  <c:v>#N/A</c:v>
                </c:pt>
                <c:pt idx="131">
                  <c:v>#N/A</c:v>
                </c:pt>
                <c:pt idx="132">
                  <c:v>#N/A</c:v>
                </c:pt>
                <c:pt idx="133">
                  <c:v>#N/A</c:v>
                </c:pt>
                <c:pt idx="134">
                  <c:v>#N/A</c:v>
                </c:pt>
                <c:pt idx="135">
                  <c:v>70.44</c:v>
                </c:pt>
                <c:pt idx="136">
                  <c:v>#N/A</c:v>
                </c:pt>
                <c:pt idx="137">
                  <c:v>#N/A</c:v>
                </c:pt>
                <c:pt idx="138">
                  <c:v>#N/A</c:v>
                </c:pt>
                <c:pt idx="139">
                  <c:v>#N/A</c:v>
                </c:pt>
                <c:pt idx="140">
                  <c:v>#N/A</c:v>
                </c:pt>
                <c:pt idx="141">
                  <c:v>#N/A</c:v>
                </c:pt>
                <c:pt idx="142">
                  <c:v>70.44</c:v>
                </c:pt>
                <c:pt idx="143">
                  <c:v>#N/A</c:v>
                </c:pt>
                <c:pt idx="144">
                  <c:v>#N/A</c:v>
                </c:pt>
                <c:pt idx="145">
                  <c:v>#N/A</c:v>
                </c:pt>
                <c:pt idx="146">
                  <c:v>#N/A</c:v>
                </c:pt>
                <c:pt idx="147">
                  <c:v>#N/A</c:v>
                </c:pt>
                <c:pt idx="148">
                  <c:v>#N/A</c:v>
                </c:pt>
                <c:pt idx="149">
                  <c:v>70.58</c:v>
                </c:pt>
                <c:pt idx="150">
                  <c:v>#N/A</c:v>
                </c:pt>
                <c:pt idx="151">
                  <c:v>#N/A</c:v>
                </c:pt>
                <c:pt idx="152">
                  <c:v>#N/A</c:v>
                </c:pt>
                <c:pt idx="153">
                  <c:v>#N/A</c:v>
                </c:pt>
                <c:pt idx="154">
                  <c:v>#N/A</c:v>
                </c:pt>
                <c:pt idx="155">
                  <c:v>#N/A</c:v>
                </c:pt>
                <c:pt idx="156">
                  <c:v>70.44</c:v>
                </c:pt>
                <c:pt idx="157">
                  <c:v>#N/A</c:v>
                </c:pt>
                <c:pt idx="158">
                  <c:v>#N/A</c:v>
                </c:pt>
                <c:pt idx="159">
                  <c:v>#N/A</c:v>
                </c:pt>
                <c:pt idx="160">
                  <c:v>#N/A</c:v>
                </c:pt>
                <c:pt idx="161">
                  <c:v>#N/A</c:v>
                </c:pt>
                <c:pt idx="162">
                  <c:v>#N/A</c:v>
                </c:pt>
                <c:pt idx="163">
                  <c:v>70.72</c:v>
                </c:pt>
                <c:pt idx="164">
                  <c:v>#N/A</c:v>
                </c:pt>
                <c:pt idx="165">
                  <c:v>#N/A</c:v>
                </c:pt>
                <c:pt idx="166">
                  <c:v>#N/A</c:v>
                </c:pt>
                <c:pt idx="167">
                  <c:v>#N/A</c:v>
                </c:pt>
                <c:pt idx="168">
                  <c:v>#N/A</c:v>
                </c:pt>
                <c:pt idx="169">
                  <c:v>#N/A</c:v>
                </c:pt>
                <c:pt idx="170">
                  <c:v>70.03</c:v>
                </c:pt>
                <c:pt idx="171">
                  <c:v>#N/A</c:v>
                </c:pt>
                <c:pt idx="172">
                  <c:v>#N/A</c:v>
                </c:pt>
                <c:pt idx="173">
                  <c:v>#N/A</c:v>
                </c:pt>
                <c:pt idx="174">
                  <c:v>#N/A</c:v>
                </c:pt>
                <c:pt idx="175">
                  <c:v>#N/A</c:v>
                </c:pt>
                <c:pt idx="176">
                  <c:v>#N/A</c:v>
                </c:pt>
                <c:pt idx="177">
                  <c:v>70.44</c:v>
                </c:pt>
                <c:pt idx="178">
                  <c:v>#N/A</c:v>
                </c:pt>
                <c:pt idx="179">
                  <c:v>#N/A</c:v>
                </c:pt>
                <c:pt idx="180">
                  <c:v>#N/A</c:v>
                </c:pt>
                <c:pt idx="181">
                  <c:v>#N/A</c:v>
                </c:pt>
                <c:pt idx="182">
                  <c:v>#N/A</c:v>
                </c:pt>
                <c:pt idx="183">
                  <c:v>#N/A</c:v>
                </c:pt>
                <c:pt idx="184">
                  <c:v>70.44</c:v>
                </c:pt>
                <c:pt idx="185">
                  <c:v>#N/A</c:v>
                </c:pt>
                <c:pt idx="186">
                  <c:v>#N/A</c:v>
                </c:pt>
                <c:pt idx="187">
                  <c:v>#N/A</c:v>
                </c:pt>
                <c:pt idx="188">
                  <c:v>#N/A</c:v>
                </c:pt>
                <c:pt idx="189">
                  <c:v>#N/A</c:v>
                </c:pt>
                <c:pt idx="190">
                  <c:v>#N/A</c:v>
                </c:pt>
                <c:pt idx="191">
                  <c:v>70.03</c:v>
                </c:pt>
                <c:pt idx="192">
                  <c:v>#N/A</c:v>
                </c:pt>
                <c:pt idx="193">
                  <c:v>#N/A</c:v>
                </c:pt>
                <c:pt idx="194">
                  <c:v>#N/A</c:v>
                </c:pt>
                <c:pt idx="195">
                  <c:v>#N/A</c:v>
                </c:pt>
                <c:pt idx="196">
                  <c:v>#N/A</c:v>
                </c:pt>
                <c:pt idx="197">
                  <c:v>#N/A</c:v>
                </c:pt>
                <c:pt idx="198">
                  <c:v>69.89</c:v>
                </c:pt>
                <c:pt idx="199">
                  <c:v>#N/A</c:v>
                </c:pt>
                <c:pt idx="200">
                  <c:v>#N/A</c:v>
                </c:pt>
                <c:pt idx="201">
                  <c:v>#N/A</c:v>
                </c:pt>
                <c:pt idx="202">
                  <c:v>#N/A</c:v>
                </c:pt>
                <c:pt idx="203">
                  <c:v>#N/A</c:v>
                </c:pt>
                <c:pt idx="204">
                  <c:v>#N/A</c:v>
                </c:pt>
                <c:pt idx="205">
                  <c:v>70.17</c:v>
                </c:pt>
                <c:pt idx="206">
                  <c:v>#N/A</c:v>
                </c:pt>
                <c:pt idx="207">
                  <c:v>#N/A</c:v>
                </c:pt>
                <c:pt idx="208">
                  <c:v>#N/A</c:v>
                </c:pt>
                <c:pt idx="209">
                  <c:v>#N/A</c:v>
                </c:pt>
                <c:pt idx="210">
                  <c:v>#N/A</c:v>
                </c:pt>
                <c:pt idx="211">
                  <c:v>#N/A</c:v>
                </c:pt>
                <c:pt idx="212">
                  <c:v>70.3</c:v>
                </c:pt>
                <c:pt idx="213">
                  <c:v>#N/A</c:v>
                </c:pt>
                <c:pt idx="214">
                  <c:v>#N/A</c:v>
                </c:pt>
                <c:pt idx="215">
                  <c:v>#N/A</c:v>
                </c:pt>
                <c:pt idx="216">
                  <c:v>#N/A</c:v>
                </c:pt>
                <c:pt idx="217">
                  <c:v>#N/A</c:v>
                </c:pt>
                <c:pt idx="218">
                  <c:v>#N/A</c:v>
                </c:pt>
                <c:pt idx="219">
                  <c:v>70.86</c:v>
                </c:pt>
                <c:pt idx="220">
                  <c:v>#N/A</c:v>
                </c:pt>
                <c:pt idx="221">
                  <c:v>#N/A</c:v>
                </c:pt>
                <c:pt idx="222">
                  <c:v>#N/A</c:v>
                </c:pt>
                <c:pt idx="223">
                  <c:v>#N/A</c:v>
                </c:pt>
                <c:pt idx="224">
                  <c:v>#N/A</c:v>
                </c:pt>
                <c:pt idx="225">
                  <c:v>#N/A</c:v>
                </c:pt>
                <c:pt idx="226">
                  <c:v>71.27</c:v>
                </c:pt>
                <c:pt idx="227">
                  <c:v>#N/A</c:v>
                </c:pt>
                <c:pt idx="228">
                  <c:v>#N/A</c:v>
                </c:pt>
                <c:pt idx="229">
                  <c:v>#N/A</c:v>
                </c:pt>
                <c:pt idx="230">
                  <c:v>#N/A</c:v>
                </c:pt>
                <c:pt idx="231">
                  <c:v>#N/A</c:v>
                </c:pt>
                <c:pt idx="232">
                  <c:v>#N/A</c:v>
                </c:pt>
                <c:pt idx="233">
                  <c:v>71.13</c:v>
                </c:pt>
                <c:pt idx="234">
                  <c:v>#N/A</c:v>
                </c:pt>
                <c:pt idx="235">
                  <c:v>#N/A</c:v>
                </c:pt>
                <c:pt idx="236">
                  <c:v>#N/A</c:v>
                </c:pt>
                <c:pt idx="237">
                  <c:v>#N/A</c:v>
                </c:pt>
                <c:pt idx="238">
                  <c:v>#N/A</c:v>
                </c:pt>
                <c:pt idx="239">
                  <c:v>#N/A</c:v>
                </c:pt>
                <c:pt idx="240">
                  <c:v>70.989999999999995</c:v>
                </c:pt>
                <c:pt idx="241">
                  <c:v>#N/A</c:v>
                </c:pt>
                <c:pt idx="242">
                  <c:v>#N/A</c:v>
                </c:pt>
                <c:pt idx="243">
                  <c:v>#N/A</c:v>
                </c:pt>
                <c:pt idx="244">
                  <c:v>#N/A</c:v>
                </c:pt>
                <c:pt idx="245">
                  <c:v>#N/A</c:v>
                </c:pt>
                <c:pt idx="246">
                  <c:v>#N/A</c:v>
                </c:pt>
                <c:pt idx="247">
                  <c:v>70.72</c:v>
                </c:pt>
                <c:pt idx="248">
                  <c:v>#N/A</c:v>
                </c:pt>
                <c:pt idx="249">
                  <c:v>#N/A</c:v>
                </c:pt>
                <c:pt idx="250">
                  <c:v>#N/A</c:v>
                </c:pt>
                <c:pt idx="251">
                  <c:v>#N/A</c:v>
                </c:pt>
                <c:pt idx="252">
                  <c:v>#N/A</c:v>
                </c:pt>
                <c:pt idx="253">
                  <c:v>#N/A</c:v>
                </c:pt>
                <c:pt idx="254">
                  <c:v>70.17</c:v>
                </c:pt>
                <c:pt idx="255">
                  <c:v>#N/A</c:v>
                </c:pt>
                <c:pt idx="256">
                  <c:v>#N/A</c:v>
                </c:pt>
                <c:pt idx="257">
                  <c:v>#N/A</c:v>
                </c:pt>
                <c:pt idx="258">
                  <c:v>#N/A</c:v>
                </c:pt>
                <c:pt idx="259">
                  <c:v>#N/A</c:v>
                </c:pt>
                <c:pt idx="260">
                  <c:v>#N/A</c:v>
                </c:pt>
                <c:pt idx="261">
                  <c:v>69.89</c:v>
                </c:pt>
                <c:pt idx="262">
                  <c:v>#N/A</c:v>
                </c:pt>
                <c:pt idx="263">
                  <c:v>#N/A</c:v>
                </c:pt>
                <c:pt idx="264">
                  <c:v>#N/A</c:v>
                </c:pt>
                <c:pt idx="265">
                  <c:v>#N/A</c:v>
                </c:pt>
                <c:pt idx="266">
                  <c:v>#N/A</c:v>
                </c:pt>
                <c:pt idx="267">
                  <c:v>#N/A</c:v>
                </c:pt>
                <c:pt idx="268">
                  <c:v>68.650000000000006</c:v>
                </c:pt>
                <c:pt idx="269">
                  <c:v>#N/A</c:v>
                </c:pt>
                <c:pt idx="270">
                  <c:v>#N/A</c:v>
                </c:pt>
                <c:pt idx="271">
                  <c:v>#N/A</c:v>
                </c:pt>
                <c:pt idx="272">
                  <c:v>#N/A</c:v>
                </c:pt>
                <c:pt idx="273">
                  <c:v>68.09</c:v>
                </c:pt>
                <c:pt idx="274">
                  <c:v>#N/A</c:v>
                </c:pt>
                <c:pt idx="275">
                  <c:v>#N/A</c:v>
                </c:pt>
                <c:pt idx="276">
                  <c:v>#N/A</c:v>
                </c:pt>
                <c:pt idx="277">
                  <c:v>#N/A</c:v>
                </c:pt>
                <c:pt idx="278">
                  <c:v>#N/A</c:v>
                </c:pt>
                <c:pt idx="279">
                  <c:v>#N/A</c:v>
                </c:pt>
                <c:pt idx="280">
                  <c:v>#N/A</c:v>
                </c:pt>
                <c:pt idx="281">
                  <c:v>#N/A</c:v>
                </c:pt>
                <c:pt idx="282">
                  <c:v>68.78</c:v>
                </c:pt>
                <c:pt idx="283">
                  <c:v>#N/A</c:v>
                </c:pt>
                <c:pt idx="284">
                  <c:v>#N/A</c:v>
                </c:pt>
                <c:pt idx="285">
                  <c:v>#N/A</c:v>
                </c:pt>
                <c:pt idx="286">
                  <c:v>#N/A</c:v>
                </c:pt>
                <c:pt idx="287">
                  <c:v>#N/A</c:v>
                </c:pt>
                <c:pt idx="288">
                  <c:v>#N/A</c:v>
                </c:pt>
                <c:pt idx="289">
                  <c:v>68.23</c:v>
                </c:pt>
                <c:pt idx="290">
                  <c:v>#N/A</c:v>
                </c:pt>
                <c:pt idx="291">
                  <c:v>#N/A</c:v>
                </c:pt>
                <c:pt idx="292">
                  <c:v>#N/A</c:v>
                </c:pt>
                <c:pt idx="293">
                  <c:v>#N/A</c:v>
                </c:pt>
                <c:pt idx="294">
                  <c:v>#N/A</c:v>
                </c:pt>
                <c:pt idx="295">
                  <c:v>#N/A</c:v>
                </c:pt>
                <c:pt idx="296">
                  <c:v>68.37</c:v>
                </c:pt>
                <c:pt idx="297">
                  <c:v>#N/A</c:v>
                </c:pt>
                <c:pt idx="298">
                  <c:v>#N/A</c:v>
                </c:pt>
                <c:pt idx="299">
                  <c:v>#N/A</c:v>
                </c:pt>
                <c:pt idx="300">
                  <c:v>#N/A</c:v>
                </c:pt>
                <c:pt idx="301">
                  <c:v>#N/A</c:v>
                </c:pt>
                <c:pt idx="302">
                  <c:v>#N/A</c:v>
                </c:pt>
                <c:pt idx="303">
                  <c:v>67.819999999999993</c:v>
                </c:pt>
                <c:pt idx="304">
                  <c:v>#N/A</c:v>
                </c:pt>
                <c:pt idx="305">
                  <c:v>#N/A</c:v>
                </c:pt>
                <c:pt idx="306">
                  <c:v>#N/A</c:v>
                </c:pt>
                <c:pt idx="307">
                  <c:v>#N/A</c:v>
                </c:pt>
                <c:pt idx="308">
                  <c:v>#N/A</c:v>
                </c:pt>
                <c:pt idx="309">
                  <c:v>#N/A</c:v>
                </c:pt>
                <c:pt idx="310">
                  <c:v>67.13</c:v>
                </c:pt>
                <c:pt idx="311">
                  <c:v>#N/A</c:v>
                </c:pt>
                <c:pt idx="312">
                  <c:v>#N/A</c:v>
                </c:pt>
                <c:pt idx="313">
                  <c:v>#N/A</c:v>
                </c:pt>
                <c:pt idx="314">
                  <c:v>#N/A</c:v>
                </c:pt>
                <c:pt idx="315">
                  <c:v>#N/A</c:v>
                </c:pt>
                <c:pt idx="316">
                  <c:v>#N/A</c:v>
                </c:pt>
                <c:pt idx="317">
                  <c:v>67.400000000000006</c:v>
                </c:pt>
                <c:pt idx="318">
                  <c:v>#N/A</c:v>
                </c:pt>
                <c:pt idx="319">
                  <c:v>#N/A</c:v>
                </c:pt>
                <c:pt idx="320">
                  <c:v>#N/A</c:v>
                </c:pt>
                <c:pt idx="321">
                  <c:v>#N/A</c:v>
                </c:pt>
                <c:pt idx="322">
                  <c:v>#N/A</c:v>
                </c:pt>
                <c:pt idx="323">
                  <c:v>#N/A</c:v>
                </c:pt>
                <c:pt idx="324">
                  <c:v>67.27</c:v>
                </c:pt>
                <c:pt idx="325">
                  <c:v>#N/A</c:v>
                </c:pt>
                <c:pt idx="326">
                  <c:v>#N/A</c:v>
                </c:pt>
                <c:pt idx="327">
                  <c:v>#N/A</c:v>
                </c:pt>
                <c:pt idx="328">
                  <c:v>#N/A</c:v>
                </c:pt>
                <c:pt idx="329">
                  <c:v>#N/A</c:v>
                </c:pt>
                <c:pt idx="330">
                  <c:v>#N/A</c:v>
                </c:pt>
                <c:pt idx="331">
                  <c:v>67.27</c:v>
                </c:pt>
                <c:pt idx="332">
                  <c:v>#N/A</c:v>
                </c:pt>
                <c:pt idx="333">
                  <c:v>#N/A</c:v>
                </c:pt>
                <c:pt idx="334">
                  <c:v>#N/A</c:v>
                </c:pt>
                <c:pt idx="335">
                  <c:v>#N/A</c:v>
                </c:pt>
                <c:pt idx="336">
                  <c:v>#N/A</c:v>
                </c:pt>
                <c:pt idx="337">
                  <c:v>#N/A</c:v>
                </c:pt>
                <c:pt idx="338">
                  <c:v>66.849999999999994</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1B61-405E-B422-D7A57FDA5907}"/>
            </c:ext>
          </c:extLst>
        </c:ser>
        <c:dLbls>
          <c:showLegendKey val="0"/>
          <c:showVal val="0"/>
          <c:showCatName val="0"/>
          <c:showSerName val="0"/>
          <c:showPercent val="0"/>
          <c:showBubbleSize val="0"/>
        </c:dLbls>
        <c:marker val="1"/>
        <c:smooth val="0"/>
        <c:axId val="272906496"/>
        <c:axId val="272916480"/>
      </c:lineChart>
      <c:dateAx>
        <c:axId val="272906496"/>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72916480"/>
        <c:crosses val="autoZero"/>
        <c:auto val="0"/>
        <c:lblOffset val="0"/>
        <c:baseTimeUnit val="days"/>
        <c:majorUnit val="1"/>
        <c:majorTimeUnit val="months"/>
      </c:dateAx>
      <c:valAx>
        <c:axId val="272916480"/>
        <c:scaling>
          <c:orientation val="minMax"/>
          <c:min val="55"/>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72906496"/>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水泥!$H$1</c:f>
              <c:strCache>
                <c:ptCount val="1"/>
                <c:pt idx="0">
                  <c:v>2018</c:v>
                </c:pt>
              </c:strCache>
            </c:strRef>
          </c:tx>
          <c:spPr>
            <a:ln w="28575">
              <a:solidFill>
                <a:srgbClr val="E7E6E6">
                  <a:lumMod val="75000"/>
                </a:srgbClr>
              </a:solidFill>
              <a:prstDash val="soli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水泥!$H$2:$H$366</c:f>
              <c:numCache>
                <c:formatCode>General</c:formatCode>
                <c:ptCount val="365"/>
                <c:pt idx="0">
                  <c:v>#N/A</c:v>
                </c:pt>
                <c:pt idx="1">
                  <c:v>150.18</c:v>
                </c:pt>
                <c:pt idx="2">
                  <c:v>150.68</c:v>
                </c:pt>
                <c:pt idx="3">
                  <c:v>150.66999999999999</c:v>
                </c:pt>
                <c:pt idx="4">
                  <c:v>150.76</c:v>
                </c:pt>
                <c:pt idx="5">
                  <c:v>#N/A</c:v>
                </c:pt>
                <c:pt idx="6">
                  <c:v>#N/A</c:v>
                </c:pt>
                <c:pt idx="7">
                  <c:v>150.9</c:v>
                </c:pt>
                <c:pt idx="8">
                  <c:v>150.83000000000001</c:v>
                </c:pt>
                <c:pt idx="9">
                  <c:v>150.83000000000001</c:v>
                </c:pt>
                <c:pt idx="10">
                  <c:v>150.72999999999999</c:v>
                </c:pt>
                <c:pt idx="11">
                  <c:v>148.5</c:v>
                </c:pt>
                <c:pt idx="12">
                  <c:v>#N/A</c:v>
                </c:pt>
                <c:pt idx="13">
                  <c:v>#N/A</c:v>
                </c:pt>
                <c:pt idx="14">
                  <c:v>147.31</c:v>
                </c:pt>
                <c:pt idx="15">
                  <c:v>145.79</c:v>
                </c:pt>
                <c:pt idx="16">
                  <c:v>145.1</c:v>
                </c:pt>
                <c:pt idx="17">
                  <c:v>144.66</c:v>
                </c:pt>
                <c:pt idx="18">
                  <c:v>144.57</c:v>
                </c:pt>
                <c:pt idx="19">
                  <c:v>#N/A</c:v>
                </c:pt>
                <c:pt idx="20">
                  <c:v>#N/A</c:v>
                </c:pt>
                <c:pt idx="21">
                  <c:v>143.91</c:v>
                </c:pt>
                <c:pt idx="22">
                  <c:v>142.71</c:v>
                </c:pt>
                <c:pt idx="23">
                  <c:v>142.54</c:v>
                </c:pt>
                <c:pt idx="24">
                  <c:v>141.97</c:v>
                </c:pt>
                <c:pt idx="25">
                  <c:v>141.56</c:v>
                </c:pt>
                <c:pt idx="26">
                  <c:v>#N/A</c:v>
                </c:pt>
                <c:pt idx="27">
                  <c:v>#N/A</c:v>
                </c:pt>
                <c:pt idx="28">
                  <c:v>141.44999999999999</c:v>
                </c:pt>
                <c:pt idx="29">
                  <c:v>141.30000000000001</c:v>
                </c:pt>
                <c:pt idx="30">
                  <c:v>141.28</c:v>
                </c:pt>
                <c:pt idx="31">
                  <c:v>141.22999999999999</c:v>
                </c:pt>
                <c:pt idx="32">
                  <c:v>140.58000000000001</c:v>
                </c:pt>
                <c:pt idx="33">
                  <c:v>#N/A</c:v>
                </c:pt>
                <c:pt idx="34">
                  <c:v>#N/A</c:v>
                </c:pt>
                <c:pt idx="35">
                  <c:v>138.84</c:v>
                </c:pt>
                <c:pt idx="36">
                  <c:v>138.85</c:v>
                </c:pt>
                <c:pt idx="37">
                  <c:v>138.52000000000001</c:v>
                </c:pt>
                <c:pt idx="38">
                  <c:v>137.16</c:v>
                </c:pt>
                <c:pt idx="39">
                  <c:v>137.11000000000001</c:v>
                </c:pt>
                <c:pt idx="40">
                  <c:v>#N/A</c:v>
                </c:pt>
                <c:pt idx="41">
                  <c:v>#N/A</c:v>
                </c:pt>
                <c:pt idx="42">
                  <c:v>136.53</c:v>
                </c:pt>
                <c:pt idx="43">
                  <c:v>#N/A</c:v>
                </c:pt>
                <c:pt idx="44">
                  <c:v>#N/A</c:v>
                </c:pt>
                <c:pt idx="45">
                  <c:v>#N/A</c:v>
                </c:pt>
                <c:pt idx="46">
                  <c:v>#N/A</c:v>
                </c:pt>
                <c:pt idx="47">
                  <c:v>#N/A</c:v>
                </c:pt>
                <c:pt idx="48">
                  <c:v>#N/A</c:v>
                </c:pt>
                <c:pt idx="49">
                  <c:v>#N/A</c:v>
                </c:pt>
                <c:pt idx="50">
                  <c:v>#N/A</c:v>
                </c:pt>
                <c:pt idx="51">
                  <c:v>#N/A</c:v>
                </c:pt>
                <c:pt idx="52">
                  <c:v>#N/A</c:v>
                </c:pt>
                <c:pt idx="53">
                  <c:v>136.44</c:v>
                </c:pt>
                <c:pt idx="54">
                  <c:v>#N/A</c:v>
                </c:pt>
                <c:pt idx="55">
                  <c:v>#N/A</c:v>
                </c:pt>
                <c:pt idx="56">
                  <c:v>136.19</c:v>
                </c:pt>
                <c:pt idx="57">
                  <c:v>135.83000000000001</c:v>
                </c:pt>
                <c:pt idx="58">
                  <c:v>134.84</c:v>
                </c:pt>
                <c:pt idx="59">
                  <c:v>134.28</c:v>
                </c:pt>
                <c:pt idx="60">
                  <c:v>134.16999999999999</c:v>
                </c:pt>
                <c:pt idx="61">
                  <c:v>#N/A</c:v>
                </c:pt>
                <c:pt idx="62">
                  <c:v>#N/A</c:v>
                </c:pt>
                <c:pt idx="63">
                  <c:v>133.91999999999999</c:v>
                </c:pt>
                <c:pt idx="64">
                  <c:v>133.34</c:v>
                </c:pt>
                <c:pt idx="65">
                  <c:v>133.08000000000001</c:v>
                </c:pt>
                <c:pt idx="66">
                  <c:v>132.44999999999999</c:v>
                </c:pt>
                <c:pt idx="67">
                  <c:v>132.5</c:v>
                </c:pt>
                <c:pt idx="68">
                  <c:v>#N/A</c:v>
                </c:pt>
                <c:pt idx="69">
                  <c:v>#N/A</c:v>
                </c:pt>
                <c:pt idx="70">
                  <c:v>132.57</c:v>
                </c:pt>
                <c:pt idx="71">
                  <c:v>132.66</c:v>
                </c:pt>
                <c:pt idx="72">
                  <c:v>132.36000000000001</c:v>
                </c:pt>
                <c:pt idx="73">
                  <c:v>132.44999999999999</c:v>
                </c:pt>
                <c:pt idx="74">
                  <c:v>132.30000000000001</c:v>
                </c:pt>
                <c:pt idx="75">
                  <c:v>#N/A</c:v>
                </c:pt>
                <c:pt idx="76">
                  <c:v>#N/A</c:v>
                </c:pt>
                <c:pt idx="77">
                  <c:v>131.63</c:v>
                </c:pt>
                <c:pt idx="78">
                  <c:v>131.26</c:v>
                </c:pt>
                <c:pt idx="79">
                  <c:v>131.24</c:v>
                </c:pt>
                <c:pt idx="80">
                  <c:v>131.19999999999999</c:v>
                </c:pt>
                <c:pt idx="81">
                  <c:v>131.24</c:v>
                </c:pt>
                <c:pt idx="82">
                  <c:v>#N/A</c:v>
                </c:pt>
                <c:pt idx="83">
                  <c:v>#N/A</c:v>
                </c:pt>
                <c:pt idx="84">
                  <c:v>131.59</c:v>
                </c:pt>
                <c:pt idx="85">
                  <c:v>131.59</c:v>
                </c:pt>
                <c:pt idx="86">
                  <c:v>131.59</c:v>
                </c:pt>
                <c:pt idx="87">
                  <c:v>131.78</c:v>
                </c:pt>
                <c:pt idx="88">
                  <c:v>132.03</c:v>
                </c:pt>
                <c:pt idx="89">
                  <c:v>#N/A</c:v>
                </c:pt>
                <c:pt idx="90">
                  <c:v>#N/A</c:v>
                </c:pt>
                <c:pt idx="91">
                  <c:v>133.16</c:v>
                </c:pt>
                <c:pt idx="92">
                  <c:v>133.41</c:v>
                </c:pt>
                <c:pt idx="93">
                  <c:v>133.84</c:v>
                </c:pt>
                <c:pt idx="94">
                  <c:v>#N/A</c:v>
                </c:pt>
                <c:pt idx="95">
                  <c:v>#N/A</c:v>
                </c:pt>
                <c:pt idx="96">
                  <c:v>#N/A</c:v>
                </c:pt>
                <c:pt idx="97">
                  <c:v>#N/A</c:v>
                </c:pt>
                <c:pt idx="98">
                  <c:v>134.12</c:v>
                </c:pt>
                <c:pt idx="99">
                  <c:v>134.05000000000001</c:v>
                </c:pt>
                <c:pt idx="100">
                  <c:v>134.52000000000001</c:v>
                </c:pt>
                <c:pt idx="101">
                  <c:v>134.55000000000001</c:v>
                </c:pt>
                <c:pt idx="102">
                  <c:v>135.08000000000001</c:v>
                </c:pt>
                <c:pt idx="103">
                  <c:v>#N/A</c:v>
                </c:pt>
                <c:pt idx="104">
                  <c:v>#N/A</c:v>
                </c:pt>
                <c:pt idx="105">
                  <c:v>135.91</c:v>
                </c:pt>
                <c:pt idx="106">
                  <c:v>136.09</c:v>
                </c:pt>
                <c:pt idx="107">
                  <c:v>136.29</c:v>
                </c:pt>
                <c:pt idx="108">
                  <c:v>136.88</c:v>
                </c:pt>
                <c:pt idx="109">
                  <c:v>137.5</c:v>
                </c:pt>
                <c:pt idx="110">
                  <c:v>#N/A</c:v>
                </c:pt>
                <c:pt idx="111">
                  <c:v>#N/A</c:v>
                </c:pt>
                <c:pt idx="112">
                  <c:v>138.1</c:v>
                </c:pt>
                <c:pt idx="113">
                  <c:v>138.43</c:v>
                </c:pt>
                <c:pt idx="114">
                  <c:v>138.52000000000001</c:v>
                </c:pt>
                <c:pt idx="115">
                  <c:v>139.25</c:v>
                </c:pt>
                <c:pt idx="116">
                  <c:v>137.24</c:v>
                </c:pt>
                <c:pt idx="117">
                  <c:v>#N/A</c:v>
                </c:pt>
                <c:pt idx="118">
                  <c:v>#N/A</c:v>
                </c:pt>
                <c:pt idx="119">
                  <c:v>#N/A</c:v>
                </c:pt>
                <c:pt idx="120">
                  <c:v>#N/A</c:v>
                </c:pt>
                <c:pt idx="121">
                  <c:v>139.96</c:v>
                </c:pt>
                <c:pt idx="122">
                  <c:v>140.47999999999999</c:v>
                </c:pt>
                <c:pt idx="123">
                  <c:v>141.27000000000001</c:v>
                </c:pt>
                <c:pt idx="124">
                  <c:v>#N/A</c:v>
                </c:pt>
                <c:pt idx="125">
                  <c:v>#N/A</c:v>
                </c:pt>
                <c:pt idx="126">
                  <c:v>141.84</c:v>
                </c:pt>
                <c:pt idx="127">
                  <c:v>142.32</c:v>
                </c:pt>
                <c:pt idx="128">
                  <c:v>142.13</c:v>
                </c:pt>
                <c:pt idx="129">
                  <c:v>142.15</c:v>
                </c:pt>
                <c:pt idx="130">
                  <c:v>142.36000000000001</c:v>
                </c:pt>
                <c:pt idx="131">
                  <c:v>#N/A</c:v>
                </c:pt>
                <c:pt idx="132">
                  <c:v>#N/A</c:v>
                </c:pt>
                <c:pt idx="133">
                  <c:v>142.19999999999999</c:v>
                </c:pt>
                <c:pt idx="134">
                  <c:v>142.15</c:v>
                </c:pt>
                <c:pt idx="135">
                  <c:v>142.18</c:v>
                </c:pt>
                <c:pt idx="136">
                  <c:v>142.54</c:v>
                </c:pt>
                <c:pt idx="137">
                  <c:v>142.61000000000001</c:v>
                </c:pt>
                <c:pt idx="138">
                  <c:v>#N/A</c:v>
                </c:pt>
                <c:pt idx="139">
                  <c:v>#N/A</c:v>
                </c:pt>
                <c:pt idx="140">
                  <c:v>142.62</c:v>
                </c:pt>
                <c:pt idx="141">
                  <c:v>142.78</c:v>
                </c:pt>
                <c:pt idx="142">
                  <c:v>142.99</c:v>
                </c:pt>
                <c:pt idx="143">
                  <c:v>143.08000000000001</c:v>
                </c:pt>
                <c:pt idx="144">
                  <c:v>143.19</c:v>
                </c:pt>
                <c:pt idx="145">
                  <c:v>#N/A</c:v>
                </c:pt>
                <c:pt idx="146">
                  <c:v>#N/A</c:v>
                </c:pt>
                <c:pt idx="147">
                  <c:v>143.18</c:v>
                </c:pt>
                <c:pt idx="148">
                  <c:v>143.16999999999999</c:v>
                </c:pt>
                <c:pt idx="149">
                  <c:v>143.21</c:v>
                </c:pt>
                <c:pt idx="150">
                  <c:v>143.22</c:v>
                </c:pt>
                <c:pt idx="151">
                  <c:v>143.34</c:v>
                </c:pt>
                <c:pt idx="152">
                  <c:v>#N/A</c:v>
                </c:pt>
                <c:pt idx="153">
                  <c:v>#N/A</c:v>
                </c:pt>
                <c:pt idx="154">
                  <c:v>143.27000000000001</c:v>
                </c:pt>
                <c:pt idx="155">
                  <c:v>142.72</c:v>
                </c:pt>
                <c:pt idx="156">
                  <c:v>142.71</c:v>
                </c:pt>
                <c:pt idx="157">
                  <c:v>142.63999999999999</c:v>
                </c:pt>
                <c:pt idx="158">
                  <c:v>142.66999999999999</c:v>
                </c:pt>
                <c:pt idx="159">
                  <c:v>#N/A</c:v>
                </c:pt>
                <c:pt idx="160">
                  <c:v>#N/A</c:v>
                </c:pt>
                <c:pt idx="161">
                  <c:v>142.63</c:v>
                </c:pt>
                <c:pt idx="162">
                  <c:v>142.65</c:v>
                </c:pt>
                <c:pt idx="163">
                  <c:v>142.66999999999999</c:v>
                </c:pt>
                <c:pt idx="164">
                  <c:v>142.69</c:v>
                </c:pt>
                <c:pt idx="165">
                  <c:v>142.68</c:v>
                </c:pt>
                <c:pt idx="166">
                  <c:v>#N/A</c:v>
                </c:pt>
                <c:pt idx="167">
                  <c:v>#N/A</c:v>
                </c:pt>
                <c:pt idx="168">
                  <c:v>#N/A</c:v>
                </c:pt>
                <c:pt idx="169">
                  <c:v>142.52000000000001</c:v>
                </c:pt>
                <c:pt idx="170">
                  <c:v>142.53</c:v>
                </c:pt>
                <c:pt idx="171">
                  <c:v>142.51</c:v>
                </c:pt>
                <c:pt idx="172">
                  <c:v>142.56</c:v>
                </c:pt>
                <c:pt idx="173">
                  <c:v>#N/A</c:v>
                </c:pt>
                <c:pt idx="174">
                  <c:v>#N/A</c:v>
                </c:pt>
                <c:pt idx="175">
                  <c:v>142.57</c:v>
                </c:pt>
                <c:pt idx="176">
                  <c:v>142.53</c:v>
                </c:pt>
                <c:pt idx="177">
                  <c:v>142.46</c:v>
                </c:pt>
                <c:pt idx="178">
                  <c:v>141.96</c:v>
                </c:pt>
                <c:pt idx="179">
                  <c:v>141.97999999999999</c:v>
                </c:pt>
                <c:pt idx="180">
                  <c:v>#N/A</c:v>
                </c:pt>
                <c:pt idx="181">
                  <c:v>#N/A</c:v>
                </c:pt>
                <c:pt idx="182">
                  <c:v>141.72999999999999</c:v>
                </c:pt>
                <c:pt idx="183">
                  <c:v>141.63</c:v>
                </c:pt>
                <c:pt idx="184">
                  <c:v>141.44</c:v>
                </c:pt>
                <c:pt idx="185">
                  <c:v>141.30000000000001</c:v>
                </c:pt>
                <c:pt idx="186">
                  <c:v>140.9</c:v>
                </c:pt>
                <c:pt idx="187">
                  <c:v>#N/A</c:v>
                </c:pt>
                <c:pt idx="188">
                  <c:v>#N/A</c:v>
                </c:pt>
                <c:pt idx="189">
                  <c:v>140.93</c:v>
                </c:pt>
                <c:pt idx="190">
                  <c:v>140.68</c:v>
                </c:pt>
                <c:pt idx="191">
                  <c:v>140.46</c:v>
                </c:pt>
                <c:pt idx="192">
                  <c:v>140.38</c:v>
                </c:pt>
                <c:pt idx="193">
                  <c:v>140.28</c:v>
                </c:pt>
                <c:pt idx="194">
                  <c:v>#N/A</c:v>
                </c:pt>
                <c:pt idx="195">
                  <c:v>#N/A</c:v>
                </c:pt>
                <c:pt idx="196">
                  <c:v>140.13999999999999</c:v>
                </c:pt>
                <c:pt idx="197">
                  <c:v>139.96</c:v>
                </c:pt>
                <c:pt idx="198">
                  <c:v>139.72999999999999</c:v>
                </c:pt>
                <c:pt idx="199">
                  <c:v>139.77000000000001</c:v>
                </c:pt>
                <c:pt idx="200">
                  <c:v>139.63999999999999</c:v>
                </c:pt>
                <c:pt idx="201">
                  <c:v>#N/A</c:v>
                </c:pt>
                <c:pt idx="202">
                  <c:v>#N/A</c:v>
                </c:pt>
                <c:pt idx="203">
                  <c:v>139.79</c:v>
                </c:pt>
                <c:pt idx="204">
                  <c:v>139.82</c:v>
                </c:pt>
                <c:pt idx="205">
                  <c:v>139.80000000000001</c:v>
                </c:pt>
                <c:pt idx="206">
                  <c:v>139.71</c:v>
                </c:pt>
                <c:pt idx="207">
                  <c:v>139.69</c:v>
                </c:pt>
                <c:pt idx="208">
                  <c:v>#N/A</c:v>
                </c:pt>
                <c:pt idx="209">
                  <c:v>#N/A</c:v>
                </c:pt>
                <c:pt idx="210">
                  <c:v>139.69</c:v>
                </c:pt>
                <c:pt idx="211">
                  <c:v>139.58000000000001</c:v>
                </c:pt>
                <c:pt idx="212">
                  <c:v>139.38</c:v>
                </c:pt>
                <c:pt idx="213">
                  <c:v>139.35</c:v>
                </c:pt>
                <c:pt idx="214">
                  <c:v>138.99</c:v>
                </c:pt>
                <c:pt idx="215">
                  <c:v>#N/A</c:v>
                </c:pt>
                <c:pt idx="216">
                  <c:v>#N/A</c:v>
                </c:pt>
                <c:pt idx="217">
                  <c:v>138.99</c:v>
                </c:pt>
                <c:pt idx="218">
                  <c:v>138.91</c:v>
                </c:pt>
                <c:pt idx="219">
                  <c:v>138.97</c:v>
                </c:pt>
                <c:pt idx="220">
                  <c:v>139.01</c:v>
                </c:pt>
                <c:pt idx="221">
                  <c:v>139.01</c:v>
                </c:pt>
                <c:pt idx="222">
                  <c:v>#N/A</c:v>
                </c:pt>
                <c:pt idx="223">
                  <c:v>#N/A</c:v>
                </c:pt>
                <c:pt idx="224">
                  <c:v>138.99</c:v>
                </c:pt>
                <c:pt idx="225">
                  <c:v>138.97999999999999</c:v>
                </c:pt>
                <c:pt idx="226">
                  <c:v>139.32</c:v>
                </c:pt>
                <c:pt idx="227">
                  <c:v>139.31</c:v>
                </c:pt>
                <c:pt idx="228">
                  <c:v>139.36000000000001</c:v>
                </c:pt>
                <c:pt idx="229">
                  <c:v>#N/A</c:v>
                </c:pt>
                <c:pt idx="230">
                  <c:v>#N/A</c:v>
                </c:pt>
                <c:pt idx="231">
                  <c:v>139.27000000000001</c:v>
                </c:pt>
                <c:pt idx="232">
                  <c:v>139.31</c:v>
                </c:pt>
                <c:pt idx="233">
                  <c:v>139.44</c:v>
                </c:pt>
                <c:pt idx="234">
                  <c:v>139.28</c:v>
                </c:pt>
                <c:pt idx="235">
                  <c:v>139.26</c:v>
                </c:pt>
                <c:pt idx="236">
                  <c:v>#N/A</c:v>
                </c:pt>
                <c:pt idx="237">
                  <c:v>#N/A</c:v>
                </c:pt>
                <c:pt idx="238">
                  <c:v>139.91999999999999</c:v>
                </c:pt>
                <c:pt idx="239">
                  <c:v>139.97</c:v>
                </c:pt>
                <c:pt idx="240">
                  <c:v>139.96</c:v>
                </c:pt>
                <c:pt idx="241">
                  <c:v>140.16999999999999</c:v>
                </c:pt>
                <c:pt idx="242">
                  <c:v>139.99</c:v>
                </c:pt>
                <c:pt idx="243">
                  <c:v>#N/A</c:v>
                </c:pt>
                <c:pt idx="244">
                  <c:v>#N/A</c:v>
                </c:pt>
                <c:pt idx="245">
                  <c:v>141.19999999999999</c:v>
                </c:pt>
                <c:pt idx="246">
                  <c:v>141.44</c:v>
                </c:pt>
                <c:pt idx="247">
                  <c:v>142.13</c:v>
                </c:pt>
                <c:pt idx="248">
                  <c:v>142.22</c:v>
                </c:pt>
                <c:pt idx="249">
                  <c:v>142.36000000000001</c:v>
                </c:pt>
                <c:pt idx="250">
                  <c:v>#N/A</c:v>
                </c:pt>
                <c:pt idx="251">
                  <c:v>#N/A</c:v>
                </c:pt>
                <c:pt idx="252">
                  <c:v>142.38999999999999</c:v>
                </c:pt>
                <c:pt idx="253">
                  <c:v>142.43</c:v>
                </c:pt>
                <c:pt idx="254">
                  <c:v>142.4</c:v>
                </c:pt>
                <c:pt idx="255">
                  <c:v>142.57</c:v>
                </c:pt>
                <c:pt idx="256">
                  <c:v>142.72999999999999</c:v>
                </c:pt>
                <c:pt idx="257">
                  <c:v>#N/A</c:v>
                </c:pt>
                <c:pt idx="258">
                  <c:v>#N/A</c:v>
                </c:pt>
                <c:pt idx="259">
                  <c:v>142.88</c:v>
                </c:pt>
                <c:pt idx="260">
                  <c:v>143.31</c:v>
                </c:pt>
                <c:pt idx="261">
                  <c:v>143.24</c:v>
                </c:pt>
                <c:pt idx="262">
                  <c:v>143.22999999999999</c:v>
                </c:pt>
                <c:pt idx="263">
                  <c:v>143.38999999999999</c:v>
                </c:pt>
                <c:pt idx="264">
                  <c:v>#N/A</c:v>
                </c:pt>
                <c:pt idx="265">
                  <c:v>#N/A</c:v>
                </c:pt>
                <c:pt idx="266">
                  <c:v>#N/A</c:v>
                </c:pt>
                <c:pt idx="267">
                  <c:v>143.56</c:v>
                </c:pt>
                <c:pt idx="268">
                  <c:v>143.49</c:v>
                </c:pt>
                <c:pt idx="269">
                  <c:v>143.72999999999999</c:v>
                </c:pt>
                <c:pt idx="270">
                  <c:v>143.75</c:v>
                </c:pt>
                <c:pt idx="271">
                  <c:v>#N/A</c:v>
                </c:pt>
                <c:pt idx="272">
                  <c:v>#N/A</c:v>
                </c:pt>
                <c:pt idx="273">
                  <c:v>#N/A</c:v>
                </c:pt>
                <c:pt idx="274">
                  <c:v>#N/A</c:v>
                </c:pt>
                <c:pt idx="275">
                  <c:v>#N/A</c:v>
                </c:pt>
                <c:pt idx="276">
                  <c:v>#N/A</c:v>
                </c:pt>
                <c:pt idx="277">
                  <c:v>#N/A</c:v>
                </c:pt>
                <c:pt idx="278">
                  <c:v>#N/A</c:v>
                </c:pt>
                <c:pt idx="279">
                  <c:v>#N/A</c:v>
                </c:pt>
                <c:pt idx="280">
                  <c:v>144.69</c:v>
                </c:pt>
                <c:pt idx="281">
                  <c:v>144.93</c:v>
                </c:pt>
                <c:pt idx="282">
                  <c:v>145.12</c:v>
                </c:pt>
                <c:pt idx="283">
                  <c:v>145.13999999999999</c:v>
                </c:pt>
                <c:pt idx="284">
                  <c:v>144.88</c:v>
                </c:pt>
                <c:pt idx="285">
                  <c:v>#N/A</c:v>
                </c:pt>
                <c:pt idx="286">
                  <c:v>#N/A</c:v>
                </c:pt>
                <c:pt idx="287">
                  <c:v>145.71</c:v>
                </c:pt>
                <c:pt idx="288">
                  <c:v>145.86000000000001</c:v>
                </c:pt>
                <c:pt idx="289">
                  <c:v>145.99</c:v>
                </c:pt>
                <c:pt idx="290">
                  <c:v>146.4</c:v>
                </c:pt>
                <c:pt idx="291">
                  <c:v>146.49</c:v>
                </c:pt>
                <c:pt idx="292">
                  <c:v>#N/A</c:v>
                </c:pt>
                <c:pt idx="293">
                  <c:v>#N/A</c:v>
                </c:pt>
                <c:pt idx="294">
                  <c:v>147.97</c:v>
                </c:pt>
                <c:pt idx="295">
                  <c:v>148.21</c:v>
                </c:pt>
                <c:pt idx="296">
                  <c:v>148.31</c:v>
                </c:pt>
                <c:pt idx="297">
                  <c:v>148.82</c:v>
                </c:pt>
                <c:pt idx="298">
                  <c:v>148.83000000000001</c:v>
                </c:pt>
                <c:pt idx="299">
                  <c:v>#N/A</c:v>
                </c:pt>
                <c:pt idx="300">
                  <c:v>#N/A</c:v>
                </c:pt>
                <c:pt idx="301">
                  <c:v>149.24</c:v>
                </c:pt>
                <c:pt idx="302">
                  <c:v>149.29</c:v>
                </c:pt>
                <c:pt idx="303">
                  <c:v>149.47999999999999</c:v>
                </c:pt>
                <c:pt idx="304">
                  <c:v>151.63</c:v>
                </c:pt>
                <c:pt idx="305">
                  <c:v>155.09</c:v>
                </c:pt>
                <c:pt idx="306">
                  <c:v>#N/A</c:v>
                </c:pt>
                <c:pt idx="307">
                  <c:v>#N/A</c:v>
                </c:pt>
                <c:pt idx="308">
                  <c:v>155.74</c:v>
                </c:pt>
                <c:pt idx="309">
                  <c:v>155.82</c:v>
                </c:pt>
                <c:pt idx="310">
                  <c:v>156.05000000000001</c:v>
                </c:pt>
                <c:pt idx="311">
                  <c:v>156.25</c:v>
                </c:pt>
                <c:pt idx="312">
                  <c:v>156.79</c:v>
                </c:pt>
                <c:pt idx="313">
                  <c:v>#N/A</c:v>
                </c:pt>
                <c:pt idx="314">
                  <c:v>#N/A</c:v>
                </c:pt>
                <c:pt idx="315">
                  <c:v>157.08000000000001</c:v>
                </c:pt>
                <c:pt idx="316">
                  <c:v>157.19999999999999</c:v>
                </c:pt>
                <c:pt idx="317">
                  <c:v>157.22</c:v>
                </c:pt>
                <c:pt idx="318">
                  <c:v>158.04</c:v>
                </c:pt>
                <c:pt idx="319">
                  <c:v>158.47</c:v>
                </c:pt>
                <c:pt idx="320">
                  <c:v>#N/A</c:v>
                </c:pt>
                <c:pt idx="321">
                  <c:v>#N/A</c:v>
                </c:pt>
                <c:pt idx="322">
                  <c:v>159.16999999999999</c:v>
                </c:pt>
                <c:pt idx="323">
                  <c:v>159.59</c:v>
                </c:pt>
                <c:pt idx="324">
                  <c:v>160.61000000000001</c:v>
                </c:pt>
                <c:pt idx="325">
                  <c:v>160.84</c:v>
                </c:pt>
                <c:pt idx="326">
                  <c:v>160.84</c:v>
                </c:pt>
                <c:pt idx="327">
                  <c:v>#N/A</c:v>
                </c:pt>
                <c:pt idx="328">
                  <c:v>#N/A</c:v>
                </c:pt>
                <c:pt idx="329">
                  <c:v>161.01</c:v>
                </c:pt>
                <c:pt idx="330">
                  <c:v>161.01</c:v>
                </c:pt>
                <c:pt idx="331">
                  <c:v>161.25</c:v>
                </c:pt>
                <c:pt idx="332">
                  <c:v>161.35</c:v>
                </c:pt>
                <c:pt idx="333">
                  <c:v>161.37</c:v>
                </c:pt>
                <c:pt idx="334">
                  <c:v>#N/A</c:v>
                </c:pt>
                <c:pt idx="335">
                  <c:v>#N/A</c:v>
                </c:pt>
                <c:pt idx="336">
                  <c:v>161.68</c:v>
                </c:pt>
                <c:pt idx="337">
                  <c:v>162</c:v>
                </c:pt>
                <c:pt idx="338">
                  <c:v>162.09</c:v>
                </c:pt>
                <c:pt idx="339">
                  <c:v>162.41</c:v>
                </c:pt>
                <c:pt idx="340">
                  <c:v>162.44</c:v>
                </c:pt>
                <c:pt idx="341">
                  <c:v>#N/A</c:v>
                </c:pt>
                <c:pt idx="342">
                  <c:v>#N/A</c:v>
                </c:pt>
                <c:pt idx="343">
                  <c:v>162.51</c:v>
                </c:pt>
                <c:pt idx="344">
                  <c:v>162.51</c:v>
                </c:pt>
                <c:pt idx="345">
                  <c:v>161.9</c:v>
                </c:pt>
                <c:pt idx="346">
                  <c:v>161.9</c:v>
                </c:pt>
                <c:pt idx="347">
                  <c:v>161.88999999999999</c:v>
                </c:pt>
                <c:pt idx="348">
                  <c:v>#N/A</c:v>
                </c:pt>
                <c:pt idx="349">
                  <c:v>#N/A</c:v>
                </c:pt>
                <c:pt idx="350">
                  <c:v>162.35</c:v>
                </c:pt>
                <c:pt idx="351">
                  <c:v>162.36000000000001</c:v>
                </c:pt>
                <c:pt idx="352">
                  <c:v>162.31</c:v>
                </c:pt>
                <c:pt idx="353">
                  <c:v>162.32</c:v>
                </c:pt>
                <c:pt idx="354">
                  <c:v>162.30000000000001</c:v>
                </c:pt>
                <c:pt idx="355">
                  <c:v>#N/A</c:v>
                </c:pt>
                <c:pt idx="356">
                  <c:v>#N/A</c:v>
                </c:pt>
                <c:pt idx="357">
                  <c:v>162.34</c:v>
                </c:pt>
                <c:pt idx="358">
                  <c:v>162.30000000000001</c:v>
                </c:pt>
                <c:pt idx="359">
                  <c:v>162.32</c:v>
                </c:pt>
                <c:pt idx="360">
                  <c:v>162.33000000000001</c:v>
                </c:pt>
                <c:pt idx="361">
                  <c:v>162.27000000000001</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DE56-486F-81AB-A95D34284161}"/>
            </c:ext>
          </c:extLst>
        </c:ser>
        <c:ser>
          <c:idx val="2"/>
          <c:order val="1"/>
          <c:tx>
            <c:strRef>
              <c:f>水泥!$I$1</c:f>
              <c:strCache>
                <c:ptCount val="1"/>
                <c:pt idx="0">
                  <c:v>2019</c:v>
                </c:pt>
              </c:strCache>
            </c:strRef>
          </c:tx>
          <c:spPr>
            <a:ln w="28575">
              <a:solidFill>
                <a:srgbClr val="F8CBAD"/>
              </a:solidFill>
              <a:prstDash val="soli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水泥!$I$2:$I$366</c:f>
              <c:numCache>
                <c:formatCode>General</c:formatCode>
                <c:ptCount val="365"/>
                <c:pt idx="0">
                  <c:v>#N/A</c:v>
                </c:pt>
                <c:pt idx="1">
                  <c:v>161.68</c:v>
                </c:pt>
                <c:pt idx="2">
                  <c:v>161.56</c:v>
                </c:pt>
                <c:pt idx="3">
                  <c:v>161.36000000000001</c:v>
                </c:pt>
                <c:pt idx="4">
                  <c:v>#N/A</c:v>
                </c:pt>
                <c:pt idx="5">
                  <c:v>#N/A</c:v>
                </c:pt>
                <c:pt idx="6">
                  <c:v>156.93</c:v>
                </c:pt>
                <c:pt idx="7">
                  <c:v>155.94999999999999</c:v>
                </c:pt>
                <c:pt idx="8">
                  <c:v>155.59</c:v>
                </c:pt>
                <c:pt idx="9">
                  <c:v>155.55000000000001</c:v>
                </c:pt>
                <c:pt idx="10">
                  <c:v>155.54</c:v>
                </c:pt>
                <c:pt idx="11">
                  <c:v>#N/A</c:v>
                </c:pt>
                <c:pt idx="12">
                  <c:v>#N/A</c:v>
                </c:pt>
                <c:pt idx="13">
                  <c:v>155.22999999999999</c:v>
                </c:pt>
                <c:pt idx="14">
                  <c:v>155.13999999999999</c:v>
                </c:pt>
                <c:pt idx="15">
                  <c:v>154.21</c:v>
                </c:pt>
                <c:pt idx="16">
                  <c:v>153.81</c:v>
                </c:pt>
                <c:pt idx="17">
                  <c:v>153.62</c:v>
                </c:pt>
                <c:pt idx="18">
                  <c:v>#N/A</c:v>
                </c:pt>
                <c:pt idx="19">
                  <c:v>#N/A</c:v>
                </c:pt>
                <c:pt idx="20">
                  <c:v>153.5</c:v>
                </c:pt>
                <c:pt idx="21">
                  <c:v>153.5</c:v>
                </c:pt>
                <c:pt idx="22">
                  <c:v>153.34</c:v>
                </c:pt>
                <c:pt idx="23">
                  <c:v>153.30000000000001</c:v>
                </c:pt>
                <c:pt idx="24">
                  <c:v>153.29</c:v>
                </c:pt>
                <c:pt idx="25">
                  <c:v>#N/A</c:v>
                </c:pt>
                <c:pt idx="26">
                  <c:v>#N/A</c:v>
                </c:pt>
                <c:pt idx="27">
                  <c:v>153.26</c:v>
                </c:pt>
                <c:pt idx="28">
                  <c:v>152.41</c:v>
                </c:pt>
                <c:pt idx="29">
                  <c:v>152.38999999999999</c:v>
                </c:pt>
                <c:pt idx="30">
                  <c:v>152.38999999999999</c:v>
                </c:pt>
                <c:pt idx="31">
                  <c:v>151.9</c:v>
                </c:pt>
                <c:pt idx="32">
                  <c:v>#N/A</c:v>
                </c:pt>
                <c:pt idx="33">
                  <c:v>#N/A</c:v>
                </c:pt>
                <c:pt idx="34">
                  <c:v>#N/A</c:v>
                </c:pt>
                <c:pt idx="35">
                  <c:v>#N/A</c:v>
                </c:pt>
                <c:pt idx="36">
                  <c:v>#N/A</c:v>
                </c:pt>
                <c:pt idx="37">
                  <c:v>#N/A</c:v>
                </c:pt>
                <c:pt idx="38">
                  <c:v>#N/A</c:v>
                </c:pt>
                <c:pt idx="39">
                  <c:v>#N/A</c:v>
                </c:pt>
                <c:pt idx="40">
                  <c:v>#N/A</c:v>
                </c:pt>
                <c:pt idx="41">
                  <c:v>#N/A</c:v>
                </c:pt>
                <c:pt idx="42">
                  <c:v>151.87</c:v>
                </c:pt>
                <c:pt idx="43">
                  <c:v>151.84</c:v>
                </c:pt>
                <c:pt idx="44">
                  <c:v>151.84</c:v>
                </c:pt>
                <c:pt idx="45">
                  <c:v>151.84</c:v>
                </c:pt>
                <c:pt idx="46">
                  <c:v>#N/A</c:v>
                </c:pt>
                <c:pt idx="47">
                  <c:v>#N/A</c:v>
                </c:pt>
                <c:pt idx="48">
                  <c:v>151.84</c:v>
                </c:pt>
                <c:pt idx="49">
                  <c:v>150.71</c:v>
                </c:pt>
                <c:pt idx="50">
                  <c:v>149.51</c:v>
                </c:pt>
                <c:pt idx="51">
                  <c:v>149.37</c:v>
                </c:pt>
                <c:pt idx="52">
                  <c:v>148.58000000000001</c:v>
                </c:pt>
                <c:pt idx="53">
                  <c:v>#N/A</c:v>
                </c:pt>
                <c:pt idx="54">
                  <c:v>#N/A</c:v>
                </c:pt>
                <c:pt idx="55">
                  <c:v>148.32</c:v>
                </c:pt>
                <c:pt idx="56">
                  <c:v>147.97</c:v>
                </c:pt>
                <c:pt idx="57">
                  <c:v>147.58000000000001</c:v>
                </c:pt>
                <c:pt idx="58">
                  <c:v>147.47999999999999</c:v>
                </c:pt>
                <c:pt idx="59">
                  <c:v>147.27000000000001</c:v>
                </c:pt>
                <c:pt idx="60">
                  <c:v>#N/A</c:v>
                </c:pt>
                <c:pt idx="61">
                  <c:v>#N/A</c:v>
                </c:pt>
                <c:pt idx="62">
                  <c:v>147.03</c:v>
                </c:pt>
                <c:pt idx="63">
                  <c:v>146.94</c:v>
                </c:pt>
                <c:pt idx="64">
                  <c:v>146.94</c:v>
                </c:pt>
                <c:pt idx="65">
                  <c:v>146.59</c:v>
                </c:pt>
                <c:pt idx="66">
                  <c:v>146.37</c:v>
                </c:pt>
                <c:pt idx="67">
                  <c:v>#N/A</c:v>
                </c:pt>
                <c:pt idx="68">
                  <c:v>#N/A</c:v>
                </c:pt>
                <c:pt idx="69">
                  <c:v>146.31</c:v>
                </c:pt>
                <c:pt idx="70">
                  <c:v>146.02000000000001</c:v>
                </c:pt>
                <c:pt idx="71">
                  <c:v>145.69999999999999</c:v>
                </c:pt>
                <c:pt idx="72">
                  <c:v>145.4</c:v>
                </c:pt>
                <c:pt idx="73">
                  <c:v>145.09</c:v>
                </c:pt>
                <c:pt idx="74">
                  <c:v>#N/A</c:v>
                </c:pt>
                <c:pt idx="75">
                  <c:v>#N/A</c:v>
                </c:pt>
                <c:pt idx="76">
                  <c:v>145.1</c:v>
                </c:pt>
                <c:pt idx="77">
                  <c:v>145.02000000000001</c:v>
                </c:pt>
                <c:pt idx="78">
                  <c:v>144.99</c:v>
                </c:pt>
                <c:pt idx="79">
                  <c:v>145.01</c:v>
                </c:pt>
                <c:pt idx="80">
                  <c:v>145.22</c:v>
                </c:pt>
                <c:pt idx="81">
                  <c:v>#N/A</c:v>
                </c:pt>
                <c:pt idx="82">
                  <c:v>#N/A</c:v>
                </c:pt>
                <c:pt idx="83">
                  <c:v>145.44999999999999</c:v>
                </c:pt>
                <c:pt idx="84">
                  <c:v>145.47999999999999</c:v>
                </c:pt>
                <c:pt idx="85">
                  <c:v>146.15</c:v>
                </c:pt>
                <c:pt idx="86">
                  <c:v>146.59</c:v>
                </c:pt>
                <c:pt idx="87">
                  <c:v>146.71</c:v>
                </c:pt>
                <c:pt idx="88">
                  <c:v>#N/A</c:v>
                </c:pt>
                <c:pt idx="89">
                  <c:v>#N/A</c:v>
                </c:pt>
                <c:pt idx="90">
                  <c:v>147.31</c:v>
                </c:pt>
                <c:pt idx="91">
                  <c:v>147.4</c:v>
                </c:pt>
                <c:pt idx="92">
                  <c:v>147.35</c:v>
                </c:pt>
                <c:pt idx="93">
                  <c:v>147.62</c:v>
                </c:pt>
                <c:pt idx="94">
                  <c:v>#N/A</c:v>
                </c:pt>
                <c:pt idx="95">
                  <c:v>#N/A</c:v>
                </c:pt>
                <c:pt idx="96">
                  <c:v>#N/A</c:v>
                </c:pt>
                <c:pt idx="97">
                  <c:v>148.69999999999999</c:v>
                </c:pt>
                <c:pt idx="98">
                  <c:v>148.72</c:v>
                </c:pt>
                <c:pt idx="99">
                  <c:v>148.91999999999999</c:v>
                </c:pt>
                <c:pt idx="100">
                  <c:v>148.91999999999999</c:v>
                </c:pt>
                <c:pt idx="101">
                  <c:v>149.02000000000001</c:v>
                </c:pt>
                <c:pt idx="102">
                  <c:v>#N/A</c:v>
                </c:pt>
                <c:pt idx="103">
                  <c:v>#N/A</c:v>
                </c:pt>
                <c:pt idx="104">
                  <c:v>149.29</c:v>
                </c:pt>
                <c:pt idx="105">
                  <c:v>149.32</c:v>
                </c:pt>
                <c:pt idx="106">
                  <c:v>149.29</c:v>
                </c:pt>
                <c:pt idx="107">
                  <c:v>149.26</c:v>
                </c:pt>
                <c:pt idx="108">
                  <c:v>149.30000000000001</c:v>
                </c:pt>
                <c:pt idx="109">
                  <c:v>#N/A</c:v>
                </c:pt>
                <c:pt idx="110">
                  <c:v>#N/A</c:v>
                </c:pt>
                <c:pt idx="111">
                  <c:v>149.59</c:v>
                </c:pt>
                <c:pt idx="112">
                  <c:v>149.65</c:v>
                </c:pt>
                <c:pt idx="113">
                  <c:v>149.58000000000001</c:v>
                </c:pt>
                <c:pt idx="114">
                  <c:v>149.57</c:v>
                </c:pt>
                <c:pt idx="115">
                  <c:v>149.57</c:v>
                </c:pt>
                <c:pt idx="116">
                  <c:v>#N/A</c:v>
                </c:pt>
                <c:pt idx="117">
                  <c:v>#N/A</c:v>
                </c:pt>
                <c:pt idx="118">
                  <c:v>149.66999999999999</c:v>
                </c:pt>
                <c:pt idx="119">
                  <c:v>149.66999999999999</c:v>
                </c:pt>
                <c:pt idx="120">
                  <c:v>#N/A</c:v>
                </c:pt>
                <c:pt idx="121">
                  <c:v>#N/A</c:v>
                </c:pt>
                <c:pt idx="122">
                  <c:v>#N/A</c:v>
                </c:pt>
                <c:pt idx="123">
                  <c:v>#N/A</c:v>
                </c:pt>
                <c:pt idx="124">
                  <c:v>#N/A</c:v>
                </c:pt>
                <c:pt idx="125">
                  <c:v>149.93</c:v>
                </c:pt>
                <c:pt idx="126">
                  <c:v>149.97</c:v>
                </c:pt>
                <c:pt idx="127">
                  <c:v>149.97999999999999</c:v>
                </c:pt>
                <c:pt idx="128">
                  <c:v>150.03</c:v>
                </c:pt>
                <c:pt idx="129">
                  <c:v>149.96</c:v>
                </c:pt>
                <c:pt idx="130">
                  <c:v>#N/A</c:v>
                </c:pt>
                <c:pt idx="131">
                  <c:v>#N/A</c:v>
                </c:pt>
                <c:pt idx="132">
                  <c:v>149.97</c:v>
                </c:pt>
                <c:pt idx="133">
                  <c:v>150.22999999999999</c:v>
                </c:pt>
                <c:pt idx="134">
                  <c:v>150.37</c:v>
                </c:pt>
                <c:pt idx="135">
                  <c:v>150.38999999999999</c:v>
                </c:pt>
                <c:pt idx="136">
                  <c:v>150.37</c:v>
                </c:pt>
                <c:pt idx="137">
                  <c:v>#N/A</c:v>
                </c:pt>
                <c:pt idx="138">
                  <c:v>#N/A</c:v>
                </c:pt>
                <c:pt idx="139">
                  <c:v>150.37</c:v>
                </c:pt>
                <c:pt idx="140">
                  <c:v>150.37</c:v>
                </c:pt>
                <c:pt idx="141">
                  <c:v>150.36000000000001</c:v>
                </c:pt>
                <c:pt idx="142">
                  <c:v>150.41</c:v>
                </c:pt>
                <c:pt idx="143">
                  <c:v>150.38</c:v>
                </c:pt>
                <c:pt idx="144">
                  <c:v>#N/A</c:v>
                </c:pt>
                <c:pt idx="145">
                  <c:v>#N/A</c:v>
                </c:pt>
                <c:pt idx="146">
                  <c:v>150.44</c:v>
                </c:pt>
                <c:pt idx="147">
                  <c:v>150.44</c:v>
                </c:pt>
                <c:pt idx="148">
                  <c:v>150.34</c:v>
                </c:pt>
                <c:pt idx="149">
                  <c:v>150.34</c:v>
                </c:pt>
                <c:pt idx="150">
                  <c:v>150.36000000000001</c:v>
                </c:pt>
                <c:pt idx="151">
                  <c:v>#N/A</c:v>
                </c:pt>
                <c:pt idx="152">
                  <c:v>#N/A</c:v>
                </c:pt>
                <c:pt idx="153">
                  <c:v>150.37</c:v>
                </c:pt>
                <c:pt idx="154">
                  <c:v>150.36000000000001</c:v>
                </c:pt>
                <c:pt idx="155">
                  <c:v>150.35</c:v>
                </c:pt>
                <c:pt idx="156">
                  <c:v>150.21</c:v>
                </c:pt>
                <c:pt idx="157">
                  <c:v>#N/A</c:v>
                </c:pt>
                <c:pt idx="158">
                  <c:v>#N/A</c:v>
                </c:pt>
                <c:pt idx="159">
                  <c:v>#N/A</c:v>
                </c:pt>
                <c:pt idx="160">
                  <c:v>149.63</c:v>
                </c:pt>
                <c:pt idx="161">
                  <c:v>149.34</c:v>
                </c:pt>
                <c:pt idx="162">
                  <c:v>149.13</c:v>
                </c:pt>
                <c:pt idx="163">
                  <c:v>148.61000000000001</c:v>
                </c:pt>
                <c:pt idx="164">
                  <c:v>148.54</c:v>
                </c:pt>
                <c:pt idx="165">
                  <c:v>#N/A</c:v>
                </c:pt>
                <c:pt idx="166">
                  <c:v>#N/A</c:v>
                </c:pt>
                <c:pt idx="167">
                  <c:v>148.65</c:v>
                </c:pt>
                <c:pt idx="168">
                  <c:v>148.63999999999999</c:v>
                </c:pt>
                <c:pt idx="169">
                  <c:v>148.62</c:v>
                </c:pt>
                <c:pt idx="170">
                  <c:v>148.13</c:v>
                </c:pt>
                <c:pt idx="171">
                  <c:v>148.03</c:v>
                </c:pt>
                <c:pt idx="172">
                  <c:v>#N/A</c:v>
                </c:pt>
                <c:pt idx="173">
                  <c:v>#N/A</c:v>
                </c:pt>
                <c:pt idx="174">
                  <c:v>147.75</c:v>
                </c:pt>
                <c:pt idx="175">
                  <c:v>147.44999999999999</c:v>
                </c:pt>
                <c:pt idx="176">
                  <c:v>147.46</c:v>
                </c:pt>
                <c:pt idx="177">
                  <c:v>147.33000000000001</c:v>
                </c:pt>
                <c:pt idx="178">
                  <c:v>146.99</c:v>
                </c:pt>
                <c:pt idx="179">
                  <c:v>#N/A</c:v>
                </c:pt>
                <c:pt idx="180">
                  <c:v>#N/A</c:v>
                </c:pt>
                <c:pt idx="181">
                  <c:v>146.87</c:v>
                </c:pt>
                <c:pt idx="182">
                  <c:v>146.84</c:v>
                </c:pt>
                <c:pt idx="183">
                  <c:v>146.80000000000001</c:v>
                </c:pt>
                <c:pt idx="184">
                  <c:v>146.87</c:v>
                </c:pt>
                <c:pt idx="185">
                  <c:v>146.86000000000001</c:v>
                </c:pt>
                <c:pt idx="186">
                  <c:v>#N/A</c:v>
                </c:pt>
                <c:pt idx="187">
                  <c:v>#N/A</c:v>
                </c:pt>
                <c:pt idx="188">
                  <c:v>146.69999999999999</c:v>
                </c:pt>
                <c:pt idx="189">
                  <c:v>146.38999999999999</c:v>
                </c:pt>
                <c:pt idx="190">
                  <c:v>146.35</c:v>
                </c:pt>
                <c:pt idx="191">
                  <c:v>146.1</c:v>
                </c:pt>
                <c:pt idx="192">
                  <c:v>145.56</c:v>
                </c:pt>
                <c:pt idx="193">
                  <c:v>#N/A</c:v>
                </c:pt>
                <c:pt idx="194">
                  <c:v>#N/A</c:v>
                </c:pt>
                <c:pt idx="195">
                  <c:v>145.41999999999999</c:v>
                </c:pt>
                <c:pt idx="196">
                  <c:v>145.28</c:v>
                </c:pt>
                <c:pt idx="197">
                  <c:v>145.15</c:v>
                </c:pt>
                <c:pt idx="198">
                  <c:v>145.13999999999999</c:v>
                </c:pt>
                <c:pt idx="199">
                  <c:v>144.76</c:v>
                </c:pt>
                <c:pt idx="200">
                  <c:v>#N/A</c:v>
                </c:pt>
                <c:pt idx="201">
                  <c:v>#N/A</c:v>
                </c:pt>
                <c:pt idx="202">
                  <c:v>144.69</c:v>
                </c:pt>
                <c:pt idx="203">
                  <c:v>144.55000000000001</c:v>
                </c:pt>
                <c:pt idx="204">
                  <c:v>144.58000000000001</c:v>
                </c:pt>
                <c:pt idx="205">
                  <c:v>144.51</c:v>
                </c:pt>
                <c:pt idx="206">
                  <c:v>144.37</c:v>
                </c:pt>
                <c:pt idx="207">
                  <c:v>#N/A</c:v>
                </c:pt>
                <c:pt idx="208">
                  <c:v>#N/A</c:v>
                </c:pt>
                <c:pt idx="209">
                  <c:v>144.46</c:v>
                </c:pt>
                <c:pt idx="210">
                  <c:v>144.41</c:v>
                </c:pt>
                <c:pt idx="211">
                  <c:v>144.25</c:v>
                </c:pt>
                <c:pt idx="212">
                  <c:v>144.25</c:v>
                </c:pt>
                <c:pt idx="213">
                  <c:v>144.22999999999999</c:v>
                </c:pt>
                <c:pt idx="214">
                  <c:v>#N/A</c:v>
                </c:pt>
                <c:pt idx="215">
                  <c:v>#N/A</c:v>
                </c:pt>
                <c:pt idx="216">
                  <c:v>144.1</c:v>
                </c:pt>
                <c:pt idx="217">
                  <c:v>144.1</c:v>
                </c:pt>
                <c:pt idx="218">
                  <c:v>143.91999999999999</c:v>
                </c:pt>
                <c:pt idx="219">
                  <c:v>143.96</c:v>
                </c:pt>
                <c:pt idx="220">
                  <c:v>143.91</c:v>
                </c:pt>
                <c:pt idx="221">
                  <c:v>#N/A</c:v>
                </c:pt>
                <c:pt idx="222">
                  <c:v>#N/A</c:v>
                </c:pt>
                <c:pt idx="223">
                  <c:v>143.86000000000001</c:v>
                </c:pt>
                <c:pt idx="224">
                  <c:v>143.81</c:v>
                </c:pt>
                <c:pt idx="225">
                  <c:v>143.72999999999999</c:v>
                </c:pt>
                <c:pt idx="226">
                  <c:v>143.71</c:v>
                </c:pt>
                <c:pt idx="227">
                  <c:v>143.65</c:v>
                </c:pt>
                <c:pt idx="228">
                  <c:v>#N/A</c:v>
                </c:pt>
                <c:pt idx="229">
                  <c:v>#N/A</c:v>
                </c:pt>
                <c:pt idx="230">
                  <c:v>143.81</c:v>
                </c:pt>
                <c:pt idx="231">
                  <c:v>143.88999999999999</c:v>
                </c:pt>
                <c:pt idx="232">
                  <c:v>144.06</c:v>
                </c:pt>
                <c:pt idx="233">
                  <c:v>144.04</c:v>
                </c:pt>
                <c:pt idx="234">
                  <c:v>144.07</c:v>
                </c:pt>
                <c:pt idx="235">
                  <c:v>#N/A</c:v>
                </c:pt>
                <c:pt idx="236">
                  <c:v>#N/A</c:v>
                </c:pt>
                <c:pt idx="237">
                  <c:v>144.6</c:v>
                </c:pt>
                <c:pt idx="238">
                  <c:v>144.97</c:v>
                </c:pt>
                <c:pt idx="239">
                  <c:v>145.01</c:v>
                </c:pt>
                <c:pt idx="240">
                  <c:v>145.4</c:v>
                </c:pt>
                <c:pt idx="241">
                  <c:v>145.63999999999999</c:v>
                </c:pt>
                <c:pt idx="242">
                  <c:v>#N/A</c:v>
                </c:pt>
                <c:pt idx="243">
                  <c:v>#N/A</c:v>
                </c:pt>
                <c:pt idx="244">
                  <c:v>146.08000000000001</c:v>
                </c:pt>
                <c:pt idx="245">
                  <c:v>146.16999999999999</c:v>
                </c:pt>
                <c:pt idx="246">
                  <c:v>146.16999999999999</c:v>
                </c:pt>
                <c:pt idx="247">
                  <c:v>146.07</c:v>
                </c:pt>
                <c:pt idx="248">
                  <c:v>146.19</c:v>
                </c:pt>
                <c:pt idx="249">
                  <c:v>#N/A</c:v>
                </c:pt>
                <c:pt idx="250">
                  <c:v>#N/A</c:v>
                </c:pt>
                <c:pt idx="251">
                  <c:v>146.57</c:v>
                </c:pt>
                <c:pt idx="252">
                  <c:v>146.62</c:v>
                </c:pt>
                <c:pt idx="253">
                  <c:v>146.71</c:v>
                </c:pt>
                <c:pt idx="254">
                  <c:v>146.65</c:v>
                </c:pt>
                <c:pt idx="255">
                  <c:v>#N/A</c:v>
                </c:pt>
                <c:pt idx="256">
                  <c:v>#N/A</c:v>
                </c:pt>
                <c:pt idx="257">
                  <c:v>#N/A</c:v>
                </c:pt>
                <c:pt idx="258">
                  <c:v>147</c:v>
                </c:pt>
                <c:pt idx="259">
                  <c:v>147.12</c:v>
                </c:pt>
                <c:pt idx="260">
                  <c:v>147.63999999999999</c:v>
                </c:pt>
                <c:pt idx="261">
                  <c:v>147.69</c:v>
                </c:pt>
                <c:pt idx="262">
                  <c:v>148.62</c:v>
                </c:pt>
                <c:pt idx="263">
                  <c:v>#N/A</c:v>
                </c:pt>
                <c:pt idx="264">
                  <c:v>#N/A</c:v>
                </c:pt>
                <c:pt idx="265">
                  <c:v>149.29</c:v>
                </c:pt>
                <c:pt idx="266">
                  <c:v>149.30000000000001</c:v>
                </c:pt>
                <c:pt idx="267">
                  <c:v>149.6</c:v>
                </c:pt>
                <c:pt idx="268">
                  <c:v>149.58000000000001</c:v>
                </c:pt>
                <c:pt idx="269">
                  <c:v>149.91</c:v>
                </c:pt>
                <c:pt idx="270">
                  <c:v>#N/A</c:v>
                </c:pt>
                <c:pt idx="271">
                  <c:v>#N/A</c:v>
                </c:pt>
                <c:pt idx="272">
                  <c:v>150.08000000000001</c:v>
                </c:pt>
                <c:pt idx="273">
                  <c:v>#N/A</c:v>
                </c:pt>
                <c:pt idx="274">
                  <c:v>#N/A</c:v>
                </c:pt>
                <c:pt idx="275">
                  <c:v>#N/A</c:v>
                </c:pt>
                <c:pt idx="276">
                  <c:v>#N/A</c:v>
                </c:pt>
                <c:pt idx="277">
                  <c:v>#N/A</c:v>
                </c:pt>
                <c:pt idx="278">
                  <c:v>#N/A</c:v>
                </c:pt>
                <c:pt idx="279">
                  <c:v>#N/A</c:v>
                </c:pt>
                <c:pt idx="280">
                  <c:v>150.53</c:v>
                </c:pt>
                <c:pt idx="281">
                  <c:v>150.69999999999999</c:v>
                </c:pt>
                <c:pt idx="282">
                  <c:v>150.74</c:v>
                </c:pt>
                <c:pt idx="283">
                  <c:v>151.22999999999999</c:v>
                </c:pt>
                <c:pt idx="284">
                  <c:v>#N/A</c:v>
                </c:pt>
                <c:pt idx="285">
                  <c:v>#N/A</c:v>
                </c:pt>
                <c:pt idx="286">
                  <c:v>151.13</c:v>
                </c:pt>
                <c:pt idx="287">
                  <c:v>151.13999999999999</c:v>
                </c:pt>
                <c:pt idx="288">
                  <c:v>151.47</c:v>
                </c:pt>
                <c:pt idx="289">
                  <c:v>151.56</c:v>
                </c:pt>
                <c:pt idx="290">
                  <c:v>151.44</c:v>
                </c:pt>
                <c:pt idx="291">
                  <c:v>#N/A</c:v>
                </c:pt>
                <c:pt idx="292">
                  <c:v>#N/A</c:v>
                </c:pt>
                <c:pt idx="293">
                  <c:v>151.46</c:v>
                </c:pt>
                <c:pt idx="294">
                  <c:v>151.71</c:v>
                </c:pt>
                <c:pt idx="295">
                  <c:v>151.9</c:v>
                </c:pt>
                <c:pt idx="296">
                  <c:v>151.91999999999999</c:v>
                </c:pt>
                <c:pt idx="297">
                  <c:v>151.97999999999999</c:v>
                </c:pt>
                <c:pt idx="298">
                  <c:v>#N/A</c:v>
                </c:pt>
                <c:pt idx="299">
                  <c:v>#N/A</c:v>
                </c:pt>
                <c:pt idx="300">
                  <c:v>152.04</c:v>
                </c:pt>
                <c:pt idx="301">
                  <c:v>152.79</c:v>
                </c:pt>
                <c:pt idx="302">
                  <c:v>152.84</c:v>
                </c:pt>
                <c:pt idx="303">
                  <c:v>153.01</c:v>
                </c:pt>
                <c:pt idx="304">
                  <c:v>153.46</c:v>
                </c:pt>
                <c:pt idx="305">
                  <c:v>#N/A</c:v>
                </c:pt>
                <c:pt idx="306">
                  <c:v>#N/A</c:v>
                </c:pt>
                <c:pt idx="307">
                  <c:v>153.97</c:v>
                </c:pt>
                <c:pt idx="308">
                  <c:v>154.38</c:v>
                </c:pt>
                <c:pt idx="309">
                  <c:v>154.71</c:v>
                </c:pt>
                <c:pt idx="310">
                  <c:v>155.13</c:v>
                </c:pt>
                <c:pt idx="311">
                  <c:v>155.78</c:v>
                </c:pt>
                <c:pt idx="312">
                  <c:v>#N/A</c:v>
                </c:pt>
                <c:pt idx="313">
                  <c:v>#N/A</c:v>
                </c:pt>
                <c:pt idx="314">
                  <c:v>156.93</c:v>
                </c:pt>
                <c:pt idx="315">
                  <c:v>157.09</c:v>
                </c:pt>
                <c:pt idx="316">
                  <c:v>157.61000000000001</c:v>
                </c:pt>
                <c:pt idx="317">
                  <c:v>158.09</c:v>
                </c:pt>
                <c:pt idx="318">
                  <c:v>159.01</c:v>
                </c:pt>
                <c:pt idx="319">
                  <c:v>#N/A</c:v>
                </c:pt>
                <c:pt idx="320">
                  <c:v>#N/A</c:v>
                </c:pt>
                <c:pt idx="321">
                  <c:v>160.22</c:v>
                </c:pt>
                <c:pt idx="322">
                  <c:v>161</c:v>
                </c:pt>
                <c:pt idx="323">
                  <c:v>161.77000000000001</c:v>
                </c:pt>
                <c:pt idx="324">
                  <c:v>162.05000000000001</c:v>
                </c:pt>
                <c:pt idx="325">
                  <c:v>162.41</c:v>
                </c:pt>
                <c:pt idx="326">
                  <c:v>#N/A</c:v>
                </c:pt>
                <c:pt idx="327">
                  <c:v>#N/A</c:v>
                </c:pt>
                <c:pt idx="328">
                  <c:v>163.15</c:v>
                </c:pt>
                <c:pt idx="329">
                  <c:v>163.21</c:v>
                </c:pt>
                <c:pt idx="330">
                  <c:v>163.89</c:v>
                </c:pt>
                <c:pt idx="331">
                  <c:v>163.9</c:v>
                </c:pt>
                <c:pt idx="332">
                  <c:v>163.91</c:v>
                </c:pt>
                <c:pt idx="333">
                  <c:v>#N/A</c:v>
                </c:pt>
                <c:pt idx="334">
                  <c:v>#N/A</c:v>
                </c:pt>
                <c:pt idx="335">
                  <c:v>164.82</c:v>
                </c:pt>
                <c:pt idx="336">
                  <c:v>164.94</c:v>
                </c:pt>
                <c:pt idx="337">
                  <c:v>165.11</c:v>
                </c:pt>
                <c:pt idx="338">
                  <c:v>165.55</c:v>
                </c:pt>
                <c:pt idx="339">
                  <c:v>165.67</c:v>
                </c:pt>
                <c:pt idx="340">
                  <c:v>#N/A</c:v>
                </c:pt>
                <c:pt idx="341">
                  <c:v>#N/A</c:v>
                </c:pt>
                <c:pt idx="342">
                  <c:v>165.76</c:v>
                </c:pt>
                <c:pt idx="343">
                  <c:v>165.73</c:v>
                </c:pt>
                <c:pt idx="344">
                  <c:v>165.81</c:v>
                </c:pt>
                <c:pt idx="345">
                  <c:v>166.13</c:v>
                </c:pt>
                <c:pt idx="346">
                  <c:v>166.06</c:v>
                </c:pt>
                <c:pt idx="347">
                  <c:v>#N/A</c:v>
                </c:pt>
                <c:pt idx="348">
                  <c:v>#N/A</c:v>
                </c:pt>
                <c:pt idx="349">
                  <c:v>166.26</c:v>
                </c:pt>
                <c:pt idx="350">
                  <c:v>166.33</c:v>
                </c:pt>
                <c:pt idx="351">
                  <c:v>166.28</c:v>
                </c:pt>
                <c:pt idx="352">
                  <c:v>166.43</c:v>
                </c:pt>
                <c:pt idx="353">
                  <c:v>166.46</c:v>
                </c:pt>
                <c:pt idx="354">
                  <c:v>#N/A</c:v>
                </c:pt>
                <c:pt idx="355">
                  <c:v>#N/A</c:v>
                </c:pt>
                <c:pt idx="356">
                  <c:v>166.45</c:v>
                </c:pt>
                <c:pt idx="357">
                  <c:v>166.44</c:v>
                </c:pt>
                <c:pt idx="358">
                  <c:v>166.39</c:v>
                </c:pt>
                <c:pt idx="359">
                  <c:v>166.4</c:v>
                </c:pt>
                <c:pt idx="360">
                  <c:v>166.44</c:v>
                </c:pt>
                <c:pt idx="361">
                  <c:v>#N/A</c:v>
                </c:pt>
                <c:pt idx="362">
                  <c:v>#N/A</c:v>
                </c:pt>
                <c:pt idx="363">
                  <c:v>166.44</c:v>
                </c:pt>
                <c:pt idx="364">
                  <c:v>166.44</c:v>
                </c:pt>
              </c:numCache>
            </c:numRef>
          </c:val>
          <c:smooth val="1"/>
          <c:extLst xmlns:c16r2="http://schemas.microsoft.com/office/drawing/2015/06/chart">
            <c:ext xmlns:c16="http://schemas.microsoft.com/office/drawing/2014/chart" uri="{C3380CC4-5D6E-409C-BE32-E72D297353CC}">
              <c16:uniqueId val="{00000001-DE56-486F-81AB-A95D34284161}"/>
            </c:ext>
          </c:extLst>
        </c:ser>
        <c:ser>
          <c:idx val="1"/>
          <c:order val="2"/>
          <c:tx>
            <c:strRef>
              <c:f>水泥!$J$1</c:f>
              <c:strCache>
                <c:ptCount val="1"/>
                <c:pt idx="0">
                  <c:v>2020</c:v>
                </c:pt>
              </c:strCache>
            </c:strRef>
          </c:tx>
          <c:spPr>
            <a:ln w="28575">
              <a:solidFill>
                <a:srgbClr val="BF5711"/>
              </a:solidFill>
              <a:prstDash val="soli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水泥!$J$2:$J$366</c:f>
              <c:numCache>
                <c:formatCode>General</c:formatCode>
                <c:ptCount val="365"/>
                <c:pt idx="0">
                  <c:v>#N/A</c:v>
                </c:pt>
                <c:pt idx="1">
                  <c:v>166.36</c:v>
                </c:pt>
                <c:pt idx="2">
                  <c:v>165.91</c:v>
                </c:pt>
                <c:pt idx="3">
                  <c:v>#N/A</c:v>
                </c:pt>
                <c:pt idx="4">
                  <c:v>#N/A</c:v>
                </c:pt>
                <c:pt idx="5">
                  <c:v>165.96</c:v>
                </c:pt>
                <c:pt idx="6">
                  <c:v>165.81</c:v>
                </c:pt>
                <c:pt idx="7">
                  <c:v>165.67</c:v>
                </c:pt>
                <c:pt idx="8">
                  <c:v>165.57</c:v>
                </c:pt>
                <c:pt idx="9">
                  <c:v>165.36</c:v>
                </c:pt>
                <c:pt idx="10">
                  <c:v>#N/A</c:v>
                </c:pt>
                <c:pt idx="11">
                  <c:v>#N/A</c:v>
                </c:pt>
                <c:pt idx="12">
                  <c:v>164.76</c:v>
                </c:pt>
                <c:pt idx="13">
                  <c:v>164.3</c:v>
                </c:pt>
                <c:pt idx="14">
                  <c:v>164.19</c:v>
                </c:pt>
                <c:pt idx="15">
                  <c:v>164.06</c:v>
                </c:pt>
                <c:pt idx="16">
                  <c:v>164.05</c:v>
                </c:pt>
                <c:pt idx="17">
                  <c:v>#N/A</c:v>
                </c:pt>
                <c:pt idx="18">
                  <c:v>#N/A</c:v>
                </c:pt>
                <c:pt idx="19">
                  <c:v>162.75</c:v>
                </c:pt>
                <c:pt idx="20">
                  <c:v>162.72</c:v>
                </c:pt>
                <c:pt idx="21">
                  <c:v>#N/A</c:v>
                </c:pt>
                <c:pt idx="22">
                  <c:v>#N/A</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162.31</c:v>
                </c:pt>
                <c:pt idx="37">
                  <c:v>162.31</c:v>
                </c:pt>
                <c:pt idx="38">
                  <c:v>#N/A</c:v>
                </c:pt>
                <c:pt idx="39">
                  <c:v>#N/A</c:v>
                </c:pt>
                <c:pt idx="40">
                  <c:v>162.26</c:v>
                </c:pt>
                <c:pt idx="41">
                  <c:v>161.97999999999999</c:v>
                </c:pt>
                <c:pt idx="42">
                  <c:v>161.51</c:v>
                </c:pt>
                <c:pt idx="43">
                  <c:v>161.51</c:v>
                </c:pt>
                <c:pt idx="44">
                  <c:v>161.53</c:v>
                </c:pt>
                <c:pt idx="45">
                  <c:v>#N/A</c:v>
                </c:pt>
                <c:pt idx="46">
                  <c:v>#N/A</c:v>
                </c:pt>
                <c:pt idx="47">
                  <c:v>160.22</c:v>
                </c:pt>
                <c:pt idx="48">
                  <c:v>159.81</c:v>
                </c:pt>
                <c:pt idx="49">
                  <c:v>159.71</c:v>
                </c:pt>
                <c:pt idx="50">
                  <c:v>159.71</c:v>
                </c:pt>
                <c:pt idx="51">
                  <c:v>159.69999999999999</c:v>
                </c:pt>
                <c:pt idx="52">
                  <c:v>#N/A</c:v>
                </c:pt>
                <c:pt idx="53">
                  <c:v>#N/A</c:v>
                </c:pt>
                <c:pt idx="54">
                  <c:v>158.32</c:v>
                </c:pt>
                <c:pt idx="55">
                  <c:v>158.21</c:v>
                </c:pt>
                <c:pt idx="56">
                  <c:v>157.66</c:v>
                </c:pt>
                <c:pt idx="57">
                  <c:v>157.53</c:v>
                </c:pt>
                <c:pt idx="58">
                  <c:v>157.43</c:v>
                </c:pt>
                <c:pt idx="59">
                  <c:v>#N/A</c:v>
                </c:pt>
                <c:pt idx="60">
                  <c:v>#N/A</c:v>
                </c:pt>
                <c:pt idx="61">
                  <c:v>156.99</c:v>
                </c:pt>
                <c:pt idx="62">
                  <c:v>156.97</c:v>
                </c:pt>
                <c:pt idx="63">
                  <c:v>156.76</c:v>
                </c:pt>
                <c:pt idx="64">
                  <c:v>156.5</c:v>
                </c:pt>
                <c:pt idx="65">
                  <c:v>156.09</c:v>
                </c:pt>
                <c:pt idx="66">
                  <c:v>#N/A</c:v>
                </c:pt>
                <c:pt idx="67">
                  <c:v>#N/A</c:v>
                </c:pt>
                <c:pt idx="68">
                  <c:v>154.65</c:v>
                </c:pt>
                <c:pt idx="69">
                  <c:v>153.88</c:v>
                </c:pt>
                <c:pt idx="70">
                  <c:v>153.74</c:v>
                </c:pt>
                <c:pt idx="71">
                  <c:v>153.47</c:v>
                </c:pt>
                <c:pt idx="72">
                  <c:v>153.19999999999999</c:v>
                </c:pt>
                <c:pt idx="73">
                  <c:v>#N/A</c:v>
                </c:pt>
                <c:pt idx="74">
                  <c:v>#N/A</c:v>
                </c:pt>
                <c:pt idx="75">
                  <c:v>151.91</c:v>
                </c:pt>
                <c:pt idx="76">
                  <c:v>151.27000000000001</c:v>
                </c:pt>
                <c:pt idx="77">
                  <c:v>151.12</c:v>
                </c:pt>
                <c:pt idx="78">
                  <c:v>150.96</c:v>
                </c:pt>
                <c:pt idx="79">
                  <c:v>150.11000000000001</c:v>
                </c:pt>
                <c:pt idx="80">
                  <c:v>#N/A</c:v>
                </c:pt>
                <c:pt idx="81">
                  <c:v>#N/A</c:v>
                </c:pt>
                <c:pt idx="82">
                  <c:v>149.63</c:v>
                </c:pt>
                <c:pt idx="83">
                  <c:v>149.30000000000001</c:v>
                </c:pt>
                <c:pt idx="84">
                  <c:v>149.02000000000001</c:v>
                </c:pt>
                <c:pt idx="85">
                  <c:v>148.88</c:v>
                </c:pt>
                <c:pt idx="86">
                  <c:v>148.61000000000001</c:v>
                </c:pt>
                <c:pt idx="87">
                  <c:v>#N/A</c:v>
                </c:pt>
                <c:pt idx="88">
                  <c:v>#N/A</c:v>
                </c:pt>
                <c:pt idx="89">
                  <c:v>148.66</c:v>
                </c:pt>
                <c:pt idx="90">
                  <c:v>148.51</c:v>
                </c:pt>
                <c:pt idx="91">
                  <c:v>148.32</c:v>
                </c:pt>
                <c:pt idx="92">
                  <c:v>148.19</c:v>
                </c:pt>
                <c:pt idx="93">
                  <c:v>147.4</c:v>
                </c:pt>
                <c:pt idx="94">
                  <c:v>#N/A</c:v>
                </c:pt>
                <c:pt idx="95">
                  <c:v>#N/A</c:v>
                </c:pt>
                <c:pt idx="96">
                  <c:v>#N/A</c:v>
                </c:pt>
                <c:pt idx="97">
                  <c:v>147.13999999999999</c:v>
                </c:pt>
                <c:pt idx="98">
                  <c:v>146.97999999999999</c:v>
                </c:pt>
                <c:pt idx="99">
                  <c:v>146.84</c:v>
                </c:pt>
                <c:pt idx="100">
                  <c:v>146.43</c:v>
                </c:pt>
                <c:pt idx="101">
                  <c:v>#N/A</c:v>
                </c:pt>
                <c:pt idx="102">
                  <c:v>#N/A</c:v>
                </c:pt>
                <c:pt idx="103">
                  <c:v>146.24</c:v>
                </c:pt>
                <c:pt idx="104">
                  <c:v>146.19999999999999</c:v>
                </c:pt>
                <c:pt idx="105">
                  <c:v>146.19</c:v>
                </c:pt>
                <c:pt idx="106">
                  <c:v>146.24</c:v>
                </c:pt>
                <c:pt idx="107">
                  <c:v>146.08000000000001</c:v>
                </c:pt>
                <c:pt idx="108">
                  <c:v>#N/A</c:v>
                </c:pt>
                <c:pt idx="109">
                  <c:v>#N/A</c:v>
                </c:pt>
                <c:pt idx="110">
                  <c:v>146.08000000000001</c:v>
                </c:pt>
                <c:pt idx="111">
                  <c:v>146.03</c:v>
                </c:pt>
                <c:pt idx="112">
                  <c:v>145.78</c:v>
                </c:pt>
                <c:pt idx="113">
                  <c:v>145.94</c:v>
                </c:pt>
                <c:pt idx="114">
                  <c:v>145.91</c:v>
                </c:pt>
                <c:pt idx="115">
                  <c:v>#N/A</c:v>
                </c:pt>
                <c:pt idx="116">
                  <c:v>#N/A</c:v>
                </c:pt>
                <c:pt idx="117">
                  <c:v>146.43</c:v>
                </c:pt>
                <c:pt idx="118">
                  <c:v>146.46</c:v>
                </c:pt>
                <c:pt idx="119">
                  <c:v>146.41999999999999</c:v>
                </c:pt>
                <c:pt idx="120">
                  <c:v>146.31</c:v>
                </c:pt>
                <c:pt idx="121">
                  <c:v>#N/A</c:v>
                </c:pt>
                <c:pt idx="122">
                  <c:v>#N/A</c:v>
                </c:pt>
                <c:pt idx="123">
                  <c:v>#N/A</c:v>
                </c:pt>
                <c:pt idx="124">
                  <c:v>#N/A</c:v>
                </c:pt>
                <c:pt idx="125">
                  <c:v>#N/A</c:v>
                </c:pt>
                <c:pt idx="126">
                  <c:v>146.62</c:v>
                </c:pt>
                <c:pt idx="127">
                  <c:v>146.66</c:v>
                </c:pt>
                <c:pt idx="128">
                  <c:v>146.74</c:v>
                </c:pt>
                <c:pt idx="129">
                  <c:v>#N/A</c:v>
                </c:pt>
                <c:pt idx="130">
                  <c:v>#N/A</c:v>
                </c:pt>
                <c:pt idx="131">
                  <c:v>147.51</c:v>
                </c:pt>
                <c:pt idx="132">
                  <c:v>147.59</c:v>
                </c:pt>
                <c:pt idx="133">
                  <c:v>147.51</c:v>
                </c:pt>
                <c:pt idx="134">
                  <c:v>147.58000000000001</c:v>
                </c:pt>
                <c:pt idx="135">
                  <c:v>147.56</c:v>
                </c:pt>
                <c:pt idx="136">
                  <c:v>#N/A</c:v>
                </c:pt>
                <c:pt idx="137">
                  <c:v>#N/A</c:v>
                </c:pt>
                <c:pt idx="138">
                  <c:v>147.97999999999999</c:v>
                </c:pt>
                <c:pt idx="139">
                  <c:v>147.97999999999999</c:v>
                </c:pt>
                <c:pt idx="140">
                  <c:v>147.97999999999999</c:v>
                </c:pt>
                <c:pt idx="141">
                  <c:v>147.93</c:v>
                </c:pt>
                <c:pt idx="142">
                  <c:v>148.37</c:v>
                </c:pt>
                <c:pt idx="143">
                  <c:v>#N/A</c:v>
                </c:pt>
                <c:pt idx="144">
                  <c:v>#N/A</c:v>
                </c:pt>
                <c:pt idx="145">
                  <c:v>148.52000000000001</c:v>
                </c:pt>
                <c:pt idx="146">
                  <c:v>148.59</c:v>
                </c:pt>
                <c:pt idx="147">
                  <c:v>148.72999999999999</c:v>
                </c:pt>
                <c:pt idx="148">
                  <c:v>148.72999999999999</c:v>
                </c:pt>
                <c:pt idx="149">
                  <c:v>148.63999999999999</c:v>
                </c:pt>
                <c:pt idx="150">
                  <c:v>#N/A</c:v>
                </c:pt>
                <c:pt idx="151">
                  <c:v>#N/A</c:v>
                </c:pt>
                <c:pt idx="152">
                  <c:v>148.5</c:v>
                </c:pt>
                <c:pt idx="153">
                  <c:v>148.43</c:v>
                </c:pt>
                <c:pt idx="154">
                  <c:v>148.12</c:v>
                </c:pt>
                <c:pt idx="155">
                  <c:v>148.07</c:v>
                </c:pt>
                <c:pt idx="156">
                  <c:v>148.02000000000001</c:v>
                </c:pt>
                <c:pt idx="157">
                  <c:v>#N/A</c:v>
                </c:pt>
                <c:pt idx="158">
                  <c:v>#N/A</c:v>
                </c:pt>
                <c:pt idx="159">
                  <c:v>147.88</c:v>
                </c:pt>
                <c:pt idx="160">
                  <c:v>147.85</c:v>
                </c:pt>
                <c:pt idx="161">
                  <c:v>147.68</c:v>
                </c:pt>
                <c:pt idx="162">
                  <c:v>146.65</c:v>
                </c:pt>
                <c:pt idx="163">
                  <c:v>145.38999999999999</c:v>
                </c:pt>
                <c:pt idx="164">
                  <c:v>#N/A</c:v>
                </c:pt>
                <c:pt idx="165">
                  <c:v>#N/A</c:v>
                </c:pt>
                <c:pt idx="166">
                  <c:v>145.38999999999999</c:v>
                </c:pt>
                <c:pt idx="167">
                  <c:v>145.37</c:v>
                </c:pt>
                <c:pt idx="168">
                  <c:v>145.35</c:v>
                </c:pt>
                <c:pt idx="169">
                  <c:v>145.41999999999999</c:v>
                </c:pt>
                <c:pt idx="170">
                  <c:v>145.32</c:v>
                </c:pt>
                <c:pt idx="171">
                  <c:v>#N/A</c:v>
                </c:pt>
                <c:pt idx="172">
                  <c:v>#N/A</c:v>
                </c:pt>
                <c:pt idx="173">
                  <c:v>144.08000000000001</c:v>
                </c:pt>
                <c:pt idx="174">
                  <c:v>143.6</c:v>
                </c:pt>
                <c:pt idx="175">
                  <c:v>143.05000000000001</c:v>
                </c:pt>
                <c:pt idx="176">
                  <c:v>#N/A</c:v>
                </c:pt>
                <c:pt idx="177">
                  <c:v>#N/A</c:v>
                </c:pt>
                <c:pt idx="178">
                  <c:v>#N/A</c:v>
                </c:pt>
                <c:pt idx="179">
                  <c:v>#N/A</c:v>
                </c:pt>
                <c:pt idx="180">
                  <c:v>141.94999999999999</c:v>
                </c:pt>
                <c:pt idx="181">
                  <c:v>141.75</c:v>
                </c:pt>
                <c:pt idx="182">
                  <c:v>140.97</c:v>
                </c:pt>
                <c:pt idx="183">
                  <c:v>140.71</c:v>
                </c:pt>
                <c:pt idx="184">
                  <c:v>139.80000000000001</c:v>
                </c:pt>
                <c:pt idx="185">
                  <c:v>#N/A</c:v>
                </c:pt>
                <c:pt idx="186">
                  <c:v>#N/A</c:v>
                </c:pt>
                <c:pt idx="187">
                  <c:v>139.30000000000001</c:v>
                </c:pt>
                <c:pt idx="188">
                  <c:v>139.27000000000001</c:v>
                </c:pt>
                <c:pt idx="189">
                  <c:v>138.56</c:v>
                </c:pt>
                <c:pt idx="190">
                  <c:v>138.13</c:v>
                </c:pt>
                <c:pt idx="191">
                  <c:v>137.97999999999999</c:v>
                </c:pt>
                <c:pt idx="192">
                  <c:v>#N/A</c:v>
                </c:pt>
                <c:pt idx="193">
                  <c:v>#N/A</c:v>
                </c:pt>
                <c:pt idx="194">
                  <c:v>137.77000000000001</c:v>
                </c:pt>
                <c:pt idx="195">
                  <c:v>137.58000000000001</c:v>
                </c:pt>
                <c:pt idx="196">
                  <c:v>137.51</c:v>
                </c:pt>
                <c:pt idx="197">
                  <c:v>137.21</c:v>
                </c:pt>
                <c:pt idx="198">
                  <c:v>137.22</c:v>
                </c:pt>
                <c:pt idx="199">
                  <c:v>#N/A</c:v>
                </c:pt>
                <c:pt idx="200">
                  <c:v>#N/A</c:v>
                </c:pt>
                <c:pt idx="201">
                  <c:v>137.04</c:v>
                </c:pt>
                <c:pt idx="202">
                  <c:v>136.91999999999999</c:v>
                </c:pt>
                <c:pt idx="203">
                  <c:v>136.88999999999999</c:v>
                </c:pt>
                <c:pt idx="204">
                  <c:v>136.31</c:v>
                </c:pt>
                <c:pt idx="205">
                  <c:v>136.22</c:v>
                </c:pt>
                <c:pt idx="206">
                  <c:v>#N/A</c:v>
                </c:pt>
                <c:pt idx="207">
                  <c:v>#N/A</c:v>
                </c:pt>
                <c:pt idx="208">
                  <c:v>136.37</c:v>
                </c:pt>
                <c:pt idx="209">
                  <c:v>136.22999999999999</c:v>
                </c:pt>
                <c:pt idx="210">
                  <c:v>136.22999999999999</c:v>
                </c:pt>
                <c:pt idx="211">
                  <c:v>135.96</c:v>
                </c:pt>
                <c:pt idx="212">
                  <c:v>135.94999999999999</c:v>
                </c:pt>
                <c:pt idx="213">
                  <c:v>#N/A</c:v>
                </c:pt>
                <c:pt idx="214">
                  <c:v>#N/A</c:v>
                </c:pt>
                <c:pt idx="215">
                  <c:v>136</c:v>
                </c:pt>
                <c:pt idx="216">
                  <c:v>136.77000000000001</c:v>
                </c:pt>
                <c:pt idx="217">
                  <c:v>137.44999999999999</c:v>
                </c:pt>
                <c:pt idx="218">
                  <c:v>137.86000000000001</c:v>
                </c:pt>
                <c:pt idx="219">
                  <c:v>138.07</c:v>
                </c:pt>
                <c:pt idx="220">
                  <c:v>#N/A</c:v>
                </c:pt>
                <c:pt idx="221">
                  <c:v>#N/A</c:v>
                </c:pt>
                <c:pt idx="222">
                  <c:v>138.15</c:v>
                </c:pt>
                <c:pt idx="223">
                  <c:v>137.94</c:v>
                </c:pt>
                <c:pt idx="224">
                  <c:v>137.9</c:v>
                </c:pt>
                <c:pt idx="225">
                  <c:v>137.94</c:v>
                </c:pt>
                <c:pt idx="226">
                  <c:v>137.75</c:v>
                </c:pt>
                <c:pt idx="227">
                  <c:v>#N/A</c:v>
                </c:pt>
                <c:pt idx="228">
                  <c:v>#N/A</c:v>
                </c:pt>
                <c:pt idx="229">
                  <c:v>137.65</c:v>
                </c:pt>
                <c:pt idx="230">
                  <c:v>138.16</c:v>
                </c:pt>
                <c:pt idx="231">
                  <c:v>138.26</c:v>
                </c:pt>
                <c:pt idx="232">
                  <c:v>138.74</c:v>
                </c:pt>
                <c:pt idx="233">
                  <c:v>138.51</c:v>
                </c:pt>
                <c:pt idx="234">
                  <c:v>#N/A</c:v>
                </c:pt>
                <c:pt idx="235">
                  <c:v>#N/A</c:v>
                </c:pt>
                <c:pt idx="236">
                  <c:v>139.32</c:v>
                </c:pt>
                <c:pt idx="237">
                  <c:v>139.58000000000001</c:v>
                </c:pt>
                <c:pt idx="238">
                  <c:v>139.66</c:v>
                </c:pt>
                <c:pt idx="239">
                  <c:v>140.33000000000001</c:v>
                </c:pt>
                <c:pt idx="240">
                  <c:v>140.6</c:v>
                </c:pt>
                <c:pt idx="241">
                  <c:v>#N/A</c:v>
                </c:pt>
                <c:pt idx="242">
                  <c:v>#N/A</c:v>
                </c:pt>
                <c:pt idx="243">
                  <c:v>140.56</c:v>
                </c:pt>
                <c:pt idx="244">
                  <c:v>140.6</c:v>
                </c:pt>
                <c:pt idx="245">
                  <c:v>140.58000000000001</c:v>
                </c:pt>
                <c:pt idx="246">
                  <c:v>140.99</c:v>
                </c:pt>
                <c:pt idx="247">
                  <c:v>141.08000000000001</c:v>
                </c:pt>
                <c:pt idx="248">
                  <c:v>#N/A</c:v>
                </c:pt>
                <c:pt idx="249">
                  <c:v>#N/A</c:v>
                </c:pt>
                <c:pt idx="250">
                  <c:v>141.36000000000001</c:v>
                </c:pt>
                <c:pt idx="251">
                  <c:v>141.36000000000001</c:v>
                </c:pt>
                <c:pt idx="252">
                  <c:v>141.54</c:v>
                </c:pt>
                <c:pt idx="253">
                  <c:v>142.05000000000001</c:v>
                </c:pt>
                <c:pt idx="254">
                  <c:v>142.6</c:v>
                </c:pt>
                <c:pt idx="255">
                  <c:v>#N/A</c:v>
                </c:pt>
                <c:pt idx="256">
                  <c:v>#N/A</c:v>
                </c:pt>
                <c:pt idx="257">
                  <c:v>143.03</c:v>
                </c:pt>
                <c:pt idx="258">
                  <c:v>142.56</c:v>
                </c:pt>
                <c:pt idx="259">
                  <c:v>144.1</c:v>
                </c:pt>
                <c:pt idx="260">
                  <c:v>144.5</c:v>
                </c:pt>
                <c:pt idx="261">
                  <c:v>144.5</c:v>
                </c:pt>
                <c:pt idx="262">
                  <c:v>#N/A</c:v>
                </c:pt>
                <c:pt idx="263">
                  <c:v>#N/A</c:v>
                </c:pt>
                <c:pt idx="264">
                  <c:v>144.74</c:v>
                </c:pt>
                <c:pt idx="265">
                  <c:v>144.58000000000001</c:v>
                </c:pt>
                <c:pt idx="266">
                  <c:v>144.57</c:v>
                </c:pt>
                <c:pt idx="267">
                  <c:v>144.54</c:v>
                </c:pt>
                <c:pt idx="268">
                  <c:v>145.77000000000001</c:v>
                </c:pt>
                <c:pt idx="269">
                  <c:v>#N/A</c:v>
                </c:pt>
                <c:pt idx="270">
                  <c:v>#N/A</c:v>
                </c:pt>
                <c:pt idx="271">
                  <c:v>146.36000000000001</c:v>
                </c:pt>
                <c:pt idx="272">
                  <c:v>146.33000000000001</c:v>
                </c:pt>
                <c:pt idx="273">
                  <c:v>146.33000000000001</c:v>
                </c:pt>
                <c:pt idx="274">
                  <c:v>#N/A</c:v>
                </c:pt>
                <c:pt idx="275">
                  <c:v>#N/A</c:v>
                </c:pt>
                <c:pt idx="276">
                  <c:v>#N/A</c:v>
                </c:pt>
                <c:pt idx="277">
                  <c:v>#N/A</c:v>
                </c:pt>
                <c:pt idx="278">
                  <c:v>#N/A</c:v>
                </c:pt>
                <c:pt idx="279">
                  <c:v>#N/A</c:v>
                </c:pt>
                <c:pt idx="280">
                  <c:v>#N/A</c:v>
                </c:pt>
                <c:pt idx="281">
                  <c:v>#N/A</c:v>
                </c:pt>
                <c:pt idx="282">
                  <c:v>146.38</c:v>
                </c:pt>
                <c:pt idx="283">
                  <c:v>#N/A</c:v>
                </c:pt>
                <c:pt idx="284">
                  <c:v>#N/A</c:v>
                </c:pt>
                <c:pt idx="285">
                  <c:v>147.03</c:v>
                </c:pt>
                <c:pt idx="286">
                  <c:v>147.41</c:v>
                </c:pt>
                <c:pt idx="287">
                  <c:v>147.85</c:v>
                </c:pt>
                <c:pt idx="288">
                  <c:v>148.77000000000001</c:v>
                </c:pt>
                <c:pt idx="289">
                  <c:v>149.19</c:v>
                </c:pt>
                <c:pt idx="290">
                  <c:v>#N/A</c:v>
                </c:pt>
                <c:pt idx="291">
                  <c:v>#N/A</c:v>
                </c:pt>
                <c:pt idx="292">
                  <c:v>150.55000000000001</c:v>
                </c:pt>
                <c:pt idx="293">
                  <c:v>150.56</c:v>
                </c:pt>
                <c:pt idx="294">
                  <c:v>150.51</c:v>
                </c:pt>
                <c:pt idx="295">
                  <c:v>150.4</c:v>
                </c:pt>
                <c:pt idx="296">
                  <c:v>150.41</c:v>
                </c:pt>
                <c:pt idx="297">
                  <c:v>#N/A</c:v>
                </c:pt>
                <c:pt idx="298">
                  <c:v>#N/A</c:v>
                </c:pt>
                <c:pt idx="299">
                  <c:v>150.63999999999999</c:v>
                </c:pt>
                <c:pt idx="300">
                  <c:v>150.51</c:v>
                </c:pt>
                <c:pt idx="301">
                  <c:v>150.52000000000001</c:v>
                </c:pt>
                <c:pt idx="302">
                  <c:v>150.71</c:v>
                </c:pt>
                <c:pt idx="303">
                  <c:v>150.88</c:v>
                </c:pt>
                <c:pt idx="304">
                  <c:v>#N/A</c:v>
                </c:pt>
                <c:pt idx="305">
                  <c:v>#N/A</c:v>
                </c:pt>
                <c:pt idx="306">
                  <c:v>151.57</c:v>
                </c:pt>
                <c:pt idx="307">
                  <c:v>151.69</c:v>
                </c:pt>
                <c:pt idx="308">
                  <c:v>151.85</c:v>
                </c:pt>
                <c:pt idx="309">
                  <c:v>151.9</c:v>
                </c:pt>
                <c:pt idx="310">
                  <c:v>152.11000000000001</c:v>
                </c:pt>
                <c:pt idx="311">
                  <c:v>#N/A</c:v>
                </c:pt>
                <c:pt idx="312">
                  <c:v>#N/A</c:v>
                </c:pt>
                <c:pt idx="313">
                  <c:v>152.5</c:v>
                </c:pt>
                <c:pt idx="314">
                  <c:v>152.56</c:v>
                </c:pt>
                <c:pt idx="315">
                  <c:v>152.85</c:v>
                </c:pt>
                <c:pt idx="316">
                  <c:v>153.11000000000001</c:v>
                </c:pt>
                <c:pt idx="317">
                  <c:v>153.12</c:v>
                </c:pt>
                <c:pt idx="318">
                  <c:v>#N/A</c:v>
                </c:pt>
                <c:pt idx="319">
                  <c:v>#N/A</c:v>
                </c:pt>
                <c:pt idx="320">
                  <c:v>153.74</c:v>
                </c:pt>
                <c:pt idx="321">
                  <c:v>153.93</c:v>
                </c:pt>
                <c:pt idx="322">
                  <c:v>153.88</c:v>
                </c:pt>
                <c:pt idx="323">
                  <c:v>154.21</c:v>
                </c:pt>
                <c:pt idx="324">
                  <c:v>154.66999999999999</c:v>
                </c:pt>
                <c:pt idx="325">
                  <c:v>#N/A</c:v>
                </c:pt>
                <c:pt idx="326">
                  <c:v>#N/A</c:v>
                </c:pt>
                <c:pt idx="327">
                  <c:v>154.83000000000001</c:v>
                </c:pt>
                <c:pt idx="328">
                  <c:v>154.82</c:v>
                </c:pt>
                <c:pt idx="329">
                  <c:v>154.83000000000001</c:v>
                </c:pt>
                <c:pt idx="330">
                  <c:v>154.88</c:v>
                </c:pt>
                <c:pt idx="331">
                  <c:v>154.79</c:v>
                </c:pt>
                <c:pt idx="332">
                  <c:v>#N/A</c:v>
                </c:pt>
                <c:pt idx="333">
                  <c:v>#N/A</c:v>
                </c:pt>
                <c:pt idx="334">
                  <c:v>154.80000000000001</c:v>
                </c:pt>
                <c:pt idx="335">
                  <c:v>154.94999999999999</c:v>
                </c:pt>
                <c:pt idx="336">
                  <c:v>154.9</c:v>
                </c:pt>
                <c:pt idx="337">
                  <c:v>154.88</c:v>
                </c:pt>
                <c:pt idx="338">
                  <c:v>154.99</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DE56-486F-81AB-A95D34284161}"/>
            </c:ext>
          </c:extLst>
        </c:ser>
        <c:dLbls>
          <c:showLegendKey val="0"/>
          <c:showVal val="0"/>
          <c:showCatName val="0"/>
          <c:showSerName val="0"/>
          <c:showPercent val="0"/>
          <c:showBubbleSize val="0"/>
        </c:dLbls>
        <c:marker val="1"/>
        <c:smooth val="0"/>
        <c:axId val="273382016"/>
        <c:axId val="273383808"/>
      </c:lineChart>
      <c:dateAx>
        <c:axId val="273382016"/>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73383808"/>
        <c:crosses val="autoZero"/>
        <c:auto val="0"/>
        <c:lblOffset val="0"/>
        <c:baseTimeUnit val="days"/>
        <c:majorUnit val="1"/>
        <c:majorTimeUnit val="months"/>
      </c:dateAx>
      <c:valAx>
        <c:axId val="273383808"/>
        <c:scaling>
          <c:orientation val="minMax"/>
          <c:max val="170"/>
          <c:min val="9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73382016"/>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南华!$H$1</c:f>
              <c:strCache>
                <c:ptCount val="1"/>
                <c:pt idx="0">
                  <c:v>2018</c:v>
                </c:pt>
              </c:strCache>
            </c:strRef>
          </c:tx>
          <c:spPr>
            <a:ln w="28575">
              <a:solidFill>
                <a:srgbClr val="E7E6E6">
                  <a:lumMod val="75000"/>
                </a:srgbClr>
              </a:solidFill>
              <a:prstDash val="soli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南华!$H$2:$H$366</c:f>
              <c:numCache>
                <c:formatCode>General</c:formatCode>
                <c:ptCount val="365"/>
                <c:pt idx="0">
                  <c:v>#N/A</c:v>
                </c:pt>
                <c:pt idx="1">
                  <c:v>#N/A</c:v>
                </c:pt>
                <c:pt idx="2">
                  <c:v>#N/A</c:v>
                </c:pt>
                <c:pt idx="3">
                  <c:v>#N/A</c:v>
                </c:pt>
                <c:pt idx="4">
                  <c:v>#N/A</c:v>
                </c:pt>
                <c:pt idx="5">
                  <c:v>2100.85</c:v>
                </c:pt>
                <c:pt idx="6">
                  <c:v>#N/A</c:v>
                </c:pt>
                <c:pt idx="7">
                  <c:v>#N/A</c:v>
                </c:pt>
                <c:pt idx="8">
                  <c:v>#N/A</c:v>
                </c:pt>
                <c:pt idx="9">
                  <c:v>#N/A</c:v>
                </c:pt>
                <c:pt idx="10">
                  <c:v>#N/A</c:v>
                </c:pt>
                <c:pt idx="11">
                  <c:v>#N/A</c:v>
                </c:pt>
                <c:pt idx="12">
                  <c:v>2106.14</c:v>
                </c:pt>
                <c:pt idx="13">
                  <c:v>#N/A</c:v>
                </c:pt>
                <c:pt idx="14">
                  <c:v>#N/A</c:v>
                </c:pt>
                <c:pt idx="15">
                  <c:v>#N/A</c:v>
                </c:pt>
                <c:pt idx="16">
                  <c:v>#N/A</c:v>
                </c:pt>
                <c:pt idx="17">
                  <c:v>#N/A</c:v>
                </c:pt>
                <c:pt idx="18">
                  <c:v>#N/A</c:v>
                </c:pt>
                <c:pt idx="19">
                  <c:v>2086.31</c:v>
                </c:pt>
                <c:pt idx="20">
                  <c:v>#N/A</c:v>
                </c:pt>
                <c:pt idx="21">
                  <c:v>#N/A</c:v>
                </c:pt>
                <c:pt idx="22">
                  <c:v>#N/A</c:v>
                </c:pt>
                <c:pt idx="23">
                  <c:v>#N/A</c:v>
                </c:pt>
                <c:pt idx="24">
                  <c:v>#N/A</c:v>
                </c:pt>
                <c:pt idx="25">
                  <c:v>#N/A</c:v>
                </c:pt>
                <c:pt idx="26">
                  <c:v>2095.38</c:v>
                </c:pt>
                <c:pt idx="27">
                  <c:v>#N/A</c:v>
                </c:pt>
                <c:pt idx="28">
                  <c:v>#N/A</c:v>
                </c:pt>
                <c:pt idx="29">
                  <c:v>#N/A</c:v>
                </c:pt>
                <c:pt idx="30">
                  <c:v>#N/A</c:v>
                </c:pt>
                <c:pt idx="31">
                  <c:v>#N/A</c:v>
                </c:pt>
                <c:pt idx="32">
                  <c:v>#N/A</c:v>
                </c:pt>
                <c:pt idx="33">
                  <c:v>2077.0700000000002</c:v>
                </c:pt>
                <c:pt idx="34">
                  <c:v>#N/A</c:v>
                </c:pt>
                <c:pt idx="35">
                  <c:v>#N/A</c:v>
                </c:pt>
                <c:pt idx="36">
                  <c:v>#N/A</c:v>
                </c:pt>
                <c:pt idx="37">
                  <c:v>#N/A</c:v>
                </c:pt>
                <c:pt idx="38">
                  <c:v>#N/A</c:v>
                </c:pt>
                <c:pt idx="39">
                  <c:v>#N/A</c:v>
                </c:pt>
                <c:pt idx="40">
                  <c:v>2046.71</c:v>
                </c:pt>
                <c:pt idx="41">
                  <c:v>#N/A</c:v>
                </c:pt>
                <c:pt idx="42">
                  <c:v>#N/A</c:v>
                </c:pt>
                <c:pt idx="43">
                  <c:v>#N/A</c:v>
                </c:pt>
                <c:pt idx="44">
                  <c:v>#N/A</c:v>
                </c:pt>
                <c:pt idx="45">
                  <c:v>#N/A</c:v>
                </c:pt>
                <c:pt idx="46">
                  <c:v>#N/A</c:v>
                </c:pt>
                <c:pt idx="47">
                  <c:v>2071.9299999999998</c:v>
                </c:pt>
                <c:pt idx="48">
                  <c:v>#N/A</c:v>
                </c:pt>
                <c:pt idx="49">
                  <c:v>#N/A</c:v>
                </c:pt>
                <c:pt idx="50">
                  <c:v>#N/A</c:v>
                </c:pt>
                <c:pt idx="51">
                  <c:v>#N/A</c:v>
                </c:pt>
                <c:pt idx="52">
                  <c:v>#N/A</c:v>
                </c:pt>
                <c:pt idx="53">
                  <c:v>#N/A</c:v>
                </c:pt>
                <c:pt idx="54">
                  <c:v>2103.08</c:v>
                </c:pt>
                <c:pt idx="55">
                  <c:v>#N/A</c:v>
                </c:pt>
                <c:pt idx="56">
                  <c:v>#N/A</c:v>
                </c:pt>
                <c:pt idx="57">
                  <c:v>#N/A</c:v>
                </c:pt>
                <c:pt idx="58">
                  <c:v>#N/A</c:v>
                </c:pt>
                <c:pt idx="59">
                  <c:v>#N/A</c:v>
                </c:pt>
                <c:pt idx="60">
                  <c:v>#N/A</c:v>
                </c:pt>
                <c:pt idx="61">
                  <c:v>2098.15</c:v>
                </c:pt>
                <c:pt idx="62">
                  <c:v>#N/A</c:v>
                </c:pt>
                <c:pt idx="63">
                  <c:v>#N/A</c:v>
                </c:pt>
                <c:pt idx="64">
                  <c:v>#N/A</c:v>
                </c:pt>
                <c:pt idx="65">
                  <c:v>#N/A</c:v>
                </c:pt>
                <c:pt idx="66">
                  <c:v>#N/A</c:v>
                </c:pt>
                <c:pt idx="67">
                  <c:v>#N/A</c:v>
                </c:pt>
                <c:pt idx="68">
                  <c:v>1999.3</c:v>
                </c:pt>
                <c:pt idx="69">
                  <c:v>#N/A</c:v>
                </c:pt>
                <c:pt idx="70">
                  <c:v>#N/A</c:v>
                </c:pt>
                <c:pt idx="71">
                  <c:v>#N/A</c:v>
                </c:pt>
                <c:pt idx="72">
                  <c:v>#N/A</c:v>
                </c:pt>
                <c:pt idx="73">
                  <c:v>#N/A</c:v>
                </c:pt>
                <c:pt idx="74">
                  <c:v>#N/A</c:v>
                </c:pt>
                <c:pt idx="75">
                  <c:v>2001.46</c:v>
                </c:pt>
                <c:pt idx="76">
                  <c:v>#N/A</c:v>
                </c:pt>
                <c:pt idx="77">
                  <c:v>#N/A</c:v>
                </c:pt>
                <c:pt idx="78">
                  <c:v>#N/A</c:v>
                </c:pt>
                <c:pt idx="79">
                  <c:v>#N/A</c:v>
                </c:pt>
                <c:pt idx="80">
                  <c:v>#N/A</c:v>
                </c:pt>
                <c:pt idx="81">
                  <c:v>#N/A</c:v>
                </c:pt>
                <c:pt idx="82">
                  <c:v>1898.76</c:v>
                </c:pt>
                <c:pt idx="83">
                  <c:v>#N/A</c:v>
                </c:pt>
                <c:pt idx="84">
                  <c:v>#N/A</c:v>
                </c:pt>
                <c:pt idx="85">
                  <c:v>#N/A</c:v>
                </c:pt>
                <c:pt idx="86">
                  <c:v>#N/A</c:v>
                </c:pt>
                <c:pt idx="87">
                  <c:v>#N/A</c:v>
                </c:pt>
                <c:pt idx="88">
                  <c:v>#N/A</c:v>
                </c:pt>
                <c:pt idx="89">
                  <c:v>1921.33</c:v>
                </c:pt>
                <c:pt idx="90">
                  <c:v>#N/A</c:v>
                </c:pt>
                <c:pt idx="91">
                  <c:v>#N/A</c:v>
                </c:pt>
                <c:pt idx="92">
                  <c:v>#N/A</c:v>
                </c:pt>
                <c:pt idx="93">
                  <c:v>#N/A</c:v>
                </c:pt>
                <c:pt idx="94">
                  <c:v>#N/A</c:v>
                </c:pt>
                <c:pt idx="95">
                  <c:v>#N/A</c:v>
                </c:pt>
                <c:pt idx="96">
                  <c:v>1914.14</c:v>
                </c:pt>
                <c:pt idx="97">
                  <c:v>#N/A</c:v>
                </c:pt>
                <c:pt idx="98">
                  <c:v>#N/A</c:v>
                </c:pt>
                <c:pt idx="99">
                  <c:v>#N/A</c:v>
                </c:pt>
                <c:pt idx="100">
                  <c:v>#N/A</c:v>
                </c:pt>
                <c:pt idx="101">
                  <c:v>#N/A</c:v>
                </c:pt>
                <c:pt idx="102">
                  <c:v>#N/A</c:v>
                </c:pt>
                <c:pt idx="103">
                  <c:v>1965.75</c:v>
                </c:pt>
                <c:pt idx="104">
                  <c:v>#N/A</c:v>
                </c:pt>
                <c:pt idx="105">
                  <c:v>#N/A</c:v>
                </c:pt>
                <c:pt idx="106">
                  <c:v>#N/A</c:v>
                </c:pt>
                <c:pt idx="107">
                  <c:v>#N/A</c:v>
                </c:pt>
                <c:pt idx="108">
                  <c:v>#N/A</c:v>
                </c:pt>
                <c:pt idx="109">
                  <c:v>#N/A</c:v>
                </c:pt>
                <c:pt idx="110">
                  <c:v>1994.47</c:v>
                </c:pt>
                <c:pt idx="111">
                  <c:v>#N/A</c:v>
                </c:pt>
                <c:pt idx="112">
                  <c:v>#N/A</c:v>
                </c:pt>
                <c:pt idx="113">
                  <c:v>#N/A</c:v>
                </c:pt>
                <c:pt idx="114">
                  <c:v>#N/A</c:v>
                </c:pt>
                <c:pt idx="115">
                  <c:v>#N/A</c:v>
                </c:pt>
                <c:pt idx="116">
                  <c:v>#N/A</c:v>
                </c:pt>
                <c:pt idx="117">
                  <c:v>2012.85</c:v>
                </c:pt>
                <c:pt idx="118">
                  <c:v>#N/A</c:v>
                </c:pt>
                <c:pt idx="119">
                  <c:v>#N/A</c:v>
                </c:pt>
                <c:pt idx="120">
                  <c:v>#N/A</c:v>
                </c:pt>
                <c:pt idx="121">
                  <c:v>#N/A</c:v>
                </c:pt>
                <c:pt idx="122">
                  <c:v>#N/A</c:v>
                </c:pt>
                <c:pt idx="123">
                  <c:v>#N/A</c:v>
                </c:pt>
                <c:pt idx="124">
                  <c:v>2047.97</c:v>
                </c:pt>
                <c:pt idx="125">
                  <c:v>#N/A</c:v>
                </c:pt>
                <c:pt idx="126">
                  <c:v>#N/A</c:v>
                </c:pt>
                <c:pt idx="127">
                  <c:v>#N/A</c:v>
                </c:pt>
                <c:pt idx="128">
                  <c:v>#N/A</c:v>
                </c:pt>
                <c:pt idx="129">
                  <c:v>#N/A</c:v>
                </c:pt>
                <c:pt idx="130">
                  <c:v>#N/A</c:v>
                </c:pt>
                <c:pt idx="131">
                  <c:v>2072.7600000000002</c:v>
                </c:pt>
                <c:pt idx="132">
                  <c:v>#N/A</c:v>
                </c:pt>
                <c:pt idx="133">
                  <c:v>#N/A</c:v>
                </c:pt>
                <c:pt idx="134">
                  <c:v>#N/A</c:v>
                </c:pt>
                <c:pt idx="135">
                  <c:v>#N/A</c:v>
                </c:pt>
                <c:pt idx="136">
                  <c:v>#N/A</c:v>
                </c:pt>
                <c:pt idx="137">
                  <c:v>#N/A</c:v>
                </c:pt>
                <c:pt idx="138">
                  <c:v>2079.2800000000002</c:v>
                </c:pt>
                <c:pt idx="139">
                  <c:v>#N/A</c:v>
                </c:pt>
                <c:pt idx="140">
                  <c:v>#N/A</c:v>
                </c:pt>
                <c:pt idx="141">
                  <c:v>#N/A</c:v>
                </c:pt>
                <c:pt idx="142">
                  <c:v>#N/A</c:v>
                </c:pt>
                <c:pt idx="143">
                  <c:v>#N/A</c:v>
                </c:pt>
                <c:pt idx="144">
                  <c:v>#N/A</c:v>
                </c:pt>
                <c:pt idx="145">
                  <c:v>2039.69</c:v>
                </c:pt>
                <c:pt idx="146">
                  <c:v>#N/A</c:v>
                </c:pt>
                <c:pt idx="147">
                  <c:v>#N/A</c:v>
                </c:pt>
                <c:pt idx="148">
                  <c:v>#N/A</c:v>
                </c:pt>
                <c:pt idx="149">
                  <c:v>#N/A</c:v>
                </c:pt>
                <c:pt idx="150">
                  <c:v>#N/A</c:v>
                </c:pt>
                <c:pt idx="151">
                  <c:v>#N/A</c:v>
                </c:pt>
                <c:pt idx="152">
                  <c:v>2085.89</c:v>
                </c:pt>
                <c:pt idx="153">
                  <c:v>#N/A</c:v>
                </c:pt>
                <c:pt idx="154">
                  <c:v>#N/A</c:v>
                </c:pt>
                <c:pt idx="155">
                  <c:v>#N/A</c:v>
                </c:pt>
                <c:pt idx="156">
                  <c:v>#N/A</c:v>
                </c:pt>
                <c:pt idx="157">
                  <c:v>#N/A</c:v>
                </c:pt>
                <c:pt idx="158">
                  <c:v>#N/A</c:v>
                </c:pt>
                <c:pt idx="159">
                  <c:v>2099.5082000000002</c:v>
                </c:pt>
                <c:pt idx="160">
                  <c:v>#N/A</c:v>
                </c:pt>
                <c:pt idx="161">
                  <c:v>#N/A</c:v>
                </c:pt>
                <c:pt idx="162">
                  <c:v>#N/A</c:v>
                </c:pt>
                <c:pt idx="163">
                  <c:v>#N/A</c:v>
                </c:pt>
                <c:pt idx="164">
                  <c:v>#N/A</c:v>
                </c:pt>
                <c:pt idx="165">
                  <c:v>#N/A</c:v>
                </c:pt>
                <c:pt idx="166">
                  <c:v>2108.4513999999999</c:v>
                </c:pt>
                <c:pt idx="167">
                  <c:v>#N/A</c:v>
                </c:pt>
                <c:pt idx="168">
                  <c:v>#N/A</c:v>
                </c:pt>
                <c:pt idx="169">
                  <c:v>#N/A</c:v>
                </c:pt>
                <c:pt idx="170">
                  <c:v>#N/A</c:v>
                </c:pt>
                <c:pt idx="171">
                  <c:v>#N/A</c:v>
                </c:pt>
                <c:pt idx="172">
                  <c:v>#N/A</c:v>
                </c:pt>
                <c:pt idx="173">
                  <c:v>2045.25</c:v>
                </c:pt>
                <c:pt idx="174">
                  <c:v>#N/A</c:v>
                </c:pt>
                <c:pt idx="175">
                  <c:v>#N/A</c:v>
                </c:pt>
                <c:pt idx="176">
                  <c:v>#N/A</c:v>
                </c:pt>
                <c:pt idx="177">
                  <c:v>#N/A</c:v>
                </c:pt>
                <c:pt idx="178">
                  <c:v>#N/A</c:v>
                </c:pt>
                <c:pt idx="179">
                  <c:v>#N/A</c:v>
                </c:pt>
                <c:pt idx="180">
                  <c:v>2087.83</c:v>
                </c:pt>
                <c:pt idx="181">
                  <c:v>#N/A</c:v>
                </c:pt>
                <c:pt idx="182">
                  <c:v>#N/A</c:v>
                </c:pt>
                <c:pt idx="183">
                  <c:v>#N/A</c:v>
                </c:pt>
                <c:pt idx="184">
                  <c:v>#N/A</c:v>
                </c:pt>
                <c:pt idx="185">
                  <c:v>#N/A</c:v>
                </c:pt>
                <c:pt idx="186">
                  <c:v>#N/A</c:v>
                </c:pt>
                <c:pt idx="187">
                  <c:v>2034.98</c:v>
                </c:pt>
                <c:pt idx="188">
                  <c:v>#N/A</c:v>
                </c:pt>
                <c:pt idx="189">
                  <c:v>#N/A</c:v>
                </c:pt>
                <c:pt idx="190">
                  <c:v>#N/A</c:v>
                </c:pt>
                <c:pt idx="191">
                  <c:v>#N/A</c:v>
                </c:pt>
                <c:pt idx="192">
                  <c:v>#N/A</c:v>
                </c:pt>
                <c:pt idx="193">
                  <c:v>#N/A</c:v>
                </c:pt>
                <c:pt idx="194">
                  <c:v>2045.87</c:v>
                </c:pt>
                <c:pt idx="195">
                  <c:v>#N/A</c:v>
                </c:pt>
                <c:pt idx="196">
                  <c:v>#N/A</c:v>
                </c:pt>
                <c:pt idx="197">
                  <c:v>#N/A</c:v>
                </c:pt>
                <c:pt idx="198">
                  <c:v>#N/A</c:v>
                </c:pt>
                <c:pt idx="199">
                  <c:v>#N/A</c:v>
                </c:pt>
                <c:pt idx="200">
                  <c:v>#N/A</c:v>
                </c:pt>
                <c:pt idx="201">
                  <c:v>2060.85</c:v>
                </c:pt>
                <c:pt idx="202">
                  <c:v>#N/A</c:v>
                </c:pt>
                <c:pt idx="203">
                  <c:v>#N/A</c:v>
                </c:pt>
                <c:pt idx="204">
                  <c:v>#N/A</c:v>
                </c:pt>
                <c:pt idx="205">
                  <c:v>#N/A</c:v>
                </c:pt>
                <c:pt idx="206">
                  <c:v>#N/A</c:v>
                </c:pt>
                <c:pt idx="207">
                  <c:v>#N/A</c:v>
                </c:pt>
                <c:pt idx="208">
                  <c:v>2120.34</c:v>
                </c:pt>
                <c:pt idx="209">
                  <c:v>#N/A</c:v>
                </c:pt>
                <c:pt idx="210">
                  <c:v>#N/A</c:v>
                </c:pt>
                <c:pt idx="211">
                  <c:v>#N/A</c:v>
                </c:pt>
                <c:pt idx="212">
                  <c:v>#N/A</c:v>
                </c:pt>
                <c:pt idx="213">
                  <c:v>#N/A</c:v>
                </c:pt>
                <c:pt idx="214">
                  <c:v>#N/A</c:v>
                </c:pt>
                <c:pt idx="215">
                  <c:v>2149.58</c:v>
                </c:pt>
                <c:pt idx="216">
                  <c:v>#N/A</c:v>
                </c:pt>
                <c:pt idx="217">
                  <c:v>#N/A</c:v>
                </c:pt>
                <c:pt idx="218">
                  <c:v>#N/A</c:v>
                </c:pt>
                <c:pt idx="219">
                  <c:v>#N/A</c:v>
                </c:pt>
                <c:pt idx="220">
                  <c:v>#N/A</c:v>
                </c:pt>
                <c:pt idx="221">
                  <c:v>#N/A</c:v>
                </c:pt>
                <c:pt idx="222">
                  <c:v>2182.56</c:v>
                </c:pt>
                <c:pt idx="223">
                  <c:v>#N/A</c:v>
                </c:pt>
                <c:pt idx="224">
                  <c:v>#N/A</c:v>
                </c:pt>
                <c:pt idx="225">
                  <c:v>#N/A</c:v>
                </c:pt>
                <c:pt idx="226">
                  <c:v>#N/A</c:v>
                </c:pt>
                <c:pt idx="227">
                  <c:v>#N/A</c:v>
                </c:pt>
                <c:pt idx="228">
                  <c:v>#N/A</c:v>
                </c:pt>
                <c:pt idx="229">
                  <c:v>2194.0500000000002</c:v>
                </c:pt>
                <c:pt idx="230">
                  <c:v>#N/A</c:v>
                </c:pt>
                <c:pt idx="231">
                  <c:v>#N/A</c:v>
                </c:pt>
                <c:pt idx="232">
                  <c:v>#N/A</c:v>
                </c:pt>
                <c:pt idx="233">
                  <c:v>#N/A</c:v>
                </c:pt>
                <c:pt idx="234">
                  <c:v>#N/A</c:v>
                </c:pt>
                <c:pt idx="235">
                  <c:v>#N/A</c:v>
                </c:pt>
                <c:pt idx="236">
                  <c:v>2212.41</c:v>
                </c:pt>
                <c:pt idx="237">
                  <c:v>#N/A</c:v>
                </c:pt>
                <c:pt idx="238">
                  <c:v>#N/A</c:v>
                </c:pt>
                <c:pt idx="239">
                  <c:v>#N/A</c:v>
                </c:pt>
                <c:pt idx="240">
                  <c:v>#N/A</c:v>
                </c:pt>
                <c:pt idx="241">
                  <c:v>#N/A</c:v>
                </c:pt>
                <c:pt idx="242">
                  <c:v>#N/A</c:v>
                </c:pt>
                <c:pt idx="243">
                  <c:v>2184.73</c:v>
                </c:pt>
                <c:pt idx="244">
                  <c:v>#N/A</c:v>
                </c:pt>
                <c:pt idx="245">
                  <c:v>#N/A</c:v>
                </c:pt>
                <c:pt idx="246">
                  <c:v>#N/A</c:v>
                </c:pt>
                <c:pt idx="247">
                  <c:v>#N/A</c:v>
                </c:pt>
                <c:pt idx="248">
                  <c:v>#N/A</c:v>
                </c:pt>
                <c:pt idx="249">
                  <c:v>#N/A</c:v>
                </c:pt>
                <c:pt idx="250">
                  <c:v>2166.48</c:v>
                </c:pt>
                <c:pt idx="251">
                  <c:v>#N/A</c:v>
                </c:pt>
                <c:pt idx="252">
                  <c:v>#N/A</c:v>
                </c:pt>
                <c:pt idx="253">
                  <c:v>#N/A</c:v>
                </c:pt>
                <c:pt idx="254">
                  <c:v>#N/A</c:v>
                </c:pt>
                <c:pt idx="255">
                  <c:v>#N/A</c:v>
                </c:pt>
                <c:pt idx="256">
                  <c:v>#N/A</c:v>
                </c:pt>
                <c:pt idx="257">
                  <c:v>2169.17</c:v>
                </c:pt>
                <c:pt idx="258">
                  <c:v>#N/A</c:v>
                </c:pt>
                <c:pt idx="259">
                  <c:v>#N/A</c:v>
                </c:pt>
                <c:pt idx="260">
                  <c:v>#N/A</c:v>
                </c:pt>
                <c:pt idx="261">
                  <c:v>#N/A</c:v>
                </c:pt>
                <c:pt idx="262">
                  <c:v>#N/A</c:v>
                </c:pt>
                <c:pt idx="263">
                  <c:v>#N/A</c:v>
                </c:pt>
                <c:pt idx="264">
                  <c:v>2205.2199999999998</c:v>
                </c:pt>
                <c:pt idx="265">
                  <c:v>#N/A</c:v>
                </c:pt>
                <c:pt idx="266">
                  <c:v>#N/A</c:v>
                </c:pt>
                <c:pt idx="267">
                  <c:v>#N/A</c:v>
                </c:pt>
                <c:pt idx="268">
                  <c:v>#N/A</c:v>
                </c:pt>
                <c:pt idx="269">
                  <c:v>#N/A</c:v>
                </c:pt>
                <c:pt idx="270">
                  <c:v>#N/A</c:v>
                </c:pt>
                <c:pt idx="271">
                  <c:v>2186.4</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2260.4299999999998</c:v>
                </c:pt>
                <c:pt idx="286">
                  <c:v>#N/A</c:v>
                </c:pt>
                <c:pt idx="287">
                  <c:v>#N/A</c:v>
                </c:pt>
                <c:pt idx="288">
                  <c:v>#N/A</c:v>
                </c:pt>
                <c:pt idx="289">
                  <c:v>#N/A</c:v>
                </c:pt>
                <c:pt idx="290">
                  <c:v>#N/A</c:v>
                </c:pt>
                <c:pt idx="291">
                  <c:v>#N/A</c:v>
                </c:pt>
                <c:pt idx="292">
                  <c:v>2208.63</c:v>
                </c:pt>
                <c:pt idx="293">
                  <c:v>#N/A</c:v>
                </c:pt>
                <c:pt idx="294">
                  <c:v>#N/A</c:v>
                </c:pt>
                <c:pt idx="295">
                  <c:v>#N/A</c:v>
                </c:pt>
                <c:pt idx="296">
                  <c:v>#N/A</c:v>
                </c:pt>
                <c:pt idx="297">
                  <c:v>#N/A</c:v>
                </c:pt>
                <c:pt idx="298">
                  <c:v>#N/A</c:v>
                </c:pt>
                <c:pt idx="299">
                  <c:v>2220.85</c:v>
                </c:pt>
                <c:pt idx="300">
                  <c:v>#N/A</c:v>
                </c:pt>
                <c:pt idx="301">
                  <c:v>#N/A</c:v>
                </c:pt>
                <c:pt idx="302">
                  <c:v>#N/A</c:v>
                </c:pt>
                <c:pt idx="303">
                  <c:v>#N/A</c:v>
                </c:pt>
                <c:pt idx="304">
                  <c:v>#N/A</c:v>
                </c:pt>
                <c:pt idx="305">
                  <c:v>#N/A</c:v>
                </c:pt>
                <c:pt idx="306">
                  <c:v>2157.69</c:v>
                </c:pt>
                <c:pt idx="307">
                  <c:v>#N/A</c:v>
                </c:pt>
                <c:pt idx="308">
                  <c:v>#N/A</c:v>
                </c:pt>
                <c:pt idx="309">
                  <c:v>#N/A</c:v>
                </c:pt>
                <c:pt idx="310">
                  <c:v>#N/A</c:v>
                </c:pt>
                <c:pt idx="311">
                  <c:v>#N/A</c:v>
                </c:pt>
                <c:pt idx="312">
                  <c:v>#N/A</c:v>
                </c:pt>
                <c:pt idx="313">
                  <c:v>2126.17</c:v>
                </c:pt>
                <c:pt idx="314">
                  <c:v>#N/A</c:v>
                </c:pt>
                <c:pt idx="315">
                  <c:v>#N/A</c:v>
                </c:pt>
                <c:pt idx="316">
                  <c:v>#N/A</c:v>
                </c:pt>
                <c:pt idx="317">
                  <c:v>#N/A</c:v>
                </c:pt>
                <c:pt idx="318">
                  <c:v>#N/A</c:v>
                </c:pt>
                <c:pt idx="319">
                  <c:v>#N/A</c:v>
                </c:pt>
                <c:pt idx="320">
                  <c:v>2116.79</c:v>
                </c:pt>
                <c:pt idx="321">
                  <c:v>#N/A</c:v>
                </c:pt>
                <c:pt idx="322">
                  <c:v>#N/A</c:v>
                </c:pt>
                <c:pt idx="323">
                  <c:v>#N/A</c:v>
                </c:pt>
                <c:pt idx="324">
                  <c:v>#N/A</c:v>
                </c:pt>
                <c:pt idx="325">
                  <c:v>#N/A</c:v>
                </c:pt>
                <c:pt idx="326">
                  <c:v>#N/A</c:v>
                </c:pt>
                <c:pt idx="327">
                  <c:v>2003.97</c:v>
                </c:pt>
                <c:pt idx="328">
                  <c:v>#N/A</c:v>
                </c:pt>
                <c:pt idx="329">
                  <c:v>#N/A</c:v>
                </c:pt>
                <c:pt idx="330">
                  <c:v>#N/A</c:v>
                </c:pt>
                <c:pt idx="331">
                  <c:v>#N/A</c:v>
                </c:pt>
                <c:pt idx="332">
                  <c:v>#N/A</c:v>
                </c:pt>
                <c:pt idx="333">
                  <c:v>#N/A</c:v>
                </c:pt>
                <c:pt idx="334">
                  <c:v>1988.09</c:v>
                </c:pt>
                <c:pt idx="335">
                  <c:v>#N/A</c:v>
                </c:pt>
                <c:pt idx="336">
                  <c:v>#N/A</c:v>
                </c:pt>
                <c:pt idx="337">
                  <c:v>#N/A</c:v>
                </c:pt>
                <c:pt idx="338">
                  <c:v>#N/A</c:v>
                </c:pt>
                <c:pt idx="339">
                  <c:v>#N/A</c:v>
                </c:pt>
                <c:pt idx="340">
                  <c:v>#N/A</c:v>
                </c:pt>
                <c:pt idx="341">
                  <c:v>2059.87</c:v>
                </c:pt>
                <c:pt idx="342">
                  <c:v>#N/A</c:v>
                </c:pt>
                <c:pt idx="343">
                  <c:v>#N/A</c:v>
                </c:pt>
                <c:pt idx="344">
                  <c:v>#N/A</c:v>
                </c:pt>
                <c:pt idx="345">
                  <c:v>#N/A</c:v>
                </c:pt>
                <c:pt idx="346">
                  <c:v>#N/A</c:v>
                </c:pt>
                <c:pt idx="347">
                  <c:v>#N/A</c:v>
                </c:pt>
                <c:pt idx="348">
                  <c:v>2064.35</c:v>
                </c:pt>
                <c:pt idx="349">
                  <c:v>#N/A</c:v>
                </c:pt>
                <c:pt idx="350">
                  <c:v>#N/A</c:v>
                </c:pt>
                <c:pt idx="351">
                  <c:v>#N/A</c:v>
                </c:pt>
                <c:pt idx="352">
                  <c:v>#N/A</c:v>
                </c:pt>
                <c:pt idx="353">
                  <c:v>#N/A</c:v>
                </c:pt>
                <c:pt idx="354">
                  <c:v>#N/A</c:v>
                </c:pt>
                <c:pt idx="355">
                  <c:v>2046.16</c:v>
                </c:pt>
                <c:pt idx="356">
                  <c:v>#N/A</c:v>
                </c:pt>
                <c:pt idx="357">
                  <c:v>#N/A</c:v>
                </c:pt>
                <c:pt idx="358">
                  <c:v>#N/A</c:v>
                </c:pt>
                <c:pt idx="359">
                  <c:v>#N/A</c:v>
                </c:pt>
                <c:pt idx="360">
                  <c:v>#N/A</c:v>
                </c:pt>
                <c:pt idx="361">
                  <c:v>#N/A</c:v>
                </c:pt>
                <c:pt idx="362">
                  <c:v>2011.89</c:v>
                </c:pt>
                <c:pt idx="363">
                  <c:v>#N/A</c:v>
                </c:pt>
                <c:pt idx="364">
                  <c:v>#N/A</c:v>
                </c:pt>
              </c:numCache>
            </c:numRef>
          </c:val>
          <c:smooth val="1"/>
          <c:extLst xmlns:c16r2="http://schemas.microsoft.com/office/drawing/2015/06/chart">
            <c:ext xmlns:c16="http://schemas.microsoft.com/office/drawing/2014/chart" uri="{C3380CC4-5D6E-409C-BE32-E72D297353CC}">
              <c16:uniqueId val="{00000000-263E-4541-8F4F-0EB9B7B9BD50}"/>
            </c:ext>
          </c:extLst>
        </c:ser>
        <c:ser>
          <c:idx val="2"/>
          <c:order val="1"/>
          <c:tx>
            <c:strRef>
              <c:f>南华!$I$1</c:f>
              <c:strCache>
                <c:ptCount val="1"/>
                <c:pt idx="0">
                  <c:v>2019</c:v>
                </c:pt>
              </c:strCache>
            </c:strRef>
          </c:tx>
          <c:spPr>
            <a:ln w="28575">
              <a:solidFill>
                <a:srgbClr val="F8CBAD"/>
              </a:solidFill>
              <a:prstDash val="soli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南华!$I$2:$I$366</c:f>
              <c:numCache>
                <c:formatCode>General</c:formatCode>
                <c:ptCount val="365"/>
                <c:pt idx="0">
                  <c:v>#N/A</c:v>
                </c:pt>
                <c:pt idx="1">
                  <c:v>#N/A</c:v>
                </c:pt>
                <c:pt idx="2">
                  <c:v>#N/A</c:v>
                </c:pt>
                <c:pt idx="3">
                  <c:v>#N/A</c:v>
                </c:pt>
                <c:pt idx="4">
                  <c:v>2048.88</c:v>
                </c:pt>
                <c:pt idx="5">
                  <c:v>#N/A</c:v>
                </c:pt>
                <c:pt idx="6">
                  <c:v>#N/A</c:v>
                </c:pt>
                <c:pt idx="7">
                  <c:v>#N/A</c:v>
                </c:pt>
                <c:pt idx="8">
                  <c:v>#N/A</c:v>
                </c:pt>
                <c:pt idx="9">
                  <c:v>#N/A</c:v>
                </c:pt>
                <c:pt idx="10">
                  <c:v>#N/A</c:v>
                </c:pt>
                <c:pt idx="11">
                  <c:v>2079.09</c:v>
                </c:pt>
                <c:pt idx="12">
                  <c:v>#N/A</c:v>
                </c:pt>
                <c:pt idx="13">
                  <c:v>#N/A</c:v>
                </c:pt>
                <c:pt idx="14">
                  <c:v>#N/A</c:v>
                </c:pt>
                <c:pt idx="15">
                  <c:v>#N/A</c:v>
                </c:pt>
                <c:pt idx="16">
                  <c:v>#N/A</c:v>
                </c:pt>
                <c:pt idx="17">
                  <c:v>#N/A</c:v>
                </c:pt>
                <c:pt idx="18">
                  <c:v>2122.16</c:v>
                </c:pt>
                <c:pt idx="19">
                  <c:v>#N/A</c:v>
                </c:pt>
                <c:pt idx="20">
                  <c:v>#N/A</c:v>
                </c:pt>
                <c:pt idx="21">
                  <c:v>#N/A</c:v>
                </c:pt>
                <c:pt idx="22">
                  <c:v>#N/A</c:v>
                </c:pt>
                <c:pt idx="23">
                  <c:v>#N/A</c:v>
                </c:pt>
                <c:pt idx="24">
                  <c:v>#N/A</c:v>
                </c:pt>
                <c:pt idx="25">
                  <c:v>2127.4299999999998</c:v>
                </c:pt>
                <c:pt idx="26">
                  <c:v>#N/A</c:v>
                </c:pt>
                <c:pt idx="27">
                  <c:v>#N/A</c:v>
                </c:pt>
                <c:pt idx="28">
                  <c:v>#N/A</c:v>
                </c:pt>
                <c:pt idx="29">
                  <c:v>#N/A</c:v>
                </c:pt>
                <c:pt idx="30">
                  <c:v>#N/A</c:v>
                </c:pt>
                <c:pt idx="31">
                  <c:v>#N/A</c:v>
                </c:pt>
                <c:pt idx="32">
                  <c:v>2191.3200000000002</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2169.5</c:v>
                </c:pt>
                <c:pt idx="47">
                  <c:v>#N/A</c:v>
                </c:pt>
                <c:pt idx="48">
                  <c:v>#N/A</c:v>
                </c:pt>
                <c:pt idx="49">
                  <c:v>#N/A</c:v>
                </c:pt>
                <c:pt idx="50">
                  <c:v>#N/A</c:v>
                </c:pt>
                <c:pt idx="51">
                  <c:v>#N/A</c:v>
                </c:pt>
                <c:pt idx="52">
                  <c:v>#N/A</c:v>
                </c:pt>
                <c:pt idx="53">
                  <c:v>2236.9299999999998</c:v>
                </c:pt>
                <c:pt idx="54">
                  <c:v>#N/A</c:v>
                </c:pt>
                <c:pt idx="55">
                  <c:v>#N/A</c:v>
                </c:pt>
                <c:pt idx="56">
                  <c:v>#N/A</c:v>
                </c:pt>
                <c:pt idx="57">
                  <c:v>#N/A</c:v>
                </c:pt>
                <c:pt idx="58">
                  <c:v>#N/A</c:v>
                </c:pt>
                <c:pt idx="59">
                  <c:v>#N/A</c:v>
                </c:pt>
                <c:pt idx="60">
                  <c:v>2261.9499999999998</c:v>
                </c:pt>
                <c:pt idx="61">
                  <c:v>#N/A</c:v>
                </c:pt>
                <c:pt idx="62">
                  <c:v>#N/A</c:v>
                </c:pt>
                <c:pt idx="63">
                  <c:v>#N/A</c:v>
                </c:pt>
                <c:pt idx="64">
                  <c:v>#N/A</c:v>
                </c:pt>
                <c:pt idx="65">
                  <c:v>#N/A</c:v>
                </c:pt>
                <c:pt idx="66">
                  <c:v>#N/A</c:v>
                </c:pt>
                <c:pt idx="67">
                  <c:v>2198.5300000000002</c:v>
                </c:pt>
                <c:pt idx="68">
                  <c:v>#N/A</c:v>
                </c:pt>
                <c:pt idx="69">
                  <c:v>#N/A</c:v>
                </c:pt>
                <c:pt idx="70">
                  <c:v>#N/A</c:v>
                </c:pt>
                <c:pt idx="71">
                  <c:v>#N/A</c:v>
                </c:pt>
                <c:pt idx="72">
                  <c:v>#N/A</c:v>
                </c:pt>
                <c:pt idx="73">
                  <c:v>#N/A</c:v>
                </c:pt>
                <c:pt idx="74">
                  <c:v>2200.92</c:v>
                </c:pt>
                <c:pt idx="75">
                  <c:v>#N/A</c:v>
                </c:pt>
                <c:pt idx="76">
                  <c:v>#N/A</c:v>
                </c:pt>
                <c:pt idx="77">
                  <c:v>#N/A</c:v>
                </c:pt>
                <c:pt idx="78">
                  <c:v>#N/A</c:v>
                </c:pt>
                <c:pt idx="79">
                  <c:v>#N/A</c:v>
                </c:pt>
                <c:pt idx="80">
                  <c:v>#N/A</c:v>
                </c:pt>
                <c:pt idx="81">
                  <c:v>2200.04</c:v>
                </c:pt>
                <c:pt idx="82">
                  <c:v>#N/A</c:v>
                </c:pt>
                <c:pt idx="83">
                  <c:v>#N/A</c:v>
                </c:pt>
                <c:pt idx="84">
                  <c:v>#N/A</c:v>
                </c:pt>
                <c:pt idx="85">
                  <c:v>#N/A</c:v>
                </c:pt>
                <c:pt idx="86">
                  <c:v>#N/A</c:v>
                </c:pt>
                <c:pt idx="87">
                  <c:v>#N/A</c:v>
                </c:pt>
                <c:pt idx="88">
                  <c:v>2191.34</c:v>
                </c:pt>
                <c:pt idx="89">
                  <c:v>#N/A</c:v>
                </c:pt>
                <c:pt idx="90">
                  <c:v>#N/A</c:v>
                </c:pt>
                <c:pt idx="91">
                  <c:v>#N/A</c:v>
                </c:pt>
                <c:pt idx="92">
                  <c:v>#N/A</c:v>
                </c:pt>
                <c:pt idx="93">
                  <c:v>#N/A</c:v>
                </c:pt>
                <c:pt idx="94">
                  <c:v>#N/A</c:v>
                </c:pt>
                <c:pt idx="95">
                  <c:v>2252.59</c:v>
                </c:pt>
                <c:pt idx="96">
                  <c:v>#N/A</c:v>
                </c:pt>
                <c:pt idx="97">
                  <c:v>#N/A</c:v>
                </c:pt>
                <c:pt idx="98">
                  <c:v>#N/A</c:v>
                </c:pt>
                <c:pt idx="99">
                  <c:v>#N/A</c:v>
                </c:pt>
                <c:pt idx="100">
                  <c:v>#N/A</c:v>
                </c:pt>
                <c:pt idx="101">
                  <c:v>#N/A</c:v>
                </c:pt>
                <c:pt idx="102">
                  <c:v>2286.11</c:v>
                </c:pt>
                <c:pt idx="103">
                  <c:v>#N/A</c:v>
                </c:pt>
                <c:pt idx="104">
                  <c:v>#N/A</c:v>
                </c:pt>
                <c:pt idx="105">
                  <c:v>#N/A</c:v>
                </c:pt>
                <c:pt idx="106">
                  <c:v>#N/A</c:v>
                </c:pt>
                <c:pt idx="107">
                  <c:v>#N/A</c:v>
                </c:pt>
                <c:pt idx="108">
                  <c:v>#N/A</c:v>
                </c:pt>
                <c:pt idx="109">
                  <c:v>2253.19</c:v>
                </c:pt>
                <c:pt idx="110">
                  <c:v>#N/A</c:v>
                </c:pt>
                <c:pt idx="111">
                  <c:v>#N/A</c:v>
                </c:pt>
                <c:pt idx="112">
                  <c:v>#N/A</c:v>
                </c:pt>
                <c:pt idx="113">
                  <c:v>#N/A</c:v>
                </c:pt>
                <c:pt idx="114">
                  <c:v>#N/A</c:v>
                </c:pt>
                <c:pt idx="115">
                  <c:v>#N/A</c:v>
                </c:pt>
                <c:pt idx="116">
                  <c:v>2250.8000000000002</c:v>
                </c:pt>
                <c:pt idx="117">
                  <c:v>#N/A</c:v>
                </c:pt>
                <c:pt idx="118">
                  <c:v>#N/A</c:v>
                </c:pt>
                <c:pt idx="119">
                  <c:v>#N/A</c:v>
                </c:pt>
                <c:pt idx="120">
                  <c:v>#N/A</c:v>
                </c:pt>
                <c:pt idx="121">
                  <c:v>#N/A</c:v>
                </c:pt>
                <c:pt idx="122">
                  <c:v>#N/A</c:v>
                </c:pt>
                <c:pt idx="123">
                  <c:v>2274.46</c:v>
                </c:pt>
                <c:pt idx="124">
                  <c:v>#N/A</c:v>
                </c:pt>
                <c:pt idx="125">
                  <c:v>#N/A</c:v>
                </c:pt>
                <c:pt idx="126">
                  <c:v>#N/A</c:v>
                </c:pt>
                <c:pt idx="127">
                  <c:v>#N/A</c:v>
                </c:pt>
                <c:pt idx="128">
                  <c:v>#N/A</c:v>
                </c:pt>
                <c:pt idx="129">
                  <c:v>#N/A</c:v>
                </c:pt>
                <c:pt idx="130">
                  <c:v>2270.42</c:v>
                </c:pt>
                <c:pt idx="131">
                  <c:v>#N/A</c:v>
                </c:pt>
                <c:pt idx="132">
                  <c:v>#N/A</c:v>
                </c:pt>
                <c:pt idx="133">
                  <c:v>#N/A</c:v>
                </c:pt>
                <c:pt idx="134">
                  <c:v>#N/A</c:v>
                </c:pt>
                <c:pt idx="135">
                  <c:v>#N/A</c:v>
                </c:pt>
                <c:pt idx="136">
                  <c:v>#N/A</c:v>
                </c:pt>
                <c:pt idx="137">
                  <c:v>2307.73</c:v>
                </c:pt>
                <c:pt idx="138">
                  <c:v>#N/A</c:v>
                </c:pt>
                <c:pt idx="139">
                  <c:v>#N/A</c:v>
                </c:pt>
                <c:pt idx="140">
                  <c:v>#N/A</c:v>
                </c:pt>
                <c:pt idx="141">
                  <c:v>#N/A</c:v>
                </c:pt>
                <c:pt idx="142">
                  <c:v>#N/A</c:v>
                </c:pt>
                <c:pt idx="143">
                  <c:v>#N/A</c:v>
                </c:pt>
                <c:pt idx="144">
                  <c:v>2309.7600000000002</c:v>
                </c:pt>
                <c:pt idx="145">
                  <c:v>#N/A</c:v>
                </c:pt>
                <c:pt idx="146">
                  <c:v>#N/A</c:v>
                </c:pt>
                <c:pt idx="147">
                  <c:v>#N/A</c:v>
                </c:pt>
                <c:pt idx="148">
                  <c:v>#N/A</c:v>
                </c:pt>
                <c:pt idx="149">
                  <c:v>#N/A</c:v>
                </c:pt>
                <c:pt idx="150">
                  <c:v>#N/A</c:v>
                </c:pt>
                <c:pt idx="151">
                  <c:v>2263.06</c:v>
                </c:pt>
                <c:pt idx="152">
                  <c:v>#N/A</c:v>
                </c:pt>
                <c:pt idx="153">
                  <c:v>#N/A</c:v>
                </c:pt>
                <c:pt idx="154">
                  <c:v>#N/A</c:v>
                </c:pt>
                <c:pt idx="155">
                  <c:v>#N/A</c:v>
                </c:pt>
                <c:pt idx="156">
                  <c:v>#N/A</c:v>
                </c:pt>
                <c:pt idx="157">
                  <c:v>#N/A</c:v>
                </c:pt>
                <c:pt idx="158">
                  <c:v>2223.44</c:v>
                </c:pt>
                <c:pt idx="159">
                  <c:v>#N/A</c:v>
                </c:pt>
                <c:pt idx="160">
                  <c:v>#N/A</c:v>
                </c:pt>
                <c:pt idx="161">
                  <c:v>#N/A</c:v>
                </c:pt>
                <c:pt idx="162">
                  <c:v>#N/A</c:v>
                </c:pt>
                <c:pt idx="163">
                  <c:v>#N/A</c:v>
                </c:pt>
                <c:pt idx="164">
                  <c:v>#N/A</c:v>
                </c:pt>
                <c:pt idx="165">
                  <c:v>2253.75</c:v>
                </c:pt>
                <c:pt idx="166">
                  <c:v>#N/A</c:v>
                </c:pt>
                <c:pt idx="167">
                  <c:v>#N/A</c:v>
                </c:pt>
                <c:pt idx="168">
                  <c:v>#N/A</c:v>
                </c:pt>
                <c:pt idx="169">
                  <c:v>#N/A</c:v>
                </c:pt>
                <c:pt idx="170">
                  <c:v>#N/A</c:v>
                </c:pt>
                <c:pt idx="171">
                  <c:v>#N/A</c:v>
                </c:pt>
                <c:pt idx="172">
                  <c:v>2290.59</c:v>
                </c:pt>
                <c:pt idx="173">
                  <c:v>#N/A</c:v>
                </c:pt>
                <c:pt idx="174">
                  <c:v>#N/A</c:v>
                </c:pt>
                <c:pt idx="175">
                  <c:v>#N/A</c:v>
                </c:pt>
                <c:pt idx="176">
                  <c:v>#N/A</c:v>
                </c:pt>
                <c:pt idx="177">
                  <c:v>#N/A</c:v>
                </c:pt>
                <c:pt idx="178">
                  <c:v>#N/A</c:v>
                </c:pt>
                <c:pt idx="179">
                  <c:v>2329.38</c:v>
                </c:pt>
                <c:pt idx="180">
                  <c:v>#N/A</c:v>
                </c:pt>
                <c:pt idx="181">
                  <c:v>#N/A</c:v>
                </c:pt>
                <c:pt idx="182">
                  <c:v>#N/A</c:v>
                </c:pt>
                <c:pt idx="183">
                  <c:v>#N/A</c:v>
                </c:pt>
                <c:pt idx="184">
                  <c:v>#N/A</c:v>
                </c:pt>
                <c:pt idx="185">
                  <c:v>#N/A</c:v>
                </c:pt>
                <c:pt idx="186">
                  <c:v>2313.8000000000002</c:v>
                </c:pt>
                <c:pt idx="187">
                  <c:v>#N/A</c:v>
                </c:pt>
                <c:pt idx="188">
                  <c:v>#N/A</c:v>
                </c:pt>
                <c:pt idx="189">
                  <c:v>#N/A</c:v>
                </c:pt>
                <c:pt idx="190">
                  <c:v>#N/A</c:v>
                </c:pt>
                <c:pt idx="191">
                  <c:v>#N/A</c:v>
                </c:pt>
                <c:pt idx="192">
                  <c:v>#N/A</c:v>
                </c:pt>
                <c:pt idx="193">
                  <c:v>2337.94</c:v>
                </c:pt>
                <c:pt idx="194">
                  <c:v>#N/A</c:v>
                </c:pt>
                <c:pt idx="195">
                  <c:v>#N/A</c:v>
                </c:pt>
                <c:pt idx="196">
                  <c:v>#N/A</c:v>
                </c:pt>
                <c:pt idx="197">
                  <c:v>#N/A</c:v>
                </c:pt>
                <c:pt idx="198">
                  <c:v>#N/A</c:v>
                </c:pt>
                <c:pt idx="199">
                  <c:v>#N/A</c:v>
                </c:pt>
                <c:pt idx="200">
                  <c:v>2369.3000000000002</c:v>
                </c:pt>
                <c:pt idx="201">
                  <c:v>#N/A</c:v>
                </c:pt>
                <c:pt idx="202">
                  <c:v>#N/A</c:v>
                </c:pt>
                <c:pt idx="203">
                  <c:v>#N/A</c:v>
                </c:pt>
                <c:pt idx="204">
                  <c:v>#N/A</c:v>
                </c:pt>
                <c:pt idx="205">
                  <c:v>#N/A</c:v>
                </c:pt>
                <c:pt idx="206">
                  <c:v>#N/A</c:v>
                </c:pt>
                <c:pt idx="207">
                  <c:v>2333.4299999999998</c:v>
                </c:pt>
                <c:pt idx="208">
                  <c:v>#N/A</c:v>
                </c:pt>
                <c:pt idx="209">
                  <c:v>#N/A</c:v>
                </c:pt>
                <c:pt idx="210">
                  <c:v>#N/A</c:v>
                </c:pt>
                <c:pt idx="211">
                  <c:v>#N/A</c:v>
                </c:pt>
                <c:pt idx="212">
                  <c:v>#N/A</c:v>
                </c:pt>
                <c:pt idx="213">
                  <c:v>#N/A</c:v>
                </c:pt>
                <c:pt idx="214">
                  <c:v>2287.13</c:v>
                </c:pt>
                <c:pt idx="215">
                  <c:v>#N/A</c:v>
                </c:pt>
                <c:pt idx="216">
                  <c:v>#N/A</c:v>
                </c:pt>
                <c:pt idx="217">
                  <c:v>#N/A</c:v>
                </c:pt>
                <c:pt idx="218">
                  <c:v>#N/A</c:v>
                </c:pt>
                <c:pt idx="219">
                  <c:v>#N/A</c:v>
                </c:pt>
                <c:pt idx="220">
                  <c:v>#N/A</c:v>
                </c:pt>
                <c:pt idx="221">
                  <c:v>2219.92</c:v>
                </c:pt>
                <c:pt idx="222">
                  <c:v>#N/A</c:v>
                </c:pt>
                <c:pt idx="223">
                  <c:v>#N/A</c:v>
                </c:pt>
                <c:pt idx="224">
                  <c:v>#N/A</c:v>
                </c:pt>
                <c:pt idx="225">
                  <c:v>#N/A</c:v>
                </c:pt>
                <c:pt idx="226">
                  <c:v>#N/A</c:v>
                </c:pt>
                <c:pt idx="227">
                  <c:v>#N/A</c:v>
                </c:pt>
                <c:pt idx="228">
                  <c:v>2231.1999999999998</c:v>
                </c:pt>
                <c:pt idx="229">
                  <c:v>#N/A</c:v>
                </c:pt>
                <c:pt idx="230">
                  <c:v>#N/A</c:v>
                </c:pt>
                <c:pt idx="231">
                  <c:v>#N/A</c:v>
                </c:pt>
                <c:pt idx="232">
                  <c:v>#N/A</c:v>
                </c:pt>
                <c:pt idx="233">
                  <c:v>#N/A</c:v>
                </c:pt>
                <c:pt idx="234">
                  <c:v>#N/A</c:v>
                </c:pt>
                <c:pt idx="235">
                  <c:v>2222.88</c:v>
                </c:pt>
                <c:pt idx="236">
                  <c:v>#N/A</c:v>
                </c:pt>
                <c:pt idx="237">
                  <c:v>#N/A</c:v>
                </c:pt>
                <c:pt idx="238">
                  <c:v>#N/A</c:v>
                </c:pt>
                <c:pt idx="239">
                  <c:v>#N/A</c:v>
                </c:pt>
                <c:pt idx="240">
                  <c:v>#N/A</c:v>
                </c:pt>
                <c:pt idx="241">
                  <c:v>#N/A</c:v>
                </c:pt>
                <c:pt idx="242">
                  <c:v>2225.21</c:v>
                </c:pt>
                <c:pt idx="243">
                  <c:v>#N/A</c:v>
                </c:pt>
                <c:pt idx="244">
                  <c:v>#N/A</c:v>
                </c:pt>
                <c:pt idx="245">
                  <c:v>#N/A</c:v>
                </c:pt>
                <c:pt idx="246">
                  <c:v>#N/A</c:v>
                </c:pt>
                <c:pt idx="247">
                  <c:v>#N/A</c:v>
                </c:pt>
                <c:pt idx="248">
                  <c:v>#N/A</c:v>
                </c:pt>
                <c:pt idx="249">
                  <c:v>2262.46</c:v>
                </c:pt>
                <c:pt idx="250">
                  <c:v>#N/A</c:v>
                </c:pt>
                <c:pt idx="251">
                  <c:v>#N/A</c:v>
                </c:pt>
                <c:pt idx="252">
                  <c:v>#N/A</c:v>
                </c:pt>
                <c:pt idx="253">
                  <c:v>#N/A</c:v>
                </c:pt>
                <c:pt idx="254">
                  <c:v>#N/A</c:v>
                </c:pt>
                <c:pt idx="255">
                  <c:v>#N/A</c:v>
                </c:pt>
                <c:pt idx="256">
                  <c:v>2325.7800000000002</c:v>
                </c:pt>
                <c:pt idx="257">
                  <c:v>#N/A</c:v>
                </c:pt>
                <c:pt idx="258">
                  <c:v>#N/A</c:v>
                </c:pt>
                <c:pt idx="259">
                  <c:v>#N/A</c:v>
                </c:pt>
                <c:pt idx="260">
                  <c:v>#N/A</c:v>
                </c:pt>
                <c:pt idx="261">
                  <c:v>#N/A</c:v>
                </c:pt>
                <c:pt idx="262">
                  <c:v>#N/A</c:v>
                </c:pt>
                <c:pt idx="263">
                  <c:v>2288.17</c:v>
                </c:pt>
                <c:pt idx="264">
                  <c:v>#N/A</c:v>
                </c:pt>
                <c:pt idx="265">
                  <c:v>#N/A</c:v>
                </c:pt>
                <c:pt idx="266">
                  <c:v>#N/A</c:v>
                </c:pt>
                <c:pt idx="267">
                  <c:v>#N/A</c:v>
                </c:pt>
                <c:pt idx="268">
                  <c:v>#N/A</c:v>
                </c:pt>
                <c:pt idx="269">
                  <c:v>#N/A</c:v>
                </c:pt>
                <c:pt idx="270">
                  <c:v>2262.38</c:v>
                </c:pt>
                <c:pt idx="271">
                  <c:v>#N/A</c:v>
                </c:pt>
                <c:pt idx="272">
                  <c:v>#N/A</c:v>
                </c:pt>
                <c:pt idx="273">
                  <c:v>#N/A</c:v>
                </c:pt>
                <c:pt idx="274">
                  <c:v>#N/A</c:v>
                </c:pt>
                <c:pt idx="275">
                  <c:v>#N/A</c:v>
                </c:pt>
                <c:pt idx="276">
                  <c:v>#N/A</c:v>
                </c:pt>
                <c:pt idx="277">
                  <c:v>2275.5</c:v>
                </c:pt>
                <c:pt idx="278">
                  <c:v>#N/A</c:v>
                </c:pt>
                <c:pt idx="279">
                  <c:v>#N/A</c:v>
                </c:pt>
                <c:pt idx="280">
                  <c:v>#N/A</c:v>
                </c:pt>
                <c:pt idx="281">
                  <c:v>#N/A</c:v>
                </c:pt>
                <c:pt idx="282">
                  <c:v>#N/A</c:v>
                </c:pt>
                <c:pt idx="283">
                  <c:v>#N/A</c:v>
                </c:pt>
                <c:pt idx="284">
                  <c:v>2258.92</c:v>
                </c:pt>
                <c:pt idx="285">
                  <c:v>#N/A</c:v>
                </c:pt>
                <c:pt idx="286">
                  <c:v>#N/A</c:v>
                </c:pt>
                <c:pt idx="287">
                  <c:v>#N/A</c:v>
                </c:pt>
                <c:pt idx="288">
                  <c:v>#N/A</c:v>
                </c:pt>
                <c:pt idx="289">
                  <c:v>#N/A</c:v>
                </c:pt>
                <c:pt idx="290">
                  <c:v>#N/A</c:v>
                </c:pt>
                <c:pt idx="291">
                  <c:v>2216.44</c:v>
                </c:pt>
                <c:pt idx="292">
                  <c:v>#N/A</c:v>
                </c:pt>
                <c:pt idx="293">
                  <c:v>#N/A</c:v>
                </c:pt>
                <c:pt idx="294">
                  <c:v>#N/A</c:v>
                </c:pt>
                <c:pt idx="295">
                  <c:v>#N/A</c:v>
                </c:pt>
                <c:pt idx="296">
                  <c:v>#N/A</c:v>
                </c:pt>
                <c:pt idx="297">
                  <c:v>#N/A</c:v>
                </c:pt>
                <c:pt idx="298">
                  <c:v>2236.38</c:v>
                </c:pt>
                <c:pt idx="299">
                  <c:v>#N/A</c:v>
                </c:pt>
                <c:pt idx="300">
                  <c:v>#N/A</c:v>
                </c:pt>
                <c:pt idx="301">
                  <c:v>#N/A</c:v>
                </c:pt>
                <c:pt idx="302">
                  <c:v>#N/A</c:v>
                </c:pt>
                <c:pt idx="303">
                  <c:v>#N/A</c:v>
                </c:pt>
                <c:pt idx="304">
                  <c:v>#N/A</c:v>
                </c:pt>
                <c:pt idx="305">
                  <c:v>2224.27</c:v>
                </c:pt>
                <c:pt idx="306">
                  <c:v>#N/A</c:v>
                </c:pt>
                <c:pt idx="307">
                  <c:v>#N/A</c:v>
                </c:pt>
                <c:pt idx="308">
                  <c:v>#N/A</c:v>
                </c:pt>
                <c:pt idx="309">
                  <c:v>#N/A</c:v>
                </c:pt>
                <c:pt idx="310">
                  <c:v>#N/A</c:v>
                </c:pt>
                <c:pt idx="311">
                  <c:v>#N/A</c:v>
                </c:pt>
                <c:pt idx="312">
                  <c:v>2214.73</c:v>
                </c:pt>
                <c:pt idx="313">
                  <c:v>#N/A</c:v>
                </c:pt>
                <c:pt idx="314">
                  <c:v>#N/A</c:v>
                </c:pt>
                <c:pt idx="315">
                  <c:v>#N/A</c:v>
                </c:pt>
                <c:pt idx="316">
                  <c:v>#N/A</c:v>
                </c:pt>
                <c:pt idx="317">
                  <c:v>#N/A</c:v>
                </c:pt>
                <c:pt idx="318">
                  <c:v>#N/A</c:v>
                </c:pt>
                <c:pt idx="319">
                  <c:v>2215.8000000000002</c:v>
                </c:pt>
                <c:pt idx="320">
                  <c:v>#N/A</c:v>
                </c:pt>
                <c:pt idx="321">
                  <c:v>#N/A</c:v>
                </c:pt>
                <c:pt idx="322">
                  <c:v>#N/A</c:v>
                </c:pt>
                <c:pt idx="323">
                  <c:v>#N/A</c:v>
                </c:pt>
                <c:pt idx="324">
                  <c:v>#N/A</c:v>
                </c:pt>
                <c:pt idx="325">
                  <c:v>#N/A</c:v>
                </c:pt>
                <c:pt idx="326">
                  <c:v>2253.58</c:v>
                </c:pt>
                <c:pt idx="327">
                  <c:v>#N/A</c:v>
                </c:pt>
                <c:pt idx="328">
                  <c:v>#N/A</c:v>
                </c:pt>
                <c:pt idx="329">
                  <c:v>#N/A</c:v>
                </c:pt>
                <c:pt idx="330">
                  <c:v>#N/A</c:v>
                </c:pt>
                <c:pt idx="331">
                  <c:v>#N/A</c:v>
                </c:pt>
                <c:pt idx="332">
                  <c:v>#N/A</c:v>
                </c:pt>
                <c:pt idx="333">
                  <c:v>2251.36</c:v>
                </c:pt>
                <c:pt idx="334">
                  <c:v>#N/A</c:v>
                </c:pt>
                <c:pt idx="335">
                  <c:v>#N/A</c:v>
                </c:pt>
                <c:pt idx="336">
                  <c:v>#N/A</c:v>
                </c:pt>
                <c:pt idx="337">
                  <c:v>#N/A</c:v>
                </c:pt>
                <c:pt idx="338">
                  <c:v>#N/A</c:v>
                </c:pt>
                <c:pt idx="339">
                  <c:v>#N/A</c:v>
                </c:pt>
                <c:pt idx="340">
                  <c:v>2270.7399999999998</c:v>
                </c:pt>
                <c:pt idx="341">
                  <c:v>#N/A</c:v>
                </c:pt>
                <c:pt idx="342">
                  <c:v>#N/A</c:v>
                </c:pt>
                <c:pt idx="343">
                  <c:v>#N/A</c:v>
                </c:pt>
                <c:pt idx="344">
                  <c:v>#N/A</c:v>
                </c:pt>
                <c:pt idx="345">
                  <c:v>#N/A</c:v>
                </c:pt>
                <c:pt idx="346">
                  <c:v>#N/A</c:v>
                </c:pt>
                <c:pt idx="347">
                  <c:v>2322.27</c:v>
                </c:pt>
                <c:pt idx="348">
                  <c:v>#N/A</c:v>
                </c:pt>
                <c:pt idx="349">
                  <c:v>#N/A</c:v>
                </c:pt>
                <c:pt idx="350">
                  <c:v>#N/A</c:v>
                </c:pt>
                <c:pt idx="351">
                  <c:v>#N/A</c:v>
                </c:pt>
                <c:pt idx="352">
                  <c:v>#N/A</c:v>
                </c:pt>
                <c:pt idx="353">
                  <c:v>#N/A</c:v>
                </c:pt>
                <c:pt idx="354">
                  <c:v>2328.02</c:v>
                </c:pt>
                <c:pt idx="355">
                  <c:v>#N/A</c:v>
                </c:pt>
                <c:pt idx="356">
                  <c:v>#N/A</c:v>
                </c:pt>
                <c:pt idx="357">
                  <c:v>#N/A</c:v>
                </c:pt>
                <c:pt idx="358">
                  <c:v>#N/A</c:v>
                </c:pt>
                <c:pt idx="359">
                  <c:v>#N/A</c:v>
                </c:pt>
                <c:pt idx="360">
                  <c:v>#N/A</c:v>
                </c:pt>
                <c:pt idx="361">
                  <c:v>2340.98</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263E-4541-8F4F-0EB9B7B9BD50}"/>
            </c:ext>
          </c:extLst>
        </c:ser>
        <c:ser>
          <c:idx val="1"/>
          <c:order val="2"/>
          <c:tx>
            <c:strRef>
              <c:f>南华!$J$1</c:f>
              <c:strCache>
                <c:ptCount val="1"/>
                <c:pt idx="0">
                  <c:v>2020</c:v>
                </c:pt>
              </c:strCache>
            </c:strRef>
          </c:tx>
          <c:spPr>
            <a:ln w="28575">
              <a:solidFill>
                <a:srgbClr val="BF5711"/>
              </a:solidFill>
              <a:prstDash val="soli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南华!$J$2:$J$366</c:f>
              <c:numCache>
                <c:formatCode>General</c:formatCode>
                <c:ptCount val="365"/>
                <c:pt idx="0">
                  <c:v>#N/A</c:v>
                </c:pt>
                <c:pt idx="1">
                  <c:v>#N/A</c:v>
                </c:pt>
                <c:pt idx="2">
                  <c:v>#N/A</c:v>
                </c:pt>
                <c:pt idx="3">
                  <c:v>2351.6</c:v>
                </c:pt>
                <c:pt idx="4">
                  <c:v>#N/A</c:v>
                </c:pt>
                <c:pt idx="5">
                  <c:v>#N/A</c:v>
                </c:pt>
                <c:pt idx="6">
                  <c:v>#N/A</c:v>
                </c:pt>
                <c:pt idx="7">
                  <c:v>#N/A</c:v>
                </c:pt>
                <c:pt idx="8">
                  <c:v>#N/A</c:v>
                </c:pt>
                <c:pt idx="9">
                  <c:v>#N/A</c:v>
                </c:pt>
                <c:pt idx="10">
                  <c:v>2362.9699999999998</c:v>
                </c:pt>
                <c:pt idx="11">
                  <c:v>#N/A</c:v>
                </c:pt>
                <c:pt idx="12">
                  <c:v>#N/A</c:v>
                </c:pt>
                <c:pt idx="13">
                  <c:v>#N/A</c:v>
                </c:pt>
                <c:pt idx="14">
                  <c:v>#N/A</c:v>
                </c:pt>
                <c:pt idx="15">
                  <c:v>#N/A</c:v>
                </c:pt>
                <c:pt idx="16">
                  <c:v>#N/A</c:v>
                </c:pt>
                <c:pt idx="17">
                  <c:v>2355.96</c:v>
                </c:pt>
                <c:pt idx="18">
                  <c:v>#N/A</c:v>
                </c:pt>
                <c:pt idx="19">
                  <c:v>#N/A</c:v>
                </c:pt>
                <c:pt idx="20">
                  <c:v>#N/A</c:v>
                </c:pt>
                <c:pt idx="21">
                  <c:v>#N/A</c:v>
                </c:pt>
                <c:pt idx="22">
                  <c:v>#N/A</c:v>
                </c:pt>
                <c:pt idx="23">
                  <c:v>#N/A</c:v>
                </c:pt>
                <c:pt idx="24">
                  <c:v>2291.4</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2166.89</c:v>
                </c:pt>
                <c:pt idx="39">
                  <c:v>#N/A</c:v>
                </c:pt>
                <c:pt idx="40">
                  <c:v>#N/A</c:v>
                </c:pt>
                <c:pt idx="41">
                  <c:v>#N/A</c:v>
                </c:pt>
                <c:pt idx="42">
                  <c:v>#N/A</c:v>
                </c:pt>
                <c:pt idx="43">
                  <c:v>#N/A</c:v>
                </c:pt>
                <c:pt idx="44">
                  <c:v>#N/A</c:v>
                </c:pt>
                <c:pt idx="45">
                  <c:v>2209.41</c:v>
                </c:pt>
                <c:pt idx="46">
                  <c:v>#N/A</c:v>
                </c:pt>
                <c:pt idx="47">
                  <c:v>#N/A</c:v>
                </c:pt>
                <c:pt idx="48">
                  <c:v>#N/A</c:v>
                </c:pt>
                <c:pt idx="49">
                  <c:v>#N/A</c:v>
                </c:pt>
                <c:pt idx="50">
                  <c:v>#N/A</c:v>
                </c:pt>
                <c:pt idx="51">
                  <c:v>#N/A</c:v>
                </c:pt>
                <c:pt idx="52">
                  <c:v>2244.0300000000002</c:v>
                </c:pt>
                <c:pt idx="53">
                  <c:v>#N/A</c:v>
                </c:pt>
                <c:pt idx="54">
                  <c:v>#N/A</c:v>
                </c:pt>
                <c:pt idx="55">
                  <c:v>#N/A</c:v>
                </c:pt>
                <c:pt idx="56">
                  <c:v>#N/A</c:v>
                </c:pt>
                <c:pt idx="57">
                  <c:v>#N/A</c:v>
                </c:pt>
                <c:pt idx="58">
                  <c:v>#N/A</c:v>
                </c:pt>
                <c:pt idx="59">
                  <c:v>2098.98</c:v>
                </c:pt>
                <c:pt idx="60">
                  <c:v>#N/A</c:v>
                </c:pt>
                <c:pt idx="61">
                  <c:v>#N/A</c:v>
                </c:pt>
                <c:pt idx="62">
                  <c:v>#N/A</c:v>
                </c:pt>
                <c:pt idx="63">
                  <c:v>#N/A</c:v>
                </c:pt>
                <c:pt idx="64">
                  <c:v>#N/A</c:v>
                </c:pt>
                <c:pt idx="65">
                  <c:v>#N/A</c:v>
                </c:pt>
                <c:pt idx="66">
                  <c:v>2143.6799999999998</c:v>
                </c:pt>
                <c:pt idx="67">
                  <c:v>#N/A</c:v>
                </c:pt>
                <c:pt idx="68">
                  <c:v>#N/A</c:v>
                </c:pt>
                <c:pt idx="69">
                  <c:v>#N/A</c:v>
                </c:pt>
                <c:pt idx="70">
                  <c:v>#N/A</c:v>
                </c:pt>
                <c:pt idx="71">
                  <c:v>#N/A</c:v>
                </c:pt>
                <c:pt idx="72">
                  <c:v>#N/A</c:v>
                </c:pt>
                <c:pt idx="73">
                  <c:v>2061.33</c:v>
                </c:pt>
                <c:pt idx="74">
                  <c:v>#N/A</c:v>
                </c:pt>
                <c:pt idx="75">
                  <c:v>#N/A</c:v>
                </c:pt>
                <c:pt idx="76">
                  <c:v>#N/A</c:v>
                </c:pt>
                <c:pt idx="77">
                  <c:v>#N/A</c:v>
                </c:pt>
                <c:pt idx="78">
                  <c:v>#N/A</c:v>
                </c:pt>
                <c:pt idx="79">
                  <c:v>#N/A</c:v>
                </c:pt>
                <c:pt idx="80">
                  <c:v>1948.82</c:v>
                </c:pt>
                <c:pt idx="81">
                  <c:v>#N/A</c:v>
                </c:pt>
                <c:pt idx="82">
                  <c:v>#N/A</c:v>
                </c:pt>
                <c:pt idx="83">
                  <c:v>#N/A</c:v>
                </c:pt>
                <c:pt idx="84">
                  <c:v>#N/A</c:v>
                </c:pt>
                <c:pt idx="85">
                  <c:v>#N/A</c:v>
                </c:pt>
                <c:pt idx="86">
                  <c:v>#N/A</c:v>
                </c:pt>
                <c:pt idx="87">
                  <c:v>1918.97</c:v>
                </c:pt>
                <c:pt idx="88">
                  <c:v>#N/A</c:v>
                </c:pt>
                <c:pt idx="89">
                  <c:v>#N/A</c:v>
                </c:pt>
                <c:pt idx="90">
                  <c:v>#N/A</c:v>
                </c:pt>
                <c:pt idx="91">
                  <c:v>#N/A</c:v>
                </c:pt>
                <c:pt idx="92">
                  <c:v>#N/A</c:v>
                </c:pt>
                <c:pt idx="93">
                  <c:v>#N/A</c:v>
                </c:pt>
                <c:pt idx="94">
                  <c:v>1928.11</c:v>
                </c:pt>
                <c:pt idx="95">
                  <c:v>#N/A</c:v>
                </c:pt>
                <c:pt idx="96">
                  <c:v>#N/A</c:v>
                </c:pt>
                <c:pt idx="97">
                  <c:v>#N/A</c:v>
                </c:pt>
                <c:pt idx="98">
                  <c:v>#N/A</c:v>
                </c:pt>
                <c:pt idx="99">
                  <c:v>#N/A</c:v>
                </c:pt>
                <c:pt idx="100">
                  <c:v>#N/A</c:v>
                </c:pt>
                <c:pt idx="101">
                  <c:v>2020.68</c:v>
                </c:pt>
                <c:pt idx="102">
                  <c:v>#N/A</c:v>
                </c:pt>
                <c:pt idx="103">
                  <c:v>#N/A</c:v>
                </c:pt>
                <c:pt idx="104">
                  <c:v>#N/A</c:v>
                </c:pt>
                <c:pt idx="105">
                  <c:v>#N/A</c:v>
                </c:pt>
                <c:pt idx="106">
                  <c:v>#N/A</c:v>
                </c:pt>
                <c:pt idx="107">
                  <c:v>#N/A</c:v>
                </c:pt>
                <c:pt idx="108">
                  <c:v>1997.48</c:v>
                </c:pt>
                <c:pt idx="109">
                  <c:v>#N/A</c:v>
                </c:pt>
                <c:pt idx="110">
                  <c:v>#N/A</c:v>
                </c:pt>
                <c:pt idx="111">
                  <c:v>#N/A</c:v>
                </c:pt>
                <c:pt idx="112">
                  <c:v>#N/A</c:v>
                </c:pt>
                <c:pt idx="113">
                  <c:v>#N/A</c:v>
                </c:pt>
                <c:pt idx="114">
                  <c:v>#N/A</c:v>
                </c:pt>
                <c:pt idx="115">
                  <c:v>1955.36</c:v>
                </c:pt>
                <c:pt idx="116">
                  <c:v>#N/A</c:v>
                </c:pt>
                <c:pt idx="117">
                  <c:v>#N/A</c:v>
                </c:pt>
                <c:pt idx="118">
                  <c:v>#N/A</c:v>
                </c:pt>
                <c:pt idx="119">
                  <c:v>#N/A</c:v>
                </c:pt>
                <c:pt idx="120">
                  <c:v>#N/A</c:v>
                </c:pt>
                <c:pt idx="121">
                  <c:v>#N/A</c:v>
                </c:pt>
                <c:pt idx="122">
                  <c:v>1971.12</c:v>
                </c:pt>
                <c:pt idx="123">
                  <c:v>#N/A</c:v>
                </c:pt>
                <c:pt idx="124">
                  <c:v>#N/A</c:v>
                </c:pt>
                <c:pt idx="125">
                  <c:v>#N/A</c:v>
                </c:pt>
                <c:pt idx="126">
                  <c:v>#N/A</c:v>
                </c:pt>
                <c:pt idx="127">
                  <c:v>#N/A</c:v>
                </c:pt>
                <c:pt idx="128">
                  <c:v>#N/A</c:v>
                </c:pt>
                <c:pt idx="129">
                  <c:v>2027.63</c:v>
                </c:pt>
                <c:pt idx="130">
                  <c:v>#N/A</c:v>
                </c:pt>
                <c:pt idx="131">
                  <c:v>#N/A</c:v>
                </c:pt>
                <c:pt idx="132">
                  <c:v>#N/A</c:v>
                </c:pt>
                <c:pt idx="133">
                  <c:v>#N/A</c:v>
                </c:pt>
                <c:pt idx="134">
                  <c:v>#N/A</c:v>
                </c:pt>
                <c:pt idx="135">
                  <c:v>#N/A</c:v>
                </c:pt>
                <c:pt idx="136">
                  <c:v>2038.63</c:v>
                </c:pt>
                <c:pt idx="137">
                  <c:v>#N/A</c:v>
                </c:pt>
                <c:pt idx="138">
                  <c:v>#N/A</c:v>
                </c:pt>
                <c:pt idx="139">
                  <c:v>#N/A</c:v>
                </c:pt>
                <c:pt idx="140">
                  <c:v>#N/A</c:v>
                </c:pt>
                <c:pt idx="141">
                  <c:v>#N/A</c:v>
                </c:pt>
                <c:pt idx="142">
                  <c:v>#N/A</c:v>
                </c:pt>
                <c:pt idx="143">
                  <c:v>2071.16</c:v>
                </c:pt>
                <c:pt idx="144">
                  <c:v>#N/A</c:v>
                </c:pt>
                <c:pt idx="145">
                  <c:v>#N/A</c:v>
                </c:pt>
                <c:pt idx="146">
                  <c:v>#N/A</c:v>
                </c:pt>
                <c:pt idx="147">
                  <c:v>#N/A</c:v>
                </c:pt>
                <c:pt idx="148">
                  <c:v>#N/A</c:v>
                </c:pt>
                <c:pt idx="149">
                  <c:v>#N/A</c:v>
                </c:pt>
                <c:pt idx="150">
                  <c:v>2116.6799999999998</c:v>
                </c:pt>
                <c:pt idx="151">
                  <c:v>#N/A</c:v>
                </c:pt>
                <c:pt idx="152">
                  <c:v>#N/A</c:v>
                </c:pt>
                <c:pt idx="153">
                  <c:v>#N/A</c:v>
                </c:pt>
                <c:pt idx="154">
                  <c:v>#N/A</c:v>
                </c:pt>
                <c:pt idx="155">
                  <c:v>#N/A</c:v>
                </c:pt>
                <c:pt idx="156">
                  <c:v>#N/A</c:v>
                </c:pt>
                <c:pt idx="157">
                  <c:v>2166.84</c:v>
                </c:pt>
                <c:pt idx="158">
                  <c:v>#N/A</c:v>
                </c:pt>
                <c:pt idx="159">
                  <c:v>#N/A</c:v>
                </c:pt>
                <c:pt idx="160">
                  <c:v>#N/A</c:v>
                </c:pt>
                <c:pt idx="161">
                  <c:v>#N/A</c:v>
                </c:pt>
                <c:pt idx="162">
                  <c:v>#N/A</c:v>
                </c:pt>
                <c:pt idx="163">
                  <c:v>#N/A</c:v>
                </c:pt>
                <c:pt idx="164">
                  <c:v>2151.11</c:v>
                </c:pt>
                <c:pt idx="165">
                  <c:v>#N/A</c:v>
                </c:pt>
                <c:pt idx="166">
                  <c:v>#N/A</c:v>
                </c:pt>
                <c:pt idx="167">
                  <c:v>#N/A</c:v>
                </c:pt>
                <c:pt idx="168">
                  <c:v>#N/A</c:v>
                </c:pt>
                <c:pt idx="169">
                  <c:v>#N/A</c:v>
                </c:pt>
                <c:pt idx="170">
                  <c:v>#N/A</c:v>
                </c:pt>
                <c:pt idx="171">
                  <c:v>2199.9</c:v>
                </c:pt>
                <c:pt idx="172">
                  <c:v>#N/A</c:v>
                </c:pt>
                <c:pt idx="173">
                  <c:v>#N/A</c:v>
                </c:pt>
                <c:pt idx="174">
                  <c:v>#N/A</c:v>
                </c:pt>
                <c:pt idx="175">
                  <c:v>#N/A</c:v>
                </c:pt>
                <c:pt idx="176">
                  <c:v>#N/A</c:v>
                </c:pt>
                <c:pt idx="177">
                  <c:v>#N/A</c:v>
                </c:pt>
                <c:pt idx="178">
                  <c:v>2190.31</c:v>
                </c:pt>
                <c:pt idx="179">
                  <c:v>#N/A</c:v>
                </c:pt>
                <c:pt idx="180">
                  <c:v>#N/A</c:v>
                </c:pt>
                <c:pt idx="181">
                  <c:v>#N/A</c:v>
                </c:pt>
                <c:pt idx="182">
                  <c:v>#N/A</c:v>
                </c:pt>
                <c:pt idx="183">
                  <c:v>#N/A</c:v>
                </c:pt>
                <c:pt idx="184">
                  <c:v>#N/A</c:v>
                </c:pt>
                <c:pt idx="185">
                  <c:v>2191.85</c:v>
                </c:pt>
                <c:pt idx="186">
                  <c:v>#N/A</c:v>
                </c:pt>
                <c:pt idx="187">
                  <c:v>#N/A</c:v>
                </c:pt>
                <c:pt idx="188">
                  <c:v>#N/A</c:v>
                </c:pt>
                <c:pt idx="189">
                  <c:v>#N/A</c:v>
                </c:pt>
                <c:pt idx="190">
                  <c:v>#N/A</c:v>
                </c:pt>
                <c:pt idx="191">
                  <c:v>#N/A</c:v>
                </c:pt>
                <c:pt idx="192">
                  <c:v>2211.69</c:v>
                </c:pt>
                <c:pt idx="193">
                  <c:v>#N/A</c:v>
                </c:pt>
                <c:pt idx="194">
                  <c:v>#N/A</c:v>
                </c:pt>
                <c:pt idx="195">
                  <c:v>#N/A</c:v>
                </c:pt>
                <c:pt idx="196">
                  <c:v>#N/A</c:v>
                </c:pt>
                <c:pt idx="197">
                  <c:v>#N/A</c:v>
                </c:pt>
                <c:pt idx="198">
                  <c:v>#N/A</c:v>
                </c:pt>
                <c:pt idx="199">
                  <c:v>2235.16</c:v>
                </c:pt>
                <c:pt idx="200">
                  <c:v>#N/A</c:v>
                </c:pt>
                <c:pt idx="201">
                  <c:v>#N/A</c:v>
                </c:pt>
                <c:pt idx="202">
                  <c:v>#N/A</c:v>
                </c:pt>
                <c:pt idx="203">
                  <c:v>#N/A</c:v>
                </c:pt>
                <c:pt idx="204">
                  <c:v>#N/A</c:v>
                </c:pt>
                <c:pt idx="205">
                  <c:v>#N/A</c:v>
                </c:pt>
                <c:pt idx="206">
                  <c:v>2233.9699999999998</c:v>
                </c:pt>
                <c:pt idx="207">
                  <c:v>#N/A</c:v>
                </c:pt>
                <c:pt idx="208">
                  <c:v>#N/A</c:v>
                </c:pt>
                <c:pt idx="209">
                  <c:v>#N/A</c:v>
                </c:pt>
                <c:pt idx="210">
                  <c:v>#N/A</c:v>
                </c:pt>
                <c:pt idx="211">
                  <c:v>#N/A</c:v>
                </c:pt>
                <c:pt idx="212">
                  <c:v>#N/A</c:v>
                </c:pt>
                <c:pt idx="213">
                  <c:v>2250.1</c:v>
                </c:pt>
                <c:pt idx="214">
                  <c:v>#N/A</c:v>
                </c:pt>
                <c:pt idx="215">
                  <c:v>#N/A</c:v>
                </c:pt>
                <c:pt idx="216">
                  <c:v>#N/A</c:v>
                </c:pt>
                <c:pt idx="217">
                  <c:v>#N/A</c:v>
                </c:pt>
                <c:pt idx="218">
                  <c:v>#N/A</c:v>
                </c:pt>
                <c:pt idx="219">
                  <c:v>#N/A</c:v>
                </c:pt>
                <c:pt idx="220">
                  <c:v>2280.16</c:v>
                </c:pt>
                <c:pt idx="221">
                  <c:v>#N/A</c:v>
                </c:pt>
                <c:pt idx="222">
                  <c:v>#N/A</c:v>
                </c:pt>
                <c:pt idx="223">
                  <c:v>#N/A</c:v>
                </c:pt>
                <c:pt idx="224">
                  <c:v>#N/A</c:v>
                </c:pt>
                <c:pt idx="225">
                  <c:v>#N/A</c:v>
                </c:pt>
                <c:pt idx="226">
                  <c:v>#N/A</c:v>
                </c:pt>
                <c:pt idx="227">
                  <c:v>2267.69</c:v>
                </c:pt>
                <c:pt idx="228">
                  <c:v>#N/A</c:v>
                </c:pt>
                <c:pt idx="229">
                  <c:v>#N/A</c:v>
                </c:pt>
                <c:pt idx="230">
                  <c:v>#N/A</c:v>
                </c:pt>
                <c:pt idx="231">
                  <c:v>#N/A</c:v>
                </c:pt>
                <c:pt idx="232">
                  <c:v>#N/A</c:v>
                </c:pt>
                <c:pt idx="233">
                  <c:v>#N/A</c:v>
                </c:pt>
                <c:pt idx="234">
                  <c:v>2272.91</c:v>
                </c:pt>
                <c:pt idx="235">
                  <c:v>#N/A</c:v>
                </c:pt>
                <c:pt idx="236">
                  <c:v>#N/A</c:v>
                </c:pt>
                <c:pt idx="237">
                  <c:v>#N/A</c:v>
                </c:pt>
                <c:pt idx="238">
                  <c:v>#N/A</c:v>
                </c:pt>
                <c:pt idx="239">
                  <c:v>#N/A</c:v>
                </c:pt>
                <c:pt idx="240">
                  <c:v>#N/A</c:v>
                </c:pt>
                <c:pt idx="241">
                  <c:v>2299.69</c:v>
                </c:pt>
                <c:pt idx="242">
                  <c:v>#N/A</c:v>
                </c:pt>
                <c:pt idx="243">
                  <c:v>#N/A</c:v>
                </c:pt>
                <c:pt idx="244">
                  <c:v>#N/A</c:v>
                </c:pt>
                <c:pt idx="245">
                  <c:v>#N/A</c:v>
                </c:pt>
                <c:pt idx="246">
                  <c:v>#N/A</c:v>
                </c:pt>
                <c:pt idx="247">
                  <c:v>#N/A</c:v>
                </c:pt>
                <c:pt idx="248">
                  <c:v>2304.4299999999998</c:v>
                </c:pt>
                <c:pt idx="249">
                  <c:v>#N/A</c:v>
                </c:pt>
                <c:pt idx="250">
                  <c:v>#N/A</c:v>
                </c:pt>
                <c:pt idx="251">
                  <c:v>#N/A</c:v>
                </c:pt>
                <c:pt idx="252">
                  <c:v>#N/A</c:v>
                </c:pt>
                <c:pt idx="253">
                  <c:v>#N/A</c:v>
                </c:pt>
                <c:pt idx="254">
                  <c:v>#N/A</c:v>
                </c:pt>
                <c:pt idx="255">
                  <c:v>2208.3000000000002</c:v>
                </c:pt>
                <c:pt idx="256">
                  <c:v>#N/A</c:v>
                </c:pt>
                <c:pt idx="257">
                  <c:v>#N/A</c:v>
                </c:pt>
                <c:pt idx="258">
                  <c:v>#N/A</c:v>
                </c:pt>
                <c:pt idx="259">
                  <c:v>#N/A</c:v>
                </c:pt>
                <c:pt idx="260">
                  <c:v>#N/A</c:v>
                </c:pt>
                <c:pt idx="261">
                  <c:v>#N/A</c:v>
                </c:pt>
                <c:pt idx="262">
                  <c:v>2237.1</c:v>
                </c:pt>
                <c:pt idx="263">
                  <c:v>#N/A</c:v>
                </c:pt>
                <c:pt idx="264">
                  <c:v>#N/A</c:v>
                </c:pt>
                <c:pt idx="265">
                  <c:v>#N/A</c:v>
                </c:pt>
                <c:pt idx="266">
                  <c:v>#N/A</c:v>
                </c:pt>
                <c:pt idx="267">
                  <c:v>#N/A</c:v>
                </c:pt>
                <c:pt idx="268">
                  <c:v>#N/A</c:v>
                </c:pt>
                <c:pt idx="269">
                  <c:v>2170.59</c:v>
                </c:pt>
                <c:pt idx="270">
                  <c:v>#N/A</c:v>
                </c:pt>
                <c:pt idx="271">
                  <c:v>#N/A</c:v>
                </c:pt>
                <c:pt idx="272">
                  <c:v>#N/A</c:v>
                </c:pt>
                <c:pt idx="273">
                  <c:v>#N/A</c:v>
                </c:pt>
                <c:pt idx="274">
                  <c:v>#N/A</c:v>
                </c:pt>
                <c:pt idx="275">
                  <c:v>#N/A</c:v>
                </c:pt>
                <c:pt idx="276">
                  <c:v>2165.1799999999998</c:v>
                </c:pt>
                <c:pt idx="277">
                  <c:v>#N/A</c:v>
                </c:pt>
                <c:pt idx="278">
                  <c:v>#N/A</c:v>
                </c:pt>
                <c:pt idx="279">
                  <c:v>#N/A</c:v>
                </c:pt>
                <c:pt idx="280">
                  <c:v>#N/A</c:v>
                </c:pt>
                <c:pt idx="281">
                  <c:v>#N/A</c:v>
                </c:pt>
                <c:pt idx="282">
                  <c:v>#N/A</c:v>
                </c:pt>
                <c:pt idx="283">
                  <c:v>2225.67</c:v>
                </c:pt>
                <c:pt idx="284">
                  <c:v>#N/A</c:v>
                </c:pt>
                <c:pt idx="285">
                  <c:v>#N/A</c:v>
                </c:pt>
                <c:pt idx="286">
                  <c:v>#N/A</c:v>
                </c:pt>
                <c:pt idx="287">
                  <c:v>#N/A</c:v>
                </c:pt>
                <c:pt idx="288">
                  <c:v>#N/A</c:v>
                </c:pt>
                <c:pt idx="289">
                  <c:v>#N/A</c:v>
                </c:pt>
                <c:pt idx="290">
                  <c:v>2232.08</c:v>
                </c:pt>
                <c:pt idx="291">
                  <c:v>#N/A</c:v>
                </c:pt>
                <c:pt idx="292">
                  <c:v>#N/A</c:v>
                </c:pt>
                <c:pt idx="293">
                  <c:v>#N/A</c:v>
                </c:pt>
                <c:pt idx="294">
                  <c:v>#N/A</c:v>
                </c:pt>
                <c:pt idx="295">
                  <c:v>#N/A</c:v>
                </c:pt>
                <c:pt idx="296">
                  <c:v>#N/A</c:v>
                </c:pt>
                <c:pt idx="297">
                  <c:v>2229.89</c:v>
                </c:pt>
                <c:pt idx="298">
                  <c:v>#N/A</c:v>
                </c:pt>
                <c:pt idx="299">
                  <c:v>#N/A</c:v>
                </c:pt>
                <c:pt idx="300">
                  <c:v>#N/A</c:v>
                </c:pt>
                <c:pt idx="301">
                  <c:v>#N/A</c:v>
                </c:pt>
                <c:pt idx="302">
                  <c:v>#N/A</c:v>
                </c:pt>
                <c:pt idx="303">
                  <c:v>#N/A</c:v>
                </c:pt>
                <c:pt idx="304">
                  <c:v>2160.9499999999998</c:v>
                </c:pt>
                <c:pt idx="305">
                  <c:v>#N/A</c:v>
                </c:pt>
                <c:pt idx="306">
                  <c:v>#N/A</c:v>
                </c:pt>
                <c:pt idx="307">
                  <c:v>#N/A</c:v>
                </c:pt>
                <c:pt idx="308">
                  <c:v>#N/A</c:v>
                </c:pt>
                <c:pt idx="309">
                  <c:v>#N/A</c:v>
                </c:pt>
                <c:pt idx="310">
                  <c:v>#N/A</c:v>
                </c:pt>
                <c:pt idx="311">
                  <c:v>2188.46</c:v>
                </c:pt>
                <c:pt idx="312">
                  <c:v>#N/A</c:v>
                </c:pt>
                <c:pt idx="313">
                  <c:v>#N/A</c:v>
                </c:pt>
                <c:pt idx="314">
                  <c:v>#N/A</c:v>
                </c:pt>
                <c:pt idx="315">
                  <c:v>#N/A</c:v>
                </c:pt>
                <c:pt idx="316">
                  <c:v>#N/A</c:v>
                </c:pt>
                <c:pt idx="317">
                  <c:v>#N/A</c:v>
                </c:pt>
                <c:pt idx="318">
                  <c:v>2263.16</c:v>
                </c:pt>
                <c:pt idx="319">
                  <c:v>#N/A</c:v>
                </c:pt>
                <c:pt idx="320">
                  <c:v>#N/A</c:v>
                </c:pt>
                <c:pt idx="321">
                  <c:v>#N/A</c:v>
                </c:pt>
                <c:pt idx="322">
                  <c:v>#N/A</c:v>
                </c:pt>
                <c:pt idx="323">
                  <c:v>#N/A</c:v>
                </c:pt>
                <c:pt idx="324">
                  <c:v>#N/A</c:v>
                </c:pt>
                <c:pt idx="325">
                  <c:v>2317.21</c:v>
                </c:pt>
                <c:pt idx="326">
                  <c:v>#N/A</c:v>
                </c:pt>
                <c:pt idx="327">
                  <c:v>#N/A</c:v>
                </c:pt>
                <c:pt idx="328">
                  <c:v>#N/A</c:v>
                </c:pt>
                <c:pt idx="329">
                  <c:v>#N/A</c:v>
                </c:pt>
                <c:pt idx="330">
                  <c:v>#N/A</c:v>
                </c:pt>
                <c:pt idx="331">
                  <c:v>#N/A</c:v>
                </c:pt>
                <c:pt idx="332">
                  <c:v>2406.48</c:v>
                </c:pt>
                <c:pt idx="333">
                  <c:v>#N/A</c:v>
                </c:pt>
                <c:pt idx="334">
                  <c:v>#N/A</c:v>
                </c:pt>
                <c:pt idx="335">
                  <c:v>#N/A</c:v>
                </c:pt>
                <c:pt idx="336">
                  <c:v>#N/A</c:v>
                </c:pt>
                <c:pt idx="337">
                  <c:v>#N/A</c:v>
                </c:pt>
                <c:pt idx="338">
                  <c:v>#N/A</c:v>
                </c:pt>
                <c:pt idx="339">
                  <c:v>2446.02</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263E-4541-8F4F-0EB9B7B9BD50}"/>
            </c:ext>
          </c:extLst>
        </c:ser>
        <c:dLbls>
          <c:showLegendKey val="0"/>
          <c:showVal val="0"/>
          <c:showCatName val="0"/>
          <c:showSerName val="0"/>
          <c:showPercent val="0"/>
          <c:showBubbleSize val="0"/>
        </c:dLbls>
        <c:marker val="1"/>
        <c:smooth val="0"/>
        <c:axId val="273468032"/>
        <c:axId val="273473920"/>
      </c:lineChart>
      <c:dateAx>
        <c:axId val="273468032"/>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73473920"/>
        <c:crosses val="autoZero"/>
        <c:auto val="0"/>
        <c:lblOffset val="0"/>
        <c:baseTimeUnit val="days"/>
        <c:majorUnit val="1"/>
        <c:majorTimeUnit val="months"/>
      </c:dateAx>
      <c:valAx>
        <c:axId val="273473920"/>
        <c:scaling>
          <c:orientation val="minMax"/>
          <c:min val="170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73468032"/>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猪价!$I$1</c:f>
              <c:strCache>
                <c:ptCount val="1"/>
                <c:pt idx="0">
                  <c:v>2019</c:v>
                </c:pt>
              </c:strCache>
            </c:strRef>
          </c:tx>
          <c:spPr>
            <a:ln w="28575">
              <a:solidFill>
                <a:srgbClr val="F8CBAD"/>
              </a:solidFill>
              <a:prstDash val="solid"/>
            </a:ln>
          </c:spPr>
          <c:marker>
            <c:symbol val="none"/>
          </c:marker>
          <c:cat>
            <c:numRef>
              <c:f>猪价!$G$2:$G$366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猪价!$I$2:$I$366</c:f>
              <c:numCache>
                <c:formatCode>General</c:formatCode>
                <c:ptCount val="365"/>
                <c:pt idx="0">
                  <c:v>#N/A</c:v>
                </c:pt>
                <c:pt idx="1">
                  <c:v>#N/A</c:v>
                </c:pt>
                <c:pt idx="2">
                  <c:v>#N/A</c:v>
                </c:pt>
                <c:pt idx="3">
                  <c:v>#N/A</c:v>
                </c:pt>
                <c:pt idx="4">
                  <c:v>19.260000000000002</c:v>
                </c:pt>
                <c:pt idx="5">
                  <c:v>#N/A</c:v>
                </c:pt>
                <c:pt idx="6">
                  <c:v>#N/A</c:v>
                </c:pt>
                <c:pt idx="7">
                  <c:v>#N/A</c:v>
                </c:pt>
                <c:pt idx="8">
                  <c:v>#N/A</c:v>
                </c:pt>
                <c:pt idx="9">
                  <c:v>#N/A</c:v>
                </c:pt>
                <c:pt idx="10">
                  <c:v>#N/A</c:v>
                </c:pt>
                <c:pt idx="11">
                  <c:v>19.13</c:v>
                </c:pt>
                <c:pt idx="12">
                  <c:v>#N/A</c:v>
                </c:pt>
                <c:pt idx="13">
                  <c:v>#N/A</c:v>
                </c:pt>
                <c:pt idx="14">
                  <c:v>#N/A</c:v>
                </c:pt>
                <c:pt idx="15">
                  <c:v>#N/A</c:v>
                </c:pt>
                <c:pt idx="16">
                  <c:v>#N/A</c:v>
                </c:pt>
                <c:pt idx="17">
                  <c:v>#N/A</c:v>
                </c:pt>
                <c:pt idx="18">
                  <c:v>19.13</c:v>
                </c:pt>
                <c:pt idx="19">
                  <c:v>#N/A</c:v>
                </c:pt>
                <c:pt idx="20">
                  <c:v>#N/A</c:v>
                </c:pt>
                <c:pt idx="21">
                  <c:v>#N/A</c:v>
                </c:pt>
                <c:pt idx="22">
                  <c:v>#N/A</c:v>
                </c:pt>
                <c:pt idx="23">
                  <c:v>#N/A</c:v>
                </c:pt>
                <c:pt idx="24">
                  <c:v>#N/A</c:v>
                </c:pt>
                <c:pt idx="25">
                  <c:v>19.12</c:v>
                </c:pt>
                <c:pt idx="26">
                  <c:v>#N/A</c:v>
                </c:pt>
                <c:pt idx="27">
                  <c:v>#N/A</c:v>
                </c:pt>
                <c:pt idx="28">
                  <c:v>#N/A</c:v>
                </c:pt>
                <c:pt idx="29">
                  <c:v>#N/A</c:v>
                </c:pt>
                <c:pt idx="30">
                  <c:v>#N/A</c:v>
                </c:pt>
                <c:pt idx="31">
                  <c:v>#N/A</c:v>
                </c:pt>
                <c:pt idx="32">
                  <c:v>18.2</c:v>
                </c:pt>
                <c:pt idx="33">
                  <c:v>#N/A</c:v>
                </c:pt>
                <c:pt idx="34">
                  <c:v>#N/A</c:v>
                </c:pt>
                <c:pt idx="35">
                  <c:v>#N/A</c:v>
                </c:pt>
                <c:pt idx="36">
                  <c:v>#N/A</c:v>
                </c:pt>
                <c:pt idx="37">
                  <c:v>#N/A</c:v>
                </c:pt>
                <c:pt idx="38">
                  <c:v>#N/A</c:v>
                </c:pt>
                <c:pt idx="39">
                  <c:v>18.73</c:v>
                </c:pt>
                <c:pt idx="40">
                  <c:v>#N/A</c:v>
                </c:pt>
                <c:pt idx="41">
                  <c:v>#N/A</c:v>
                </c:pt>
                <c:pt idx="42">
                  <c:v>#N/A</c:v>
                </c:pt>
                <c:pt idx="43">
                  <c:v>#N/A</c:v>
                </c:pt>
                <c:pt idx="44">
                  <c:v>#N/A</c:v>
                </c:pt>
                <c:pt idx="45">
                  <c:v>#N/A</c:v>
                </c:pt>
                <c:pt idx="46">
                  <c:v>18.52</c:v>
                </c:pt>
                <c:pt idx="47">
                  <c:v>#N/A</c:v>
                </c:pt>
                <c:pt idx="48">
                  <c:v>#N/A</c:v>
                </c:pt>
                <c:pt idx="49">
                  <c:v>#N/A</c:v>
                </c:pt>
                <c:pt idx="50">
                  <c:v>#N/A</c:v>
                </c:pt>
                <c:pt idx="51">
                  <c:v>#N/A</c:v>
                </c:pt>
                <c:pt idx="52">
                  <c:v>#N/A</c:v>
                </c:pt>
                <c:pt idx="53">
                  <c:v>18.260000000000002</c:v>
                </c:pt>
                <c:pt idx="54">
                  <c:v>#N/A</c:v>
                </c:pt>
                <c:pt idx="55">
                  <c:v>#N/A</c:v>
                </c:pt>
                <c:pt idx="56">
                  <c:v>#N/A</c:v>
                </c:pt>
                <c:pt idx="57">
                  <c:v>#N/A</c:v>
                </c:pt>
                <c:pt idx="58">
                  <c:v>#N/A</c:v>
                </c:pt>
                <c:pt idx="59">
                  <c:v>#N/A</c:v>
                </c:pt>
                <c:pt idx="60">
                  <c:v>18.2</c:v>
                </c:pt>
                <c:pt idx="61">
                  <c:v>#N/A</c:v>
                </c:pt>
                <c:pt idx="62">
                  <c:v>#N/A</c:v>
                </c:pt>
                <c:pt idx="63">
                  <c:v>#N/A</c:v>
                </c:pt>
                <c:pt idx="64">
                  <c:v>#N/A</c:v>
                </c:pt>
                <c:pt idx="65">
                  <c:v>#N/A</c:v>
                </c:pt>
                <c:pt idx="66">
                  <c:v>#N/A</c:v>
                </c:pt>
                <c:pt idx="67">
                  <c:v>18.02</c:v>
                </c:pt>
                <c:pt idx="68">
                  <c:v>#N/A</c:v>
                </c:pt>
                <c:pt idx="69">
                  <c:v>#N/A</c:v>
                </c:pt>
                <c:pt idx="70">
                  <c:v>#N/A</c:v>
                </c:pt>
                <c:pt idx="71">
                  <c:v>#N/A</c:v>
                </c:pt>
                <c:pt idx="72">
                  <c:v>#N/A</c:v>
                </c:pt>
                <c:pt idx="73">
                  <c:v>#N/A</c:v>
                </c:pt>
                <c:pt idx="74">
                  <c:v>19.77</c:v>
                </c:pt>
                <c:pt idx="75">
                  <c:v>#N/A</c:v>
                </c:pt>
                <c:pt idx="76">
                  <c:v>#N/A</c:v>
                </c:pt>
                <c:pt idx="77">
                  <c:v>#N/A</c:v>
                </c:pt>
                <c:pt idx="78">
                  <c:v>#N/A</c:v>
                </c:pt>
                <c:pt idx="79">
                  <c:v>#N/A</c:v>
                </c:pt>
                <c:pt idx="80">
                  <c:v>#N/A</c:v>
                </c:pt>
                <c:pt idx="81">
                  <c:v>20.43</c:v>
                </c:pt>
                <c:pt idx="82">
                  <c:v>#N/A</c:v>
                </c:pt>
                <c:pt idx="83">
                  <c:v>#N/A</c:v>
                </c:pt>
                <c:pt idx="84">
                  <c:v>#N/A</c:v>
                </c:pt>
                <c:pt idx="85">
                  <c:v>#N/A</c:v>
                </c:pt>
                <c:pt idx="86">
                  <c:v>#N/A</c:v>
                </c:pt>
                <c:pt idx="87">
                  <c:v>#N/A</c:v>
                </c:pt>
                <c:pt idx="88">
                  <c:v>20.25</c:v>
                </c:pt>
                <c:pt idx="89">
                  <c:v>#N/A</c:v>
                </c:pt>
                <c:pt idx="90">
                  <c:v>#N/A</c:v>
                </c:pt>
                <c:pt idx="91">
                  <c:v>#N/A</c:v>
                </c:pt>
                <c:pt idx="92">
                  <c:v>#N/A</c:v>
                </c:pt>
                <c:pt idx="93">
                  <c:v>#N/A</c:v>
                </c:pt>
                <c:pt idx="94">
                  <c:v>#N/A</c:v>
                </c:pt>
                <c:pt idx="95">
                  <c:v>20.39</c:v>
                </c:pt>
                <c:pt idx="96">
                  <c:v>#N/A</c:v>
                </c:pt>
                <c:pt idx="97">
                  <c:v>#N/A</c:v>
                </c:pt>
                <c:pt idx="98">
                  <c:v>#N/A</c:v>
                </c:pt>
                <c:pt idx="99">
                  <c:v>#N/A</c:v>
                </c:pt>
                <c:pt idx="100">
                  <c:v>#N/A</c:v>
                </c:pt>
                <c:pt idx="101">
                  <c:v>#N/A</c:v>
                </c:pt>
                <c:pt idx="102">
                  <c:v>20.21</c:v>
                </c:pt>
                <c:pt idx="103">
                  <c:v>#N/A</c:v>
                </c:pt>
                <c:pt idx="104">
                  <c:v>#N/A</c:v>
                </c:pt>
                <c:pt idx="105">
                  <c:v>#N/A</c:v>
                </c:pt>
                <c:pt idx="106">
                  <c:v>#N/A</c:v>
                </c:pt>
                <c:pt idx="107">
                  <c:v>#N/A</c:v>
                </c:pt>
                <c:pt idx="108">
                  <c:v>#N/A</c:v>
                </c:pt>
                <c:pt idx="109">
                  <c:v>20.12</c:v>
                </c:pt>
                <c:pt idx="110">
                  <c:v>#N/A</c:v>
                </c:pt>
                <c:pt idx="111">
                  <c:v>#N/A</c:v>
                </c:pt>
                <c:pt idx="112">
                  <c:v>#N/A</c:v>
                </c:pt>
                <c:pt idx="113">
                  <c:v>#N/A</c:v>
                </c:pt>
                <c:pt idx="114">
                  <c:v>#N/A</c:v>
                </c:pt>
                <c:pt idx="115">
                  <c:v>#N/A</c:v>
                </c:pt>
                <c:pt idx="116">
                  <c:v>20.399999999999999</c:v>
                </c:pt>
                <c:pt idx="117">
                  <c:v>#N/A</c:v>
                </c:pt>
                <c:pt idx="118">
                  <c:v>#N/A</c:v>
                </c:pt>
                <c:pt idx="119">
                  <c:v>#N/A</c:v>
                </c:pt>
                <c:pt idx="120">
                  <c:v>#N/A</c:v>
                </c:pt>
                <c:pt idx="121">
                  <c:v>#N/A</c:v>
                </c:pt>
                <c:pt idx="122">
                  <c:v>#N/A</c:v>
                </c:pt>
                <c:pt idx="123">
                  <c:v>20.5</c:v>
                </c:pt>
                <c:pt idx="124">
                  <c:v>#N/A</c:v>
                </c:pt>
                <c:pt idx="125">
                  <c:v>#N/A</c:v>
                </c:pt>
                <c:pt idx="126">
                  <c:v>#N/A</c:v>
                </c:pt>
                <c:pt idx="127">
                  <c:v>#N/A</c:v>
                </c:pt>
                <c:pt idx="128">
                  <c:v>#N/A</c:v>
                </c:pt>
                <c:pt idx="129">
                  <c:v>#N/A</c:v>
                </c:pt>
                <c:pt idx="130">
                  <c:v>20.59</c:v>
                </c:pt>
                <c:pt idx="131">
                  <c:v>#N/A</c:v>
                </c:pt>
                <c:pt idx="132">
                  <c:v>#N/A</c:v>
                </c:pt>
                <c:pt idx="133">
                  <c:v>#N/A</c:v>
                </c:pt>
                <c:pt idx="134">
                  <c:v>#N/A</c:v>
                </c:pt>
                <c:pt idx="135">
                  <c:v>#N/A</c:v>
                </c:pt>
                <c:pt idx="136">
                  <c:v>#N/A</c:v>
                </c:pt>
                <c:pt idx="137">
                  <c:v>20.75</c:v>
                </c:pt>
                <c:pt idx="138">
                  <c:v>#N/A</c:v>
                </c:pt>
                <c:pt idx="139">
                  <c:v>#N/A</c:v>
                </c:pt>
                <c:pt idx="140">
                  <c:v>#N/A</c:v>
                </c:pt>
                <c:pt idx="141">
                  <c:v>#N/A</c:v>
                </c:pt>
                <c:pt idx="142">
                  <c:v>#N/A</c:v>
                </c:pt>
                <c:pt idx="143">
                  <c:v>#N/A</c:v>
                </c:pt>
                <c:pt idx="144">
                  <c:v>20.65</c:v>
                </c:pt>
                <c:pt idx="145">
                  <c:v>#N/A</c:v>
                </c:pt>
                <c:pt idx="146">
                  <c:v>#N/A</c:v>
                </c:pt>
                <c:pt idx="147">
                  <c:v>#N/A</c:v>
                </c:pt>
                <c:pt idx="148">
                  <c:v>#N/A</c:v>
                </c:pt>
                <c:pt idx="149">
                  <c:v>#N/A</c:v>
                </c:pt>
                <c:pt idx="150">
                  <c:v>#N/A</c:v>
                </c:pt>
                <c:pt idx="151">
                  <c:v>20.45</c:v>
                </c:pt>
                <c:pt idx="152">
                  <c:v>#N/A</c:v>
                </c:pt>
                <c:pt idx="153">
                  <c:v>#N/A</c:v>
                </c:pt>
                <c:pt idx="154">
                  <c:v>#N/A</c:v>
                </c:pt>
                <c:pt idx="155">
                  <c:v>#N/A</c:v>
                </c:pt>
                <c:pt idx="156">
                  <c:v>#N/A</c:v>
                </c:pt>
                <c:pt idx="157">
                  <c:v>#N/A</c:v>
                </c:pt>
                <c:pt idx="158">
                  <c:v>21.02</c:v>
                </c:pt>
                <c:pt idx="159">
                  <c:v>#N/A</c:v>
                </c:pt>
                <c:pt idx="160">
                  <c:v>#N/A</c:v>
                </c:pt>
                <c:pt idx="161">
                  <c:v>#N/A</c:v>
                </c:pt>
                <c:pt idx="162">
                  <c:v>#N/A</c:v>
                </c:pt>
                <c:pt idx="163">
                  <c:v>#N/A</c:v>
                </c:pt>
                <c:pt idx="164">
                  <c:v>#N/A</c:v>
                </c:pt>
                <c:pt idx="165">
                  <c:v>21.06</c:v>
                </c:pt>
                <c:pt idx="166">
                  <c:v>#N/A</c:v>
                </c:pt>
                <c:pt idx="167">
                  <c:v>#N/A</c:v>
                </c:pt>
                <c:pt idx="168">
                  <c:v>#N/A</c:v>
                </c:pt>
                <c:pt idx="169">
                  <c:v>#N/A</c:v>
                </c:pt>
                <c:pt idx="170">
                  <c:v>#N/A</c:v>
                </c:pt>
                <c:pt idx="171">
                  <c:v>#N/A</c:v>
                </c:pt>
                <c:pt idx="172">
                  <c:v>21.92</c:v>
                </c:pt>
                <c:pt idx="173">
                  <c:v>#N/A</c:v>
                </c:pt>
                <c:pt idx="174">
                  <c:v>#N/A</c:v>
                </c:pt>
                <c:pt idx="175">
                  <c:v>#N/A</c:v>
                </c:pt>
                <c:pt idx="176">
                  <c:v>#N/A</c:v>
                </c:pt>
                <c:pt idx="177">
                  <c:v>#N/A</c:v>
                </c:pt>
                <c:pt idx="178">
                  <c:v>#N/A</c:v>
                </c:pt>
                <c:pt idx="179">
                  <c:v>22.93</c:v>
                </c:pt>
                <c:pt idx="180">
                  <c:v>#N/A</c:v>
                </c:pt>
                <c:pt idx="181">
                  <c:v>#N/A</c:v>
                </c:pt>
                <c:pt idx="182">
                  <c:v>#N/A</c:v>
                </c:pt>
                <c:pt idx="183">
                  <c:v>#N/A</c:v>
                </c:pt>
                <c:pt idx="184">
                  <c:v>#N/A</c:v>
                </c:pt>
                <c:pt idx="185">
                  <c:v>#N/A</c:v>
                </c:pt>
                <c:pt idx="186">
                  <c:v>23.05</c:v>
                </c:pt>
                <c:pt idx="187">
                  <c:v>#N/A</c:v>
                </c:pt>
                <c:pt idx="188">
                  <c:v>#N/A</c:v>
                </c:pt>
                <c:pt idx="189">
                  <c:v>#N/A</c:v>
                </c:pt>
                <c:pt idx="190">
                  <c:v>#N/A</c:v>
                </c:pt>
                <c:pt idx="191">
                  <c:v>#N/A</c:v>
                </c:pt>
                <c:pt idx="192">
                  <c:v>#N/A</c:v>
                </c:pt>
                <c:pt idx="193">
                  <c:v>23.27</c:v>
                </c:pt>
                <c:pt idx="194">
                  <c:v>#N/A</c:v>
                </c:pt>
                <c:pt idx="195">
                  <c:v>#N/A</c:v>
                </c:pt>
                <c:pt idx="196">
                  <c:v>#N/A</c:v>
                </c:pt>
                <c:pt idx="197">
                  <c:v>#N/A</c:v>
                </c:pt>
                <c:pt idx="198">
                  <c:v>#N/A</c:v>
                </c:pt>
                <c:pt idx="199">
                  <c:v>#N/A</c:v>
                </c:pt>
                <c:pt idx="200">
                  <c:v>23.89</c:v>
                </c:pt>
                <c:pt idx="201">
                  <c:v>#N/A</c:v>
                </c:pt>
                <c:pt idx="202">
                  <c:v>#N/A</c:v>
                </c:pt>
                <c:pt idx="203">
                  <c:v>#N/A</c:v>
                </c:pt>
                <c:pt idx="204">
                  <c:v>#N/A</c:v>
                </c:pt>
                <c:pt idx="205">
                  <c:v>#N/A</c:v>
                </c:pt>
                <c:pt idx="206">
                  <c:v>#N/A</c:v>
                </c:pt>
                <c:pt idx="207">
                  <c:v>24.05</c:v>
                </c:pt>
                <c:pt idx="208">
                  <c:v>#N/A</c:v>
                </c:pt>
                <c:pt idx="209">
                  <c:v>#N/A</c:v>
                </c:pt>
                <c:pt idx="210">
                  <c:v>#N/A</c:v>
                </c:pt>
                <c:pt idx="211">
                  <c:v>#N/A</c:v>
                </c:pt>
                <c:pt idx="212">
                  <c:v>#N/A</c:v>
                </c:pt>
                <c:pt idx="213">
                  <c:v>#N/A</c:v>
                </c:pt>
                <c:pt idx="214">
                  <c:v>24.48</c:v>
                </c:pt>
                <c:pt idx="215">
                  <c:v>#N/A</c:v>
                </c:pt>
                <c:pt idx="216">
                  <c:v>#N/A</c:v>
                </c:pt>
                <c:pt idx="217">
                  <c:v>#N/A</c:v>
                </c:pt>
                <c:pt idx="218">
                  <c:v>#N/A</c:v>
                </c:pt>
                <c:pt idx="219">
                  <c:v>#N/A</c:v>
                </c:pt>
                <c:pt idx="220">
                  <c:v>#N/A</c:v>
                </c:pt>
                <c:pt idx="221">
                  <c:v>25.78</c:v>
                </c:pt>
                <c:pt idx="222">
                  <c:v>#N/A</c:v>
                </c:pt>
                <c:pt idx="223">
                  <c:v>#N/A</c:v>
                </c:pt>
                <c:pt idx="224">
                  <c:v>#N/A</c:v>
                </c:pt>
                <c:pt idx="225">
                  <c:v>#N/A</c:v>
                </c:pt>
                <c:pt idx="226">
                  <c:v>#N/A</c:v>
                </c:pt>
                <c:pt idx="227">
                  <c:v>#N/A</c:v>
                </c:pt>
                <c:pt idx="228">
                  <c:v>28.27</c:v>
                </c:pt>
                <c:pt idx="229">
                  <c:v>#N/A</c:v>
                </c:pt>
                <c:pt idx="230">
                  <c:v>#N/A</c:v>
                </c:pt>
                <c:pt idx="231">
                  <c:v>#N/A</c:v>
                </c:pt>
                <c:pt idx="232">
                  <c:v>#N/A</c:v>
                </c:pt>
                <c:pt idx="233">
                  <c:v>#N/A</c:v>
                </c:pt>
                <c:pt idx="234">
                  <c:v>#N/A</c:v>
                </c:pt>
                <c:pt idx="235">
                  <c:v>31.09</c:v>
                </c:pt>
                <c:pt idx="236">
                  <c:v>#N/A</c:v>
                </c:pt>
                <c:pt idx="237">
                  <c:v>#N/A</c:v>
                </c:pt>
                <c:pt idx="238">
                  <c:v>#N/A</c:v>
                </c:pt>
                <c:pt idx="239">
                  <c:v>#N/A</c:v>
                </c:pt>
                <c:pt idx="240">
                  <c:v>#N/A</c:v>
                </c:pt>
                <c:pt idx="241">
                  <c:v>#N/A</c:v>
                </c:pt>
                <c:pt idx="242">
                  <c:v>33.619999999999997</c:v>
                </c:pt>
                <c:pt idx="243">
                  <c:v>#N/A</c:v>
                </c:pt>
                <c:pt idx="244">
                  <c:v>#N/A</c:v>
                </c:pt>
                <c:pt idx="245">
                  <c:v>#N/A</c:v>
                </c:pt>
                <c:pt idx="246">
                  <c:v>#N/A</c:v>
                </c:pt>
                <c:pt idx="247">
                  <c:v>#N/A</c:v>
                </c:pt>
                <c:pt idx="248">
                  <c:v>#N/A</c:v>
                </c:pt>
                <c:pt idx="249">
                  <c:v>35.119999999999997</c:v>
                </c:pt>
                <c:pt idx="250">
                  <c:v>#N/A</c:v>
                </c:pt>
                <c:pt idx="251">
                  <c:v>#N/A</c:v>
                </c:pt>
                <c:pt idx="252">
                  <c:v>#N/A</c:v>
                </c:pt>
                <c:pt idx="253">
                  <c:v>#N/A</c:v>
                </c:pt>
                <c:pt idx="254">
                  <c:v>#N/A</c:v>
                </c:pt>
                <c:pt idx="255">
                  <c:v>#N/A</c:v>
                </c:pt>
                <c:pt idx="256">
                  <c:v>35.72</c:v>
                </c:pt>
                <c:pt idx="257">
                  <c:v>#N/A</c:v>
                </c:pt>
                <c:pt idx="258">
                  <c:v>#N/A</c:v>
                </c:pt>
                <c:pt idx="259">
                  <c:v>#N/A</c:v>
                </c:pt>
                <c:pt idx="260">
                  <c:v>#N/A</c:v>
                </c:pt>
                <c:pt idx="261">
                  <c:v>#N/A</c:v>
                </c:pt>
                <c:pt idx="262">
                  <c:v>#N/A</c:v>
                </c:pt>
                <c:pt idx="263">
                  <c:v>36.14</c:v>
                </c:pt>
                <c:pt idx="264">
                  <c:v>#N/A</c:v>
                </c:pt>
                <c:pt idx="265">
                  <c:v>#N/A</c:v>
                </c:pt>
                <c:pt idx="266">
                  <c:v>#N/A</c:v>
                </c:pt>
                <c:pt idx="267">
                  <c:v>#N/A</c:v>
                </c:pt>
                <c:pt idx="268">
                  <c:v>#N/A</c:v>
                </c:pt>
                <c:pt idx="269">
                  <c:v>#N/A</c:v>
                </c:pt>
                <c:pt idx="270">
                  <c:v>36.340000000000003</c:v>
                </c:pt>
                <c:pt idx="271">
                  <c:v>#N/A</c:v>
                </c:pt>
                <c:pt idx="272">
                  <c:v>#N/A</c:v>
                </c:pt>
                <c:pt idx="273">
                  <c:v>#N/A</c:v>
                </c:pt>
                <c:pt idx="274">
                  <c:v>#N/A</c:v>
                </c:pt>
                <c:pt idx="275">
                  <c:v>#N/A</c:v>
                </c:pt>
                <c:pt idx="276">
                  <c:v>#N/A</c:v>
                </c:pt>
                <c:pt idx="277">
                  <c:v>36.79</c:v>
                </c:pt>
                <c:pt idx="278">
                  <c:v>#N/A</c:v>
                </c:pt>
                <c:pt idx="279">
                  <c:v>#N/A</c:v>
                </c:pt>
                <c:pt idx="280">
                  <c:v>#N/A</c:v>
                </c:pt>
                <c:pt idx="281">
                  <c:v>#N/A</c:v>
                </c:pt>
                <c:pt idx="282">
                  <c:v>#N/A</c:v>
                </c:pt>
                <c:pt idx="283">
                  <c:v>#N/A</c:v>
                </c:pt>
                <c:pt idx="284">
                  <c:v>42.29</c:v>
                </c:pt>
                <c:pt idx="285">
                  <c:v>#N/A</c:v>
                </c:pt>
                <c:pt idx="286">
                  <c:v>#N/A</c:v>
                </c:pt>
                <c:pt idx="287">
                  <c:v>#N/A</c:v>
                </c:pt>
                <c:pt idx="288">
                  <c:v>#N/A</c:v>
                </c:pt>
                <c:pt idx="289">
                  <c:v>#N/A</c:v>
                </c:pt>
                <c:pt idx="290">
                  <c:v>#N/A</c:v>
                </c:pt>
                <c:pt idx="291">
                  <c:v>45.57</c:v>
                </c:pt>
                <c:pt idx="292">
                  <c:v>#N/A</c:v>
                </c:pt>
                <c:pt idx="293">
                  <c:v>#N/A</c:v>
                </c:pt>
                <c:pt idx="294">
                  <c:v>#N/A</c:v>
                </c:pt>
                <c:pt idx="295">
                  <c:v>#N/A</c:v>
                </c:pt>
                <c:pt idx="296">
                  <c:v>#N/A</c:v>
                </c:pt>
                <c:pt idx="297">
                  <c:v>#N/A</c:v>
                </c:pt>
                <c:pt idx="298">
                  <c:v>51.01</c:v>
                </c:pt>
                <c:pt idx="299">
                  <c:v>#N/A</c:v>
                </c:pt>
                <c:pt idx="300">
                  <c:v>#N/A</c:v>
                </c:pt>
                <c:pt idx="301">
                  <c:v>#N/A</c:v>
                </c:pt>
                <c:pt idx="302">
                  <c:v>#N/A</c:v>
                </c:pt>
                <c:pt idx="303">
                  <c:v>#N/A</c:v>
                </c:pt>
                <c:pt idx="304">
                  <c:v>#N/A</c:v>
                </c:pt>
                <c:pt idx="305">
                  <c:v>52.4</c:v>
                </c:pt>
                <c:pt idx="306">
                  <c:v>#N/A</c:v>
                </c:pt>
                <c:pt idx="307">
                  <c:v>#N/A</c:v>
                </c:pt>
                <c:pt idx="308">
                  <c:v>#N/A</c:v>
                </c:pt>
                <c:pt idx="309">
                  <c:v>#N/A</c:v>
                </c:pt>
                <c:pt idx="310">
                  <c:v>#N/A</c:v>
                </c:pt>
                <c:pt idx="311">
                  <c:v>#N/A</c:v>
                </c:pt>
                <c:pt idx="312">
                  <c:v>51.18</c:v>
                </c:pt>
                <c:pt idx="313">
                  <c:v>#N/A</c:v>
                </c:pt>
                <c:pt idx="314">
                  <c:v>#N/A</c:v>
                </c:pt>
                <c:pt idx="315">
                  <c:v>#N/A</c:v>
                </c:pt>
                <c:pt idx="316">
                  <c:v>#N/A</c:v>
                </c:pt>
                <c:pt idx="317">
                  <c:v>#N/A</c:v>
                </c:pt>
                <c:pt idx="318">
                  <c:v>#N/A</c:v>
                </c:pt>
                <c:pt idx="319">
                  <c:v>48.13</c:v>
                </c:pt>
                <c:pt idx="320">
                  <c:v>#N/A</c:v>
                </c:pt>
                <c:pt idx="321">
                  <c:v>#N/A</c:v>
                </c:pt>
                <c:pt idx="322">
                  <c:v>#N/A</c:v>
                </c:pt>
                <c:pt idx="323">
                  <c:v>#N/A</c:v>
                </c:pt>
                <c:pt idx="324">
                  <c:v>#N/A</c:v>
                </c:pt>
                <c:pt idx="325">
                  <c:v>#N/A</c:v>
                </c:pt>
                <c:pt idx="326">
                  <c:v>43.78</c:v>
                </c:pt>
                <c:pt idx="327">
                  <c:v>#N/A</c:v>
                </c:pt>
                <c:pt idx="328">
                  <c:v>#N/A</c:v>
                </c:pt>
                <c:pt idx="329">
                  <c:v>#N/A</c:v>
                </c:pt>
                <c:pt idx="330">
                  <c:v>#N/A</c:v>
                </c:pt>
                <c:pt idx="331">
                  <c:v>#N/A</c:v>
                </c:pt>
                <c:pt idx="332">
                  <c:v>#N/A</c:v>
                </c:pt>
                <c:pt idx="333">
                  <c:v>42.06</c:v>
                </c:pt>
                <c:pt idx="334">
                  <c:v>#N/A</c:v>
                </c:pt>
                <c:pt idx="335">
                  <c:v>#N/A</c:v>
                </c:pt>
                <c:pt idx="336">
                  <c:v>#N/A</c:v>
                </c:pt>
                <c:pt idx="337">
                  <c:v>#N/A</c:v>
                </c:pt>
                <c:pt idx="338">
                  <c:v>#N/A</c:v>
                </c:pt>
                <c:pt idx="339">
                  <c:v>#N/A</c:v>
                </c:pt>
                <c:pt idx="340">
                  <c:v>43.74</c:v>
                </c:pt>
                <c:pt idx="341">
                  <c:v>#N/A</c:v>
                </c:pt>
                <c:pt idx="342">
                  <c:v>#N/A</c:v>
                </c:pt>
                <c:pt idx="343">
                  <c:v>#N/A</c:v>
                </c:pt>
                <c:pt idx="344">
                  <c:v>#N/A</c:v>
                </c:pt>
                <c:pt idx="345">
                  <c:v>#N/A</c:v>
                </c:pt>
                <c:pt idx="346">
                  <c:v>#N/A</c:v>
                </c:pt>
                <c:pt idx="347">
                  <c:v>43.7</c:v>
                </c:pt>
                <c:pt idx="348">
                  <c:v>#N/A</c:v>
                </c:pt>
                <c:pt idx="349">
                  <c:v>#N/A</c:v>
                </c:pt>
                <c:pt idx="350">
                  <c:v>#N/A</c:v>
                </c:pt>
                <c:pt idx="351">
                  <c:v>#N/A</c:v>
                </c:pt>
                <c:pt idx="352">
                  <c:v>#N/A</c:v>
                </c:pt>
                <c:pt idx="353">
                  <c:v>#N/A</c:v>
                </c:pt>
                <c:pt idx="354">
                  <c:v>43.34</c:v>
                </c:pt>
                <c:pt idx="355">
                  <c:v>#N/A</c:v>
                </c:pt>
                <c:pt idx="356">
                  <c:v>#N/A</c:v>
                </c:pt>
                <c:pt idx="357">
                  <c:v>#N/A</c:v>
                </c:pt>
                <c:pt idx="358">
                  <c:v>#N/A</c:v>
                </c:pt>
                <c:pt idx="359">
                  <c:v>#N/A</c:v>
                </c:pt>
                <c:pt idx="360">
                  <c:v>#N/A</c:v>
                </c:pt>
                <c:pt idx="361">
                  <c:v>42.89</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1B69-41E2-9965-8575E7F426CB}"/>
            </c:ext>
          </c:extLst>
        </c:ser>
        <c:ser>
          <c:idx val="2"/>
          <c:order val="1"/>
          <c:tx>
            <c:strRef>
              <c:f>猪价!$J$1</c:f>
              <c:strCache>
                <c:ptCount val="1"/>
                <c:pt idx="0">
                  <c:v>2020</c:v>
                </c:pt>
              </c:strCache>
            </c:strRef>
          </c:tx>
          <c:spPr>
            <a:ln w="28575">
              <a:solidFill>
                <a:srgbClr val="BF5711"/>
              </a:solidFill>
              <a:prstDash val="solid"/>
            </a:ln>
          </c:spPr>
          <c:marker>
            <c:symbol val="none"/>
          </c:marker>
          <c:cat>
            <c:numRef>
              <c:f>猪价!$G$2:$G$366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猪价!$J$2:$J$366</c:f>
              <c:numCache>
                <c:formatCode>General</c:formatCode>
                <c:ptCount val="365"/>
                <c:pt idx="0">
                  <c:v>#N/A</c:v>
                </c:pt>
                <c:pt idx="1">
                  <c:v>#N/A</c:v>
                </c:pt>
                <c:pt idx="2">
                  <c:v>#N/A</c:v>
                </c:pt>
                <c:pt idx="3">
                  <c:v>44.65</c:v>
                </c:pt>
                <c:pt idx="4">
                  <c:v>#N/A</c:v>
                </c:pt>
                <c:pt idx="5">
                  <c:v>#N/A</c:v>
                </c:pt>
                <c:pt idx="6">
                  <c:v>#N/A</c:v>
                </c:pt>
                <c:pt idx="7">
                  <c:v>#N/A</c:v>
                </c:pt>
                <c:pt idx="8">
                  <c:v>#N/A</c:v>
                </c:pt>
                <c:pt idx="9">
                  <c:v>#N/A</c:v>
                </c:pt>
                <c:pt idx="10">
                  <c:v>46.02</c:v>
                </c:pt>
                <c:pt idx="11">
                  <c:v>#N/A</c:v>
                </c:pt>
                <c:pt idx="12">
                  <c:v>#N/A</c:v>
                </c:pt>
                <c:pt idx="13">
                  <c:v>#N/A</c:v>
                </c:pt>
                <c:pt idx="14">
                  <c:v>#N/A</c:v>
                </c:pt>
                <c:pt idx="15">
                  <c:v>#N/A</c:v>
                </c:pt>
                <c:pt idx="16">
                  <c:v>#N/A</c:v>
                </c:pt>
                <c:pt idx="17">
                  <c:v>46.92</c:v>
                </c:pt>
                <c:pt idx="18">
                  <c:v>#N/A</c:v>
                </c:pt>
                <c:pt idx="19">
                  <c:v>#N/A</c:v>
                </c:pt>
                <c:pt idx="20">
                  <c:v>#N/A</c:v>
                </c:pt>
                <c:pt idx="21">
                  <c:v>#N/A</c:v>
                </c:pt>
                <c:pt idx="22">
                  <c:v>#N/A</c:v>
                </c:pt>
                <c:pt idx="23">
                  <c:v>#N/A</c:v>
                </c:pt>
                <c:pt idx="24">
                  <c:v>47.21</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#N/A</c:v>
                </c:pt>
                <c:pt idx="39">
                  <c:v>#N/A</c:v>
                </c:pt>
                <c:pt idx="40">
                  <c:v>#N/A</c:v>
                </c:pt>
                <c:pt idx="41">
                  <c:v>#N/A</c:v>
                </c:pt>
                <c:pt idx="42">
                  <c:v>#N/A</c:v>
                </c:pt>
                <c:pt idx="43">
                  <c:v>#N/A</c:v>
                </c:pt>
                <c:pt idx="44">
                  <c:v>#N/A</c:v>
                </c:pt>
                <c:pt idx="45">
                  <c:v>50.09</c:v>
                </c:pt>
                <c:pt idx="46">
                  <c:v>#N/A</c:v>
                </c:pt>
                <c:pt idx="47">
                  <c:v>#N/A</c:v>
                </c:pt>
                <c:pt idx="48">
                  <c:v>#N/A</c:v>
                </c:pt>
                <c:pt idx="49">
                  <c:v>#N/A</c:v>
                </c:pt>
                <c:pt idx="50">
                  <c:v>#N/A</c:v>
                </c:pt>
                <c:pt idx="51">
                  <c:v>#N/A</c:v>
                </c:pt>
                <c:pt idx="52">
                  <c:v>50.21</c:v>
                </c:pt>
                <c:pt idx="53">
                  <c:v>#N/A</c:v>
                </c:pt>
                <c:pt idx="54">
                  <c:v>#N/A</c:v>
                </c:pt>
                <c:pt idx="55">
                  <c:v>#N/A</c:v>
                </c:pt>
                <c:pt idx="56">
                  <c:v>#N/A</c:v>
                </c:pt>
                <c:pt idx="57">
                  <c:v>#N/A</c:v>
                </c:pt>
                <c:pt idx="58">
                  <c:v>#N/A</c:v>
                </c:pt>
                <c:pt idx="59">
                  <c:v>48.92</c:v>
                </c:pt>
                <c:pt idx="60">
                  <c:v>#N/A</c:v>
                </c:pt>
                <c:pt idx="61">
                  <c:v>#N/A</c:v>
                </c:pt>
                <c:pt idx="62">
                  <c:v>#N/A</c:v>
                </c:pt>
                <c:pt idx="63">
                  <c:v>#N/A</c:v>
                </c:pt>
                <c:pt idx="64">
                  <c:v>#N/A</c:v>
                </c:pt>
                <c:pt idx="65">
                  <c:v>#N/A</c:v>
                </c:pt>
                <c:pt idx="66">
                  <c:v>48.49</c:v>
                </c:pt>
                <c:pt idx="67">
                  <c:v>#N/A</c:v>
                </c:pt>
                <c:pt idx="68">
                  <c:v>#N/A</c:v>
                </c:pt>
                <c:pt idx="69">
                  <c:v>#N/A</c:v>
                </c:pt>
                <c:pt idx="70">
                  <c:v>#N/A</c:v>
                </c:pt>
                <c:pt idx="71">
                  <c:v>#N/A</c:v>
                </c:pt>
                <c:pt idx="72">
                  <c:v>#N/A</c:v>
                </c:pt>
                <c:pt idx="73">
                  <c:v>48.1</c:v>
                </c:pt>
                <c:pt idx="74">
                  <c:v>#N/A</c:v>
                </c:pt>
                <c:pt idx="75">
                  <c:v>#N/A</c:v>
                </c:pt>
                <c:pt idx="76">
                  <c:v>#N/A</c:v>
                </c:pt>
                <c:pt idx="77">
                  <c:v>#N/A</c:v>
                </c:pt>
                <c:pt idx="78">
                  <c:v>#N/A</c:v>
                </c:pt>
                <c:pt idx="79">
                  <c:v>#N/A</c:v>
                </c:pt>
                <c:pt idx="80">
                  <c:v>47.47</c:v>
                </c:pt>
                <c:pt idx="81">
                  <c:v>#N/A</c:v>
                </c:pt>
                <c:pt idx="82">
                  <c:v>#N/A</c:v>
                </c:pt>
                <c:pt idx="83">
                  <c:v>#N/A</c:v>
                </c:pt>
                <c:pt idx="84">
                  <c:v>#N/A</c:v>
                </c:pt>
                <c:pt idx="85">
                  <c:v>#N/A</c:v>
                </c:pt>
                <c:pt idx="86">
                  <c:v>#N/A</c:v>
                </c:pt>
                <c:pt idx="87">
                  <c:v>46.89</c:v>
                </c:pt>
                <c:pt idx="88">
                  <c:v>#N/A</c:v>
                </c:pt>
                <c:pt idx="89">
                  <c:v>#N/A</c:v>
                </c:pt>
                <c:pt idx="90">
                  <c:v>#N/A</c:v>
                </c:pt>
                <c:pt idx="91">
                  <c:v>#N/A</c:v>
                </c:pt>
                <c:pt idx="92">
                  <c:v>#N/A</c:v>
                </c:pt>
                <c:pt idx="93">
                  <c:v>#N/A</c:v>
                </c:pt>
                <c:pt idx="94">
                  <c:v>46.28</c:v>
                </c:pt>
                <c:pt idx="95">
                  <c:v>#N/A</c:v>
                </c:pt>
                <c:pt idx="96">
                  <c:v>#N/A</c:v>
                </c:pt>
                <c:pt idx="97">
                  <c:v>#N/A</c:v>
                </c:pt>
                <c:pt idx="98">
                  <c:v>#N/A</c:v>
                </c:pt>
                <c:pt idx="99">
                  <c:v>#N/A</c:v>
                </c:pt>
                <c:pt idx="100">
                  <c:v>#N/A</c:v>
                </c:pt>
                <c:pt idx="101">
                  <c:v>44.72</c:v>
                </c:pt>
                <c:pt idx="102">
                  <c:v>#N/A</c:v>
                </c:pt>
                <c:pt idx="103">
                  <c:v>#N/A</c:v>
                </c:pt>
                <c:pt idx="104">
                  <c:v>#N/A</c:v>
                </c:pt>
                <c:pt idx="105">
                  <c:v>#N/A</c:v>
                </c:pt>
                <c:pt idx="106">
                  <c:v>#N/A</c:v>
                </c:pt>
                <c:pt idx="107">
                  <c:v>#N/A</c:v>
                </c:pt>
                <c:pt idx="108">
                  <c:v>44.7</c:v>
                </c:pt>
                <c:pt idx="109">
                  <c:v>#N/A</c:v>
                </c:pt>
                <c:pt idx="110">
                  <c:v>#N/A</c:v>
                </c:pt>
                <c:pt idx="111">
                  <c:v>#N/A</c:v>
                </c:pt>
                <c:pt idx="112">
                  <c:v>#N/A</c:v>
                </c:pt>
                <c:pt idx="113">
                  <c:v>#N/A</c:v>
                </c:pt>
                <c:pt idx="114">
                  <c:v>#N/A</c:v>
                </c:pt>
                <c:pt idx="115">
                  <c:v>44.15</c:v>
                </c:pt>
                <c:pt idx="116">
                  <c:v>#N/A</c:v>
                </c:pt>
                <c:pt idx="117">
                  <c:v>#N/A</c:v>
                </c:pt>
                <c:pt idx="118">
                  <c:v>#N/A</c:v>
                </c:pt>
                <c:pt idx="119">
                  <c:v>#N/A</c:v>
                </c:pt>
                <c:pt idx="120">
                  <c:v>#N/A</c:v>
                </c:pt>
                <c:pt idx="121">
                  <c:v>#N/A</c:v>
                </c:pt>
                <c:pt idx="122">
                  <c:v>43.53</c:v>
                </c:pt>
                <c:pt idx="123">
                  <c:v>#N/A</c:v>
                </c:pt>
                <c:pt idx="124">
                  <c:v>#N/A</c:v>
                </c:pt>
                <c:pt idx="125">
                  <c:v>#N/A</c:v>
                </c:pt>
                <c:pt idx="126">
                  <c:v>#N/A</c:v>
                </c:pt>
                <c:pt idx="127">
                  <c:v>#N/A</c:v>
                </c:pt>
                <c:pt idx="128">
                  <c:v>#N/A</c:v>
                </c:pt>
                <c:pt idx="129">
                  <c:v>42.28</c:v>
                </c:pt>
                <c:pt idx="130">
                  <c:v>#N/A</c:v>
                </c:pt>
                <c:pt idx="131">
                  <c:v>#N/A</c:v>
                </c:pt>
                <c:pt idx="132">
                  <c:v>#N/A</c:v>
                </c:pt>
                <c:pt idx="133">
                  <c:v>#N/A</c:v>
                </c:pt>
                <c:pt idx="134">
                  <c:v>#N/A</c:v>
                </c:pt>
                <c:pt idx="135">
                  <c:v>#N/A</c:v>
                </c:pt>
                <c:pt idx="136">
                  <c:v>39.53</c:v>
                </c:pt>
                <c:pt idx="137">
                  <c:v>#N/A</c:v>
                </c:pt>
                <c:pt idx="138">
                  <c:v>#N/A</c:v>
                </c:pt>
                <c:pt idx="139">
                  <c:v>#N/A</c:v>
                </c:pt>
                <c:pt idx="140">
                  <c:v>#N/A</c:v>
                </c:pt>
                <c:pt idx="141">
                  <c:v>#N/A</c:v>
                </c:pt>
                <c:pt idx="142">
                  <c:v>#N/A</c:v>
                </c:pt>
                <c:pt idx="143">
                  <c:v>38.770000000000003</c:v>
                </c:pt>
                <c:pt idx="144">
                  <c:v>#N/A</c:v>
                </c:pt>
                <c:pt idx="145">
                  <c:v>#N/A</c:v>
                </c:pt>
                <c:pt idx="146">
                  <c:v>#N/A</c:v>
                </c:pt>
                <c:pt idx="147">
                  <c:v>#N/A</c:v>
                </c:pt>
                <c:pt idx="148">
                  <c:v>#N/A</c:v>
                </c:pt>
                <c:pt idx="149">
                  <c:v>#N/A</c:v>
                </c:pt>
                <c:pt idx="150">
                  <c:v>38.65</c:v>
                </c:pt>
                <c:pt idx="151">
                  <c:v>#N/A</c:v>
                </c:pt>
                <c:pt idx="152">
                  <c:v>#N/A</c:v>
                </c:pt>
                <c:pt idx="153">
                  <c:v>#N/A</c:v>
                </c:pt>
                <c:pt idx="154">
                  <c:v>#N/A</c:v>
                </c:pt>
                <c:pt idx="155">
                  <c:v>#N/A</c:v>
                </c:pt>
                <c:pt idx="156">
                  <c:v>#N/A</c:v>
                </c:pt>
                <c:pt idx="157">
                  <c:v>39.81</c:v>
                </c:pt>
                <c:pt idx="158">
                  <c:v>#N/A</c:v>
                </c:pt>
                <c:pt idx="159">
                  <c:v>#N/A</c:v>
                </c:pt>
                <c:pt idx="160">
                  <c:v>#N/A</c:v>
                </c:pt>
                <c:pt idx="161">
                  <c:v>#N/A</c:v>
                </c:pt>
                <c:pt idx="162">
                  <c:v>#N/A</c:v>
                </c:pt>
                <c:pt idx="163">
                  <c:v>#N/A</c:v>
                </c:pt>
                <c:pt idx="164">
                  <c:v>40.6</c:v>
                </c:pt>
                <c:pt idx="165">
                  <c:v>#N/A</c:v>
                </c:pt>
                <c:pt idx="166">
                  <c:v>#N/A</c:v>
                </c:pt>
                <c:pt idx="167">
                  <c:v>#N/A</c:v>
                </c:pt>
                <c:pt idx="168">
                  <c:v>#N/A</c:v>
                </c:pt>
                <c:pt idx="169">
                  <c:v>#N/A</c:v>
                </c:pt>
                <c:pt idx="170">
                  <c:v>#N/A</c:v>
                </c:pt>
                <c:pt idx="171">
                  <c:v>43.25</c:v>
                </c:pt>
                <c:pt idx="172">
                  <c:v>#N/A</c:v>
                </c:pt>
                <c:pt idx="173">
                  <c:v>#N/A</c:v>
                </c:pt>
                <c:pt idx="174">
                  <c:v>#N/A</c:v>
                </c:pt>
                <c:pt idx="175">
                  <c:v>#N/A</c:v>
                </c:pt>
                <c:pt idx="176">
                  <c:v>#N/A</c:v>
                </c:pt>
                <c:pt idx="177">
                  <c:v>#N/A</c:v>
                </c:pt>
                <c:pt idx="178">
                  <c:v>44.67</c:v>
                </c:pt>
                <c:pt idx="179">
                  <c:v>#N/A</c:v>
                </c:pt>
                <c:pt idx="180">
                  <c:v>#N/A</c:v>
                </c:pt>
                <c:pt idx="181">
                  <c:v>#N/A</c:v>
                </c:pt>
                <c:pt idx="182">
                  <c:v>#N/A</c:v>
                </c:pt>
                <c:pt idx="183">
                  <c:v>#N/A</c:v>
                </c:pt>
                <c:pt idx="184">
                  <c:v>#N/A</c:v>
                </c:pt>
                <c:pt idx="185">
                  <c:v>46.05</c:v>
                </c:pt>
                <c:pt idx="186">
                  <c:v>#N/A</c:v>
                </c:pt>
                <c:pt idx="187">
                  <c:v>#N/A</c:v>
                </c:pt>
                <c:pt idx="188">
                  <c:v>#N/A</c:v>
                </c:pt>
                <c:pt idx="189">
                  <c:v>#N/A</c:v>
                </c:pt>
                <c:pt idx="190">
                  <c:v>#N/A</c:v>
                </c:pt>
                <c:pt idx="191">
                  <c:v>#N/A</c:v>
                </c:pt>
                <c:pt idx="192">
                  <c:v>48.02</c:v>
                </c:pt>
                <c:pt idx="193">
                  <c:v>#N/A</c:v>
                </c:pt>
                <c:pt idx="194">
                  <c:v>#N/A</c:v>
                </c:pt>
                <c:pt idx="195">
                  <c:v>#N/A</c:v>
                </c:pt>
                <c:pt idx="196">
                  <c:v>#N/A</c:v>
                </c:pt>
                <c:pt idx="197">
                  <c:v>#N/A</c:v>
                </c:pt>
                <c:pt idx="198">
                  <c:v>#N/A</c:v>
                </c:pt>
                <c:pt idx="199">
                  <c:v>48.53</c:v>
                </c:pt>
                <c:pt idx="200">
                  <c:v>#N/A</c:v>
                </c:pt>
                <c:pt idx="201">
                  <c:v>#N/A</c:v>
                </c:pt>
                <c:pt idx="202">
                  <c:v>#N/A</c:v>
                </c:pt>
                <c:pt idx="203">
                  <c:v>#N/A</c:v>
                </c:pt>
                <c:pt idx="204">
                  <c:v>#N/A</c:v>
                </c:pt>
                <c:pt idx="205">
                  <c:v>#N/A</c:v>
                </c:pt>
                <c:pt idx="206">
                  <c:v>48.67</c:v>
                </c:pt>
                <c:pt idx="207">
                  <c:v>#N/A</c:v>
                </c:pt>
                <c:pt idx="208">
                  <c:v>#N/A</c:v>
                </c:pt>
                <c:pt idx="209">
                  <c:v>#N/A</c:v>
                </c:pt>
                <c:pt idx="210">
                  <c:v>#N/A</c:v>
                </c:pt>
                <c:pt idx="211">
                  <c:v>#N/A</c:v>
                </c:pt>
                <c:pt idx="212">
                  <c:v>#N/A</c:v>
                </c:pt>
                <c:pt idx="213">
                  <c:v>48.34</c:v>
                </c:pt>
                <c:pt idx="214">
                  <c:v>#N/A</c:v>
                </c:pt>
                <c:pt idx="215">
                  <c:v>#N/A</c:v>
                </c:pt>
                <c:pt idx="216">
                  <c:v>#N/A</c:v>
                </c:pt>
                <c:pt idx="217">
                  <c:v>#N/A</c:v>
                </c:pt>
                <c:pt idx="218">
                  <c:v>#N/A</c:v>
                </c:pt>
                <c:pt idx="219">
                  <c:v>#N/A</c:v>
                </c:pt>
                <c:pt idx="220">
                  <c:v>48.47</c:v>
                </c:pt>
                <c:pt idx="221">
                  <c:v>#N/A</c:v>
                </c:pt>
                <c:pt idx="222">
                  <c:v>#N/A</c:v>
                </c:pt>
                <c:pt idx="223">
                  <c:v>#N/A</c:v>
                </c:pt>
                <c:pt idx="224">
                  <c:v>#N/A</c:v>
                </c:pt>
                <c:pt idx="225">
                  <c:v>#N/A</c:v>
                </c:pt>
                <c:pt idx="226">
                  <c:v>#N/A</c:v>
                </c:pt>
                <c:pt idx="227">
                  <c:v>48.25</c:v>
                </c:pt>
                <c:pt idx="228">
                  <c:v>#N/A</c:v>
                </c:pt>
                <c:pt idx="229">
                  <c:v>#N/A</c:v>
                </c:pt>
                <c:pt idx="230">
                  <c:v>#N/A</c:v>
                </c:pt>
                <c:pt idx="231">
                  <c:v>#N/A</c:v>
                </c:pt>
                <c:pt idx="232">
                  <c:v>#N/A</c:v>
                </c:pt>
                <c:pt idx="233">
                  <c:v>#N/A</c:v>
                </c:pt>
                <c:pt idx="234">
                  <c:v>48.4</c:v>
                </c:pt>
                <c:pt idx="235">
                  <c:v>#N/A</c:v>
                </c:pt>
                <c:pt idx="236">
                  <c:v>#N/A</c:v>
                </c:pt>
                <c:pt idx="237">
                  <c:v>#N/A</c:v>
                </c:pt>
                <c:pt idx="238">
                  <c:v>#N/A</c:v>
                </c:pt>
                <c:pt idx="239">
                  <c:v>#N/A</c:v>
                </c:pt>
                <c:pt idx="240">
                  <c:v>#N/A</c:v>
                </c:pt>
                <c:pt idx="241">
                  <c:v>48.41</c:v>
                </c:pt>
                <c:pt idx="242">
                  <c:v>#N/A</c:v>
                </c:pt>
                <c:pt idx="243">
                  <c:v>#N/A</c:v>
                </c:pt>
                <c:pt idx="244">
                  <c:v>#N/A</c:v>
                </c:pt>
                <c:pt idx="245">
                  <c:v>#N/A</c:v>
                </c:pt>
                <c:pt idx="246">
                  <c:v>#N/A</c:v>
                </c:pt>
                <c:pt idx="247">
                  <c:v>#N/A</c:v>
                </c:pt>
                <c:pt idx="248">
                  <c:v>47.95</c:v>
                </c:pt>
                <c:pt idx="249">
                  <c:v>#N/A</c:v>
                </c:pt>
                <c:pt idx="250">
                  <c:v>#N/A</c:v>
                </c:pt>
                <c:pt idx="251">
                  <c:v>#N/A</c:v>
                </c:pt>
                <c:pt idx="252">
                  <c:v>#N/A</c:v>
                </c:pt>
                <c:pt idx="253">
                  <c:v>#N/A</c:v>
                </c:pt>
                <c:pt idx="254">
                  <c:v>#N/A</c:v>
                </c:pt>
                <c:pt idx="255">
                  <c:v>47.85</c:v>
                </c:pt>
                <c:pt idx="256">
                  <c:v>#N/A</c:v>
                </c:pt>
                <c:pt idx="257">
                  <c:v>#N/A</c:v>
                </c:pt>
                <c:pt idx="258">
                  <c:v>#N/A</c:v>
                </c:pt>
                <c:pt idx="259">
                  <c:v>#N/A</c:v>
                </c:pt>
                <c:pt idx="260">
                  <c:v>#N/A</c:v>
                </c:pt>
                <c:pt idx="261">
                  <c:v>#N/A</c:v>
                </c:pt>
                <c:pt idx="262">
                  <c:v>47.28</c:v>
                </c:pt>
                <c:pt idx="263">
                  <c:v>#N/A</c:v>
                </c:pt>
                <c:pt idx="264">
                  <c:v>#N/A</c:v>
                </c:pt>
                <c:pt idx="265">
                  <c:v>#N/A</c:v>
                </c:pt>
                <c:pt idx="266">
                  <c:v>#N/A</c:v>
                </c:pt>
                <c:pt idx="267">
                  <c:v>#N/A</c:v>
                </c:pt>
                <c:pt idx="268">
                  <c:v>#N/A</c:v>
                </c:pt>
                <c:pt idx="269">
                  <c:v>46.57</c:v>
                </c:pt>
                <c:pt idx="270">
                  <c:v>#N/A</c:v>
                </c:pt>
                <c:pt idx="271">
                  <c:v>#N/A</c:v>
                </c:pt>
                <c:pt idx="272">
                  <c:v>#N/A</c:v>
                </c:pt>
                <c:pt idx="273">
                  <c:v>#N/A</c:v>
                </c:pt>
                <c:pt idx="274">
                  <c:v>#N/A</c:v>
                </c:pt>
                <c:pt idx="275">
                  <c:v>#N/A</c:v>
                </c:pt>
                <c:pt idx="276">
                  <c:v>45.41</c:v>
                </c:pt>
                <c:pt idx="277">
                  <c:v>#N/A</c:v>
                </c:pt>
                <c:pt idx="278">
                  <c:v>#N/A</c:v>
                </c:pt>
                <c:pt idx="279">
                  <c:v>#N/A</c:v>
                </c:pt>
                <c:pt idx="280">
                  <c:v>#N/A</c:v>
                </c:pt>
                <c:pt idx="281">
                  <c:v>#N/A</c:v>
                </c:pt>
                <c:pt idx="282">
                  <c:v>#N/A</c:v>
                </c:pt>
                <c:pt idx="283">
                  <c:v>43.96</c:v>
                </c:pt>
                <c:pt idx="284">
                  <c:v>#N/A</c:v>
                </c:pt>
                <c:pt idx="285">
                  <c:v>#N/A</c:v>
                </c:pt>
                <c:pt idx="286">
                  <c:v>#N/A</c:v>
                </c:pt>
                <c:pt idx="287">
                  <c:v>#N/A</c:v>
                </c:pt>
                <c:pt idx="288">
                  <c:v>#N/A</c:v>
                </c:pt>
                <c:pt idx="289">
                  <c:v>#N/A</c:v>
                </c:pt>
                <c:pt idx="290">
                  <c:v>42.41</c:v>
                </c:pt>
                <c:pt idx="291">
                  <c:v>#N/A</c:v>
                </c:pt>
                <c:pt idx="292">
                  <c:v>#N/A</c:v>
                </c:pt>
                <c:pt idx="293">
                  <c:v>#N/A</c:v>
                </c:pt>
                <c:pt idx="294">
                  <c:v>#N/A</c:v>
                </c:pt>
                <c:pt idx="295">
                  <c:v>#N/A</c:v>
                </c:pt>
                <c:pt idx="296">
                  <c:v>#N/A</c:v>
                </c:pt>
                <c:pt idx="297">
                  <c:v>40.44</c:v>
                </c:pt>
                <c:pt idx="298">
                  <c:v>#N/A</c:v>
                </c:pt>
                <c:pt idx="299">
                  <c:v>#N/A</c:v>
                </c:pt>
                <c:pt idx="300">
                  <c:v>#N/A</c:v>
                </c:pt>
                <c:pt idx="301">
                  <c:v>#N/A</c:v>
                </c:pt>
                <c:pt idx="302">
                  <c:v>#N/A</c:v>
                </c:pt>
                <c:pt idx="303">
                  <c:v>#N/A</c:v>
                </c:pt>
                <c:pt idx="304">
                  <c:v>38.85</c:v>
                </c:pt>
                <c:pt idx="305">
                  <c:v>#N/A</c:v>
                </c:pt>
                <c:pt idx="306">
                  <c:v>#N/A</c:v>
                </c:pt>
                <c:pt idx="307">
                  <c:v>#N/A</c:v>
                </c:pt>
                <c:pt idx="308">
                  <c:v>#N/A</c:v>
                </c:pt>
                <c:pt idx="309">
                  <c:v>#N/A</c:v>
                </c:pt>
                <c:pt idx="310">
                  <c:v>#N/A</c:v>
                </c:pt>
                <c:pt idx="311">
                  <c:v>39.369999999999997</c:v>
                </c:pt>
                <c:pt idx="312">
                  <c:v>#N/A</c:v>
                </c:pt>
                <c:pt idx="313">
                  <c:v>#N/A</c:v>
                </c:pt>
                <c:pt idx="314">
                  <c:v>#N/A</c:v>
                </c:pt>
                <c:pt idx="315">
                  <c:v>#N/A</c:v>
                </c:pt>
                <c:pt idx="316">
                  <c:v>#N/A</c:v>
                </c:pt>
                <c:pt idx="317">
                  <c:v>#N/A</c:v>
                </c:pt>
                <c:pt idx="318">
                  <c:v>39.26</c:v>
                </c:pt>
                <c:pt idx="319">
                  <c:v>#N/A</c:v>
                </c:pt>
                <c:pt idx="320">
                  <c:v>#N/A</c:v>
                </c:pt>
                <c:pt idx="321">
                  <c:v>#N/A</c:v>
                </c:pt>
                <c:pt idx="322">
                  <c:v>#N/A</c:v>
                </c:pt>
                <c:pt idx="323">
                  <c:v>#N/A</c:v>
                </c:pt>
                <c:pt idx="324">
                  <c:v>#N/A</c:v>
                </c:pt>
                <c:pt idx="325">
                  <c:v>39.36</c:v>
                </c:pt>
                <c:pt idx="326">
                  <c:v>#N/A</c:v>
                </c:pt>
                <c:pt idx="327">
                  <c:v>#N/A</c:v>
                </c:pt>
                <c:pt idx="328">
                  <c:v>#N/A</c:v>
                </c:pt>
                <c:pt idx="329">
                  <c:v>#N/A</c:v>
                </c:pt>
                <c:pt idx="330">
                  <c:v>#N/A</c:v>
                </c:pt>
                <c:pt idx="331">
                  <c:v>#N/A</c:v>
                </c:pt>
                <c:pt idx="332">
                  <c:v>39.1</c:v>
                </c:pt>
                <c:pt idx="333">
                  <c:v>#N/A</c:v>
                </c:pt>
                <c:pt idx="334">
                  <c:v>#N/A</c:v>
                </c:pt>
                <c:pt idx="335">
                  <c:v>#N/A</c:v>
                </c:pt>
                <c:pt idx="336">
                  <c:v>#N/A</c:v>
                </c:pt>
                <c:pt idx="337">
                  <c:v>#N/A</c:v>
                </c:pt>
                <c:pt idx="338">
                  <c:v>#N/A</c:v>
                </c:pt>
                <c:pt idx="339">
                  <c:v>41.79</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1B69-41E2-9965-8575E7F426CB}"/>
            </c:ext>
          </c:extLst>
        </c:ser>
        <c:dLbls>
          <c:showLegendKey val="0"/>
          <c:showVal val="0"/>
          <c:showCatName val="0"/>
          <c:showSerName val="0"/>
          <c:showPercent val="0"/>
          <c:showBubbleSize val="0"/>
        </c:dLbls>
        <c:marker val="1"/>
        <c:smooth val="0"/>
        <c:axId val="273417728"/>
        <c:axId val="273419264"/>
      </c:lineChart>
      <c:dateAx>
        <c:axId val="273417728"/>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73419264"/>
        <c:crosses val="autoZero"/>
        <c:auto val="0"/>
        <c:lblOffset val="0"/>
        <c:baseTimeUnit val="days"/>
        <c:majorUnit val="1"/>
        <c:majorTimeUnit val="months"/>
      </c:dateAx>
      <c:valAx>
        <c:axId val="273419264"/>
        <c:scaling>
          <c:orientation val="minMax"/>
          <c:min val="14"/>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73417728"/>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drawings/drawing1.xml><?xml version="1.0" encoding="utf-8"?>
<c:userShapes xmlns:c="http://schemas.openxmlformats.org/drawingml/2006/chart">
  <cdr:relSizeAnchor xmlns:cdr="http://schemas.openxmlformats.org/drawingml/2006/chartDrawing">
    <cdr:from>
      <cdr:x>0</cdr:x>
      <cdr:y>0</cdr:y>
    </cdr:from>
    <cdr:to>
      <cdr:x>0.12698</cdr:x>
      <cdr:y>0.09987</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580570" cy="273958"/>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亿元</a:t>
          </a: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1000" b="0" i="0" u="none" strike="noStrike" baseline="0">
              <a:solidFill>
                <a:srgbClr val="000000"/>
              </a:solidFill>
              <a:latin typeface="楷体" panose="02010609060101010101" pitchFamily="49" charset="-122"/>
              <a:ea typeface="楷体" panose="02010609060101010101" pitchFamily="49" charset="-122"/>
            </a:rPr>
            <a:t>%</a:t>
          </a:r>
          <a:endParaRPr lang="zh-CN" altLang="en-US" sz="1000" b="0" i="0" u="none" strike="noStrike" baseline="0">
            <a:solidFill>
              <a:srgbClr val="000000"/>
            </a:solidFill>
            <a:latin typeface="楷体" panose="02010609060101010101" pitchFamily="49" charset="-122"/>
            <a:ea typeface="楷体" panose="02010609060101010101" pitchFamily="49" charset="-122"/>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cdr:x>
      <cdr:y>0</cdr:y>
    </cdr:from>
    <cdr:to>
      <cdr:x>0.12198</cdr:x>
      <cdr:y>0.07706</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365760" cy="146304"/>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元</a:t>
          </a:r>
          <a:r>
            <a:rPr lang="en-US" altLang="zh-CN" sz="700" b="0" i="0" u="none" strike="noStrike" baseline="0">
              <a:solidFill>
                <a:srgbClr val="000000"/>
              </a:solidFill>
              <a:latin typeface="楷体" panose="02010609060101010101" pitchFamily="49" charset="-122"/>
              <a:ea typeface="楷体" panose="02010609060101010101" pitchFamily="49" charset="-122"/>
            </a:rPr>
            <a:t>/</a:t>
          </a:r>
          <a:r>
            <a:rPr lang="zh-CN" altLang="en-US" sz="700" b="0" i="0" u="none" strike="noStrike" baseline="0">
              <a:solidFill>
                <a:srgbClr val="000000"/>
              </a:solidFill>
              <a:latin typeface="楷体" panose="02010609060101010101" pitchFamily="49" charset="-122"/>
              <a:ea typeface="楷体" panose="02010609060101010101" pitchFamily="49" charset="-122"/>
            </a:rPr>
            <a:t>千克</a:t>
          </a: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92DDC0-F76F-4258-B6FA-74230AD132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155</TotalTime>
  <Pages>8</Pages>
  <Words>803</Words>
  <Characters>4582</Characters>
  <Application>Microsoft Office Word</Application>
  <DocSecurity>0</DocSecurity>
  <Lines>38</Lines>
  <Paragraphs>10</Paragraphs>
  <ScaleCrop>false</ScaleCrop>
  <Company>Microsoft</Company>
  <LinksUpToDate>false</LinksUpToDate>
  <CharactersWithSpaces>5375</CharactersWithSpaces>
  <SharedDoc>false</SharedDoc>
  <HLinks>
    <vt:vector size="6" baseType="variant">
      <vt:variant>
        <vt:i4>5767249</vt:i4>
      </vt:variant>
      <vt:variant>
        <vt:i4>0</vt:i4>
      </vt:variant>
      <vt:variant>
        <vt:i4>0</vt:i4>
      </vt:variant>
      <vt:variant>
        <vt:i4>5</vt:i4>
      </vt:variant>
      <vt:variant>
        <vt:lpwstr>http://180.96.8.44/SmartReaderWeb/SmartReader/?type=1&amp;id=451784584&amp;fav=1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dc:title>
  <dc:subject/>
  <dc:creator>钱伟</dc:creator>
  <cp:keywords/>
  <dc:description/>
  <cp:lastModifiedBy>Administrator</cp:lastModifiedBy>
  <cp:revision>26</cp:revision>
  <cp:lastPrinted>2019-06-26T06:05:00Z</cp:lastPrinted>
  <dcterms:created xsi:type="dcterms:W3CDTF">2020-12-06T10:48:00Z</dcterms:created>
  <dcterms:modified xsi:type="dcterms:W3CDTF">2020-12-07T06:38:00Z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2052-8.1.0.3477</vt:lpwstr>
  </property>
</Properties>
</file>