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5116EEA1" w:rsidR="002C4C07" w:rsidRDefault="002C4C07" w:rsidP="002C4C07">
      <w:pPr>
        <w:jc w:val="center"/>
        <w:rPr>
          <w:b/>
        </w:rPr>
      </w:pPr>
      <w:r w:rsidRPr="00EF6393">
        <w:rPr>
          <w:rFonts w:hint="eastAsia"/>
          <w:b/>
        </w:rPr>
        <w:t>富荣量化周观察——</w:t>
      </w:r>
      <w:r w:rsidR="009753F5" w:rsidRPr="009753F5">
        <w:rPr>
          <w:rFonts w:hint="eastAsia"/>
          <w:b/>
        </w:rPr>
        <w:t>市场</w:t>
      </w:r>
      <w:r w:rsidR="009753F5" w:rsidRPr="009753F5">
        <w:rPr>
          <w:rFonts w:hint="eastAsia"/>
          <w:b/>
        </w:rPr>
        <w:t>将</w:t>
      </w:r>
      <w:r w:rsidR="009753F5" w:rsidRPr="009753F5">
        <w:rPr>
          <w:rFonts w:hint="eastAsia"/>
          <w:b/>
        </w:rPr>
        <w:t>延续震荡走势</w:t>
      </w:r>
    </w:p>
    <w:p w14:paraId="2E0A072D" w14:textId="77777777" w:rsidR="00930F5D" w:rsidRPr="009753F5" w:rsidRDefault="00930F5D" w:rsidP="002C4C07">
      <w:pPr>
        <w:jc w:val="center"/>
        <w:rPr>
          <w:b/>
        </w:rPr>
      </w:pPr>
      <w:bookmarkStart w:id="0" w:name="_GoBack"/>
      <w:bookmarkEnd w:id="0"/>
    </w:p>
    <w:p w14:paraId="7D8FF2B6" w14:textId="73AE90D0" w:rsidR="00E9385A" w:rsidRDefault="00E9385A" w:rsidP="005C66C6">
      <w:pPr>
        <w:ind w:firstLineChars="200" w:firstLine="480"/>
      </w:pPr>
      <w:r>
        <w:rPr>
          <w:rFonts w:hint="eastAsia"/>
        </w:rPr>
        <w:t>本周市场全面回调，主要指数均大幅下跌，11月走势强劲的银行、非</w:t>
      </w:r>
      <w:proofErr w:type="gramStart"/>
      <w:r>
        <w:rPr>
          <w:rFonts w:hint="eastAsia"/>
        </w:rPr>
        <w:t>银金融</w:t>
      </w:r>
      <w:proofErr w:type="gramEnd"/>
      <w:r>
        <w:rPr>
          <w:rFonts w:hint="eastAsia"/>
        </w:rPr>
        <w:t>等权重股走得比较弱。最终这一周上证</w:t>
      </w:r>
      <w:proofErr w:type="gramStart"/>
      <w:r>
        <w:rPr>
          <w:rFonts w:hint="eastAsia"/>
        </w:rPr>
        <w:t>指数收跌</w:t>
      </w:r>
      <w:proofErr w:type="gramEnd"/>
      <w:r>
        <w:rPr>
          <w:rFonts w:hint="eastAsia"/>
        </w:rPr>
        <w:t>2.83%，深证</w:t>
      </w:r>
      <w:proofErr w:type="gramStart"/>
      <w:r>
        <w:rPr>
          <w:rFonts w:hint="eastAsia"/>
        </w:rPr>
        <w:t>综指收跌</w:t>
      </w:r>
      <w:proofErr w:type="gramEnd"/>
      <w:r>
        <w:rPr>
          <w:rFonts w:hint="eastAsia"/>
        </w:rPr>
        <w:t>3.38%，创业</w:t>
      </w:r>
      <w:proofErr w:type="gramStart"/>
      <w:r>
        <w:rPr>
          <w:rFonts w:hint="eastAsia"/>
        </w:rPr>
        <w:t>板收跌</w:t>
      </w:r>
      <w:proofErr w:type="gramEnd"/>
      <w:r>
        <w:rPr>
          <w:rFonts w:hint="eastAsia"/>
        </w:rPr>
        <w:t>1.58%，中证500和沪深300指数</w:t>
      </w:r>
      <w:proofErr w:type="gramStart"/>
      <w:r>
        <w:rPr>
          <w:rFonts w:hint="eastAsia"/>
        </w:rPr>
        <w:t>分别收跌</w:t>
      </w:r>
      <w:proofErr w:type="gramEnd"/>
      <w:r>
        <w:rPr>
          <w:rFonts w:hint="eastAsia"/>
        </w:rPr>
        <w:t>3.95%、3.48%。</w:t>
      </w:r>
      <w:proofErr w:type="gramStart"/>
      <w:r w:rsidR="001F2F6C">
        <w:rPr>
          <w:rFonts w:hint="eastAsia"/>
        </w:rPr>
        <w:t>宽基指数</w:t>
      </w:r>
      <w:proofErr w:type="gramEnd"/>
      <w:r w:rsidR="001F2F6C">
        <w:rPr>
          <w:rFonts w:hint="eastAsia"/>
        </w:rPr>
        <w:t>表现不佳，行业普遍回撤，其中前期表现强势的非</w:t>
      </w:r>
      <w:proofErr w:type="gramStart"/>
      <w:r w:rsidR="001F2F6C">
        <w:rPr>
          <w:rFonts w:hint="eastAsia"/>
        </w:rPr>
        <w:t>银金融</w:t>
      </w:r>
      <w:proofErr w:type="gramEnd"/>
      <w:r w:rsidR="000B7839">
        <w:rPr>
          <w:rFonts w:hint="eastAsia"/>
        </w:rPr>
        <w:t>尤为</w:t>
      </w:r>
      <w:r w:rsidR="001F2F6C">
        <w:rPr>
          <w:rFonts w:hint="eastAsia"/>
        </w:rPr>
        <w:t>明显，下跌超过6%，食品饮料（1.19%）和电力设备及新能源（0.75%）表现相对较好。</w:t>
      </w:r>
    </w:p>
    <w:p w14:paraId="2A9422FC" w14:textId="1A2FC341" w:rsidR="009A3A51" w:rsidRDefault="001F2F6C" w:rsidP="00B236BA">
      <w:pPr>
        <w:ind w:firstLineChars="200" w:firstLine="480"/>
      </w:pPr>
      <w:r>
        <w:rPr>
          <w:rFonts w:hint="eastAsia"/>
        </w:rPr>
        <w:t>11</w:t>
      </w:r>
      <w:r w:rsidR="000B7839">
        <w:rPr>
          <w:rFonts w:hint="eastAsia"/>
        </w:rPr>
        <w:t>月至</w:t>
      </w:r>
      <w:r>
        <w:rPr>
          <w:rFonts w:hint="eastAsia"/>
        </w:rPr>
        <w:t>12月初在权重股</w:t>
      </w:r>
      <w:r w:rsidR="000B7839">
        <w:rPr>
          <w:rFonts w:hint="eastAsia"/>
        </w:rPr>
        <w:t>的</w:t>
      </w:r>
      <w:r>
        <w:rPr>
          <w:rFonts w:hint="eastAsia"/>
        </w:rPr>
        <w:t>带领下指数着实走出了一波行情，其中上证50和沪深300</w:t>
      </w:r>
      <w:r w:rsidR="000B7839">
        <w:rPr>
          <w:rFonts w:hint="eastAsia"/>
        </w:rPr>
        <w:t>指数震荡上行并创出</w:t>
      </w:r>
      <w:r>
        <w:rPr>
          <w:rFonts w:hint="eastAsia"/>
        </w:rPr>
        <w:t>新高，投资者也期盼市场能有一波跨年行情完美收官。但是本周市场的深度回调让投资者的风险偏好有所下降，情绪也变得相对谨慎。</w:t>
      </w:r>
      <w:r w:rsidR="000B7839">
        <w:rPr>
          <w:rFonts w:hint="eastAsia"/>
        </w:rPr>
        <w:t>下周</w:t>
      </w:r>
      <w:r>
        <w:rPr>
          <w:rFonts w:hint="eastAsia"/>
        </w:rPr>
        <w:t>A股市场大概率会维持我们的判断，市场可能延续震荡</w:t>
      </w:r>
      <w:r w:rsidR="00BA1740">
        <w:rPr>
          <w:rFonts w:hint="eastAsia"/>
        </w:rPr>
        <w:t>走势。从资金</w:t>
      </w:r>
      <w:r w:rsidR="009A3A51">
        <w:rPr>
          <w:rFonts w:hint="eastAsia"/>
        </w:rPr>
        <w:t>看，本周北向资金</w:t>
      </w:r>
      <w:r w:rsidR="00BA1740">
        <w:rPr>
          <w:rFonts w:hint="eastAsia"/>
        </w:rPr>
        <w:t>继续维持</w:t>
      </w:r>
      <w:r w:rsidR="007E42CD">
        <w:rPr>
          <w:rFonts w:hint="eastAsia"/>
        </w:rPr>
        <w:t>流入</w:t>
      </w:r>
      <w:r w:rsidR="001B42AC">
        <w:rPr>
          <w:rFonts w:hint="eastAsia"/>
        </w:rPr>
        <w:t>，本周合计流入</w:t>
      </w:r>
      <w:r w:rsidR="00BA1740">
        <w:rPr>
          <w:rFonts w:hint="eastAsia"/>
        </w:rPr>
        <w:t>69.59</w:t>
      </w:r>
      <w:r w:rsidR="001B42AC">
        <w:rPr>
          <w:rFonts w:hint="eastAsia"/>
        </w:rPr>
        <w:t>亿，其中沪股通流入</w:t>
      </w:r>
      <w:r w:rsidR="00BA1740">
        <w:rPr>
          <w:rFonts w:hint="eastAsia"/>
        </w:rPr>
        <w:t>73.27亿，深股通流出3.67亿</w:t>
      </w:r>
      <w:r w:rsidR="009A3A51">
        <w:rPr>
          <w:rFonts w:hint="eastAsia"/>
        </w:rPr>
        <w:t>。如下图：</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0AF5E78F" w:rsidR="009A3A51" w:rsidRDefault="00BA1740" w:rsidP="009A3A51">
      <w:r>
        <w:rPr>
          <w:noProof/>
        </w:rPr>
        <w:drawing>
          <wp:inline distT="0" distB="0" distL="0" distR="0" wp14:anchorId="16C12022" wp14:editId="33593E4F">
            <wp:extent cx="5274310" cy="1721476"/>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721476"/>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679B2930" w:rsidR="009A3A51" w:rsidRDefault="009A3A51" w:rsidP="0013128D">
      <w:pPr>
        <w:ind w:firstLine="480"/>
      </w:pPr>
      <w:r>
        <w:rPr>
          <w:rFonts w:hint="eastAsia"/>
        </w:rPr>
        <w:t>从</w:t>
      </w:r>
      <w:r w:rsidR="007E42CD">
        <w:rPr>
          <w:rFonts w:hint="eastAsia"/>
        </w:rPr>
        <w:t>新增融资余额来看，市场的情绪</w:t>
      </w:r>
      <w:r w:rsidR="00BA1740">
        <w:rPr>
          <w:rFonts w:hint="eastAsia"/>
        </w:rPr>
        <w:t>保持谨慎，新增融资余额并无大幅增加和减少的状态</w:t>
      </w:r>
      <w:r w:rsidR="001B42AC">
        <w:rPr>
          <w:rFonts w:hint="eastAsia"/>
        </w:rPr>
        <w:t>。</w:t>
      </w:r>
    </w:p>
    <w:p w14:paraId="772B231D" w14:textId="788F4B01" w:rsidR="0013128D" w:rsidRPr="0013128D" w:rsidRDefault="00BA1740" w:rsidP="0013128D">
      <w:r>
        <w:rPr>
          <w:noProof/>
        </w:rPr>
        <w:drawing>
          <wp:inline distT="0" distB="0" distL="0" distR="0" wp14:anchorId="2C3D68DD" wp14:editId="3A8EAF5E">
            <wp:extent cx="5274310" cy="1758103"/>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58103"/>
                    </a:xfrm>
                    <a:prstGeom prst="rect">
                      <a:avLst/>
                    </a:prstGeom>
                  </pic:spPr>
                </pic:pic>
              </a:graphicData>
            </a:graphic>
          </wp:inline>
        </w:drawing>
      </w:r>
    </w:p>
    <w:p w14:paraId="762E8E4A" w14:textId="4FD7D775" w:rsidR="009A3A51" w:rsidRDefault="0013128D" w:rsidP="0013128D">
      <w:r>
        <w:rPr>
          <w:rFonts w:hint="eastAsia"/>
        </w:rPr>
        <w:lastRenderedPageBreak/>
        <w:t>数据来源：Wind;整理：富</w:t>
      </w:r>
      <w:proofErr w:type="gramStart"/>
      <w:r>
        <w:rPr>
          <w:rFonts w:hint="eastAsia"/>
        </w:rPr>
        <w:t>荣基金</w:t>
      </w:r>
      <w:proofErr w:type="gramEnd"/>
      <w:r>
        <w:rPr>
          <w:rFonts w:hint="eastAsia"/>
        </w:rPr>
        <w:t>量化组</w:t>
      </w:r>
    </w:p>
    <w:p w14:paraId="26717627" w14:textId="7C2B5F81" w:rsidR="0013128D" w:rsidRDefault="001B42AC" w:rsidP="0013128D">
      <w:pPr>
        <w:ind w:firstLine="480"/>
      </w:pPr>
      <w:r>
        <w:rPr>
          <w:rFonts w:hint="eastAsia"/>
        </w:rPr>
        <w:t>从因子超额来看，本周</w:t>
      </w:r>
      <w:r w:rsidR="007E42CD">
        <w:rPr>
          <w:rFonts w:hint="eastAsia"/>
        </w:rPr>
        <w:t>估值因子回撤较大，</w:t>
      </w:r>
      <w:r w:rsidR="00BA1740">
        <w:rPr>
          <w:rFonts w:hint="eastAsia"/>
        </w:rPr>
        <w:t>大部分因子都有</w:t>
      </w:r>
      <w:r w:rsidR="00004AAA">
        <w:rPr>
          <w:rFonts w:hint="eastAsia"/>
        </w:rPr>
        <w:t>正的超额报酬，最近两个月市场披露信息较少，加上市场风格切换，许多量化产品出现一定的回撤</w:t>
      </w:r>
      <w:r w:rsidR="00BA1740">
        <w:rPr>
          <w:rFonts w:hint="eastAsia"/>
        </w:rPr>
        <w:t>，但是本周市场alpha环境明显转优，量化产品超额收益纷纷转正</w:t>
      </w:r>
      <w:r w:rsidR="00004AAA">
        <w:rPr>
          <w:rFonts w:hint="eastAsia"/>
        </w:rPr>
        <w:t>。今年表现强势的几类基本面因子</w:t>
      </w:r>
      <w:r w:rsidR="00BA1740">
        <w:rPr>
          <w:rFonts w:hint="eastAsia"/>
        </w:rPr>
        <w:t>在本周出现了不同程度的反弹</w:t>
      </w:r>
      <w:r w:rsidR="00004AAA">
        <w:rPr>
          <w:rFonts w:hint="eastAsia"/>
        </w:rPr>
        <w:t>。</w:t>
      </w:r>
    </w:p>
    <w:p w14:paraId="600030D4" w14:textId="589EC7FA" w:rsidR="0013128D" w:rsidRDefault="00004AAA" w:rsidP="0013128D">
      <w:pPr>
        <w:ind w:firstLine="480"/>
      </w:pPr>
      <w:r>
        <w:rPr>
          <w:rFonts w:hint="eastAsia"/>
        </w:rPr>
        <w:t>本周，波动</w:t>
      </w:r>
      <w:proofErr w:type="gramStart"/>
      <w:r>
        <w:rPr>
          <w:rFonts w:hint="eastAsia"/>
        </w:rPr>
        <w:t>率指数</w:t>
      </w:r>
      <w:proofErr w:type="gramEnd"/>
      <w:r w:rsidR="00BA1740">
        <w:rPr>
          <w:rFonts w:hint="eastAsia"/>
        </w:rPr>
        <w:t>继续出现回撤</w:t>
      </w:r>
      <w:r>
        <w:rPr>
          <w:rFonts w:hint="eastAsia"/>
        </w:rPr>
        <w:t>，市场情绪</w:t>
      </w:r>
      <w:r w:rsidR="00BA1740">
        <w:rPr>
          <w:rFonts w:hint="eastAsia"/>
        </w:rPr>
        <w:t>在上半周比较乐观，后半周市场的加速回撤</w:t>
      </w:r>
      <w:r>
        <w:rPr>
          <w:rFonts w:hint="eastAsia"/>
        </w:rPr>
        <w:t>，波动</w:t>
      </w:r>
      <w:proofErr w:type="gramStart"/>
      <w:r>
        <w:rPr>
          <w:rFonts w:hint="eastAsia"/>
        </w:rPr>
        <w:t>率指数</w:t>
      </w:r>
      <w:proofErr w:type="gramEnd"/>
      <w:r w:rsidR="00BA1740">
        <w:rPr>
          <w:rFonts w:hint="eastAsia"/>
        </w:rPr>
        <w:t>周五出现一定反弹，但是我们认为后期波动</w:t>
      </w:r>
      <w:proofErr w:type="gramStart"/>
      <w:r w:rsidR="00BA1740">
        <w:rPr>
          <w:rFonts w:hint="eastAsia"/>
        </w:rPr>
        <w:t>率指数</w:t>
      </w:r>
      <w:proofErr w:type="gramEnd"/>
      <w:r w:rsidR="00BA1740">
        <w:rPr>
          <w:rFonts w:hint="eastAsia"/>
        </w:rPr>
        <w:t>继续大幅上行的可能性依然比较小</w:t>
      </w:r>
      <w:r>
        <w:rPr>
          <w:rFonts w:hint="eastAsia"/>
        </w:rPr>
        <w:t>，日内交易者可以把握日内的Gamma交易机会。</w:t>
      </w:r>
    </w:p>
    <w:p w14:paraId="172E80AB" w14:textId="6CD52632" w:rsidR="0013128D" w:rsidRDefault="00BA1740" w:rsidP="0013128D">
      <w:r>
        <w:rPr>
          <w:noProof/>
        </w:rPr>
        <w:drawing>
          <wp:inline distT="0" distB="0" distL="0" distR="0" wp14:anchorId="48272FF8" wp14:editId="1C51A27D">
            <wp:extent cx="5274310" cy="3168859"/>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168859"/>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w:t>
      </w:r>
      <w:proofErr w:type="gramStart"/>
      <w:r>
        <w:rPr>
          <w:rFonts w:hint="eastAsia"/>
        </w:rPr>
        <w:t>荣基金</w:t>
      </w:r>
      <w:proofErr w:type="gramEnd"/>
      <w:r>
        <w:rPr>
          <w:rFonts w:hint="eastAsia"/>
        </w:rPr>
        <w:t>量化组</w:t>
      </w:r>
    </w:p>
    <w:p w14:paraId="10E4CE0C" w14:textId="77777777" w:rsidR="009753F5" w:rsidRDefault="009753F5" w:rsidP="0013128D">
      <w:pPr>
        <w:rPr>
          <w:rFonts w:hint="eastAsia"/>
        </w:rPr>
      </w:pPr>
    </w:p>
    <w:p w14:paraId="34C15F34" w14:textId="77777777" w:rsidR="009753F5" w:rsidRDefault="009753F5" w:rsidP="0013128D">
      <w:pPr>
        <w:rPr>
          <w:rFonts w:hint="eastAsia"/>
        </w:rPr>
      </w:pPr>
    </w:p>
    <w:p w14:paraId="796E143F" w14:textId="77777777" w:rsidR="009753F5" w:rsidRDefault="009753F5" w:rsidP="0013128D">
      <w:pPr>
        <w:rPr>
          <w:rFonts w:hint="eastAsia"/>
        </w:rPr>
      </w:pPr>
    </w:p>
    <w:p w14:paraId="4CA84220" w14:textId="77777777" w:rsidR="009753F5" w:rsidRPr="00042820" w:rsidRDefault="009753F5" w:rsidP="009753F5">
      <w:pPr>
        <w:pStyle w:val="Body-text"/>
        <w:ind w:firstLineChars="200" w:firstLine="420"/>
        <w:rPr>
          <w:rFonts w:ascii="楷体" w:eastAsia="楷体" w:hAnsi="楷体"/>
          <w:sz w:val="21"/>
          <w:szCs w:val="21"/>
          <w:lang w:eastAsia="zh-CN"/>
        </w:rPr>
      </w:pPr>
      <w:r w:rsidRPr="00042820">
        <w:rPr>
          <w:rFonts w:ascii="楷体" w:eastAsia="楷体" w:hAnsi="楷体" w:hint="eastAsia"/>
          <w:kern w:val="2"/>
          <w:sz w:val="21"/>
          <w:szCs w:val="21"/>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42820">
        <w:rPr>
          <w:rFonts w:ascii="楷体" w:eastAsia="楷体" w:hAnsi="楷体" w:hint="eastAsia"/>
          <w:kern w:val="2"/>
          <w:sz w:val="21"/>
          <w:szCs w:val="21"/>
          <w:lang w:eastAsia="zh-CN"/>
        </w:rPr>
        <w:t>作出</w:t>
      </w:r>
      <w:proofErr w:type="gramEnd"/>
      <w:r w:rsidRPr="00042820">
        <w:rPr>
          <w:rFonts w:ascii="楷体" w:eastAsia="楷体" w:hAnsi="楷体" w:hint="eastAsia"/>
          <w:kern w:val="2"/>
          <w:sz w:val="21"/>
          <w:szCs w:val="21"/>
          <w:lang w:eastAsia="zh-CN"/>
        </w:rPr>
        <w:t>调整。2、本报告中的资料、观点和预测等仅供参考，在任何时候均不构成对任何人的个人推荐。市场有风险，投资需谨慎。</w:t>
      </w:r>
    </w:p>
    <w:p w14:paraId="0F0BA43C" w14:textId="77777777" w:rsidR="009753F5" w:rsidRDefault="009753F5" w:rsidP="0013128D"/>
    <w:sectPr w:rsidR="009753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1526FF" w14:textId="77777777" w:rsidR="00566152" w:rsidRDefault="00566152" w:rsidP="002C4C07">
      <w:pPr>
        <w:spacing w:line="240" w:lineRule="auto"/>
      </w:pPr>
      <w:r>
        <w:separator/>
      </w:r>
    </w:p>
  </w:endnote>
  <w:endnote w:type="continuationSeparator" w:id="0">
    <w:p w14:paraId="20AE5237" w14:textId="77777777" w:rsidR="00566152" w:rsidRDefault="00566152"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CE7085" w14:textId="77777777" w:rsidR="00566152" w:rsidRDefault="00566152" w:rsidP="002C4C07">
      <w:pPr>
        <w:spacing w:line="240" w:lineRule="auto"/>
      </w:pPr>
      <w:r>
        <w:separator/>
      </w:r>
    </w:p>
  </w:footnote>
  <w:footnote w:type="continuationSeparator" w:id="0">
    <w:p w14:paraId="08B3B0BE" w14:textId="77777777" w:rsidR="00566152" w:rsidRDefault="00566152"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4AAA"/>
    <w:rsid w:val="00035595"/>
    <w:rsid w:val="00070AA2"/>
    <w:rsid w:val="00087224"/>
    <w:rsid w:val="000B7839"/>
    <w:rsid w:val="0013128D"/>
    <w:rsid w:val="001867FC"/>
    <w:rsid w:val="001B42AC"/>
    <w:rsid w:val="001D19B6"/>
    <w:rsid w:val="001D6061"/>
    <w:rsid w:val="001F2F6C"/>
    <w:rsid w:val="0020342A"/>
    <w:rsid w:val="002062DE"/>
    <w:rsid w:val="002129BA"/>
    <w:rsid w:val="002A093A"/>
    <w:rsid w:val="002B15CF"/>
    <w:rsid w:val="002C4C07"/>
    <w:rsid w:val="002C7EF7"/>
    <w:rsid w:val="002D7112"/>
    <w:rsid w:val="002E17CD"/>
    <w:rsid w:val="00314EC4"/>
    <w:rsid w:val="0034141F"/>
    <w:rsid w:val="00374124"/>
    <w:rsid w:val="00386DFB"/>
    <w:rsid w:val="003D637F"/>
    <w:rsid w:val="003F6050"/>
    <w:rsid w:val="00454A3A"/>
    <w:rsid w:val="004E3614"/>
    <w:rsid w:val="00525A53"/>
    <w:rsid w:val="00566152"/>
    <w:rsid w:val="005A2D48"/>
    <w:rsid w:val="005C4905"/>
    <w:rsid w:val="005C66C6"/>
    <w:rsid w:val="00620469"/>
    <w:rsid w:val="006965D2"/>
    <w:rsid w:val="006B1D85"/>
    <w:rsid w:val="006C7CF6"/>
    <w:rsid w:val="006E639C"/>
    <w:rsid w:val="0073379B"/>
    <w:rsid w:val="007B2BEF"/>
    <w:rsid w:val="007D5907"/>
    <w:rsid w:val="007E42CD"/>
    <w:rsid w:val="007F6A29"/>
    <w:rsid w:val="00830122"/>
    <w:rsid w:val="008540B7"/>
    <w:rsid w:val="008757E1"/>
    <w:rsid w:val="008916E0"/>
    <w:rsid w:val="00893C6A"/>
    <w:rsid w:val="008A74C1"/>
    <w:rsid w:val="008B1754"/>
    <w:rsid w:val="008B27E8"/>
    <w:rsid w:val="00907C93"/>
    <w:rsid w:val="00930F5D"/>
    <w:rsid w:val="009753F5"/>
    <w:rsid w:val="00987C63"/>
    <w:rsid w:val="009953B9"/>
    <w:rsid w:val="009A3A51"/>
    <w:rsid w:val="009D02A8"/>
    <w:rsid w:val="00A07990"/>
    <w:rsid w:val="00A51293"/>
    <w:rsid w:val="00A52850"/>
    <w:rsid w:val="00A61347"/>
    <w:rsid w:val="00A72DA9"/>
    <w:rsid w:val="00A90927"/>
    <w:rsid w:val="00B236BA"/>
    <w:rsid w:val="00B82632"/>
    <w:rsid w:val="00B91093"/>
    <w:rsid w:val="00BA1740"/>
    <w:rsid w:val="00BA3587"/>
    <w:rsid w:val="00BA72C2"/>
    <w:rsid w:val="00BC61FC"/>
    <w:rsid w:val="00BD6BA1"/>
    <w:rsid w:val="00C1492E"/>
    <w:rsid w:val="00C24E54"/>
    <w:rsid w:val="00CD5494"/>
    <w:rsid w:val="00CD673E"/>
    <w:rsid w:val="00D055BF"/>
    <w:rsid w:val="00D458F1"/>
    <w:rsid w:val="00D46833"/>
    <w:rsid w:val="00D868FA"/>
    <w:rsid w:val="00DD21CB"/>
    <w:rsid w:val="00DD2E6A"/>
    <w:rsid w:val="00DF6F9A"/>
    <w:rsid w:val="00E86C8A"/>
    <w:rsid w:val="00E87750"/>
    <w:rsid w:val="00E9385A"/>
    <w:rsid w:val="00EF2A7A"/>
    <w:rsid w:val="00F13186"/>
    <w:rsid w:val="00F20633"/>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paragraph" w:customStyle="1" w:styleId="Body-text">
    <w:name w:val="Body-text"/>
    <w:basedOn w:val="a"/>
    <w:link w:val="Body-textChar"/>
    <w:qFormat/>
    <w:rsid w:val="009753F5"/>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9753F5"/>
    <w:rPr>
      <w:rFonts w:ascii="Arial Narrow" w:eastAsia="华文楷体" w:hAnsi="Arial Narrow" w:cs="Times New Roman"/>
      <w:kern w:val="0"/>
      <w:sz w:val="20"/>
      <w:szCs w:val="20"/>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paragraph" w:customStyle="1" w:styleId="Body-text">
    <w:name w:val="Body-text"/>
    <w:basedOn w:val="a"/>
    <w:link w:val="Body-textChar"/>
    <w:qFormat/>
    <w:rsid w:val="009753F5"/>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9753F5"/>
    <w:rPr>
      <w:rFonts w:ascii="Arial Narrow" w:eastAsia="华文楷体" w:hAnsi="Arial Narrow" w:cs="Times New Roman"/>
      <w:kern w:val="0"/>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TotalTime>
  <Pages>2</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65</cp:revision>
  <dcterms:created xsi:type="dcterms:W3CDTF">2020-06-21T08:02:00Z</dcterms:created>
  <dcterms:modified xsi:type="dcterms:W3CDTF">2020-12-14T03:10:00Z</dcterms:modified>
</cp:coreProperties>
</file>