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1F280B0A"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985462">
        <w:rPr>
          <w:rFonts w:ascii="楷体" w:eastAsia="楷体" w:hAnsi="楷体" w:hint="eastAsia"/>
          <w:sz w:val="28"/>
          <w:szCs w:val="28"/>
        </w:rPr>
        <w:t>流动性持续平稳</w:t>
      </w:r>
      <w:r w:rsidR="00237DAF">
        <w:rPr>
          <w:rFonts w:ascii="楷体" w:eastAsia="楷体" w:hAnsi="楷体" w:hint="eastAsia"/>
          <w:sz w:val="28"/>
          <w:szCs w:val="28"/>
        </w:rPr>
        <w:t>，</w:t>
      </w:r>
      <w:r w:rsidR="00E71119">
        <w:rPr>
          <w:rFonts w:ascii="楷体" w:eastAsia="楷体" w:hAnsi="楷体" w:hint="eastAsia"/>
          <w:sz w:val="28"/>
          <w:szCs w:val="28"/>
        </w:rPr>
        <w:t>股债两</w:t>
      </w:r>
      <w:proofErr w:type="gramStart"/>
      <w:r w:rsidR="00E71119">
        <w:rPr>
          <w:rFonts w:ascii="楷体" w:eastAsia="楷体" w:hAnsi="楷体" w:hint="eastAsia"/>
          <w:sz w:val="28"/>
          <w:szCs w:val="28"/>
        </w:rPr>
        <w:t>市</w:t>
      </w:r>
      <w:r w:rsidR="00985462">
        <w:rPr>
          <w:rFonts w:ascii="楷体" w:eastAsia="楷体" w:hAnsi="楷体" w:hint="eastAsia"/>
          <w:sz w:val="28"/>
          <w:szCs w:val="28"/>
        </w:rPr>
        <w:t>情绪</w:t>
      </w:r>
      <w:proofErr w:type="gramEnd"/>
      <w:r w:rsidR="00985462">
        <w:rPr>
          <w:rFonts w:ascii="楷体" w:eastAsia="楷体" w:hAnsi="楷体" w:hint="eastAsia"/>
          <w:sz w:val="28"/>
          <w:szCs w:val="28"/>
        </w:rPr>
        <w:t>稳定</w:t>
      </w:r>
    </w:p>
    <w:p w14:paraId="0A7A9383" w14:textId="4866B861"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w:t>
      </w:r>
      <w:r w:rsidR="00C25CD0">
        <w:rPr>
          <w:rFonts w:ascii="楷体" w:eastAsia="楷体" w:hAnsi="楷体" w:hint="eastAsia"/>
          <w:sz w:val="28"/>
          <w:szCs w:val="28"/>
        </w:rPr>
        <w:t>2</w:t>
      </w:r>
      <w:r w:rsidR="009C30E2" w:rsidRPr="00FA6C01">
        <w:rPr>
          <w:rFonts w:ascii="楷体" w:eastAsia="楷体" w:hAnsi="楷体"/>
          <w:sz w:val="28"/>
          <w:szCs w:val="28"/>
        </w:rPr>
        <w:t>月</w:t>
      </w:r>
      <w:r w:rsidR="00736615">
        <w:rPr>
          <w:rFonts w:ascii="楷体" w:eastAsia="楷体" w:hAnsi="楷体" w:hint="eastAsia"/>
          <w:sz w:val="28"/>
          <w:szCs w:val="28"/>
        </w:rPr>
        <w:t>20</w:t>
      </w:r>
      <w:r w:rsidR="00F82A54">
        <w:rPr>
          <w:rFonts w:ascii="楷体" w:eastAsia="楷体" w:hAnsi="楷体" w:hint="eastAsia"/>
          <w:sz w:val="28"/>
          <w:szCs w:val="28"/>
        </w:rPr>
        <w:t>日</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59A9F75A" w14:textId="2B9C7E41" w:rsidR="0075283A" w:rsidRDefault="004D67DF" w:rsidP="0075283A">
      <w:pPr>
        <w:pStyle w:val="Header1"/>
        <w:spacing w:before="240"/>
        <w:ind w:firstLine="480"/>
        <w:rPr>
          <w:rFonts w:ascii="华文楷体" w:hAnsi="华文楷体"/>
          <w:b w:val="0"/>
          <w:smallCaps w:val="0"/>
          <w:color w:val="auto"/>
          <w:sz w:val="24"/>
          <w:szCs w:val="24"/>
        </w:rPr>
      </w:pPr>
      <w:r>
        <w:rPr>
          <w:rFonts w:ascii="华文楷体" w:hAnsi="华文楷体" w:hint="eastAsia"/>
          <w:b w:val="0"/>
          <w:bCs/>
          <w:smallCaps w:val="0"/>
          <w:color w:val="auto"/>
          <w:sz w:val="24"/>
          <w:szCs w:val="24"/>
        </w:rPr>
        <w:t>本周</w:t>
      </w:r>
      <w:r w:rsidR="0075283A">
        <w:rPr>
          <w:rFonts w:ascii="华文楷体" w:hAnsi="华文楷体" w:hint="eastAsia"/>
          <w:b w:val="0"/>
          <w:bCs/>
          <w:smallCaps w:val="0"/>
          <w:color w:val="auto"/>
          <w:sz w:val="24"/>
          <w:szCs w:val="24"/>
        </w:rPr>
        <w:t>中央经济工</w:t>
      </w:r>
      <w:r w:rsidR="00D1603E">
        <w:rPr>
          <w:rFonts w:ascii="华文楷体" w:hAnsi="华文楷体" w:hint="eastAsia"/>
          <w:b w:val="0"/>
          <w:bCs/>
          <w:smallCaps w:val="0"/>
          <w:color w:val="auto"/>
          <w:sz w:val="24"/>
          <w:szCs w:val="24"/>
        </w:rPr>
        <w:t>作会议在北京召开，会议</w:t>
      </w:r>
      <w:r w:rsidR="00880256">
        <w:rPr>
          <w:rFonts w:ascii="华文楷体" w:hAnsi="华文楷体" w:hint="eastAsia"/>
          <w:b w:val="0"/>
          <w:bCs/>
          <w:smallCaps w:val="0"/>
          <w:color w:val="auto"/>
          <w:sz w:val="24"/>
          <w:szCs w:val="24"/>
        </w:rPr>
        <w:t>总结了疫情以来经济工作，分析了当前经济形势，部署了明年的主要经济工作。</w:t>
      </w:r>
    </w:p>
    <w:p w14:paraId="35DE3254" w14:textId="0264C6B4" w:rsidR="00AE4538" w:rsidRDefault="00880256" w:rsidP="00AE4538">
      <w:pPr>
        <w:pStyle w:val="Header1"/>
        <w:ind w:firstLine="480"/>
        <w:rPr>
          <w:rFonts w:ascii="华文楷体" w:hAnsi="华文楷体"/>
          <w:b w:val="0"/>
          <w:bCs/>
          <w:smallCaps w:val="0"/>
          <w:color w:val="auto"/>
          <w:sz w:val="24"/>
          <w:szCs w:val="24"/>
        </w:rPr>
      </w:pPr>
      <w:r w:rsidRPr="00880256">
        <w:rPr>
          <w:rFonts w:ascii="华文楷体" w:hAnsi="华文楷体"/>
          <w:b w:val="0"/>
          <w:bCs/>
          <w:smallCaps w:val="0"/>
          <w:color w:val="auto"/>
          <w:sz w:val="24"/>
          <w:szCs w:val="24"/>
        </w:rPr>
        <w:t>会议指出，明年宏观政策要保持连续性、稳定性、可持续性。</w:t>
      </w:r>
      <w:r w:rsidRPr="00880256">
        <w:rPr>
          <w:rFonts w:ascii="华文楷体" w:hAnsi="华文楷体"/>
          <w:bCs/>
          <w:smallCaps w:val="0"/>
          <w:color w:val="auto"/>
          <w:sz w:val="24"/>
          <w:szCs w:val="24"/>
        </w:rPr>
        <w:t>要继续实施积极的财政政策和稳健的货币政策，保持对经济恢复的必要支持力度，政策操作上要更加精准有效，</w:t>
      </w:r>
      <w:proofErr w:type="gramStart"/>
      <w:r w:rsidRPr="00880256">
        <w:rPr>
          <w:rFonts w:ascii="华文楷体" w:hAnsi="华文楷体"/>
          <w:bCs/>
          <w:smallCaps w:val="0"/>
          <w:color w:val="auto"/>
          <w:sz w:val="24"/>
          <w:szCs w:val="24"/>
        </w:rPr>
        <w:t>不</w:t>
      </w:r>
      <w:proofErr w:type="gramEnd"/>
      <w:r w:rsidRPr="00880256">
        <w:rPr>
          <w:rFonts w:ascii="华文楷体" w:hAnsi="华文楷体"/>
          <w:bCs/>
          <w:smallCaps w:val="0"/>
          <w:color w:val="auto"/>
          <w:sz w:val="24"/>
          <w:szCs w:val="24"/>
        </w:rPr>
        <w:t>急转弯，把握好政策时度效</w:t>
      </w:r>
      <w:r w:rsidRPr="00880256">
        <w:rPr>
          <w:rFonts w:ascii="华文楷体" w:hAnsi="华文楷体"/>
          <w:b w:val="0"/>
          <w:bCs/>
          <w:smallCaps w:val="0"/>
          <w:color w:val="auto"/>
          <w:sz w:val="24"/>
          <w:szCs w:val="24"/>
        </w:rPr>
        <w:t>。要用好宝贵时间窗口，集中精力推进改革创新，以高质量发展为“十四五”开好局。积极的财政政策要提质增效、更可持续，保持适度支出强度，增强国家重大战略任务财力保障，在促进科技创新、加快经济结构调整、调节收入分配上主动作为，抓实化解地方政府隐性债务风险工作，党政机关要坚持过紧日子。稳健的货币政策要灵活精准、合理适度，保持货币供应量和社会融资规模增速同名义经济增速基本匹配，保持宏观杠杆率基本稳定，处理好恢复经济和防范风险关系，多渠道补充银行资本金，完善债券市场法制，加大对科技创新、小微企业、绿色发展的金融支持，深化利率汇率市场化改革，保持人民币汇率在合理均衡水平上的基本稳定。</w:t>
      </w:r>
    </w:p>
    <w:p w14:paraId="6F279638" w14:textId="1B370192" w:rsidR="00880256" w:rsidRDefault="00880256" w:rsidP="00AE4538">
      <w:pPr>
        <w:pStyle w:val="Header1"/>
        <w:ind w:firstLine="480"/>
        <w:rPr>
          <w:rFonts w:ascii="华文楷体" w:hAnsi="华文楷体"/>
          <w:b w:val="0"/>
          <w:bCs/>
          <w:smallCaps w:val="0"/>
          <w:color w:val="auto"/>
          <w:sz w:val="24"/>
          <w:szCs w:val="24"/>
        </w:rPr>
      </w:pPr>
      <w:r w:rsidRPr="00880256">
        <w:rPr>
          <w:rFonts w:ascii="华文楷体" w:hAnsi="华文楷体"/>
          <w:b w:val="0"/>
          <w:bCs/>
          <w:smallCaps w:val="0"/>
          <w:color w:val="auto"/>
          <w:sz w:val="24"/>
          <w:szCs w:val="24"/>
        </w:rPr>
        <w:t>会议要求，构建新发展格局明年要迈好第一步，见到新气象。加快构建以国内大循环为主体、国内国际双循环相互促进的新发展格局，要紧紧扭住供给侧结构性改革这条主线，注重需</w:t>
      </w:r>
      <w:proofErr w:type="gramStart"/>
      <w:r w:rsidRPr="00880256">
        <w:rPr>
          <w:rFonts w:ascii="华文楷体" w:hAnsi="华文楷体"/>
          <w:b w:val="0"/>
          <w:bCs/>
          <w:smallCaps w:val="0"/>
          <w:color w:val="auto"/>
          <w:sz w:val="24"/>
          <w:szCs w:val="24"/>
        </w:rPr>
        <w:t>求侧管理</w:t>
      </w:r>
      <w:proofErr w:type="gramEnd"/>
      <w:r w:rsidRPr="00880256">
        <w:rPr>
          <w:rFonts w:ascii="华文楷体" w:hAnsi="华文楷体"/>
          <w:b w:val="0"/>
          <w:bCs/>
          <w:smallCaps w:val="0"/>
          <w:color w:val="auto"/>
          <w:sz w:val="24"/>
          <w:szCs w:val="24"/>
        </w:rPr>
        <w:t>，打通堵点，补齐短板，贯通生产、分配、流通、消费各环节，形成需求牵引供给、供给创造需求的更高水平动态平衡，提升国民经济体系整体效能。要更加注重以深化改革开放增强发展内生动力，在一些关键点上发力见效，起到牵一发而动全身的效果。</w:t>
      </w:r>
    </w:p>
    <w:p w14:paraId="4B2C8168" w14:textId="77777777" w:rsidR="008404A8" w:rsidRDefault="00880256" w:rsidP="00AE453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整体来看，本次会议传达的信号相对积极，更强调适度和平稳，政策相机抉择的空间较大，</w:t>
      </w:r>
      <w:r w:rsidR="008404A8">
        <w:rPr>
          <w:rFonts w:ascii="华文楷体" w:hAnsi="华文楷体" w:hint="eastAsia"/>
          <w:b w:val="0"/>
          <w:bCs/>
          <w:smallCaps w:val="0"/>
          <w:color w:val="auto"/>
          <w:sz w:val="24"/>
          <w:szCs w:val="24"/>
        </w:rPr>
        <w:t>政策配合经济修复的节奏，保持一定可持续性，平稳过渡为主。会议要点：</w:t>
      </w:r>
    </w:p>
    <w:p w14:paraId="4C74C931" w14:textId="77777777" w:rsidR="008404A8" w:rsidRDefault="008404A8" w:rsidP="00AE453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1）</w:t>
      </w:r>
      <w:r w:rsidRPr="008404A8">
        <w:rPr>
          <w:rFonts w:ascii="华文楷体" w:hAnsi="华文楷体" w:hint="eastAsia"/>
          <w:b w:val="0"/>
          <w:bCs/>
          <w:smallCaps w:val="0"/>
          <w:color w:val="auto"/>
          <w:sz w:val="24"/>
          <w:szCs w:val="24"/>
        </w:rPr>
        <w:t>推动经济持续恢复和高质量发展，努力保持经济运行在合理区间，更关注的是修复的节奏和结构，</w:t>
      </w:r>
      <w:proofErr w:type="gramStart"/>
      <w:r w:rsidRPr="008404A8">
        <w:rPr>
          <w:rFonts w:ascii="华文楷体" w:hAnsi="华文楷体" w:hint="eastAsia"/>
          <w:b w:val="0"/>
          <w:bCs/>
          <w:smallCaps w:val="0"/>
          <w:color w:val="auto"/>
          <w:sz w:val="24"/>
          <w:szCs w:val="24"/>
        </w:rPr>
        <w:t>以及季调后环</w:t>
      </w:r>
      <w:proofErr w:type="gramEnd"/>
      <w:r w:rsidRPr="008404A8">
        <w:rPr>
          <w:rFonts w:ascii="华文楷体" w:hAnsi="华文楷体" w:hint="eastAsia"/>
          <w:b w:val="0"/>
          <w:bCs/>
          <w:smallCaps w:val="0"/>
          <w:color w:val="auto"/>
          <w:sz w:val="24"/>
          <w:szCs w:val="24"/>
        </w:rPr>
        <w:t>比等指标。预计一季度仍是宏观经济修复的巩固期和观察期</w:t>
      </w:r>
      <w:r>
        <w:rPr>
          <w:rFonts w:ascii="华文楷体" w:hAnsi="华文楷体" w:hint="eastAsia"/>
          <w:b w:val="0"/>
          <w:bCs/>
          <w:smallCaps w:val="0"/>
          <w:color w:val="auto"/>
          <w:sz w:val="24"/>
          <w:szCs w:val="24"/>
        </w:rPr>
        <w:t>。</w:t>
      </w:r>
    </w:p>
    <w:p w14:paraId="2A56268B" w14:textId="77777777" w:rsidR="008404A8" w:rsidRDefault="008404A8" w:rsidP="00AE453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2）</w:t>
      </w:r>
      <w:r w:rsidRPr="008404A8">
        <w:rPr>
          <w:rFonts w:ascii="华文楷体" w:hAnsi="华文楷体" w:hint="eastAsia"/>
          <w:b w:val="0"/>
          <w:bCs/>
          <w:smallCaps w:val="0"/>
          <w:color w:val="auto"/>
          <w:sz w:val="24"/>
          <w:szCs w:val="24"/>
        </w:rPr>
        <w:t>政策要保持对经济恢复的必要支持力度，处理好恢复经济和防范风险关系，财政和货币政策“不急转弯”，政策</w:t>
      </w:r>
      <w:r>
        <w:rPr>
          <w:rFonts w:ascii="华文楷体" w:hAnsi="华文楷体" w:hint="eastAsia"/>
          <w:b w:val="0"/>
          <w:bCs/>
          <w:smallCaps w:val="0"/>
          <w:color w:val="auto"/>
          <w:sz w:val="24"/>
          <w:szCs w:val="24"/>
        </w:rPr>
        <w:t>关注</w:t>
      </w:r>
      <w:r w:rsidRPr="008404A8">
        <w:rPr>
          <w:rFonts w:ascii="华文楷体" w:hAnsi="华文楷体" w:hint="eastAsia"/>
          <w:b w:val="0"/>
          <w:bCs/>
          <w:smallCaps w:val="0"/>
          <w:color w:val="auto"/>
          <w:sz w:val="24"/>
          <w:szCs w:val="24"/>
        </w:rPr>
        <w:t>可持续</w:t>
      </w:r>
      <w:r>
        <w:rPr>
          <w:rFonts w:ascii="华文楷体" w:hAnsi="华文楷体" w:hint="eastAsia"/>
          <w:b w:val="0"/>
          <w:bCs/>
          <w:smallCaps w:val="0"/>
          <w:color w:val="auto"/>
          <w:sz w:val="24"/>
          <w:szCs w:val="24"/>
        </w:rPr>
        <w:t>性，不会退出过急，保持适度</w:t>
      </w:r>
      <w:r w:rsidRPr="008404A8">
        <w:rPr>
          <w:rFonts w:ascii="华文楷体" w:hAnsi="华文楷体" w:hint="eastAsia"/>
          <w:b w:val="0"/>
          <w:bCs/>
          <w:smallCaps w:val="0"/>
          <w:color w:val="auto"/>
          <w:sz w:val="24"/>
          <w:szCs w:val="24"/>
        </w:rPr>
        <w:t>力度，</w:t>
      </w:r>
      <w:r>
        <w:rPr>
          <w:rFonts w:ascii="华文楷体" w:hAnsi="华文楷体" w:hint="eastAsia"/>
          <w:b w:val="0"/>
          <w:bCs/>
          <w:smallCaps w:val="0"/>
          <w:color w:val="auto"/>
          <w:sz w:val="24"/>
          <w:szCs w:val="24"/>
        </w:rPr>
        <w:t>财政政策</w:t>
      </w:r>
      <w:r w:rsidRPr="008404A8">
        <w:rPr>
          <w:rFonts w:ascii="华文楷体" w:hAnsi="华文楷体" w:hint="eastAsia"/>
          <w:b w:val="0"/>
          <w:bCs/>
          <w:smallCaps w:val="0"/>
          <w:color w:val="auto"/>
          <w:sz w:val="24"/>
          <w:szCs w:val="24"/>
        </w:rPr>
        <w:t>在促进科技创新、加快经济结构调整、调节收入分配等方向上主动作为，抓实化解地方政府隐性债务风险工作</w:t>
      </w:r>
      <w:r>
        <w:rPr>
          <w:rFonts w:ascii="华文楷体" w:hAnsi="华文楷体" w:hint="eastAsia"/>
          <w:b w:val="0"/>
          <w:bCs/>
          <w:smallCaps w:val="0"/>
          <w:color w:val="auto"/>
          <w:sz w:val="24"/>
          <w:szCs w:val="24"/>
        </w:rPr>
        <w:t>，</w:t>
      </w:r>
      <w:r w:rsidRPr="008404A8">
        <w:rPr>
          <w:rFonts w:ascii="华文楷体" w:hAnsi="华文楷体" w:hint="eastAsia"/>
          <w:b w:val="0"/>
          <w:bCs/>
          <w:smallCaps w:val="0"/>
          <w:color w:val="auto"/>
          <w:sz w:val="24"/>
          <w:szCs w:val="24"/>
        </w:rPr>
        <w:t>货币政策灵活精准、合理适度，</w:t>
      </w:r>
      <w:r>
        <w:rPr>
          <w:rFonts w:ascii="华文楷体" w:hAnsi="华文楷体" w:hint="eastAsia"/>
          <w:b w:val="0"/>
          <w:bCs/>
          <w:smallCaps w:val="0"/>
          <w:color w:val="auto"/>
          <w:sz w:val="24"/>
          <w:szCs w:val="24"/>
        </w:rPr>
        <w:t>保持常态化的货币政策</w:t>
      </w:r>
      <w:r w:rsidRPr="008404A8">
        <w:rPr>
          <w:rFonts w:ascii="华文楷体" w:hAnsi="华文楷体" w:hint="eastAsia"/>
          <w:b w:val="0"/>
          <w:bCs/>
          <w:smallCaps w:val="0"/>
          <w:color w:val="auto"/>
          <w:sz w:val="24"/>
          <w:szCs w:val="24"/>
        </w:rPr>
        <w:t>，维持宏观杠杆率基本稳定</w:t>
      </w:r>
      <w:r>
        <w:rPr>
          <w:rFonts w:ascii="华文楷体" w:hAnsi="华文楷体" w:hint="eastAsia"/>
          <w:b w:val="0"/>
          <w:bCs/>
          <w:smallCaps w:val="0"/>
          <w:color w:val="auto"/>
          <w:sz w:val="24"/>
          <w:szCs w:val="24"/>
        </w:rPr>
        <w:t>。</w:t>
      </w:r>
    </w:p>
    <w:p w14:paraId="4C8BA075" w14:textId="46115B5E" w:rsidR="008404A8" w:rsidRDefault="008404A8" w:rsidP="00AE453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3）强调供需动态平衡，内需是后续经济重要发力点，会议提出</w:t>
      </w:r>
      <w:r w:rsidRPr="008404A8">
        <w:rPr>
          <w:rFonts w:ascii="华文楷体" w:hAnsi="华文楷体" w:hint="eastAsia"/>
          <w:b w:val="0"/>
          <w:bCs/>
          <w:smallCaps w:val="0"/>
          <w:color w:val="auto"/>
          <w:sz w:val="24"/>
          <w:szCs w:val="24"/>
        </w:rPr>
        <w:t>坚持扩大内需这个战略基点。形成强大国内市场是构建新发展格局的重要支撑，必须在合理引导消费、储蓄、投资等方面进行有效制度安排</w:t>
      </w:r>
      <w:r>
        <w:rPr>
          <w:rFonts w:ascii="华文楷体" w:hAnsi="华文楷体" w:hint="eastAsia"/>
          <w:b w:val="0"/>
          <w:bCs/>
          <w:smallCaps w:val="0"/>
          <w:color w:val="auto"/>
          <w:sz w:val="24"/>
          <w:szCs w:val="24"/>
        </w:rPr>
        <w:t>。</w:t>
      </w:r>
      <w:r w:rsidRPr="008404A8">
        <w:rPr>
          <w:rFonts w:ascii="华文楷体" w:hAnsi="华文楷体" w:hint="eastAsia"/>
          <w:b w:val="0"/>
          <w:bCs/>
          <w:smallCaps w:val="0"/>
          <w:color w:val="auto"/>
          <w:sz w:val="24"/>
          <w:szCs w:val="24"/>
        </w:rPr>
        <w:t>扩大消费最根本的是促进就业，完善社保，优化收入分配结构，扩大中等收</w:t>
      </w:r>
      <w:r w:rsidRPr="008404A8">
        <w:rPr>
          <w:rFonts w:ascii="华文楷体" w:hAnsi="华文楷体" w:hint="eastAsia"/>
          <w:b w:val="0"/>
          <w:bCs/>
          <w:smallCaps w:val="0"/>
          <w:color w:val="auto"/>
          <w:sz w:val="24"/>
          <w:szCs w:val="24"/>
        </w:rPr>
        <w:lastRenderedPageBreak/>
        <w:t>入群体，扎实推进共同富裕。要把扩大消费同改善人民生活品质结合起来。有序取消一些行政性限制消费购买的规定，充分挖掘县乡消费潜力。</w:t>
      </w:r>
      <w:r>
        <w:rPr>
          <w:rFonts w:ascii="华文楷体" w:hAnsi="华文楷体" w:hint="eastAsia"/>
          <w:b w:val="0"/>
          <w:bCs/>
          <w:smallCaps w:val="0"/>
          <w:color w:val="auto"/>
          <w:sz w:val="24"/>
          <w:szCs w:val="24"/>
        </w:rPr>
        <w:t>关注</w:t>
      </w:r>
      <w:r w:rsidRPr="008404A8">
        <w:rPr>
          <w:rFonts w:ascii="华文楷体" w:hAnsi="华文楷体" w:hint="eastAsia"/>
          <w:b w:val="0"/>
          <w:bCs/>
          <w:smallCaps w:val="0"/>
          <w:color w:val="auto"/>
          <w:sz w:val="24"/>
          <w:szCs w:val="24"/>
        </w:rPr>
        <w:t>汽车限购、房地产限价等政策变化。</w:t>
      </w:r>
    </w:p>
    <w:p w14:paraId="0307753F" w14:textId="1748B789" w:rsidR="00880256" w:rsidRDefault="008404A8"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4）</w:t>
      </w:r>
      <w:r w:rsidR="00664AED">
        <w:rPr>
          <w:rFonts w:ascii="华文楷体" w:hAnsi="华文楷体" w:hint="eastAsia"/>
          <w:b w:val="0"/>
          <w:bCs/>
          <w:smallCaps w:val="0"/>
          <w:color w:val="auto"/>
          <w:sz w:val="24"/>
          <w:szCs w:val="24"/>
        </w:rPr>
        <w:t>特别</w:t>
      </w:r>
      <w:r>
        <w:rPr>
          <w:rFonts w:ascii="华文楷体" w:hAnsi="华文楷体" w:hint="eastAsia"/>
          <w:b w:val="0"/>
          <w:bCs/>
          <w:smallCaps w:val="0"/>
          <w:color w:val="auto"/>
          <w:sz w:val="24"/>
          <w:szCs w:val="24"/>
        </w:rPr>
        <w:t>提出</w:t>
      </w:r>
      <w:r w:rsidRPr="008404A8">
        <w:rPr>
          <w:rFonts w:ascii="华文楷体" w:hAnsi="华文楷体" w:hint="eastAsia"/>
          <w:b w:val="0"/>
          <w:bCs/>
          <w:smallCaps w:val="0"/>
          <w:color w:val="auto"/>
          <w:sz w:val="24"/>
          <w:szCs w:val="24"/>
        </w:rPr>
        <w:t>科技、安全、绿色、开发、反垄断</w:t>
      </w:r>
      <w:r>
        <w:rPr>
          <w:rFonts w:ascii="华文楷体" w:hAnsi="华文楷体" w:hint="eastAsia"/>
          <w:b w:val="0"/>
          <w:bCs/>
          <w:smallCaps w:val="0"/>
          <w:color w:val="auto"/>
          <w:sz w:val="24"/>
          <w:szCs w:val="24"/>
        </w:rPr>
        <w:t>等</w:t>
      </w:r>
      <w:r w:rsidR="00664AED">
        <w:rPr>
          <w:rFonts w:ascii="华文楷体" w:hAnsi="华文楷体" w:hint="eastAsia"/>
          <w:b w:val="0"/>
          <w:bCs/>
          <w:smallCaps w:val="0"/>
          <w:color w:val="auto"/>
          <w:sz w:val="24"/>
          <w:szCs w:val="24"/>
        </w:rPr>
        <w:t>重点任务</w:t>
      </w:r>
      <w:r w:rsidRPr="008404A8">
        <w:rPr>
          <w:rFonts w:ascii="华文楷体" w:hAnsi="华文楷体" w:hint="eastAsia"/>
          <w:b w:val="0"/>
          <w:bCs/>
          <w:smallCaps w:val="0"/>
          <w:color w:val="auto"/>
          <w:sz w:val="24"/>
          <w:szCs w:val="24"/>
        </w:rPr>
        <w:t>。</w:t>
      </w:r>
      <w:r w:rsidR="00664AED">
        <w:rPr>
          <w:rFonts w:ascii="华文楷体" w:hAnsi="华文楷体" w:hint="eastAsia"/>
          <w:b w:val="0"/>
          <w:bCs/>
          <w:smallCaps w:val="0"/>
          <w:color w:val="auto"/>
          <w:sz w:val="24"/>
          <w:szCs w:val="24"/>
        </w:rPr>
        <w:t>一是</w:t>
      </w:r>
      <w:r w:rsidRPr="008404A8">
        <w:rPr>
          <w:rFonts w:ascii="华文楷体" w:hAnsi="华文楷体" w:hint="eastAsia"/>
          <w:b w:val="0"/>
          <w:bCs/>
          <w:smallCaps w:val="0"/>
          <w:color w:val="auto"/>
          <w:sz w:val="24"/>
          <w:szCs w:val="24"/>
        </w:rPr>
        <w:t>强化国家战略科技力量。要充分发挥国家作为重大科技创新组织者的作用，坚持战略性需求导向，确定科技创新方向和重点，着力解决制约国家发展和安全的重大难题</w:t>
      </w:r>
      <w:r w:rsidRPr="00664AED">
        <w:rPr>
          <w:rFonts w:ascii="华文楷体" w:hAnsi="华文楷体" w:hint="eastAsia"/>
          <w:b w:val="0"/>
          <w:bCs/>
          <w:smallCaps w:val="0"/>
          <w:color w:val="auto"/>
          <w:sz w:val="24"/>
          <w:szCs w:val="24"/>
        </w:rPr>
        <w:t>。要发挥新型举国体制优势，发挥好重要院所高校国家队作用，推动科研力量优化配置和资源共享。</w:t>
      </w:r>
      <w:r w:rsidR="00664AED" w:rsidRPr="00664AED">
        <w:rPr>
          <w:rFonts w:ascii="华文楷体" w:hAnsi="华文楷体" w:hint="eastAsia"/>
          <w:b w:val="0"/>
          <w:bCs/>
          <w:smallCaps w:val="0"/>
          <w:color w:val="auto"/>
          <w:sz w:val="24"/>
          <w:szCs w:val="24"/>
        </w:rPr>
        <w:t>二是</w:t>
      </w:r>
      <w:r w:rsidR="00D82820" w:rsidRPr="00664AED">
        <w:rPr>
          <w:rFonts w:ascii="华文楷体" w:hAnsi="华文楷体" w:hint="eastAsia"/>
          <w:b w:val="0"/>
          <w:bCs/>
          <w:smallCaps w:val="0"/>
          <w:color w:val="auto"/>
          <w:sz w:val="24"/>
          <w:szCs w:val="24"/>
        </w:rPr>
        <w:t>增强产业</w:t>
      </w:r>
      <w:proofErr w:type="gramStart"/>
      <w:r w:rsidR="00D82820" w:rsidRPr="00664AED">
        <w:rPr>
          <w:rFonts w:ascii="华文楷体" w:hAnsi="华文楷体" w:hint="eastAsia"/>
          <w:b w:val="0"/>
          <w:bCs/>
          <w:smallCaps w:val="0"/>
          <w:color w:val="auto"/>
          <w:sz w:val="24"/>
          <w:szCs w:val="24"/>
        </w:rPr>
        <w:t>链供应</w:t>
      </w:r>
      <w:proofErr w:type="gramEnd"/>
      <w:r w:rsidR="00D82820" w:rsidRPr="00664AED">
        <w:rPr>
          <w:rFonts w:ascii="华文楷体" w:hAnsi="华文楷体" w:hint="eastAsia"/>
          <w:b w:val="0"/>
          <w:bCs/>
          <w:smallCaps w:val="0"/>
          <w:color w:val="auto"/>
          <w:sz w:val="24"/>
          <w:szCs w:val="24"/>
        </w:rPr>
        <w:t>链自主可控能力。产业</w:t>
      </w:r>
      <w:proofErr w:type="gramStart"/>
      <w:r w:rsidR="00D82820" w:rsidRPr="00664AED">
        <w:rPr>
          <w:rFonts w:ascii="华文楷体" w:hAnsi="华文楷体" w:hint="eastAsia"/>
          <w:b w:val="0"/>
          <w:bCs/>
          <w:smallCaps w:val="0"/>
          <w:color w:val="auto"/>
          <w:sz w:val="24"/>
          <w:szCs w:val="24"/>
        </w:rPr>
        <w:t>链供应链安全</w:t>
      </w:r>
      <w:proofErr w:type="gramEnd"/>
      <w:r w:rsidR="00D82820" w:rsidRPr="00664AED">
        <w:rPr>
          <w:rFonts w:ascii="华文楷体" w:hAnsi="华文楷体" w:hint="eastAsia"/>
          <w:b w:val="0"/>
          <w:bCs/>
          <w:smallCaps w:val="0"/>
          <w:color w:val="auto"/>
          <w:sz w:val="24"/>
          <w:szCs w:val="24"/>
        </w:rPr>
        <w:t>稳定是构建新发展格局的基础。要统筹推进补齐短板和锻造长板，针对产业薄弱环节，实施好关键核心技术攻关工程，尽快解决一批“卡脖子”问题，在产业优势领域精耕细作。</w:t>
      </w:r>
      <w:r w:rsidR="00664AED" w:rsidRPr="00664AED">
        <w:rPr>
          <w:rFonts w:ascii="华文楷体" w:hAnsi="华文楷体" w:hint="eastAsia"/>
          <w:b w:val="0"/>
          <w:bCs/>
          <w:smallCaps w:val="0"/>
          <w:color w:val="auto"/>
          <w:sz w:val="24"/>
          <w:szCs w:val="24"/>
        </w:rPr>
        <w:t>三是</w:t>
      </w:r>
      <w:r w:rsidR="00664AED" w:rsidRPr="00664AED">
        <w:rPr>
          <w:rFonts w:ascii="华文楷体" w:hAnsi="华文楷体"/>
          <w:b w:val="0"/>
          <w:bCs/>
          <w:smallCaps w:val="0"/>
          <w:color w:val="auto"/>
          <w:sz w:val="24"/>
          <w:szCs w:val="24"/>
        </w:rPr>
        <w:t>解决好种子和耕地问题。保障粮食安全</w:t>
      </w:r>
      <w:r w:rsidR="00664AED">
        <w:rPr>
          <w:rFonts w:ascii="华文楷体" w:hAnsi="华文楷体"/>
          <w:b w:val="0"/>
          <w:bCs/>
          <w:smallCaps w:val="0"/>
          <w:color w:val="auto"/>
          <w:sz w:val="24"/>
          <w:szCs w:val="24"/>
        </w:rPr>
        <w:t>，</w:t>
      </w:r>
      <w:r w:rsidR="00D82820" w:rsidRPr="00D82820">
        <w:rPr>
          <w:rFonts w:ascii="华文楷体" w:hAnsi="华文楷体"/>
          <w:b w:val="0"/>
          <w:bCs/>
          <w:smallCaps w:val="0"/>
          <w:color w:val="auto"/>
          <w:sz w:val="24"/>
          <w:szCs w:val="24"/>
        </w:rPr>
        <w:t>落实藏粮于地、</w:t>
      </w:r>
      <w:proofErr w:type="gramStart"/>
      <w:r w:rsidR="00D82820" w:rsidRPr="00D82820">
        <w:rPr>
          <w:rFonts w:ascii="华文楷体" w:hAnsi="华文楷体"/>
          <w:b w:val="0"/>
          <w:bCs/>
          <w:smallCaps w:val="0"/>
          <w:color w:val="auto"/>
          <w:sz w:val="24"/>
          <w:szCs w:val="24"/>
        </w:rPr>
        <w:t>藏粮于技战略</w:t>
      </w:r>
      <w:proofErr w:type="gramEnd"/>
      <w:r w:rsidR="00D82820" w:rsidRPr="00D82820">
        <w:rPr>
          <w:rFonts w:ascii="华文楷体" w:hAnsi="华文楷体"/>
          <w:b w:val="0"/>
          <w:bCs/>
          <w:smallCaps w:val="0"/>
          <w:color w:val="auto"/>
          <w:sz w:val="24"/>
          <w:szCs w:val="24"/>
        </w:rPr>
        <w:t>。</w:t>
      </w:r>
      <w:r w:rsidR="00664AED">
        <w:rPr>
          <w:rFonts w:ascii="华文楷体" w:hAnsi="华文楷体" w:hint="eastAsia"/>
          <w:b w:val="0"/>
          <w:bCs/>
          <w:smallCaps w:val="0"/>
          <w:color w:val="auto"/>
          <w:sz w:val="24"/>
          <w:szCs w:val="24"/>
        </w:rPr>
        <w:t>四是</w:t>
      </w:r>
      <w:r w:rsidR="00664AED" w:rsidRPr="00664AED">
        <w:rPr>
          <w:rFonts w:ascii="华文楷体" w:hAnsi="华文楷体" w:hint="eastAsia"/>
          <w:b w:val="0"/>
          <w:bCs/>
          <w:smallCaps w:val="0"/>
          <w:color w:val="auto"/>
          <w:sz w:val="24"/>
          <w:szCs w:val="24"/>
        </w:rPr>
        <w:t>绿色发展</w:t>
      </w:r>
      <w:proofErr w:type="gramStart"/>
      <w:r w:rsidR="00664AED" w:rsidRPr="00664AED">
        <w:rPr>
          <w:rFonts w:ascii="华文楷体" w:hAnsi="华文楷体" w:hint="eastAsia"/>
          <w:b w:val="0"/>
          <w:bCs/>
          <w:smallCaps w:val="0"/>
          <w:color w:val="auto"/>
          <w:sz w:val="24"/>
          <w:szCs w:val="24"/>
        </w:rPr>
        <w:t>与碳减排</w:t>
      </w:r>
      <w:proofErr w:type="gramEnd"/>
      <w:r w:rsidR="00664AED" w:rsidRPr="00664AED">
        <w:rPr>
          <w:rFonts w:ascii="华文楷体" w:hAnsi="华文楷体" w:hint="eastAsia"/>
          <w:b w:val="0"/>
          <w:bCs/>
          <w:smallCaps w:val="0"/>
          <w:color w:val="auto"/>
          <w:sz w:val="24"/>
          <w:szCs w:val="24"/>
        </w:rPr>
        <w:t>。新能源可能迎来高速发展期。</w:t>
      </w:r>
      <w:r w:rsidR="00664AED">
        <w:rPr>
          <w:rFonts w:ascii="华文楷体" w:hAnsi="华文楷体" w:hint="eastAsia"/>
          <w:b w:val="0"/>
          <w:bCs/>
          <w:smallCaps w:val="0"/>
          <w:color w:val="auto"/>
          <w:sz w:val="24"/>
          <w:szCs w:val="24"/>
        </w:rPr>
        <w:t>五是</w:t>
      </w:r>
      <w:r w:rsidR="00664AED" w:rsidRPr="00664AED">
        <w:rPr>
          <w:rFonts w:ascii="华文楷体" w:hAnsi="华文楷体" w:hint="eastAsia"/>
          <w:b w:val="0"/>
          <w:bCs/>
          <w:smallCaps w:val="0"/>
          <w:color w:val="auto"/>
          <w:sz w:val="24"/>
          <w:szCs w:val="24"/>
        </w:rPr>
        <w:t>扩大高水平对外开放。要积极考虑加入全面与进步跨太平洋伙伴关系协定。</w:t>
      </w:r>
      <w:r w:rsidR="00664AED">
        <w:rPr>
          <w:rFonts w:ascii="华文楷体" w:hAnsi="华文楷体" w:hint="eastAsia"/>
          <w:b w:val="0"/>
          <w:bCs/>
          <w:smallCaps w:val="0"/>
          <w:color w:val="auto"/>
          <w:sz w:val="24"/>
          <w:szCs w:val="24"/>
        </w:rPr>
        <w:t>六</w:t>
      </w:r>
      <w:r w:rsidR="00664AED" w:rsidRPr="00664AED">
        <w:rPr>
          <w:rFonts w:ascii="华文楷体" w:hAnsi="华文楷体" w:hint="eastAsia"/>
          <w:b w:val="0"/>
          <w:bCs/>
          <w:smallCaps w:val="0"/>
          <w:color w:val="auto"/>
          <w:sz w:val="24"/>
          <w:szCs w:val="24"/>
        </w:rPr>
        <w:t>是强化反垄断和防止资本无序扩张。提出金融创新必须在审慎监管的前提下进行。</w:t>
      </w:r>
    </w:p>
    <w:p w14:paraId="5BB5B293" w14:textId="65FA62EA" w:rsidR="00664AED" w:rsidRPr="00880256" w:rsidRDefault="006C2697"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整体看，政策导向相对积极，货币政策以稳为主，强调了当</w:t>
      </w:r>
      <w:proofErr w:type="gramStart"/>
      <w:r>
        <w:rPr>
          <w:rFonts w:ascii="华文楷体" w:hAnsi="华文楷体" w:hint="eastAsia"/>
          <w:b w:val="0"/>
          <w:bCs/>
          <w:smallCaps w:val="0"/>
          <w:color w:val="auto"/>
          <w:sz w:val="24"/>
          <w:szCs w:val="24"/>
        </w:rPr>
        <w:t>前政策</w:t>
      </w:r>
      <w:proofErr w:type="gramEnd"/>
      <w:r>
        <w:rPr>
          <w:rFonts w:ascii="华文楷体" w:hAnsi="华文楷体" w:hint="eastAsia"/>
          <w:b w:val="0"/>
          <w:bCs/>
          <w:smallCaps w:val="0"/>
          <w:color w:val="auto"/>
          <w:sz w:val="24"/>
          <w:szCs w:val="24"/>
        </w:rPr>
        <w:t>温和</w:t>
      </w:r>
      <w:r w:rsidR="003C3299">
        <w:rPr>
          <w:rFonts w:ascii="华文楷体" w:hAnsi="华文楷体" w:hint="eastAsia"/>
          <w:b w:val="0"/>
          <w:bCs/>
          <w:smallCaps w:val="0"/>
          <w:color w:val="auto"/>
          <w:sz w:val="24"/>
          <w:szCs w:val="24"/>
        </w:rPr>
        <w:t>退出</w:t>
      </w:r>
      <w:r>
        <w:rPr>
          <w:rFonts w:ascii="华文楷体" w:hAnsi="华文楷体" w:hint="eastAsia"/>
          <w:b w:val="0"/>
          <w:bCs/>
          <w:smallCaps w:val="0"/>
          <w:color w:val="auto"/>
          <w:sz w:val="24"/>
          <w:szCs w:val="24"/>
        </w:rPr>
        <w:t>，相机抉择的特点。对市场而言，配合当前基本面高频数据，权益市场情绪将持续略向好，债市需要增量资金推动，且内部受到</w:t>
      </w:r>
      <w:proofErr w:type="gramStart"/>
      <w:r>
        <w:rPr>
          <w:rFonts w:ascii="华文楷体" w:hAnsi="华文楷体" w:hint="eastAsia"/>
          <w:b w:val="0"/>
          <w:bCs/>
          <w:smallCaps w:val="0"/>
          <w:color w:val="auto"/>
          <w:sz w:val="24"/>
          <w:szCs w:val="24"/>
        </w:rPr>
        <w:t>永煤事件</w:t>
      </w:r>
      <w:proofErr w:type="gramEnd"/>
      <w:r>
        <w:rPr>
          <w:rFonts w:ascii="华文楷体" w:hAnsi="华文楷体" w:hint="eastAsia"/>
          <w:b w:val="0"/>
          <w:bCs/>
          <w:smallCaps w:val="0"/>
          <w:color w:val="auto"/>
          <w:sz w:val="24"/>
          <w:szCs w:val="24"/>
        </w:rPr>
        <w:t>影响，不同债券品种、同品种不同评级债券间可能呈现一定分化。</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6B553723"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736615">
        <w:rPr>
          <w:rFonts w:ascii="华文楷体" w:hAnsi="华文楷体" w:hint="eastAsia"/>
          <w:sz w:val="24"/>
          <w:szCs w:val="24"/>
          <w:lang w:eastAsia="zh-CN"/>
        </w:rPr>
        <w:t>OMO</w:t>
      </w:r>
      <w:r w:rsidR="00D9413F">
        <w:rPr>
          <w:rFonts w:ascii="华文楷体" w:hAnsi="华文楷体" w:hint="eastAsia"/>
          <w:sz w:val="24"/>
          <w:szCs w:val="24"/>
          <w:lang w:eastAsia="zh-CN"/>
        </w:rPr>
        <w:t>操作</w:t>
      </w:r>
      <w:r w:rsidR="003C6AC1">
        <w:rPr>
          <w:rFonts w:ascii="华文楷体" w:hAnsi="华文楷体" w:hint="eastAsia"/>
          <w:sz w:val="24"/>
          <w:szCs w:val="24"/>
          <w:lang w:eastAsia="zh-CN"/>
        </w:rPr>
        <w:t>净</w:t>
      </w:r>
      <w:r w:rsidR="00E71119">
        <w:rPr>
          <w:rFonts w:ascii="华文楷体" w:hAnsi="华文楷体" w:hint="eastAsia"/>
          <w:sz w:val="24"/>
          <w:szCs w:val="24"/>
          <w:lang w:eastAsia="zh-CN"/>
        </w:rPr>
        <w:t>回笼</w:t>
      </w:r>
      <w:r w:rsidR="00736615">
        <w:rPr>
          <w:rFonts w:ascii="华文楷体" w:hAnsi="华文楷体" w:hint="eastAsia"/>
          <w:sz w:val="24"/>
          <w:szCs w:val="24"/>
          <w:lang w:eastAsia="zh-CN"/>
        </w:rPr>
        <w:t>9</w:t>
      </w:r>
      <w:r w:rsidR="005C02C9">
        <w:rPr>
          <w:rFonts w:ascii="华文楷体" w:hAnsi="华文楷体" w:hint="eastAsia"/>
          <w:sz w:val="24"/>
          <w:szCs w:val="24"/>
          <w:lang w:eastAsia="zh-CN"/>
        </w:rPr>
        <w:t>0</w:t>
      </w:r>
      <w:r w:rsidR="003C6AC1">
        <w:rPr>
          <w:rFonts w:ascii="华文楷体" w:hAnsi="华文楷体" w:hint="eastAsia"/>
          <w:sz w:val="24"/>
          <w:szCs w:val="24"/>
          <w:lang w:eastAsia="zh-CN"/>
        </w:rPr>
        <w:t>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其中到期</w:t>
      </w:r>
      <w:r w:rsidR="00736615">
        <w:rPr>
          <w:rFonts w:ascii="华文楷体" w:hAnsi="华文楷体" w:hint="eastAsia"/>
          <w:sz w:val="24"/>
          <w:szCs w:val="24"/>
          <w:lang w:eastAsia="zh-CN"/>
        </w:rPr>
        <w:t>15</w:t>
      </w:r>
      <w:r w:rsidR="005C02C9">
        <w:rPr>
          <w:rFonts w:ascii="华文楷体" w:hAnsi="华文楷体" w:hint="eastAsia"/>
          <w:sz w:val="24"/>
          <w:szCs w:val="24"/>
          <w:lang w:eastAsia="zh-CN"/>
        </w:rPr>
        <w:t>00</w:t>
      </w:r>
      <w:r w:rsidR="005952B7">
        <w:rPr>
          <w:rFonts w:ascii="华文楷体" w:hAnsi="华文楷体" w:hint="eastAsia"/>
          <w:sz w:val="24"/>
          <w:szCs w:val="24"/>
          <w:lang w:eastAsia="zh-CN"/>
        </w:rPr>
        <w:t>亿，投放</w:t>
      </w:r>
      <w:r w:rsidR="00736615">
        <w:rPr>
          <w:rFonts w:ascii="华文楷体" w:hAnsi="华文楷体" w:hint="eastAsia"/>
          <w:sz w:val="24"/>
          <w:szCs w:val="24"/>
          <w:lang w:eastAsia="zh-CN"/>
        </w:rPr>
        <w:t>6</w:t>
      </w:r>
      <w:r w:rsidR="00F14B3A">
        <w:rPr>
          <w:rFonts w:ascii="华文楷体" w:hAnsi="华文楷体" w:hint="eastAsia"/>
          <w:sz w:val="24"/>
          <w:szCs w:val="24"/>
          <w:lang w:eastAsia="zh-CN"/>
        </w:rPr>
        <w:t>0</w:t>
      </w:r>
      <w:r w:rsidR="001969E7">
        <w:rPr>
          <w:rFonts w:ascii="华文楷体" w:hAnsi="华文楷体" w:hint="eastAsia"/>
          <w:sz w:val="24"/>
          <w:szCs w:val="24"/>
          <w:lang w:eastAsia="zh-CN"/>
        </w:rPr>
        <w:t>0</w:t>
      </w:r>
      <w:r w:rsidR="005952B7">
        <w:rPr>
          <w:rFonts w:ascii="华文楷体" w:hAnsi="华文楷体" w:hint="eastAsia"/>
          <w:sz w:val="24"/>
          <w:szCs w:val="24"/>
          <w:lang w:eastAsia="zh-CN"/>
        </w:rPr>
        <w:t>亿</w:t>
      </w:r>
      <w:r w:rsidR="005671F6">
        <w:rPr>
          <w:rFonts w:ascii="华文楷体" w:hAnsi="华文楷体" w:hint="eastAsia"/>
          <w:sz w:val="24"/>
          <w:szCs w:val="24"/>
          <w:lang w:eastAsia="zh-CN"/>
        </w:rPr>
        <w:t>。</w:t>
      </w:r>
      <w:r w:rsidR="005C02C9">
        <w:rPr>
          <w:rFonts w:ascii="华文楷体" w:hAnsi="华文楷体" w:hint="eastAsia"/>
          <w:sz w:val="24"/>
          <w:szCs w:val="24"/>
          <w:lang w:eastAsia="zh-CN"/>
        </w:rPr>
        <w:t>资金面基本保持平稳</w:t>
      </w:r>
      <w:r w:rsidR="00F14B3A">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五上行</w:t>
      </w:r>
      <w:r w:rsidR="00736615">
        <w:rPr>
          <w:rFonts w:ascii="华文楷体" w:hAnsi="华文楷体" w:hint="eastAsia"/>
          <w:sz w:val="24"/>
          <w:szCs w:val="24"/>
          <w:lang w:eastAsia="zh-CN"/>
        </w:rPr>
        <w:t>27</w:t>
      </w:r>
      <w:r w:rsidR="00D9413F">
        <w:rPr>
          <w:rFonts w:ascii="华文楷体" w:hAnsi="华文楷体" w:hint="eastAsia"/>
          <w:sz w:val="24"/>
          <w:szCs w:val="24"/>
          <w:lang w:eastAsia="zh-CN"/>
        </w:rPr>
        <w:t>BP至</w:t>
      </w:r>
      <w:r w:rsidR="00F14B3A">
        <w:rPr>
          <w:rFonts w:ascii="华文楷体" w:hAnsi="华文楷体" w:hint="eastAsia"/>
          <w:sz w:val="24"/>
          <w:szCs w:val="24"/>
          <w:lang w:eastAsia="zh-CN"/>
        </w:rPr>
        <w:t>1.</w:t>
      </w:r>
      <w:r w:rsidR="00736615">
        <w:rPr>
          <w:rFonts w:ascii="华文楷体" w:hAnsi="华文楷体" w:hint="eastAsia"/>
          <w:sz w:val="24"/>
          <w:szCs w:val="24"/>
          <w:lang w:eastAsia="zh-CN"/>
        </w:rPr>
        <w:t>78</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736615">
        <w:rPr>
          <w:rFonts w:ascii="华文楷体" w:hAnsi="华文楷体" w:hint="eastAsia"/>
          <w:sz w:val="24"/>
          <w:szCs w:val="24"/>
          <w:lang w:eastAsia="zh-CN"/>
        </w:rPr>
        <w:t>下</w:t>
      </w:r>
      <w:r w:rsidR="00F14B3A">
        <w:rPr>
          <w:rFonts w:ascii="华文楷体" w:hAnsi="华文楷体" w:hint="eastAsia"/>
          <w:sz w:val="24"/>
          <w:szCs w:val="24"/>
          <w:lang w:eastAsia="zh-CN"/>
        </w:rPr>
        <w:t>行</w:t>
      </w:r>
      <w:r w:rsidR="00736615">
        <w:rPr>
          <w:rFonts w:ascii="华文楷体" w:hAnsi="华文楷体" w:hint="eastAsia"/>
          <w:sz w:val="24"/>
          <w:szCs w:val="24"/>
          <w:lang w:eastAsia="zh-CN"/>
        </w:rPr>
        <w:t>5</w:t>
      </w:r>
      <w:r w:rsidR="00D9413F">
        <w:rPr>
          <w:rFonts w:ascii="华文楷体" w:hAnsi="华文楷体" w:hint="eastAsia"/>
          <w:sz w:val="24"/>
          <w:szCs w:val="24"/>
          <w:lang w:eastAsia="zh-CN"/>
        </w:rPr>
        <w:t>BP至</w:t>
      </w:r>
      <w:r w:rsidR="00E73151">
        <w:rPr>
          <w:rFonts w:ascii="华文楷体" w:hAnsi="华文楷体"/>
          <w:sz w:val="24"/>
          <w:szCs w:val="24"/>
          <w:lang w:eastAsia="zh-CN"/>
        </w:rPr>
        <w:t>2</w:t>
      </w:r>
      <w:r w:rsidR="00F4221A">
        <w:rPr>
          <w:rFonts w:ascii="华文楷体" w:hAnsi="华文楷体" w:hint="eastAsia"/>
          <w:sz w:val="24"/>
          <w:szCs w:val="24"/>
          <w:lang w:eastAsia="zh-CN"/>
        </w:rPr>
        <w:t>.</w:t>
      </w:r>
      <w:r w:rsidR="00736615">
        <w:rPr>
          <w:rFonts w:ascii="华文楷体" w:hAnsi="华文楷体" w:hint="eastAsia"/>
          <w:sz w:val="24"/>
          <w:szCs w:val="24"/>
          <w:lang w:eastAsia="zh-CN"/>
        </w:rPr>
        <w:t>29</w:t>
      </w:r>
      <w:r w:rsidR="00EC3415">
        <w:rPr>
          <w:rFonts w:ascii="华文楷体" w:hAnsi="华文楷体" w:hint="eastAsia"/>
          <w:sz w:val="24"/>
          <w:szCs w:val="24"/>
          <w:lang w:eastAsia="zh-CN"/>
        </w:rPr>
        <w:t>%</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736615">
        <w:tblPrEx>
          <w:tblCellMar>
            <w:left w:w="108" w:type="dxa"/>
            <w:right w:w="108" w:type="dxa"/>
          </w:tblCellMar>
        </w:tblPrEx>
        <w:trPr>
          <w:jc w:val="center"/>
        </w:trPr>
        <w:tc>
          <w:tcPr>
            <w:tcW w:w="4939" w:type="dxa"/>
            <w:vAlign w:val="center"/>
          </w:tcPr>
          <w:p w14:paraId="60AEAEDC" w14:textId="221BE348" w:rsidR="00E0626C" w:rsidRPr="003C6AC1" w:rsidRDefault="00736615" w:rsidP="009A2BA0">
            <w:pPr>
              <w:jc w:val="center"/>
              <w:rPr>
                <w:noProof/>
                <w:sz w:val="20"/>
              </w:rPr>
            </w:pPr>
            <w:r>
              <w:rPr>
                <w:noProof/>
              </w:rPr>
              <w:drawing>
                <wp:inline distT="0" distB="0" distL="0" distR="0" wp14:anchorId="22EB0AA0" wp14:editId="210DD283">
                  <wp:extent cx="2999105" cy="1732153"/>
                  <wp:effectExtent l="0" t="0" r="0" b="1905"/>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23C392C4" w:rsidR="00E0626C" w:rsidRPr="00F62F43" w:rsidRDefault="00736615" w:rsidP="009A2BA0">
            <w:pPr>
              <w:jc w:val="center"/>
              <w:rPr>
                <w:noProof/>
                <w:sz w:val="16"/>
                <w:szCs w:val="18"/>
              </w:rPr>
            </w:pPr>
            <w:r>
              <w:rPr>
                <w:noProof/>
              </w:rPr>
              <w:drawing>
                <wp:inline distT="0" distB="0" distL="0" distR="0" wp14:anchorId="20E222D3" wp14:editId="545AF841">
                  <wp:extent cx="2998470" cy="1768729"/>
                  <wp:effectExtent l="0" t="0" r="0" b="3175"/>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D059BE6"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proofErr w:type="gramStart"/>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176815">
        <w:rPr>
          <w:rFonts w:ascii="华文楷体" w:hAnsi="华文楷体" w:hint="eastAsia"/>
          <w:sz w:val="24"/>
          <w:szCs w:val="24"/>
          <w:lang w:eastAsia="zh-CN"/>
        </w:rPr>
        <w:t>各</w:t>
      </w:r>
      <w:r w:rsidR="000544C9">
        <w:rPr>
          <w:rFonts w:ascii="华文楷体" w:hAnsi="华文楷体" w:hint="eastAsia"/>
          <w:sz w:val="24"/>
          <w:szCs w:val="24"/>
          <w:lang w:eastAsia="zh-CN"/>
        </w:rPr>
        <w:t>主要</w:t>
      </w:r>
      <w:proofErr w:type="gramEnd"/>
      <w:r w:rsidR="000544C9">
        <w:rPr>
          <w:rFonts w:ascii="华文楷体" w:hAnsi="华文楷体" w:hint="eastAsia"/>
          <w:sz w:val="24"/>
          <w:szCs w:val="24"/>
          <w:lang w:eastAsia="zh-CN"/>
        </w:rPr>
        <w:t>期限</w:t>
      </w:r>
      <w:r w:rsidR="002D79BB">
        <w:rPr>
          <w:rFonts w:ascii="华文楷体" w:hAnsi="华文楷体" w:hint="eastAsia"/>
          <w:sz w:val="24"/>
          <w:szCs w:val="24"/>
          <w:lang w:eastAsia="zh-CN"/>
        </w:rPr>
        <w:t>下行</w:t>
      </w:r>
      <w:r w:rsidR="00A31796">
        <w:rPr>
          <w:rFonts w:ascii="华文楷体" w:hAnsi="华文楷体" w:hint="eastAsia"/>
          <w:sz w:val="24"/>
          <w:szCs w:val="24"/>
          <w:lang w:eastAsia="zh-CN"/>
        </w:rPr>
        <w:t>，</w:t>
      </w:r>
      <w:r w:rsidR="00D805A7">
        <w:rPr>
          <w:rFonts w:ascii="华文楷体" w:hAnsi="华文楷体" w:hint="eastAsia"/>
          <w:sz w:val="24"/>
          <w:szCs w:val="24"/>
          <w:lang w:eastAsia="zh-CN"/>
        </w:rPr>
        <w:t>期限利差</w:t>
      </w:r>
      <w:r w:rsidR="002D79BB">
        <w:rPr>
          <w:rFonts w:ascii="华文楷体" w:hAnsi="华文楷体" w:hint="eastAsia"/>
          <w:sz w:val="24"/>
          <w:szCs w:val="24"/>
          <w:lang w:eastAsia="zh-CN"/>
        </w:rPr>
        <w:t>持续</w:t>
      </w:r>
      <w:r w:rsidR="00D805A7">
        <w:rPr>
          <w:rFonts w:ascii="华文楷体" w:hAnsi="华文楷体" w:hint="eastAsia"/>
          <w:sz w:val="24"/>
          <w:szCs w:val="24"/>
          <w:lang w:eastAsia="zh-CN"/>
        </w:rPr>
        <w:t>上行</w:t>
      </w:r>
      <w:r w:rsidR="002D79BB">
        <w:rPr>
          <w:rFonts w:ascii="华文楷体" w:hAnsi="华文楷体" w:hint="eastAsia"/>
          <w:sz w:val="24"/>
          <w:szCs w:val="24"/>
          <w:lang w:eastAsia="zh-CN"/>
        </w:rPr>
        <w:t>修复</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2D79BB">
        <w:rPr>
          <w:rFonts w:ascii="华文楷体" w:hAnsi="华文楷体" w:hint="eastAsia"/>
          <w:sz w:val="24"/>
          <w:szCs w:val="24"/>
          <w:lang w:eastAsia="zh-CN"/>
        </w:rPr>
        <w:t>5</w:t>
      </w:r>
      <w:r w:rsidR="00D805A7">
        <w:rPr>
          <w:rFonts w:ascii="华文楷体" w:hAnsi="华文楷体" w:hint="eastAsia"/>
          <w:sz w:val="24"/>
          <w:szCs w:val="24"/>
          <w:lang w:eastAsia="zh-CN"/>
        </w:rPr>
        <w:t>6</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D805A7">
        <w:rPr>
          <w:rFonts w:ascii="华文楷体" w:hAnsi="华文楷体" w:hint="eastAsia"/>
          <w:sz w:val="24"/>
          <w:szCs w:val="24"/>
          <w:lang w:eastAsia="zh-CN"/>
        </w:rPr>
        <w:t>8</w:t>
      </w:r>
      <w:r w:rsidR="002D79BB">
        <w:rPr>
          <w:rFonts w:ascii="华文楷体" w:hAnsi="华文楷体" w:hint="eastAsia"/>
          <w:sz w:val="24"/>
          <w:szCs w:val="24"/>
          <w:lang w:eastAsia="zh-CN"/>
        </w:rPr>
        <w:t>4</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2D79BB">
        <w:rPr>
          <w:rFonts w:ascii="华文楷体" w:hAnsi="华文楷体" w:hint="eastAsia"/>
          <w:sz w:val="24"/>
          <w:szCs w:val="24"/>
          <w:lang w:eastAsia="zh-CN"/>
        </w:rPr>
        <w:t>下行0.5</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2D79BB">
        <w:rPr>
          <w:rFonts w:ascii="华文楷体" w:hAnsi="华文楷体" w:hint="eastAsia"/>
          <w:sz w:val="24"/>
          <w:szCs w:val="24"/>
          <w:lang w:eastAsia="zh-CN"/>
        </w:rPr>
        <w:t>下</w:t>
      </w:r>
      <w:r w:rsidR="00176815">
        <w:rPr>
          <w:rFonts w:ascii="华文楷体" w:hAnsi="华文楷体" w:hint="eastAsia"/>
          <w:sz w:val="24"/>
          <w:szCs w:val="24"/>
          <w:lang w:eastAsia="zh-CN"/>
        </w:rPr>
        <w:t>行</w:t>
      </w:r>
      <w:r w:rsidR="002D79BB">
        <w:rPr>
          <w:rFonts w:ascii="华文楷体" w:hAnsi="华文楷体" w:hint="eastAsia"/>
          <w:sz w:val="24"/>
          <w:szCs w:val="24"/>
          <w:lang w:eastAsia="zh-CN"/>
        </w:rPr>
        <w:t>4.7</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w:t>
      </w:r>
      <w:proofErr w:type="gramStart"/>
      <w:r w:rsidR="003848B1">
        <w:rPr>
          <w:rFonts w:ascii="华文楷体" w:hAnsi="华文楷体" w:hint="eastAsia"/>
          <w:sz w:val="24"/>
          <w:szCs w:val="24"/>
          <w:lang w:eastAsia="zh-CN"/>
        </w:rPr>
        <w:t>债利差至</w:t>
      </w:r>
      <w:proofErr w:type="gramEnd"/>
      <w:r w:rsidR="00D805A7">
        <w:rPr>
          <w:rFonts w:ascii="华文楷体" w:hAnsi="华文楷体" w:hint="eastAsia"/>
          <w:sz w:val="24"/>
          <w:szCs w:val="24"/>
          <w:lang w:eastAsia="zh-CN"/>
        </w:rPr>
        <w:t>3</w:t>
      </w:r>
      <w:r w:rsidR="002D79BB">
        <w:rPr>
          <w:rFonts w:ascii="华文楷体" w:hAnsi="华文楷体" w:hint="eastAsia"/>
          <w:sz w:val="24"/>
          <w:szCs w:val="24"/>
          <w:lang w:eastAsia="zh-CN"/>
        </w:rPr>
        <w:t>8</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2D79BB">
        <w:tblPrEx>
          <w:tblCellMar>
            <w:left w:w="108" w:type="dxa"/>
            <w:right w:w="108" w:type="dxa"/>
          </w:tblCellMar>
        </w:tblPrEx>
        <w:trPr>
          <w:jc w:val="center"/>
        </w:trPr>
        <w:tc>
          <w:tcPr>
            <w:tcW w:w="4939" w:type="dxa"/>
            <w:vAlign w:val="center"/>
          </w:tcPr>
          <w:p w14:paraId="678C97B0" w14:textId="49EB7D7D" w:rsidR="00E0626C" w:rsidRPr="007E0340" w:rsidRDefault="002D79BB" w:rsidP="002104B2">
            <w:pPr>
              <w:rPr>
                <w:noProof/>
              </w:rPr>
            </w:pPr>
            <w:r>
              <w:rPr>
                <w:noProof/>
              </w:rPr>
              <w:drawing>
                <wp:inline distT="0" distB="0" distL="0" distR="0" wp14:anchorId="6A39EFB6" wp14:editId="7DC948C4">
                  <wp:extent cx="2999105" cy="1743379"/>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4F98F076" w:rsidR="00E0626C" w:rsidRPr="007E0340" w:rsidRDefault="002D79BB" w:rsidP="009A2BA0">
            <w:pPr>
              <w:jc w:val="center"/>
              <w:rPr>
                <w:noProof/>
                <w:szCs w:val="18"/>
              </w:rPr>
            </w:pPr>
            <w:r>
              <w:rPr>
                <w:noProof/>
              </w:rPr>
              <w:drawing>
                <wp:inline distT="0" distB="0" distL="0" distR="0" wp14:anchorId="394DCC0A" wp14:editId="273A0DBE">
                  <wp:extent cx="2998470" cy="1757909"/>
                  <wp:effectExtent l="0" t="0" r="0" b="0"/>
                  <wp:docPr id="4" name="图表 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4650A25D"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602D14">
        <w:rPr>
          <w:rFonts w:ascii="华文楷体" w:hAnsi="华文楷体" w:hint="eastAsia"/>
          <w:sz w:val="24"/>
          <w:szCs w:val="24"/>
          <w:lang w:eastAsia="zh-CN"/>
        </w:rPr>
        <w:t>本周情绪</w:t>
      </w:r>
      <w:r w:rsidR="00A0730C">
        <w:rPr>
          <w:rFonts w:ascii="华文楷体" w:hAnsi="华文楷体" w:hint="eastAsia"/>
          <w:sz w:val="24"/>
          <w:szCs w:val="24"/>
          <w:lang w:eastAsia="zh-CN"/>
        </w:rPr>
        <w:t>持续</w:t>
      </w:r>
      <w:r w:rsidR="00602D14">
        <w:rPr>
          <w:rFonts w:ascii="华文楷体" w:hAnsi="华文楷体" w:hint="eastAsia"/>
          <w:sz w:val="24"/>
          <w:szCs w:val="24"/>
          <w:lang w:eastAsia="zh-CN"/>
        </w:rPr>
        <w:t>修复，</w:t>
      </w:r>
      <w:r w:rsidR="00234798">
        <w:rPr>
          <w:rFonts w:ascii="华文楷体" w:hAnsi="华文楷体" w:hint="eastAsia"/>
          <w:sz w:val="24"/>
          <w:szCs w:val="24"/>
          <w:lang w:eastAsia="zh-CN"/>
        </w:rPr>
        <w:t>1Y品种表现相对其他期限</w:t>
      </w:r>
      <w:r w:rsidR="00311579">
        <w:rPr>
          <w:rFonts w:ascii="华文楷体" w:hAnsi="华文楷体" w:hint="eastAsia"/>
          <w:sz w:val="24"/>
          <w:szCs w:val="24"/>
          <w:lang w:eastAsia="zh-CN"/>
        </w:rPr>
        <w:t>较好,同期限</w:t>
      </w:r>
      <w:proofErr w:type="gramStart"/>
      <w:r w:rsidR="00311579">
        <w:rPr>
          <w:rFonts w:ascii="华文楷体" w:hAnsi="华文楷体" w:hint="eastAsia"/>
          <w:sz w:val="24"/>
          <w:szCs w:val="24"/>
          <w:lang w:eastAsia="zh-CN"/>
        </w:rPr>
        <w:t>城投债要好</w:t>
      </w:r>
      <w:proofErr w:type="gramEnd"/>
      <w:r w:rsidR="00311579">
        <w:rPr>
          <w:rFonts w:ascii="华文楷体" w:hAnsi="华文楷体" w:hint="eastAsia"/>
          <w:sz w:val="24"/>
          <w:szCs w:val="24"/>
          <w:lang w:eastAsia="zh-CN"/>
        </w:rPr>
        <w:t>于企业债、中票</w:t>
      </w:r>
      <w:r w:rsidR="00602D14">
        <w:rPr>
          <w:rFonts w:ascii="华文楷体" w:hAnsi="华文楷体" w:hint="eastAsia"/>
          <w:sz w:val="24"/>
          <w:szCs w:val="24"/>
          <w:lang w:eastAsia="zh-CN"/>
        </w:rPr>
        <w:t>。</w:t>
      </w:r>
      <w:r w:rsidR="00DA6CA4">
        <w:rPr>
          <w:rFonts w:ascii="华文楷体" w:hAnsi="华文楷体" w:hint="eastAsia"/>
          <w:sz w:val="24"/>
          <w:szCs w:val="24"/>
          <w:lang w:eastAsia="zh-CN"/>
        </w:rPr>
        <w:t>市场表现</w:t>
      </w:r>
      <w:r w:rsidR="00E817DF">
        <w:rPr>
          <w:rFonts w:ascii="华文楷体" w:hAnsi="华文楷体"/>
          <w:sz w:val="24"/>
          <w:szCs w:val="24"/>
          <w:lang w:eastAsia="zh-CN"/>
        </w:rPr>
        <w:t>，</w:t>
      </w:r>
      <w:r w:rsidR="003F59A9">
        <w:rPr>
          <w:rFonts w:ascii="华文楷体" w:hAnsi="华文楷体" w:hint="eastAsia"/>
          <w:sz w:val="24"/>
          <w:szCs w:val="24"/>
          <w:lang w:eastAsia="zh-CN"/>
        </w:rPr>
        <w:t>1</w:t>
      </w:r>
      <w:r w:rsidR="003F59A9">
        <w:rPr>
          <w:rFonts w:ascii="华文楷体" w:hAnsi="华文楷体"/>
          <w:sz w:val="24"/>
          <w:szCs w:val="24"/>
          <w:lang w:eastAsia="zh-CN"/>
        </w:rPr>
        <w:t>Y</w:t>
      </w:r>
      <w:r w:rsidRPr="00305223">
        <w:rPr>
          <w:rFonts w:ascii="华文楷体" w:hAnsi="华文楷体" w:hint="eastAsia"/>
          <w:sz w:val="24"/>
          <w:szCs w:val="24"/>
          <w:lang w:eastAsia="zh-CN"/>
        </w:rPr>
        <w:t>中</w:t>
      </w:r>
      <w:r w:rsidR="00851C6B">
        <w:rPr>
          <w:rFonts w:ascii="华文楷体" w:hAnsi="华文楷体" w:hint="eastAsia"/>
          <w:sz w:val="24"/>
          <w:szCs w:val="24"/>
          <w:lang w:eastAsia="zh-CN"/>
        </w:rPr>
        <w:t>短期票据品种</w:t>
      </w:r>
      <w:r w:rsidR="00602D14">
        <w:rPr>
          <w:rFonts w:ascii="华文楷体" w:hAnsi="华文楷体" w:hint="eastAsia"/>
          <w:sz w:val="24"/>
          <w:szCs w:val="24"/>
          <w:lang w:eastAsia="zh-CN"/>
        </w:rPr>
        <w:t>下行</w:t>
      </w:r>
      <w:r w:rsidR="00311579">
        <w:rPr>
          <w:rFonts w:ascii="华文楷体" w:hAnsi="华文楷体" w:hint="eastAsia"/>
          <w:sz w:val="24"/>
          <w:szCs w:val="24"/>
          <w:lang w:eastAsia="zh-CN"/>
        </w:rPr>
        <w:t>10-12</w:t>
      </w:r>
      <w:r w:rsidR="00602D14">
        <w:rPr>
          <w:rFonts w:ascii="华文楷体" w:hAnsi="华文楷体" w:hint="eastAsia"/>
          <w:sz w:val="24"/>
          <w:szCs w:val="24"/>
          <w:lang w:eastAsia="zh-CN"/>
        </w:rPr>
        <w:t>BP左右</w:t>
      </w:r>
      <w:r w:rsidR="00234798">
        <w:rPr>
          <w:rFonts w:ascii="华文楷体" w:hAnsi="华文楷体" w:hint="eastAsia"/>
          <w:sz w:val="24"/>
          <w:szCs w:val="24"/>
          <w:lang w:eastAsia="zh-CN"/>
        </w:rPr>
        <w:t>，</w:t>
      </w:r>
      <w:r w:rsidR="00DA6CA4">
        <w:rPr>
          <w:rFonts w:ascii="华文楷体" w:hAnsi="华文楷体" w:hint="eastAsia"/>
          <w:sz w:val="24"/>
          <w:szCs w:val="24"/>
          <w:lang w:eastAsia="zh-CN"/>
        </w:rPr>
        <w:t>3</w:t>
      </w:r>
      <w:r w:rsidR="00DA6CA4">
        <w:rPr>
          <w:rFonts w:ascii="华文楷体" w:hAnsi="华文楷体"/>
          <w:sz w:val="24"/>
          <w:szCs w:val="24"/>
          <w:lang w:eastAsia="zh-CN"/>
        </w:rPr>
        <w:t>Y</w:t>
      </w:r>
      <w:r w:rsidR="00DA6CA4">
        <w:rPr>
          <w:rFonts w:ascii="华文楷体" w:hAnsi="华文楷体" w:hint="eastAsia"/>
          <w:sz w:val="24"/>
          <w:szCs w:val="24"/>
          <w:lang w:eastAsia="zh-CN"/>
        </w:rPr>
        <w:t>中票</w:t>
      </w:r>
      <w:r w:rsidR="00602D14">
        <w:rPr>
          <w:rFonts w:ascii="华文楷体" w:hAnsi="华文楷体" w:hint="eastAsia"/>
          <w:sz w:val="24"/>
          <w:szCs w:val="24"/>
          <w:lang w:eastAsia="zh-CN"/>
        </w:rPr>
        <w:t>下行</w:t>
      </w:r>
      <w:r w:rsidR="00234798">
        <w:rPr>
          <w:rFonts w:ascii="华文楷体" w:hAnsi="华文楷体" w:hint="eastAsia"/>
          <w:sz w:val="24"/>
          <w:szCs w:val="24"/>
          <w:lang w:eastAsia="zh-CN"/>
        </w:rPr>
        <w:t>2</w:t>
      </w:r>
      <w:r w:rsidR="00311579">
        <w:rPr>
          <w:rFonts w:ascii="华文楷体" w:hAnsi="华文楷体" w:hint="eastAsia"/>
          <w:sz w:val="24"/>
          <w:szCs w:val="24"/>
          <w:lang w:eastAsia="zh-CN"/>
        </w:rPr>
        <w:t>-5</w:t>
      </w:r>
      <w:r w:rsidR="00602D14">
        <w:rPr>
          <w:rFonts w:ascii="华文楷体" w:hAnsi="华文楷体" w:hint="eastAsia"/>
          <w:sz w:val="24"/>
          <w:szCs w:val="24"/>
          <w:lang w:eastAsia="zh-CN"/>
        </w:rPr>
        <w:t>BP左右，3Y企业债</w:t>
      </w:r>
      <w:r w:rsidR="00234798">
        <w:rPr>
          <w:rFonts w:ascii="华文楷体" w:hAnsi="华文楷体" w:hint="eastAsia"/>
          <w:sz w:val="24"/>
          <w:szCs w:val="24"/>
          <w:lang w:eastAsia="zh-CN"/>
        </w:rPr>
        <w:t>下行</w:t>
      </w:r>
      <w:r w:rsidR="00311579">
        <w:rPr>
          <w:rFonts w:ascii="华文楷体" w:hAnsi="华文楷体" w:hint="eastAsia"/>
          <w:sz w:val="24"/>
          <w:szCs w:val="24"/>
          <w:lang w:eastAsia="zh-CN"/>
        </w:rPr>
        <w:t>2</w:t>
      </w:r>
      <w:r w:rsidR="00234798">
        <w:rPr>
          <w:rFonts w:ascii="华文楷体" w:hAnsi="华文楷体" w:hint="eastAsia"/>
          <w:sz w:val="24"/>
          <w:szCs w:val="24"/>
          <w:lang w:eastAsia="zh-CN"/>
        </w:rPr>
        <w:t>BP</w:t>
      </w:r>
      <w:r w:rsidR="00311579">
        <w:rPr>
          <w:rFonts w:ascii="华文楷体" w:hAnsi="华文楷体" w:hint="eastAsia"/>
          <w:sz w:val="24"/>
          <w:szCs w:val="24"/>
          <w:lang w:eastAsia="zh-CN"/>
        </w:rPr>
        <w:t>左右，3Y</w:t>
      </w:r>
      <w:proofErr w:type="gramStart"/>
      <w:r w:rsidR="00311579">
        <w:rPr>
          <w:rFonts w:ascii="华文楷体" w:hAnsi="华文楷体" w:hint="eastAsia"/>
          <w:sz w:val="24"/>
          <w:szCs w:val="24"/>
          <w:lang w:eastAsia="zh-CN"/>
        </w:rPr>
        <w:t>城投债下行</w:t>
      </w:r>
      <w:proofErr w:type="gramEnd"/>
      <w:r w:rsidR="00311579">
        <w:rPr>
          <w:rFonts w:ascii="华文楷体" w:hAnsi="华文楷体" w:hint="eastAsia"/>
          <w:sz w:val="24"/>
          <w:szCs w:val="24"/>
          <w:lang w:eastAsia="zh-CN"/>
        </w:rPr>
        <w:t>5-8BP表现亮眼</w:t>
      </w:r>
      <w:r w:rsidR="00602D14">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在4</w:t>
      </w:r>
      <w:r w:rsidR="00311579">
        <w:rPr>
          <w:rFonts w:ascii="华文楷体" w:hAnsi="华文楷体" w:hint="eastAsia"/>
          <w:sz w:val="24"/>
          <w:szCs w:val="24"/>
          <w:lang w:eastAsia="zh-CN"/>
        </w:rPr>
        <w:t>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311579">
        <w:rPr>
          <w:rFonts w:ascii="华文楷体" w:hAnsi="华文楷体" w:hint="eastAsia"/>
          <w:sz w:val="24"/>
          <w:szCs w:val="24"/>
          <w:lang w:eastAsia="zh-CN"/>
        </w:rPr>
        <w:t>25-35</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处于2</w:t>
      </w:r>
      <w:r w:rsidR="00B344C0">
        <w:rPr>
          <w:rFonts w:ascii="华文楷体" w:hAnsi="华文楷体"/>
          <w:sz w:val="24"/>
          <w:szCs w:val="24"/>
          <w:lang w:eastAsia="zh-CN"/>
        </w:rPr>
        <w:t>0</w:t>
      </w:r>
      <w:r w:rsidR="00B344C0">
        <w:rPr>
          <w:rFonts w:ascii="华文楷体" w:hAnsi="华文楷体" w:hint="eastAsia"/>
          <w:sz w:val="24"/>
          <w:szCs w:val="24"/>
          <w:lang w:eastAsia="zh-CN"/>
        </w:rPr>
        <w:t>-</w:t>
      </w:r>
      <w:r w:rsidR="00602D14">
        <w:rPr>
          <w:rFonts w:ascii="华文楷体" w:hAnsi="华文楷体" w:hint="eastAsia"/>
          <w:sz w:val="24"/>
          <w:szCs w:val="24"/>
          <w:lang w:eastAsia="zh-CN"/>
        </w:rPr>
        <w:t>3</w:t>
      </w:r>
      <w:r w:rsidR="00B344C0">
        <w:rPr>
          <w:rFonts w:ascii="华文楷体" w:hAnsi="华文楷体"/>
          <w:sz w:val="24"/>
          <w:szCs w:val="24"/>
          <w:lang w:eastAsia="zh-CN"/>
        </w:rPr>
        <w:t>0</w:t>
      </w:r>
      <w:r w:rsidR="00B344C0">
        <w:rPr>
          <w:rFonts w:ascii="华文楷体" w:hAnsi="华文楷体" w:hint="eastAsia"/>
          <w:sz w:val="24"/>
          <w:szCs w:val="24"/>
          <w:lang w:eastAsia="zh-CN"/>
        </w:rPr>
        <w:t>%分位数。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746" w:type="dxa"/>
              <w:tblLook w:val="04A0" w:firstRow="1" w:lastRow="0" w:firstColumn="1" w:lastColumn="0" w:noHBand="0" w:noVBand="1"/>
            </w:tblPr>
            <w:tblGrid>
              <w:gridCol w:w="1323"/>
              <w:gridCol w:w="899"/>
              <w:gridCol w:w="900"/>
              <w:gridCol w:w="900"/>
              <w:gridCol w:w="899"/>
              <w:gridCol w:w="1121"/>
              <w:gridCol w:w="899"/>
              <w:gridCol w:w="899"/>
              <w:gridCol w:w="899"/>
              <w:gridCol w:w="899"/>
            </w:tblGrid>
            <w:tr w:rsidR="00A0730C" w:rsidRPr="00A0730C" w14:paraId="625AA45C" w14:textId="77777777" w:rsidTr="00A0730C">
              <w:trPr>
                <w:trHeight w:val="381"/>
              </w:trPr>
              <w:tc>
                <w:tcPr>
                  <w:tcW w:w="1338" w:type="dxa"/>
                  <w:tcBorders>
                    <w:top w:val="nil"/>
                    <w:left w:val="nil"/>
                    <w:bottom w:val="single" w:sz="12" w:space="0" w:color="FFFFFF"/>
                    <w:right w:val="single" w:sz="8" w:space="0" w:color="FFFFFF"/>
                  </w:tcBorders>
                  <w:shd w:val="clear" w:color="000000" w:fill="F79646"/>
                  <w:noWrap/>
                  <w:vAlign w:val="center"/>
                  <w:hideMark/>
                </w:tcPr>
                <w:p w14:paraId="1B9CACC9"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收益率(%)</w:t>
                  </w:r>
                </w:p>
              </w:tc>
              <w:tc>
                <w:tcPr>
                  <w:tcW w:w="909" w:type="dxa"/>
                  <w:tcBorders>
                    <w:top w:val="nil"/>
                    <w:left w:val="nil"/>
                    <w:bottom w:val="single" w:sz="12" w:space="0" w:color="FFFFFF"/>
                    <w:right w:val="single" w:sz="8" w:space="0" w:color="FFFFFF"/>
                  </w:tcBorders>
                  <w:shd w:val="clear" w:color="000000" w:fill="F79646"/>
                  <w:noWrap/>
                  <w:vAlign w:val="center"/>
                  <w:hideMark/>
                </w:tcPr>
                <w:p w14:paraId="649D5BAE"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AAA</w:t>
                  </w:r>
                </w:p>
              </w:tc>
              <w:tc>
                <w:tcPr>
                  <w:tcW w:w="910" w:type="dxa"/>
                  <w:tcBorders>
                    <w:top w:val="nil"/>
                    <w:left w:val="nil"/>
                    <w:bottom w:val="single" w:sz="12" w:space="0" w:color="FFFFFF"/>
                    <w:right w:val="single" w:sz="8" w:space="0" w:color="FFFFFF"/>
                  </w:tcBorders>
                  <w:shd w:val="clear" w:color="000000" w:fill="F79646"/>
                  <w:noWrap/>
                  <w:vAlign w:val="center"/>
                  <w:hideMark/>
                </w:tcPr>
                <w:p w14:paraId="03D3190D"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10" w:type="dxa"/>
                  <w:tcBorders>
                    <w:top w:val="nil"/>
                    <w:left w:val="nil"/>
                    <w:bottom w:val="single" w:sz="12" w:space="0" w:color="FFFFFF"/>
                    <w:right w:val="single" w:sz="8" w:space="0" w:color="FFFFFF"/>
                  </w:tcBorders>
                  <w:shd w:val="clear" w:color="000000" w:fill="F79646"/>
                  <w:noWrap/>
                  <w:vAlign w:val="center"/>
                  <w:hideMark/>
                </w:tcPr>
                <w:p w14:paraId="5474BE58"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1DB71FC5"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1134" w:type="dxa"/>
                  <w:tcBorders>
                    <w:top w:val="nil"/>
                    <w:left w:val="nil"/>
                    <w:bottom w:val="single" w:sz="12" w:space="0" w:color="FFFFFF"/>
                    <w:right w:val="single" w:sz="8" w:space="0" w:color="FFFFFF"/>
                  </w:tcBorders>
                  <w:shd w:val="clear" w:color="000000" w:fill="F79646"/>
                  <w:noWrap/>
                  <w:vAlign w:val="center"/>
                  <w:hideMark/>
                </w:tcPr>
                <w:p w14:paraId="154A8E54"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息差</w:t>
                  </w:r>
                </w:p>
              </w:tc>
              <w:tc>
                <w:tcPr>
                  <w:tcW w:w="909" w:type="dxa"/>
                  <w:tcBorders>
                    <w:top w:val="nil"/>
                    <w:left w:val="nil"/>
                    <w:bottom w:val="single" w:sz="12" w:space="0" w:color="FFFFFF"/>
                    <w:right w:val="single" w:sz="8" w:space="0" w:color="FFFFFF"/>
                  </w:tcBorders>
                  <w:shd w:val="clear" w:color="000000" w:fill="F79646"/>
                  <w:noWrap/>
                  <w:vAlign w:val="center"/>
                  <w:hideMark/>
                </w:tcPr>
                <w:p w14:paraId="6842E41C"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AAA</w:t>
                  </w:r>
                </w:p>
              </w:tc>
              <w:tc>
                <w:tcPr>
                  <w:tcW w:w="909" w:type="dxa"/>
                  <w:tcBorders>
                    <w:top w:val="nil"/>
                    <w:left w:val="nil"/>
                    <w:bottom w:val="single" w:sz="12" w:space="0" w:color="FFFFFF"/>
                    <w:right w:val="single" w:sz="8" w:space="0" w:color="FFFFFF"/>
                  </w:tcBorders>
                  <w:shd w:val="clear" w:color="000000" w:fill="F79646"/>
                  <w:noWrap/>
                  <w:vAlign w:val="center"/>
                  <w:hideMark/>
                </w:tcPr>
                <w:p w14:paraId="6935FDD5"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5757B14A"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5A3946B6"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r>
            <w:tr w:rsidR="00A0730C" w:rsidRPr="00A0730C" w14:paraId="0F5DF0A1" w14:textId="77777777" w:rsidTr="00A0730C">
              <w:trPr>
                <w:trHeight w:val="421"/>
              </w:trPr>
              <w:tc>
                <w:tcPr>
                  <w:tcW w:w="1338" w:type="dxa"/>
                  <w:tcBorders>
                    <w:top w:val="nil"/>
                    <w:left w:val="nil"/>
                    <w:bottom w:val="single" w:sz="8" w:space="0" w:color="FFFFFF"/>
                    <w:right w:val="single" w:sz="8" w:space="0" w:color="FFFFFF"/>
                  </w:tcBorders>
                  <w:shd w:val="clear" w:color="000000" w:fill="FCD5B4"/>
                  <w:noWrap/>
                  <w:vAlign w:val="center"/>
                  <w:hideMark/>
                </w:tcPr>
                <w:p w14:paraId="4A603B02"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CP</w:t>
                  </w:r>
                </w:p>
              </w:tc>
              <w:tc>
                <w:tcPr>
                  <w:tcW w:w="909" w:type="dxa"/>
                  <w:tcBorders>
                    <w:top w:val="nil"/>
                    <w:left w:val="nil"/>
                    <w:bottom w:val="single" w:sz="8" w:space="0" w:color="FFFFFF"/>
                    <w:right w:val="single" w:sz="8" w:space="0" w:color="FFFFFF"/>
                  </w:tcBorders>
                  <w:shd w:val="clear" w:color="000000" w:fill="FCD5B4"/>
                  <w:noWrap/>
                  <w:vAlign w:val="center"/>
                  <w:hideMark/>
                </w:tcPr>
                <w:p w14:paraId="68C4908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3.29 </w:t>
                  </w:r>
                </w:p>
              </w:tc>
              <w:tc>
                <w:tcPr>
                  <w:tcW w:w="910" w:type="dxa"/>
                  <w:tcBorders>
                    <w:top w:val="nil"/>
                    <w:left w:val="nil"/>
                    <w:bottom w:val="single" w:sz="8" w:space="0" w:color="FFFFFF"/>
                    <w:right w:val="single" w:sz="8" w:space="0" w:color="FFFFFF"/>
                  </w:tcBorders>
                  <w:shd w:val="clear" w:color="000000" w:fill="FCD5B4"/>
                  <w:noWrap/>
                  <w:vAlign w:val="center"/>
                  <w:hideMark/>
                </w:tcPr>
                <w:p w14:paraId="57EA160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3.57 </w:t>
                  </w:r>
                </w:p>
              </w:tc>
              <w:tc>
                <w:tcPr>
                  <w:tcW w:w="910" w:type="dxa"/>
                  <w:tcBorders>
                    <w:top w:val="nil"/>
                    <w:left w:val="nil"/>
                    <w:bottom w:val="single" w:sz="8" w:space="0" w:color="FFFFFF"/>
                    <w:right w:val="single" w:sz="8" w:space="0" w:color="FFFFFF"/>
                  </w:tcBorders>
                  <w:shd w:val="clear" w:color="000000" w:fill="FCD5B4"/>
                  <w:noWrap/>
                  <w:vAlign w:val="center"/>
                  <w:hideMark/>
                </w:tcPr>
                <w:p w14:paraId="4A5B520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3.94 </w:t>
                  </w:r>
                </w:p>
              </w:tc>
              <w:tc>
                <w:tcPr>
                  <w:tcW w:w="909" w:type="dxa"/>
                  <w:tcBorders>
                    <w:top w:val="nil"/>
                    <w:left w:val="nil"/>
                    <w:bottom w:val="single" w:sz="8" w:space="0" w:color="FFFFFF"/>
                    <w:right w:val="single" w:sz="8" w:space="0" w:color="FFFFFF"/>
                  </w:tcBorders>
                  <w:shd w:val="clear" w:color="000000" w:fill="FCD5B4"/>
                  <w:noWrap/>
                  <w:vAlign w:val="center"/>
                  <w:hideMark/>
                </w:tcPr>
                <w:p w14:paraId="2C6771D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5.99 </w:t>
                  </w:r>
                </w:p>
              </w:tc>
              <w:tc>
                <w:tcPr>
                  <w:tcW w:w="1134" w:type="dxa"/>
                  <w:tcBorders>
                    <w:top w:val="nil"/>
                    <w:left w:val="nil"/>
                    <w:bottom w:val="single" w:sz="8" w:space="0" w:color="FFFFFF"/>
                    <w:right w:val="single" w:sz="8" w:space="0" w:color="FFFFFF"/>
                  </w:tcBorders>
                  <w:shd w:val="clear" w:color="000000" w:fill="FCD5B4"/>
                  <w:noWrap/>
                  <w:vAlign w:val="center"/>
                  <w:hideMark/>
                </w:tcPr>
                <w:p w14:paraId="1787635B"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CP</w:t>
                  </w:r>
                </w:p>
              </w:tc>
              <w:tc>
                <w:tcPr>
                  <w:tcW w:w="909" w:type="dxa"/>
                  <w:tcBorders>
                    <w:top w:val="nil"/>
                    <w:left w:val="nil"/>
                    <w:bottom w:val="single" w:sz="8" w:space="0" w:color="FFFFFF"/>
                    <w:right w:val="single" w:sz="8" w:space="0" w:color="FFFFFF"/>
                  </w:tcBorders>
                  <w:shd w:val="clear" w:color="000000" w:fill="FCD5B4"/>
                  <w:noWrap/>
                  <w:vAlign w:val="center"/>
                  <w:hideMark/>
                </w:tcPr>
                <w:p w14:paraId="3FFB658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0.56 </w:t>
                  </w:r>
                </w:p>
              </w:tc>
              <w:tc>
                <w:tcPr>
                  <w:tcW w:w="909" w:type="dxa"/>
                  <w:tcBorders>
                    <w:top w:val="nil"/>
                    <w:left w:val="nil"/>
                    <w:bottom w:val="single" w:sz="8" w:space="0" w:color="FFFFFF"/>
                    <w:right w:val="single" w:sz="8" w:space="0" w:color="FFFFFF"/>
                  </w:tcBorders>
                  <w:shd w:val="clear" w:color="000000" w:fill="FCD5B4"/>
                  <w:noWrap/>
                  <w:vAlign w:val="center"/>
                  <w:hideMark/>
                </w:tcPr>
                <w:p w14:paraId="2A72290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0.84 </w:t>
                  </w:r>
                </w:p>
              </w:tc>
              <w:tc>
                <w:tcPr>
                  <w:tcW w:w="909" w:type="dxa"/>
                  <w:tcBorders>
                    <w:top w:val="nil"/>
                    <w:left w:val="nil"/>
                    <w:bottom w:val="single" w:sz="8" w:space="0" w:color="FFFFFF"/>
                    <w:right w:val="single" w:sz="8" w:space="0" w:color="FFFFFF"/>
                  </w:tcBorders>
                  <w:shd w:val="clear" w:color="000000" w:fill="FCD5B4"/>
                  <w:noWrap/>
                  <w:vAlign w:val="center"/>
                  <w:hideMark/>
                </w:tcPr>
                <w:p w14:paraId="789DEF7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1.21 </w:t>
                  </w:r>
                </w:p>
              </w:tc>
              <w:tc>
                <w:tcPr>
                  <w:tcW w:w="909" w:type="dxa"/>
                  <w:tcBorders>
                    <w:top w:val="nil"/>
                    <w:left w:val="nil"/>
                    <w:bottom w:val="single" w:sz="8" w:space="0" w:color="FFFFFF"/>
                    <w:right w:val="single" w:sz="8" w:space="0" w:color="FFFFFF"/>
                  </w:tcBorders>
                  <w:shd w:val="clear" w:color="000000" w:fill="FCD5B4"/>
                  <w:noWrap/>
                  <w:vAlign w:val="center"/>
                  <w:hideMark/>
                </w:tcPr>
                <w:p w14:paraId="5DF8082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3.26 </w:t>
                  </w:r>
                </w:p>
              </w:tc>
            </w:tr>
            <w:tr w:rsidR="00A0730C" w:rsidRPr="00A0730C" w14:paraId="115925C6"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21E4FAE6"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MTN3Y</w:t>
                  </w:r>
                </w:p>
              </w:tc>
              <w:tc>
                <w:tcPr>
                  <w:tcW w:w="909" w:type="dxa"/>
                  <w:tcBorders>
                    <w:top w:val="nil"/>
                    <w:left w:val="nil"/>
                    <w:bottom w:val="single" w:sz="8" w:space="0" w:color="FFFFFF"/>
                    <w:right w:val="single" w:sz="8" w:space="0" w:color="FFFFFF"/>
                  </w:tcBorders>
                  <w:shd w:val="clear" w:color="000000" w:fill="FDE9D9"/>
                  <w:noWrap/>
                  <w:vAlign w:val="center"/>
                  <w:hideMark/>
                </w:tcPr>
                <w:p w14:paraId="687A1C0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3.74 </w:t>
                  </w:r>
                </w:p>
              </w:tc>
              <w:tc>
                <w:tcPr>
                  <w:tcW w:w="910" w:type="dxa"/>
                  <w:tcBorders>
                    <w:top w:val="nil"/>
                    <w:left w:val="nil"/>
                    <w:bottom w:val="single" w:sz="8" w:space="0" w:color="FFFFFF"/>
                    <w:right w:val="single" w:sz="8" w:space="0" w:color="FFFFFF"/>
                  </w:tcBorders>
                  <w:shd w:val="clear" w:color="000000" w:fill="FDE9D9"/>
                  <w:noWrap/>
                  <w:vAlign w:val="center"/>
                  <w:hideMark/>
                </w:tcPr>
                <w:p w14:paraId="2F92F80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4.09 </w:t>
                  </w:r>
                </w:p>
              </w:tc>
              <w:tc>
                <w:tcPr>
                  <w:tcW w:w="910" w:type="dxa"/>
                  <w:tcBorders>
                    <w:top w:val="nil"/>
                    <w:left w:val="nil"/>
                    <w:bottom w:val="single" w:sz="8" w:space="0" w:color="FFFFFF"/>
                    <w:right w:val="single" w:sz="8" w:space="0" w:color="FFFFFF"/>
                  </w:tcBorders>
                  <w:shd w:val="clear" w:color="000000" w:fill="FDE9D9"/>
                  <w:noWrap/>
                  <w:vAlign w:val="center"/>
                  <w:hideMark/>
                </w:tcPr>
                <w:p w14:paraId="34425EE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4.41 </w:t>
                  </w:r>
                </w:p>
              </w:tc>
              <w:tc>
                <w:tcPr>
                  <w:tcW w:w="909" w:type="dxa"/>
                  <w:tcBorders>
                    <w:top w:val="nil"/>
                    <w:left w:val="nil"/>
                    <w:bottom w:val="single" w:sz="8" w:space="0" w:color="FFFFFF"/>
                    <w:right w:val="single" w:sz="8" w:space="0" w:color="FFFFFF"/>
                  </w:tcBorders>
                  <w:shd w:val="clear" w:color="000000" w:fill="FDE9D9"/>
                  <w:noWrap/>
                  <w:vAlign w:val="center"/>
                  <w:hideMark/>
                </w:tcPr>
                <w:p w14:paraId="713F20B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6.51 </w:t>
                  </w:r>
                </w:p>
              </w:tc>
              <w:tc>
                <w:tcPr>
                  <w:tcW w:w="1134" w:type="dxa"/>
                  <w:tcBorders>
                    <w:top w:val="nil"/>
                    <w:left w:val="nil"/>
                    <w:bottom w:val="single" w:sz="8" w:space="0" w:color="FFFFFF"/>
                    <w:right w:val="single" w:sz="8" w:space="0" w:color="FFFFFF"/>
                  </w:tcBorders>
                  <w:shd w:val="clear" w:color="000000" w:fill="FDE9D9"/>
                  <w:noWrap/>
                  <w:vAlign w:val="center"/>
                  <w:hideMark/>
                </w:tcPr>
                <w:p w14:paraId="1DD664FF"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MTN3Y</w:t>
                  </w:r>
                </w:p>
              </w:tc>
              <w:tc>
                <w:tcPr>
                  <w:tcW w:w="909" w:type="dxa"/>
                  <w:tcBorders>
                    <w:top w:val="nil"/>
                    <w:left w:val="nil"/>
                    <w:bottom w:val="single" w:sz="8" w:space="0" w:color="FFFFFF"/>
                    <w:right w:val="single" w:sz="8" w:space="0" w:color="FFFFFF"/>
                  </w:tcBorders>
                  <w:shd w:val="clear" w:color="000000" w:fill="FDE9D9"/>
                  <w:noWrap/>
                  <w:vAlign w:val="center"/>
                  <w:hideMark/>
                </w:tcPr>
                <w:p w14:paraId="44ED48C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0.78 </w:t>
                  </w:r>
                </w:p>
              </w:tc>
              <w:tc>
                <w:tcPr>
                  <w:tcW w:w="909" w:type="dxa"/>
                  <w:tcBorders>
                    <w:top w:val="nil"/>
                    <w:left w:val="nil"/>
                    <w:bottom w:val="single" w:sz="8" w:space="0" w:color="FFFFFF"/>
                    <w:right w:val="single" w:sz="8" w:space="0" w:color="FFFFFF"/>
                  </w:tcBorders>
                  <w:shd w:val="clear" w:color="000000" w:fill="FDE9D9"/>
                  <w:noWrap/>
                  <w:vAlign w:val="center"/>
                  <w:hideMark/>
                </w:tcPr>
                <w:p w14:paraId="5E0CDDD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1.13 </w:t>
                  </w:r>
                </w:p>
              </w:tc>
              <w:tc>
                <w:tcPr>
                  <w:tcW w:w="909" w:type="dxa"/>
                  <w:tcBorders>
                    <w:top w:val="nil"/>
                    <w:left w:val="nil"/>
                    <w:bottom w:val="single" w:sz="8" w:space="0" w:color="FFFFFF"/>
                    <w:right w:val="single" w:sz="8" w:space="0" w:color="FFFFFF"/>
                  </w:tcBorders>
                  <w:shd w:val="clear" w:color="000000" w:fill="FDE9D9"/>
                  <w:noWrap/>
                  <w:vAlign w:val="center"/>
                  <w:hideMark/>
                </w:tcPr>
                <w:p w14:paraId="2EA7771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1.45 </w:t>
                  </w:r>
                </w:p>
              </w:tc>
              <w:tc>
                <w:tcPr>
                  <w:tcW w:w="909" w:type="dxa"/>
                  <w:tcBorders>
                    <w:top w:val="nil"/>
                    <w:left w:val="nil"/>
                    <w:bottom w:val="single" w:sz="8" w:space="0" w:color="FFFFFF"/>
                    <w:right w:val="single" w:sz="8" w:space="0" w:color="FFFFFF"/>
                  </w:tcBorders>
                  <w:shd w:val="clear" w:color="000000" w:fill="FDE9D9"/>
                  <w:noWrap/>
                  <w:vAlign w:val="center"/>
                  <w:hideMark/>
                </w:tcPr>
                <w:p w14:paraId="699196F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3.55 </w:t>
                  </w:r>
                </w:p>
              </w:tc>
            </w:tr>
            <w:tr w:rsidR="00A0730C" w:rsidRPr="00A0730C" w14:paraId="5DD77D6A"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240ADE92"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MTN5Y</w:t>
                  </w:r>
                </w:p>
              </w:tc>
              <w:tc>
                <w:tcPr>
                  <w:tcW w:w="909" w:type="dxa"/>
                  <w:tcBorders>
                    <w:top w:val="nil"/>
                    <w:left w:val="nil"/>
                    <w:bottom w:val="single" w:sz="8" w:space="0" w:color="FFFFFF"/>
                    <w:right w:val="single" w:sz="8" w:space="0" w:color="FFFFFF"/>
                  </w:tcBorders>
                  <w:shd w:val="clear" w:color="000000" w:fill="FCD5B4"/>
                  <w:noWrap/>
                  <w:vAlign w:val="center"/>
                  <w:hideMark/>
                </w:tcPr>
                <w:p w14:paraId="50093F0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3.94 </w:t>
                  </w:r>
                </w:p>
              </w:tc>
              <w:tc>
                <w:tcPr>
                  <w:tcW w:w="910" w:type="dxa"/>
                  <w:tcBorders>
                    <w:top w:val="nil"/>
                    <w:left w:val="nil"/>
                    <w:bottom w:val="single" w:sz="8" w:space="0" w:color="FFFFFF"/>
                    <w:right w:val="single" w:sz="8" w:space="0" w:color="FFFFFF"/>
                  </w:tcBorders>
                  <w:shd w:val="clear" w:color="000000" w:fill="FCD5B4"/>
                  <w:noWrap/>
                  <w:vAlign w:val="center"/>
                  <w:hideMark/>
                </w:tcPr>
                <w:p w14:paraId="0DC323D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4.30 </w:t>
                  </w:r>
                </w:p>
              </w:tc>
              <w:tc>
                <w:tcPr>
                  <w:tcW w:w="910" w:type="dxa"/>
                  <w:tcBorders>
                    <w:top w:val="nil"/>
                    <w:left w:val="nil"/>
                    <w:bottom w:val="single" w:sz="8" w:space="0" w:color="FFFFFF"/>
                    <w:right w:val="single" w:sz="8" w:space="0" w:color="FFFFFF"/>
                  </w:tcBorders>
                  <w:shd w:val="clear" w:color="000000" w:fill="FCD5B4"/>
                  <w:noWrap/>
                  <w:vAlign w:val="center"/>
                  <w:hideMark/>
                </w:tcPr>
                <w:p w14:paraId="1243C3F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4.68 </w:t>
                  </w:r>
                </w:p>
              </w:tc>
              <w:tc>
                <w:tcPr>
                  <w:tcW w:w="909" w:type="dxa"/>
                  <w:tcBorders>
                    <w:top w:val="nil"/>
                    <w:left w:val="nil"/>
                    <w:bottom w:val="single" w:sz="8" w:space="0" w:color="FFFFFF"/>
                    <w:right w:val="single" w:sz="8" w:space="0" w:color="FFFFFF"/>
                  </w:tcBorders>
                  <w:shd w:val="clear" w:color="000000" w:fill="FCD5B4"/>
                  <w:noWrap/>
                  <w:vAlign w:val="center"/>
                  <w:hideMark/>
                </w:tcPr>
                <w:p w14:paraId="4CC14C5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6.85 </w:t>
                  </w:r>
                </w:p>
              </w:tc>
              <w:tc>
                <w:tcPr>
                  <w:tcW w:w="1134" w:type="dxa"/>
                  <w:tcBorders>
                    <w:top w:val="nil"/>
                    <w:left w:val="nil"/>
                    <w:bottom w:val="single" w:sz="8" w:space="0" w:color="FFFFFF"/>
                    <w:right w:val="single" w:sz="8" w:space="0" w:color="FFFFFF"/>
                  </w:tcBorders>
                  <w:shd w:val="clear" w:color="000000" w:fill="FCD5B4"/>
                  <w:noWrap/>
                  <w:vAlign w:val="center"/>
                  <w:hideMark/>
                </w:tcPr>
                <w:p w14:paraId="2E9AAA9B"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MTN5Y</w:t>
                  </w:r>
                </w:p>
              </w:tc>
              <w:tc>
                <w:tcPr>
                  <w:tcW w:w="909" w:type="dxa"/>
                  <w:tcBorders>
                    <w:top w:val="nil"/>
                    <w:left w:val="nil"/>
                    <w:bottom w:val="single" w:sz="8" w:space="0" w:color="FFFFFF"/>
                    <w:right w:val="single" w:sz="8" w:space="0" w:color="FFFFFF"/>
                  </w:tcBorders>
                  <w:shd w:val="clear" w:color="000000" w:fill="FCD5B4"/>
                  <w:noWrap/>
                  <w:vAlign w:val="center"/>
                  <w:hideMark/>
                </w:tcPr>
                <w:p w14:paraId="7E8FBF9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0.83 </w:t>
                  </w:r>
                </w:p>
              </w:tc>
              <w:tc>
                <w:tcPr>
                  <w:tcW w:w="909" w:type="dxa"/>
                  <w:tcBorders>
                    <w:top w:val="nil"/>
                    <w:left w:val="nil"/>
                    <w:bottom w:val="single" w:sz="8" w:space="0" w:color="FFFFFF"/>
                    <w:right w:val="single" w:sz="8" w:space="0" w:color="FFFFFF"/>
                  </w:tcBorders>
                  <w:shd w:val="clear" w:color="000000" w:fill="FCD5B4"/>
                  <w:noWrap/>
                  <w:vAlign w:val="center"/>
                  <w:hideMark/>
                </w:tcPr>
                <w:p w14:paraId="6BB6086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1.19 </w:t>
                  </w:r>
                </w:p>
              </w:tc>
              <w:tc>
                <w:tcPr>
                  <w:tcW w:w="909" w:type="dxa"/>
                  <w:tcBorders>
                    <w:top w:val="nil"/>
                    <w:left w:val="nil"/>
                    <w:bottom w:val="single" w:sz="8" w:space="0" w:color="FFFFFF"/>
                    <w:right w:val="single" w:sz="8" w:space="0" w:color="FFFFFF"/>
                  </w:tcBorders>
                  <w:shd w:val="clear" w:color="000000" w:fill="FCD5B4"/>
                  <w:noWrap/>
                  <w:vAlign w:val="center"/>
                  <w:hideMark/>
                </w:tcPr>
                <w:p w14:paraId="416D3DB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1.57 </w:t>
                  </w:r>
                </w:p>
              </w:tc>
              <w:tc>
                <w:tcPr>
                  <w:tcW w:w="909" w:type="dxa"/>
                  <w:tcBorders>
                    <w:top w:val="nil"/>
                    <w:left w:val="nil"/>
                    <w:bottom w:val="single" w:sz="8" w:space="0" w:color="FFFFFF"/>
                    <w:right w:val="single" w:sz="8" w:space="0" w:color="FFFFFF"/>
                  </w:tcBorders>
                  <w:shd w:val="clear" w:color="000000" w:fill="FCD5B4"/>
                  <w:noWrap/>
                  <w:vAlign w:val="center"/>
                  <w:hideMark/>
                </w:tcPr>
                <w:p w14:paraId="16E4AD4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3.74 </w:t>
                  </w:r>
                </w:p>
              </w:tc>
            </w:tr>
            <w:tr w:rsidR="00A0730C" w:rsidRPr="00A0730C" w14:paraId="4052A401"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2EF32D71"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企业债3Y</w:t>
                  </w:r>
                </w:p>
              </w:tc>
              <w:tc>
                <w:tcPr>
                  <w:tcW w:w="909" w:type="dxa"/>
                  <w:tcBorders>
                    <w:top w:val="nil"/>
                    <w:left w:val="nil"/>
                    <w:bottom w:val="single" w:sz="8" w:space="0" w:color="FFFFFF"/>
                    <w:right w:val="single" w:sz="8" w:space="0" w:color="FFFFFF"/>
                  </w:tcBorders>
                  <w:shd w:val="clear" w:color="000000" w:fill="FDE9D9"/>
                  <w:noWrap/>
                  <w:vAlign w:val="center"/>
                  <w:hideMark/>
                </w:tcPr>
                <w:p w14:paraId="42230B0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3.68 </w:t>
                  </w:r>
                </w:p>
              </w:tc>
              <w:tc>
                <w:tcPr>
                  <w:tcW w:w="910" w:type="dxa"/>
                  <w:tcBorders>
                    <w:top w:val="nil"/>
                    <w:left w:val="nil"/>
                    <w:bottom w:val="single" w:sz="8" w:space="0" w:color="FFFFFF"/>
                    <w:right w:val="single" w:sz="8" w:space="0" w:color="FFFFFF"/>
                  </w:tcBorders>
                  <w:shd w:val="clear" w:color="000000" w:fill="FDE9D9"/>
                  <w:noWrap/>
                  <w:vAlign w:val="center"/>
                  <w:hideMark/>
                </w:tcPr>
                <w:p w14:paraId="556B40F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4.01 </w:t>
                  </w:r>
                </w:p>
              </w:tc>
              <w:tc>
                <w:tcPr>
                  <w:tcW w:w="910" w:type="dxa"/>
                  <w:tcBorders>
                    <w:top w:val="nil"/>
                    <w:left w:val="nil"/>
                    <w:bottom w:val="single" w:sz="8" w:space="0" w:color="FFFFFF"/>
                    <w:right w:val="single" w:sz="8" w:space="0" w:color="FFFFFF"/>
                  </w:tcBorders>
                  <w:shd w:val="clear" w:color="000000" w:fill="FDE9D9"/>
                  <w:noWrap/>
                  <w:vAlign w:val="center"/>
                  <w:hideMark/>
                </w:tcPr>
                <w:p w14:paraId="0EA7543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4.35 </w:t>
                  </w:r>
                </w:p>
              </w:tc>
              <w:tc>
                <w:tcPr>
                  <w:tcW w:w="909" w:type="dxa"/>
                  <w:tcBorders>
                    <w:top w:val="nil"/>
                    <w:left w:val="nil"/>
                    <w:bottom w:val="single" w:sz="8" w:space="0" w:color="FFFFFF"/>
                    <w:right w:val="single" w:sz="8" w:space="0" w:color="FFFFFF"/>
                  </w:tcBorders>
                  <w:shd w:val="clear" w:color="000000" w:fill="FDE9D9"/>
                  <w:noWrap/>
                  <w:vAlign w:val="center"/>
                  <w:hideMark/>
                </w:tcPr>
                <w:p w14:paraId="4457773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6.45 </w:t>
                  </w:r>
                </w:p>
              </w:tc>
              <w:tc>
                <w:tcPr>
                  <w:tcW w:w="1134" w:type="dxa"/>
                  <w:tcBorders>
                    <w:top w:val="nil"/>
                    <w:left w:val="nil"/>
                    <w:bottom w:val="single" w:sz="8" w:space="0" w:color="FFFFFF"/>
                    <w:right w:val="single" w:sz="8" w:space="0" w:color="FFFFFF"/>
                  </w:tcBorders>
                  <w:shd w:val="clear" w:color="000000" w:fill="FDE9D9"/>
                  <w:noWrap/>
                  <w:vAlign w:val="center"/>
                  <w:hideMark/>
                </w:tcPr>
                <w:p w14:paraId="6A851E4B"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企业债3Y</w:t>
                  </w:r>
                </w:p>
              </w:tc>
              <w:tc>
                <w:tcPr>
                  <w:tcW w:w="909" w:type="dxa"/>
                  <w:tcBorders>
                    <w:top w:val="nil"/>
                    <w:left w:val="nil"/>
                    <w:bottom w:val="single" w:sz="8" w:space="0" w:color="FFFFFF"/>
                    <w:right w:val="single" w:sz="8" w:space="0" w:color="FFFFFF"/>
                  </w:tcBorders>
                  <w:shd w:val="clear" w:color="000000" w:fill="FDE9D9"/>
                  <w:noWrap/>
                  <w:vAlign w:val="center"/>
                  <w:hideMark/>
                </w:tcPr>
                <w:p w14:paraId="0FE80E9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0.72 </w:t>
                  </w:r>
                </w:p>
              </w:tc>
              <w:tc>
                <w:tcPr>
                  <w:tcW w:w="909" w:type="dxa"/>
                  <w:tcBorders>
                    <w:top w:val="nil"/>
                    <w:left w:val="nil"/>
                    <w:bottom w:val="single" w:sz="8" w:space="0" w:color="FFFFFF"/>
                    <w:right w:val="single" w:sz="8" w:space="0" w:color="FFFFFF"/>
                  </w:tcBorders>
                  <w:shd w:val="clear" w:color="000000" w:fill="FDE9D9"/>
                  <w:noWrap/>
                  <w:vAlign w:val="center"/>
                  <w:hideMark/>
                </w:tcPr>
                <w:p w14:paraId="5485A86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1.05 </w:t>
                  </w:r>
                </w:p>
              </w:tc>
              <w:tc>
                <w:tcPr>
                  <w:tcW w:w="909" w:type="dxa"/>
                  <w:tcBorders>
                    <w:top w:val="nil"/>
                    <w:left w:val="nil"/>
                    <w:bottom w:val="single" w:sz="8" w:space="0" w:color="FFFFFF"/>
                    <w:right w:val="single" w:sz="8" w:space="0" w:color="FFFFFF"/>
                  </w:tcBorders>
                  <w:shd w:val="clear" w:color="000000" w:fill="FDE9D9"/>
                  <w:noWrap/>
                  <w:vAlign w:val="center"/>
                  <w:hideMark/>
                </w:tcPr>
                <w:p w14:paraId="269A4B9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1.39 </w:t>
                  </w:r>
                </w:p>
              </w:tc>
              <w:tc>
                <w:tcPr>
                  <w:tcW w:w="909" w:type="dxa"/>
                  <w:tcBorders>
                    <w:top w:val="nil"/>
                    <w:left w:val="nil"/>
                    <w:bottom w:val="single" w:sz="8" w:space="0" w:color="FFFFFF"/>
                    <w:right w:val="single" w:sz="8" w:space="0" w:color="FFFFFF"/>
                  </w:tcBorders>
                  <w:shd w:val="clear" w:color="000000" w:fill="FDE9D9"/>
                  <w:noWrap/>
                  <w:vAlign w:val="center"/>
                  <w:hideMark/>
                </w:tcPr>
                <w:p w14:paraId="0851AC7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3.49 </w:t>
                  </w:r>
                </w:p>
              </w:tc>
            </w:tr>
            <w:tr w:rsidR="00A0730C" w:rsidRPr="00A0730C" w14:paraId="5BB1411F"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3D6A927B"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企业债5Y</w:t>
                  </w:r>
                </w:p>
              </w:tc>
              <w:tc>
                <w:tcPr>
                  <w:tcW w:w="909" w:type="dxa"/>
                  <w:tcBorders>
                    <w:top w:val="nil"/>
                    <w:left w:val="nil"/>
                    <w:bottom w:val="single" w:sz="8" w:space="0" w:color="FFFFFF"/>
                    <w:right w:val="single" w:sz="8" w:space="0" w:color="FFFFFF"/>
                  </w:tcBorders>
                  <w:shd w:val="clear" w:color="000000" w:fill="FCD5B4"/>
                  <w:noWrap/>
                  <w:vAlign w:val="center"/>
                  <w:hideMark/>
                </w:tcPr>
                <w:p w14:paraId="3C82438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3.94 </w:t>
                  </w:r>
                </w:p>
              </w:tc>
              <w:tc>
                <w:tcPr>
                  <w:tcW w:w="910" w:type="dxa"/>
                  <w:tcBorders>
                    <w:top w:val="nil"/>
                    <w:left w:val="nil"/>
                    <w:bottom w:val="single" w:sz="8" w:space="0" w:color="FFFFFF"/>
                    <w:right w:val="single" w:sz="8" w:space="0" w:color="FFFFFF"/>
                  </w:tcBorders>
                  <w:shd w:val="clear" w:color="000000" w:fill="FCD5B4"/>
                  <w:noWrap/>
                  <w:vAlign w:val="center"/>
                  <w:hideMark/>
                </w:tcPr>
                <w:p w14:paraId="6C65CA3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4.27 </w:t>
                  </w:r>
                </w:p>
              </w:tc>
              <w:tc>
                <w:tcPr>
                  <w:tcW w:w="910" w:type="dxa"/>
                  <w:tcBorders>
                    <w:top w:val="nil"/>
                    <w:left w:val="nil"/>
                    <w:bottom w:val="single" w:sz="8" w:space="0" w:color="FFFFFF"/>
                    <w:right w:val="single" w:sz="8" w:space="0" w:color="FFFFFF"/>
                  </w:tcBorders>
                  <w:shd w:val="clear" w:color="000000" w:fill="FCD5B4"/>
                  <w:noWrap/>
                  <w:vAlign w:val="center"/>
                  <w:hideMark/>
                </w:tcPr>
                <w:p w14:paraId="180B8BF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4.66 </w:t>
                  </w:r>
                </w:p>
              </w:tc>
              <w:tc>
                <w:tcPr>
                  <w:tcW w:w="909" w:type="dxa"/>
                  <w:tcBorders>
                    <w:top w:val="nil"/>
                    <w:left w:val="nil"/>
                    <w:bottom w:val="single" w:sz="8" w:space="0" w:color="FFFFFF"/>
                    <w:right w:val="single" w:sz="8" w:space="0" w:color="FFFFFF"/>
                  </w:tcBorders>
                  <w:shd w:val="clear" w:color="000000" w:fill="FCD5B4"/>
                  <w:noWrap/>
                  <w:vAlign w:val="center"/>
                  <w:hideMark/>
                </w:tcPr>
                <w:p w14:paraId="0E04DFB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6.83 </w:t>
                  </w:r>
                </w:p>
              </w:tc>
              <w:tc>
                <w:tcPr>
                  <w:tcW w:w="1134" w:type="dxa"/>
                  <w:tcBorders>
                    <w:top w:val="nil"/>
                    <w:left w:val="nil"/>
                    <w:bottom w:val="single" w:sz="8" w:space="0" w:color="FFFFFF"/>
                    <w:right w:val="single" w:sz="8" w:space="0" w:color="FFFFFF"/>
                  </w:tcBorders>
                  <w:shd w:val="clear" w:color="000000" w:fill="FCD5B4"/>
                  <w:noWrap/>
                  <w:vAlign w:val="center"/>
                  <w:hideMark/>
                </w:tcPr>
                <w:p w14:paraId="6C08362A"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企业债5Y</w:t>
                  </w:r>
                </w:p>
              </w:tc>
              <w:tc>
                <w:tcPr>
                  <w:tcW w:w="909" w:type="dxa"/>
                  <w:tcBorders>
                    <w:top w:val="nil"/>
                    <w:left w:val="nil"/>
                    <w:bottom w:val="single" w:sz="8" w:space="0" w:color="FFFFFF"/>
                    <w:right w:val="single" w:sz="8" w:space="0" w:color="FFFFFF"/>
                  </w:tcBorders>
                  <w:shd w:val="clear" w:color="000000" w:fill="FCD5B4"/>
                  <w:noWrap/>
                  <w:vAlign w:val="center"/>
                  <w:hideMark/>
                </w:tcPr>
                <w:p w14:paraId="1212E7A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0.83 </w:t>
                  </w:r>
                </w:p>
              </w:tc>
              <w:tc>
                <w:tcPr>
                  <w:tcW w:w="909" w:type="dxa"/>
                  <w:tcBorders>
                    <w:top w:val="nil"/>
                    <w:left w:val="nil"/>
                    <w:bottom w:val="single" w:sz="8" w:space="0" w:color="FFFFFF"/>
                    <w:right w:val="single" w:sz="8" w:space="0" w:color="FFFFFF"/>
                  </w:tcBorders>
                  <w:shd w:val="clear" w:color="000000" w:fill="FCD5B4"/>
                  <w:noWrap/>
                  <w:vAlign w:val="center"/>
                  <w:hideMark/>
                </w:tcPr>
                <w:p w14:paraId="7A4E28B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1.16 </w:t>
                  </w:r>
                </w:p>
              </w:tc>
              <w:tc>
                <w:tcPr>
                  <w:tcW w:w="909" w:type="dxa"/>
                  <w:tcBorders>
                    <w:top w:val="nil"/>
                    <w:left w:val="nil"/>
                    <w:bottom w:val="single" w:sz="8" w:space="0" w:color="FFFFFF"/>
                    <w:right w:val="single" w:sz="8" w:space="0" w:color="FFFFFF"/>
                  </w:tcBorders>
                  <w:shd w:val="clear" w:color="000000" w:fill="FCD5B4"/>
                  <w:noWrap/>
                  <w:vAlign w:val="center"/>
                  <w:hideMark/>
                </w:tcPr>
                <w:p w14:paraId="237CEB0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1.55 </w:t>
                  </w:r>
                </w:p>
              </w:tc>
              <w:tc>
                <w:tcPr>
                  <w:tcW w:w="909" w:type="dxa"/>
                  <w:tcBorders>
                    <w:top w:val="nil"/>
                    <w:left w:val="nil"/>
                    <w:bottom w:val="single" w:sz="8" w:space="0" w:color="FFFFFF"/>
                    <w:right w:val="single" w:sz="8" w:space="0" w:color="FFFFFF"/>
                  </w:tcBorders>
                  <w:shd w:val="clear" w:color="000000" w:fill="FCD5B4"/>
                  <w:noWrap/>
                  <w:vAlign w:val="center"/>
                  <w:hideMark/>
                </w:tcPr>
                <w:p w14:paraId="0A50E01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3.72 </w:t>
                  </w:r>
                </w:p>
              </w:tc>
            </w:tr>
            <w:tr w:rsidR="00A0730C" w:rsidRPr="00A0730C" w14:paraId="1B280226"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3A1C24A5"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企业债7Y</w:t>
                  </w:r>
                </w:p>
              </w:tc>
              <w:tc>
                <w:tcPr>
                  <w:tcW w:w="909" w:type="dxa"/>
                  <w:tcBorders>
                    <w:top w:val="nil"/>
                    <w:left w:val="nil"/>
                    <w:bottom w:val="single" w:sz="8" w:space="0" w:color="FFFFFF"/>
                    <w:right w:val="single" w:sz="8" w:space="0" w:color="FFFFFF"/>
                  </w:tcBorders>
                  <w:shd w:val="clear" w:color="000000" w:fill="FDE9D9"/>
                  <w:noWrap/>
                  <w:vAlign w:val="center"/>
                  <w:hideMark/>
                </w:tcPr>
                <w:p w14:paraId="64B6945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4.10 </w:t>
                  </w:r>
                </w:p>
              </w:tc>
              <w:tc>
                <w:tcPr>
                  <w:tcW w:w="910" w:type="dxa"/>
                  <w:tcBorders>
                    <w:top w:val="nil"/>
                    <w:left w:val="nil"/>
                    <w:bottom w:val="single" w:sz="8" w:space="0" w:color="FFFFFF"/>
                    <w:right w:val="single" w:sz="8" w:space="0" w:color="FFFFFF"/>
                  </w:tcBorders>
                  <w:shd w:val="clear" w:color="000000" w:fill="FDE9D9"/>
                  <w:noWrap/>
                  <w:vAlign w:val="center"/>
                  <w:hideMark/>
                </w:tcPr>
                <w:p w14:paraId="4B66F6D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4.43 </w:t>
                  </w:r>
                </w:p>
              </w:tc>
              <w:tc>
                <w:tcPr>
                  <w:tcW w:w="910" w:type="dxa"/>
                  <w:tcBorders>
                    <w:top w:val="nil"/>
                    <w:left w:val="nil"/>
                    <w:bottom w:val="single" w:sz="8" w:space="0" w:color="FFFFFF"/>
                    <w:right w:val="single" w:sz="8" w:space="0" w:color="FFFFFF"/>
                  </w:tcBorders>
                  <w:shd w:val="clear" w:color="000000" w:fill="FDE9D9"/>
                  <w:noWrap/>
                  <w:vAlign w:val="center"/>
                  <w:hideMark/>
                </w:tcPr>
                <w:p w14:paraId="4817CF3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4.84 </w:t>
                  </w:r>
                </w:p>
              </w:tc>
              <w:tc>
                <w:tcPr>
                  <w:tcW w:w="909" w:type="dxa"/>
                  <w:tcBorders>
                    <w:top w:val="nil"/>
                    <w:left w:val="nil"/>
                    <w:bottom w:val="single" w:sz="8" w:space="0" w:color="FFFFFF"/>
                    <w:right w:val="single" w:sz="8" w:space="0" w:color="FFFFFF"/>
                  </w:tcBorders>
                  <w:shd w:val="clear" w:color="000000" w:fill="FDE9D9"/>
                  <w:noWrap/>
                  <w:vAlign w:val="center"/>
                  <w:hideMark/>
                </w:tcPr>
                <w:p w14:paraId="54759DF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7.02 </w:t>
                  </w:r>
                </w:p>
              </w:tc>
              <w:tc>
                <w:tcPr>
                  <w:tcW w:w="1134" w:type="dxa"/>
                  <w:tcBorders>
                    <w:top w:val="nil"/>
                    <w:left w:val="nil"/>
                    <w:bottom w:val="single" w:sz="8" w:space="0" w:color="FFFFFF"/>
                    <w:right w:val="single" w:sz="8" w:space="0" w:color="FFFFFF"/>
                  </w:tcBorders>
                  <w:shd w:val="clear" w:color="000000" w:fill="FDE9D9"/>
                  <w:noWrap/>
                  <w:vAlign w:val="center"/>
                  <w:hideMark/>
                </w:tcPr>
                <w:p w14:paraId="3F3ADC69"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企业债7Y</w:t>
                  </w:r>
                </w:p>
              </w:tc>
              <w:tc>
                <w:tcPr>
                  <w:tcW w:w="909" w:type="dxa"/>
                  <w:tcBorders>
                    <w:top w:val="nil"/>
                    <w:left w:val="nil"/>
                    <w:bottom w:val="single" w:sz="8" w:space="0" w:color="FFFFFF"/>
                    <w:right w:val="single" w:sz="8" w:space="0" w:color="FFFFFF"/>
                  </w:tcBorders>
                  <w:shd w:val="clear" w:color="000000" w:fill="FDE9D9"/>
                  <w:noWrap/>
                  <w:vAlign w:val="center"/>
                  <w:hideMark/>
                </w:tcPr>
                <w:p w14:paraId="5026786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0.82 </w:t>
                  </w:r>
                </w:p>
              </w:tc>
              <w:tc>
                <w:tcPr>
                  <w:tcW w:w="909" w:type="dxa"/>
                  <w:tcBorders>
                    <w:top w:val="nil"/>
                    <w:left w:val="nil"/>
                    <w:bottom w:val="single" w:sz="8" w:space="0" w:color="FFFFFF"/>
                    <w:right w:val="single" w:sz="8" w:space="0" w:color="FFFFFF"/>
                  </w:tcBorders>
                  <w:shd w:val="clear" w:color="000000" w:fill="FDE9D9"/>
                  <w:noWrap/>
                  <w:vAlign w:val="center"/>
                  <w:hideMark/>
                </w:tcPr>
                <w:p w14:paraId="6EE582C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1.15 </w:t>
                  </w:r>
                </w:p>
              </w:tc>
              <w:tc>
                <w:tcPr>
                  <w:tcW w:w="909" w:type="dxa"/>
                  <w:tcBorders>
                    <w:top w:val="nil"/>
                    <w:left w:val="nil"/>
                    <w:bottom w:val="single" w:sz="8" w:space="0" w:color="FFFFFF"/>
                    <w:right w:val="single" w:sz="8" w:space="0" w:color="FFFFFF"/>
                  </w:tcBorders>
                  <w:shd w:val="clear" w:color="000000" w:fill="FDE9D9"/>
                  <w:noWrap/>
                  <w:vAlign w:val="center"/>
                  <w:hideMark/>
                </w:tcPr>
                <w:p w14:paraId="75D6B5B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1.56 </w:t>
                  </w:r>
                </w:p>
              </w:tc>
              <w:tc>
                <w:tcPr>
                  <w:tcW w:w="909" w:type="dxa"/>
                  <w:tcBorders>
                    <w:top w:val="nil"/>
                    <w:left w:val="nil"/>
                    <w:bottom w:val="single" w:sz="8" w:space="0" w:color="FFFFFF"/>
                    <w:right w:val="single" w:sz="8" w:space="0" w:color="FFFFFF"/>
                  </w:tcBorders>
                  <w:shd w:val="clear" w:color="000000" w:fill="FDE9D9"/>
                  <w:noWrap/>
                  <w:vAlign w:val="center"/>
                  <w:hideMark/>
                </w:tcPr>
                <w:p w14:paraId="49068BA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3.74 </w:t>
                  </w:r>
                </w:p>
              </w:tc>
            </w:tr>
            <w:tr w:rsidR="00A0730C" w:rsidRPr="00A0730C" w14:paraId="1B69DDD3"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68E73109"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3Y</w:t>
                  </w:r>
                </w:p>
              </w:tc>
              <w:tc>
                <w:tcPr>
                  <w:tcW w:w="909" w:type="dxa"/>
                  <w:tcBorders>
                    <w:top w:val="nil"/>
                    <w:left w:val="nil"/>
                    <w:bottom w:val="single" w:sz="8" w:space="0" w:color="FFFFFF"/>
                    <w:right w:val="single" w:sz="8" w:space="0" w:color="FFFFFF"/>
                  </w:tcBorders>
                  <w:shd w:val="clear" w:color="000000" w:fill="FCD5B4"/>
                  <w:noWrap/>
                  <w:vAlign w:val="center"/>
                  <w:hideMark/>
                </w:tcPr>
                <w:p w14:paraId="0851202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3.66 </w:t>
                  </w:r>
                </w:p>
              </w:tc>
              <w:tc>
                <w:tcPr>
                  <w:tcW w:w="910" w:type="dxa"/>
                  <w:tcBorders>
                    <w:top w:val="nil"/>
                    <w:left w:val="nil"/>
                    <w:bottom w:val="single" w:sz="8" w:space="0" w:color="FFFFFF"/>
                    <w:right w:val="single" w:sz="8" w:space="0" w:color="FFFFFF"/>
                  </w:tcBorders>
                  <w:shd w:val="clear" w:color="000000" w:fill="FCD5B4"/>
                  <w:noWrap/>
                  <w:vAlign w:val="center"/>
                  <w:hideMark/>
                </w:tcPr>
                <w:p w14:paraId="2B4C4C7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3.93 </w:t>
                  </w:r>
                </w:p>
              </w:tc>
              <w:tc>
                <w:tcPr>
                  <w:tcW w:w="910" w:type="dxa"/>
                  <w:tcBorders>
                    <w:top w:val="nil"/>
                    <w:left w:val="nil"/>
                    <w:bottom w:val="single" w:sz="8" w:space="0" w:color="FFFFFF"/>
                    <w:right w:val="single" w:sz="8" w:space="0" w:color="FFFFFF"/>
                  </w:tcBorders>
                  <w:shd w:val="clear" w:color="000000" w:fill="FCD5B4"/>
                  <w:noWrap/>
                  <w:vAlign w:val="center"/>
                  <w:hideMark/>
                </w:tcPr>
                <w:p w14:paraId="291F581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4.23 </w:t>
                  </w:r>
                </w:p>
              </w:tc>
              <w:tc>
                <w:tcPr>
                  <w:tcW w:w="909" w:type="dxa"/>
                  <w:tcBorders>
                    <w:top w:val="nil"/>
                    <w:left w:val="nil"/>
                    <w:bottom w:val="single" w:sz="8" w:space="0" w:color="FFFFFF"/>
                    <w:right w:val="single" w:sz="8" w:space="0" w:color="FFFFFF"/>
                  </w:tcBorders>
                  <w:shd w:val="clear" w:color="000000" w:fill="FCD5B4"/>
                  <w:noWrap/>
                  <w:vAlign w:val="center"/>
                  <w:hideMark/>
                </w:tcPr>
                <w:p w14:paraId="328232E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6.01 </w:t>
                  </w:r>
                </w:p>
              </w:tc>
              <w:tc>
                <w:tcPr>
                  <w:tcW w:w="1134" w:type="dxa"/>
                  <w:tcBorders>
                    <w:top w:val="nil"/>
                    <w:left w:val="nil"/>
                    <w:bottom w:val="single" w:sz="8" w:space="0" w:color="FFFFFF"/>
                    <w:right w:val="single" w:sz="8" w:space="0" w:color="FFFFFF"/>
                  </w:tcBorders>
                  <w:shd w:val="clear" w:color="000000" w:fill="FCD5B4"/>
                  <w:noWrap/>
                  <w:vAlign w:val="center"/>
                  <w:hideMark/>
                </w:tcPr>
                <w:p w14:paraId="47E8BB7D"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3Y</w:t>
                  </w:r>
                </w:p>
              </w:tc>
              <w:tc>
                <w:tcPr>
                  <w:tcW w:w="909" w:type="dxa"/>
                  <w:tcBorders>
                    <w:top w:val="nil"/>
                    <w:left w:val="nil"/>
                    <w:bottom w:val="single" w:sz="8" w:space="0" w:color="FFFFFF"/>
                    <w:right w:val="single" w:sz="8" w:space="0" w:color="FFFFFF"/>
                  </w:tcBorders>
                  <w:shd w:val="clear" w:color="000000" w:fill="FCD5B4"/>
                  <w:noWrap/>
                  <w:vAlign w:val="center"/>
                  <w:hideMark/>
                </w:tcPr>
                <w:p w14:paraId="466D7AE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0.70 </w:t>
                  </w:r>
                </w:p>
              </w:tc>
              <w:tc>
                <w:tcPr>
                  <w:tcW w:w="909" w:type="dxa"/>
                  <w:tcBorders>
                    <w:top w:val="nil"/>
                    <w:left w:val="nil"/>
                    <w:bottom w:val="single" w:sz="8" w:space="0" w:color="FFFFFF"/>
                    <w:right w:val="single" w:sz="8" w:space="0" w:color="FFFFFF"/>
                  </w:tcBorders>
                  <w:shd w:val="clear" w:color="000000" w:fill="FCD5B4"/>
                  <w:noWrap/>
                  <w:vAlign w:val="center"/>
                  <w:hideMark/>
                </w:tcPr>
                <w:p w14:paraId="71100D1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0.97 </w:t>
                  </w:r>
                </w:p>
              </w:tc>
              <w:tc>
                <w:tcPr>
                  <w:tcW w:w="909" w:type="dxa"/>
                  <w:tcBorders>
                    <w:top w:val="nil"/>
                    <w:left w:val="nil"/>
                    <w:bottom w:val="single" w:sz="8" w:space="0" w:color="FFFFFF"/>
                    <w:right w:val="single" w:sz="8" w:space="0" w:color="FFFFFF"/>
                  </w:tcBorders>
                  <w:shd w:val="clear" w:color="000000" w:fill="FCD5B4"/>
                  <w:noWrap/>
                  <w:vAlign w:val="center"/>
                  <w:hideMark/>
                </w:tcPr>
                <w:p w14:paraId="0FD2EEC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1.27 </w:t>
                  </w:r>
                </w:p>
              </w:tc>
              <w:tc>
                <w:tcPr>
                  <w:tcW w:w="909" w:type="dxa"/>
                  <w:tcBorders>
                    <w:top w:val="nil"/>
                    <w:left w:val="nil"/>
                    <w:bottom w:val="single" w:sz="8" w:space="0" w:color="FFFFFF"/>
                    <w:right w:val="single" w:sz="8" w:space="0" w:color="FFFFFF"/>
                  </w:tcBorders>
                  <w:shd w:val="clear" w:color="000000" w:fill="FCD5B4"/>
                  <w:noWrap/>
                  <w:vAlign w:val="center"/>
                  <w:hideMark/>
                </w:tcPr>
                <w:p w14:paraId="2A1FA78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3.05 </w:t>
                  </w:r>
                </w:p>
              </w:tc>
            </w:tr>
            <w:tr w:rsidR="00A0730C" w:rsidRPr="00A0730C" w14:paraId="067CE1BA"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476FB8F3"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5Y</w:t>
                  </w:r>
                </w:p>
              </w:tc>
              <w:tc>
                <w:tcPr>
                  <w:tcW w:w="909" w:type="dxa"/>
                  <w:tcBorders>
                    <w:top w:val="nil"/>
                    <w:left w:val="nil"/>
                    <w:bottom w:val="single" w:sz="8" w:space="0" w:color="FFFFFF"/>
                    <w:right w:val="single" w:sz="8" w:space="0" w:color="FFFFFF"/>
                  </w:tcBorders>
                  <w:shd w:val="clear" w:color="000000" w:fill="FDE9D9"/>
                  <w:noWrap/>
                  <w:vAlign w:val="center"/>
                  <w:hideMark/>
                </w:tcPr>
                <w:p w14:paraId="24171F3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3.93 </w:t>
                  </w:r>
                </w:p>
              </w:tc>
              <w:tc>
                <w:tcPr>
                  <w:tcW w:w="910" w:type="dxa"/>
                  <w:tcBorders>
                    <w:top w:val="nil"/>
                    <w:left w:val="nil"/>
                    <w:bottom w:val="single" w:sz="8" w:space="0" w:color="FFFFFF"/>
                    <w:right w:val="single" w:sz="8" w:space="0" w:color="FFFFFF"/>
                  </w:tcBorders>
                  <w:shd w:val="clear" w:color="000000" w:fill="FDE9D9"/>
                  <w:noWrap/>
                  <w:vAlign w:val="center"/>
                  <w:hideMark/>
                </w:tcPr>
                <w:p w14:paraId="2614574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4.17 </w:t>
                  </w:r>
                </w:p>
              </w:tc>
              <w:tc>
                <w:tcPr>
                  <w:tcW w:w="910" w:type="dxa"/>
                  <w:tcBorders>
                    <w:top w:val="nil"/>
                    <w:left w:val="nil"/>
                    <w:bottom w:val="single" w:sz="8" w:space="0" w:color="FFFFFF"/>
                    <w:right w:val="single" w:sz="8" w:space="0" w:color="FFFFFF"/>
                  </w:tcBorders>
                  <w:shd w:val="clear" w:color="000000" w:fill="FDE9D9"/>
                  <w:noWrap/>
                  <w:vAlign w:val="center"/>
                  <w:hideMark/>
                </w:tcPr>
                <w:p w14:paraId="7564BBF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4.46 </w:t>
                  </w:r>
                </w:p>
              </w:tc>
              <w:tc>
                <w:tcPr>
                  <w:tcW w:w="909" w:type="dxa"/>
                  <w:tcBorders>
                    <w:top w:val="nil"/>
                    <w:left w:val="nil"/>
                    <w:bottom w:val="single" w:sz="8" w:space="0" w:color="FFFFFF"/>
                    <w:right w:val="single" w:sz="8" w:space="0" w:color="FFFFFF"/>
                  </w:tcBorders>
                  <w:shd w:val="clear" w:color="000000" w:fill="FDE9D9"/>
                  <w:noWrap/>
                  <w:vAlign w:val="center"/>
                  <w:hideMark/>
                </w:tcPr>
                <w:p w14:paraId="348B108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6.71 </w:t>
                  </w:r>
                </w:p>
              </w:tc>
              <w:tc>
                <w:tcPr>
                  <w:tcW w:w="1134" w:type="dxa"/>
                  <w:tcBorders>
                    <w:top w:val="nil"/>
                    <w:left w:val="nil"/>
                    <w:bottom w:val="single" w:sz="8" w:space="0" w:color="FFFFFF"/>
                    <w:right w:val="single" w:sz="8" w:space="0" w:color="FFFFFF"/>
                  </w:tcBorders>
                  <w:shd w:val="clear" w:color="000000" w:fill="FDE9D9"/>
                  <w:noWrap/>
                  <w:vAlign w:val="center"/>
                  <w:hideMark/>
                </w:tcPr>
                <w:p w14:paraId="5604D365"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5Y</w:t>
                  </w:r>
                </w:p>
              </w:tc>
              <w:tc>
                <w:tcPr>
                  <w:tcW w:w="909" w:type="dxa"/>
                  <w:tcBorders>
                    <w:top w:val="nil"/>
                    <w:left w:val="nil"/>
                    <w:bottom w:val="single" w:sz="8" w:space="0" w:color="FFFFFF"/>
                    <w:right w:val="single" w:sz="8" w:space="0" w:color="FFFFFF"/>
                  </w:tcBorders>
                  <w:shd w:val="clear" w:color="000000" w:fill="FDE9D9"/>
                  <w:noWrap/>
                  <w:vAlign w:val="center"/>
                  <w:hideMark/>
                </w:tcPr>
                <w:p w14:paraId="122E9BD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0.82 </w:t>
                  </w:r>
                </w:p>
              </w:tc>
              <w:tc>
                <w:tcPr>
                  <w:tcW w:w="909" w:type="dxa"/>
                  <w:tcBorders>
                    <w:top w:val="nil"/>
                    <w:left w:val="nil"/>
                    <w:bottom w:val="single" w:sz="8" w:space="0" w:color="FFFFFF"/>
                    <w:right w:val="single" w:sz="8" w:space="0" w:color="FFFFFF"/>
                  </w:tcBorders>
                  <w:shd w:val="clear" w:color="000000" w:fill="FDE9D9"/>
                  <w:noWrap/>
                  <w:vAlign w:val="center"/>
                  <w:hideMark/>
                </w:tcPr>
                <w:p w14:paraId="211C576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1.06 </w:t>
                  </w:r>
                </w:p>
              </w:tc>
              <w:tc>
                <w:tcPr>
                  <w:tcW w:w="909" w:type="dxa"/>
                  <w:tcBorders>
                    <w:top w:val="nil"/>
                    <w:left w:val="nil"/>
                    <w:bottom w:val="single" w:sz="8" w:space="0" w:color="FFFFFF"/>
                    <w:right w:val="single" w:sz="8" w:space="0" w:color="FFFFFF"/>
                  </w:tcBorders>
                  <w:shd w:val="clear" w:color="000000" w:fill="FDE9D9"/>
                  <w:noWrap/>
                  <w:vAlign w:val="center"/>
                  <w:hideMark/>
                </w:tcPr>
                <w:p w14:paraId="5751BFE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1.35 </w:t>
                  </w:r>
                </w:p>
              </w:tc>
              <w:tc>
                <w:tcPr>
                  <w:tcW w:w="909" w:type="dxa"/>
                  <w:tcBorders>
                    <w:top w:val="nil"/>
                    <w:left w:val="nil"/>
                    <w:bottom w:val="single" w:sz="8" w:space="0" w:color="FFFFFF"/>
                    <w:right w:val="single" w:sz="8" w:space="0" w:color="FFFFFF"/>
                  </w:tcBorders>
                  <w:shd w:val="clear" w:color="000000" w:fill="FDE9D9"/>
                  <w:noWrap/>
                  <w:vAlign w:val="center"/>
                  <w:hideMark/>
                </w:tcPr>
                <w:p w14:paraId="763C685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3.60 </w:t>
                  </w:r>
                </w:p>
              </w:tc>
            </w:tr>
            <w:tr w:rsidR="00A0730C" w:rsidRPr="00A0730C" w14:paraId="60625B3B" w14:textId="77777777" w:rsidTr="00A0730C">
              <w:trPr>
                <w:trHeight w:val="400"/>
              </w:trPr>
              <w:tc>
                <w:tcPr>
                  <w:tcW w:w="1338" w:type="dxa"/>
                  <w:tcBorders>
                    <w:top w:val="nil"/>
                    <w:left w:val="nil"/>
                    <w:bottom w:val="nil"/>
                    <w:right w:val="nil"/>
                  </w:tcBorders>
                  <w:shd w:val="clear" w:color="000000" w:fill="FCD5B4"/>
                  <w:noWrap/>
                  <w:vAlign w:val="center"/>
                  <w:hideMark/>
                </w:tcPr>
                <w:p w14:paraId="7FEC4E8B"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7Y</w:t>
                  </w:r>
                </w:p>
              </w:tc>
              <w:tc>
                <w:tcPr>
                  <w:tcW w:w="909" w:type="dxa"/>
                  <w:tcBorders>
                    <w:top w:val="nil"/>
                    <w:left w:val="nil"/>
                    <w:bottom w:val="single" w:sz="8" w:space="0" w:color="FFFFFF"/>
                    <w:right w:val="single" w:sz="8" w:space="0" w:color="FFFFFF"/>
                  </w:tcBorders>
                  <w:shd w:val="clear" w:color="000000" w:fill="FCD5B4"/>
                  <w:noWrap/>
                  <w:vAlign w:val="center"/>
                  <w:hideMark/>
                </w:tcPr>
                <w:p w14:paraId="278E309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4.15 </w:t>
                  </w:r>
                </w:p>
              </w:tc>
              <w:tc>
                <w:tcPr>
                  <w:tcW w:w="910" w:type="dxa"/>
                  <w:tcBorders>
                    <w:top w:val="nil"/>
                    <w:left w:val="nil"/>
                    <w:bottom w:val="single" w:sz="8" w:space="0" w:color="FFFFFF"/>
                    <w:right w:val="single" w:sz="8" w:space="0" w:color="FFFFFF"/>
                  </w:tcBorders>
                  <w:shd w:val="clear" w:color="000000" w:fill="FCD5B4"/>
                  <w:noWrap/>
                  <w:vAlign w:val="center"/>
                  <w:hideMark/>
                </w:tcPr>
                <w:p w14:paraId="14EBFCA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4.40 </w:t>
                  </w:r>
                </w:p>
              </w:tc>
              <w:tc>
                <w:tcPr>
                  <w:tcW w:w="910" w:type="dxa"/>
                  <w:tcBorders>
                    <w:top w:val="nil"/>
                    <w:left w:val="nil"/>
                    <w:bottom w:val="single" w:sz="8" w:space="0" w:color="FFFFFF"/>
                    <w:right w:val="single" w:sz="8" w:space="0" w:color="FFFFFF"/>
                  </w:tcBorders>
                  <w:shd w:val="clear" w:color="000000" w:fill="FCD5B4"/>
                  <w:noWrap/>
                  <w:vAlign w:val="center"/>
                  <w:hideMark/>
                </w:tcPr>
                <w:p w14:paraId="3C47A78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4.72 </w:t>
                  </w:r>
                </w:p>
              </w:tc>
              <w:tc>
                <w:tcPr>
                  <w:tcW w:w="909" w:type="dxa"/>
                  <w:tcBorders>
                    <w:top w:val="nil"/>
                    <w:left w:val="nil"/>
                    <w:bottom w:val="single" w:sz="8" w:space="0" w:color="FFFFFF"/>
                    <w:right w:val="single" w:sz="8" w:space="0" w:color="FFFFFF"/>
                  </w:tcBorders>
                  <w:shd w:val="clear" w:color="000000" w:fill="FCD5B4"/>
                  <w:noWrap/>
                  <w:vAlign w:val="center"/>
                  <w:hideMark/>
                </w:tcPr>
                <w:p w14:paraId="23F27CE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7.11 </w:t>
                  </w:r>
                </w:p>
              </w:tc>
              <w:tc>
                <w:tcPr>
                  <w:tcW w:w="1134" w:type="dxa"/>
                  <w:tcBorders>
                    <w:top w:val="nil"/>
                    <w:left w:val="nil"/>
                    <w:bottom w:val="nil"/>
                    <w:right w:val="nil"/>
                  </w:tcBorders>
                  <w:shd w:val="clear" w:color="000000" w:fill="FCD5B4"/>
                  <w:noWrap/>
                  <w:vAlign w:val="center"/>
                  <w:hideMark/>
                </w:tcPr>
                <w:p w14:paraId="28AE4664"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7Y</w:t>
                  </w:r>
                </w:p>
              </w:tc>
              <w:tc>
                <w:tcPr>
                  <w:tcW w:w="909" w:type="dxa"/>
                  <w:tcBorders>
                    <w:top w:val="nil"/>
                    <w:left w:val="nil"/>
                    <w:bottom w:val="single" w:sz="8" w:space="0" w:color="FFFFFF"/>
                    <w:right w:val="single" w:sz="8" w:space="0" w:color="FFFFFF"/>
                  </w:tcBorders>
                  <w:shd w:val="clear" w:color="000000" w:fill="FCD5B4"/>
                  <w:noWrap/>
                  <w:vAlign w:val="center"/>
                  <w:hideMark/>
                </w:tcPr>
                <w:p w14:paraId="40CF451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0.87 </w:t>
                  </w:r>
                </w:p>
              </w:tc>
              <w:tc>
                <w:tcPr>
                  <w:tcW w:w="909" w:type="dxa"/>
                  <w:tcBorders>
                    <w:top w:val="nil"/>
                    <w:left w:val="nil"/>
                    <w:bottom w:val="single" w:sz="8" w:space="0" w:color="FFFFFF"/>
                    <w:right w:val="single" w:sz="8" w:space="0" w:color="FFFFFF"/>
                  </w:tcBorders>
                  <w:shd w:val="clear" w:color="000000" w:fill="FCD5B4"/>
                  <w:noWrap/>
                  <w:vAlign w:val="center"/>
                  <w:hideMark/>
                </w:tcPr>
                <w:p w14:paraId="6A9975B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1.12 </w:t>
                  </w:r>
                </w:p>
              </w:tc>
              <w:tc>
                <w:tcPr>
                  <w:tcW w:w="909" w:type="dxa"/>
                  <w:tcBorders>
                    <w:top w:val="nil"/>
                    <w:left w:val="nil"/>
                    <w:bottom w:val="single" w:sz="8" w:space="0" w:color="FFFFFF"/>
                    <w:right w:val="single" w:sz="8" w:space="0" w:color="FFFFFF"/>
                  </w:tcBorders>
                  <w:shd w:val="clear" w:color="000000" w:fill="FCD5B4"/>
                  <w:noWrap/>
                  <w:vAlign w:val="center"/>
                  <w:hideMark/>
                </w:tcPr>
                <w:p w14:paraId="1C46C85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1.44 </w:t>
                  </w:r>
                </w:p>
              </w:tc>
              <w:tc>
                <w:tcPr>
                  <w:tcW w:w="909" w:type="dxa"/>
                  <w:tcBorders>
                    <w:top w:val="nil"/>
                    <w:left w:val="nil"/>
                    <w:bottom w:val="single" w:sz="8" w:space="0" w:color="FFFFFF"/>
                    <w:right w:val="single" w:sz="8" w:space="0" w:color="FFFFFF"/>
                  </w:tcBorders>
                  <w:shd w:val="clear" w:color="000000" w:fill="FCD5B4"/>
                  <w:noWrap/>
                  <w:vAlign w:val="center"/>
                  <w:hideMark/>
                </w:tcPr>
                <w:p w14:paraId="627FEAD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3.83 </w:t>
                  </w:r>
                </w:p>
              </w:tc>
            </w:tr>
            <w:tr w:rsidR="00A0730C" w:rsidRPr="00A0730C" w14:paraId="7DA475F5" w14:textId="77777777" w:rsidTr="00A0730C">
              <w:trPr>
                <w:trHeight w:val="400"/>
              </w:trPr>
              <w:tc>
                <w:tcPr>
                  <w:tcW w:w="1338" w:type="dxa"/>
                  <w:tcBorders>
                    <w:top w:val="nil"/>
                    <w:left w:val="nil"/>
                    <w:bottom w:val="single" w:sz="12" w:space="0" w:color="FFFFFF"/>
                    <w:right w:val="single" w:sz="8" w:space="0" w:color="FFFFFF"/>
                  </w:tcBorders>
                  <w:shd w:val="clear" w:color="000000" w:fill="F79646"/>
                  <w:noWrap/>
                  <w:vAlign w:val="center"/>
                  <w:hideMark/>
                </w:tcPr>
                <w:p w14:paraId="1A0CA1E1" w14:textId="77777777" w:rsidR="00A0730C" w:rsidRPr="00A0730C" w:rsidRDefault="00A0730C" w:rsidP="00A0730C">
                  <w:pPr>
                    <w:widowControl/>
                    <w:jc w:val="center"/>
                    <w:rPr>
                      <w:rFonts w:ascii="楷体" w:eastAsia="楷体" w:hAnsi="楷体" w:cs="宋体"/>
                      <w:b/>
                      <w:bCs/>
                      <w:color w:val="FFFFFF"/>
                      <w:kern w:val="0"/>
                      <w:sz w:val="20"/>
                      <w:szCs w:val="20"/>
                    </w:rPr>
                  </w:pPr>
                  <w:proofErr w:type="gramStart"/>
                  <w:r w:rsidRPr="00A0730C">
                    <w:rPr>
                      <w:rFonts w:ascii="楷体" w:eastAsia="楷体" w:hAnsi="楷体" w:cs="宋体" w:hint="eastAsia"/>
                      <w:b/>
                      <w:bCs/>
                      <w:color w:val="FFFFFF"/>
                      <w:kern w:val="0"/>
                      <w:sz w:val="20"/>
                      <w:szCs w:val="20"/>
                    </w:rPr>
                    <w:t>周变化</w:t>
                  </w:r>
                  <w:proofErr w:type="gramEnd"/>
                  <w:r w:rsidRPr="00A0730C">
                    <w:rPr>
                      <w:rFonts w:ascii="楷体" w:eastAsia="楷体" w:hAnsi="楷体" w:cs="宋体" w:hint="eastAsia"/>
                      <w:b/>
                      <w:bCs/>
                      <w:color w:val="FFFFFF"/>
                      <w:kern w:val="0"/>
                      <w:sz w:val="20"/>
                      <w:szCs w:val="20"/>
                    </w:rPr>
                    <w:t>(BP)</w:t>
                  </w:r>
                </w:p>
              </w:tc>
              <w:tc>
                <w:tcPr>
                  <w:tcW w:w="909" w:type="dxa"/>
                  <w:tcBorders>
                    <w:top w:val="nil"/>
                    <w:left w:val="nil"/>
                    <w:bottom w:val="single" w:sz="12" w:space="0" w:color="FFFFFF"/>
                    <w:right w:val="single" w:sz="8" w:space="0" w:color="FFFFFF"/>
                  </w:tcBorders>
                  <w:shd w:val="clear" w:color="000000" w:fill="F79646"/>
                  <w:noWrap/>
                  <w:vAlign w:val="center"/>
                  <w:hideMark/>
                </w:tcPr>
                <w:p w14:paraId="71AB001D"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AAA</w:t>
                  </w:r>
                </w:p>
              </w:tc>
              <w:tc>
                <w:tcPr>
                  <w:tcW w:w="910" w:type="dxa"/>
                  <w:tcBorders>
                    <w:top w:val="nil"/>
                    <w:left w:val="nil"/>
                    <w:bottom w:val="single" w:sz="12" w:space="0" w:color="FFFFFF"/>
                    <w:right w:val="single" w:sz="8" w:space="0" w:color="FFFFFF"/>
                  </w:tcBorders>
                  <w:shd w:val="clear" w:color="000000" w:fill="F79646"/>
                  <w:noWrap/>
                  <w:vAlign w:val="center"/>
                  <w:hideMark/>
                </w:tcPr>
                <w:p w14:paraId="48304E66"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10" w:type="dxa"/>
                  <w:tcBorders>
                    <w:top w:val="nil"/>
                    <w:left w:val="nil"/>
                    <w:bottom w:val="single" w:sz="12" w:space="0" w:color="FFFFFF"/>
                    <w:right w:val="single" w:sz="8" w:space="0" w:color="FFFFFF"/>
                  </w:tcBorders>
                  <w:shd w:val="clear" w:color="000000" w:fill="F79646"/>
                  <w:noWrap/>
                  <w:vAlign w:val="center"/>
                  <w:hideMark/>
                </w:tcPr>
                <w:p w14:paraId="003C6E42"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295E8D3B"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1134" w:type="dxa"/>
                  <w:tcBorders>
                    <w:top w:val="nil"/>
                    <w:left w:val="nil"/>
                    <w:bottom w:val="single" w:sz="12" w:space="0" w:color="FFFFFF"/>
                    <w:right w:val="single" w:sz="8" w:space="0" w:color="FFFFFF"/>
                  </w:tcBorders>
                  <w:shd w:val="clear" w:color="000000" w:fill="F79646"/>
                  <w:noWrap/>
                  <w:vAlign w:val="center"/>
                  <w:hideMark/>
                </w:tcPr>
                <w:p w14:paraId="2B5CCD34"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息差</w:t>
                  </w:r>
                </w:p>
              </w:tc>
              <w:tc>
                <w:tcPr>
                  <w:tcW w:w="909" w:type="dxa"/>
                  <w:tcBorders>
                    <w:top w:val="nil"/>
                    <w:left w:val="nil"/>
                    <w:bottom w:val="single" w:sz="12" w:space="0" w:color="FFFFFF"/>
                    <w:right w:val="single" w:sz="8" w:space="0" w:color="FFFFFF"/>
                  </w:tcBorders>
                  <w:shd w:val="clear" w:color="000000" w:fill="F79646"/>
                  <w:noWrap/>
                  <w:vAlign w:val="center"/>
                  <w:hideMark/>
                </w:tcPr>
                <w:p w14:paraId="223911AB"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AAA</w:t>
                  </w:r>
                </w:p>
              </w:tc>
              <w:tc>
                <w:tcPr>
                  <w:tcW w:w="909" w:type="dxa"/>
                  <w:tcBorders>
                    <w:top w:val="nil"/>
                    <w:left w:val="nil"/>
                    <w:bottom w:val="single" w:sz="12" w:space="0" w:color="FFFFFF"/>
                    <w:right w:val="single" w:sz="8" w:space="0" w:color="FFFFFF"/>
                  </w:tcBorders>
                  <w:shd w:val="clear" w:color="000000" w:fill="F79646"/>
                  <w:noWrap/>
                  <w:vAlign w:val="center"/>
                  <w:hideMark/>
                </w:tcPr>
                <w:p w14:paraId="0267956E"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5ADC5B4D"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52A7779C"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r>
            <w:tr w:rsidR="00A0730C" w:rsidRPr="00A0730C" w14:paraId="29E7C031" w14:textId="77777777" w:rsidTr="00A0730C">
              <w:trPr>
                <w:trHeight w:val="421"/>
              </w:trPr>
              <w:tc>
                <w:tcPr>
                  <w:tcW w:w="1338" w:type="dxa"/>
                  <w:tcBorders>
                    <w:top w:val="nil"/>
                    <w:left w:val="nil"/>
                    <w:bottom w:val="single" w:sz="8" w:space="0" w:color="FFFFFF"/>
                    <w:right w:val="single" w:sz="8" w:space="0" w:color="FFFFFF"/>
                  </w:tcBorders>
                  <w:shd w:val="clear" w:color="000000" w:fill="FCD5B4"/>
                  <w:noWrap/>
                  <w:vAlign w:val="center"/>
                  <w:hideMark/>
                </w:tcPr>
                <w:p w14:paraId="294E337D"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CP</w:t>
                  </w:r>
                </w:p>
              </w:tc>
              <w:tc>
                <w:tcPr>
                  <w:tcW w:w="909" w:type="dxa"/>
                  <w:tcBorders>
                    <w:top w:val="nil"/>
                    <w:left w:val="nil"/>
                    <w:bottom w:val="single" w:sz="8" w:space="0" w:color="FFFFFF"/>
                    <w:right w:val="single" w:sz="8" w:space="0" w:color="FFFFFF"/>
                  </w:tcBorders>
                  <w:shd w:val="clear" w:color="000000" w:fill="FCD5B4"/>
                  <w:noWrap/>
                  <w:vAlign w:val="center"/>
                  <w:hideMark/>
                </w:tcPr>
                <w:p w14:paraId="381A031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-10.4 </w:t>
                  </w:r>
                </w:p>
              </w:tc>
              <w:tc>
                <w:tcPr>
                  <w:tcW w:w="910" w:type="dxa"/>
                  <w:tcBorders>
                    <w:top w:val="nil"/>
                    <w:left w:val="nil"/>
                    <w:bottom w:val="single" w:sz="8" w:space="0" w:color="FFFFFF"/>
                    <w:right w:val="single" w:sz="8" w:space="0" w:color="FFFFFF"/>
                  </w:tcBorders>
                  <w:shd w:val="clear" w:color="000000" w:fill="FCD5B4"/>
                  <w:noWrap/>
                  <w:vAlign w:val="center"/>
                  <w:hideMark/>
                </w:tcPr>
                <w:p w14:paraId="58F4C06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-11.4 </w:t>
                  </w:r>
                </w:p>
              </w:tc>
              <w:tc>
                <w:tcPr>
                  <w:tcW w:w="910" w:type="dxa"/>
                  <w:tcBorders>
                    <w:top w:val="nil"/>
                    <w:left w:val="nil"/>
                    <w:bottom w:val="single" w:sz="8" w:space="0" w:color="FFFFFF"/>
                    <w:right w:val="single" w:sz="8" w:space="0" w:color="FFFFFF"/>
                  </w:tcBorders>
                  <w:shd w:val="clear" w:color="000000" w:fill="FCD5B4"/>
                  <w:noWrap/>
                  <w:vAlign w:val="center"/>
                  <w:hideMark/>
                </w:tcPr>
                <w:p w14:paraId="4084FFD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-6.4 </w:t>
                  </w:r>
                </w:p>
              </w:tc>
              <w:tc>
                <w:tcPr>
                  <w:tcW w:w="909" w:type="dxa"/>
                  <w:tcBorders>
                    <w:top w:val="nil"/>
                    <w:left w:val="nil"/>
                    <w:bottom w:val="single" w:sz="8" w:space="0" w:color="FFFFFF"/>
                    <w:right w:val="single" w:sz="8" w:space="0" w:color="FFFFFF"/>
                  </w:tcBorders>
                  <w:shd w:val="clear" w:color="000000" w:fill="FCD5B4"/>
                  <w:noWrap/>
                  <w:vAlign w:val="center"/>
                  <w:hideMark/>
                </w:tcPr>
                <w:p w14:paraId="495884B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-6.4 </w:t>
                  </w:r>
                </w:p>
              </w:tc>
              <w:tc>
                <w:tcPr>
                  <w:tcW w:w="1134" w:type="dxa"/>
                  <w:tcBorders>
                    <w:top w:val="nil"/>
                    <w:left w:val="nil"/>
                    <w:bottom w:val="single" w:sz="8" w:space="0" w:color="FFFFFF"/>
                    <w:right w:val="single" w:sz="8" w:space="0" w:color="FFFFFF"/>
                  </w:tcBorders>
                  <w:shd w:val="clear" w:color="000000" w:fill="FCD5B4"/>
                  <w:noWrap/>
                  <w:vAlign w:val="center"/>
                  <w:hideMark/>
                </w:tcPr>
                <w:p w14:paraId="63E872F7"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CP</w:t>
                  </w:r>
                </w:p>
              </w:tc>
              <w:tc>
                <w:tcPr>
                  <w:tcW w:w="909" w:type="dxa"/>
                  <w:tcBorders>
                    <w:top w:val="nil"/>
                    <w:left w:val="nil"/>
                    <w:bottom w:val="single" w:sz="8" w:space="0" w:color="FFFFFF"/>
                    <w:right w:val="single" w:sz="8" w:space="0" w:color="FFFFFF"/>
                  </w:tcBorders>
                  <w:shd w:val="clear" w:color="000000" w:fill="FCD5B4"/>
                  <w:noWrap/>
                  <w:vAlign w:val="center"/>
                  <w:hideMark/>
                </w:tcPr>
                <w:p w14:paraId="678F4BB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0.3 </w:t>
                  </w:r>
                </w:p>
              </w:tc>
              <w:tc>
                <w:tcPr>
                  <w:tcW w:w="909" w:type="dxa"/>
                  <w:tcBorders>
                    <w:top w:val="nil"/>
                    <w:left w:val="nil"/>
                    <w:bottom w:val="single" w:sz="8" w:space="0" w:color="FFFFFF"/>
                    <w:right w:val="single" w:sz="8" w:space="0" w:color="FFFFFF"/>
                  </w:tcBorders>
                  <w:shd w:val="clear" w:color="000000" w:fill="FCD5B4"/>
                  <w:noWrap/>
                  <w:vAlign w:val="center"/>
                  <w:hideMark/>
                </w:tcPr>
                <w:p w14:paraId="7F57969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-0.7 </w:t>
                  </w:r>
                </w:p>
              </w:tc>
              <w:tc>
                <w:tcPr>
                  <w:tcW w:w="909" w:type="dxa"/>
                  <w:tcBorders>
                    <w:top w:val="nil"/>
                    <w:left w:val="nil"/>
                    <w:bottom w:val="single" w:sz="8" w:space="0" w:color="FFFFFF"/>
                    <w:right w:val="single" w:sz="8" w:space="0" w:color="FFFFFF"/>
                  </w:tcBorders>
                  <w:shd w:val="clear" w:color="000000" w:fill="FCD5B4"/>
                  <w:noWrap/>
                  <w:vAlign w:val="center"/>
                  <w:hideMark/>
                </w:tcPr>
                <w:p w14:paraId="5E39487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4.3 </w:t>
                  </w:r>
                </w:p>
              </w:tc>
              <w:tc>
                <w:tcPr>
                  <w:tcW w:w="909" w:type="dxa"/>
                  <w:tcBorders>
                    <w:top w:val="nil"/>
                    <w:left w:val="nil"/>
                    <w:bottom w:val="single" w:sz="8" w:space="0" w:color="FFFFFF"/>
                    <w:right w:val="single" w:sz="8" w:space="0" w:color="FFFFFF"/>
                  </w:tcBorders>
                  <w:shd w:val="clear" w:color="000000" w:fill="FCD5B4"/>
                  <w:noWrap/>
                  <w:vAlign w:val="center"/>
                  <w:hideMark/>
                </w:tcPr>
                <w:p w14:paraId="569EEC9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4.3 </w:t>
                  </w:r>
                </w:p>
              </w:tc>
            </w:tr>
            <w:tr w:rsidR="00A0730C" w:rsidRPr="00A0730C" w14:paraId="5F7E7243"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3AC4CF06"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MTN3Y</w:t>
                  </w:r>
                </w:p>
              </w:tc>
              <w:tc>
                <w:tcPr>
                  <w:tcW w:w="909" w:type="dxa"/>
                  <w:tcBorders>
                    <w:top w:val="nil"/>
                    <w:left w:val="nil"/>
                    <w:bottom w:val="single" w:sz="8" w:space="0" w:color="FFFFFF"/>
                    <w:right w:val="single" w:sz="8" w:space="0" w:color="FFFFFF"/>
                  </w:tcBorders>
                  <w:shd w:val="clear" w:color="000000" w:fill="FDE9D9"/>
                  <w:noWrap/>
                  <w:vAlign w:val="center"/>
                  <w:hideMark/>
                </w:tcPr>
                <w:p w14:paraId="2B46EE0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-4.5 </w:t>
                  </w:r>
                </w:p>
              </w:tc>
              <w:tc>
                <w:tcPr>
                  <w:tcW w:w="910" w:type="dxa"/>
                  <w:tcBorders>
                    <w:top w:val="nil"/>
                    <w:left w:val="nil"/>
                    <w:bottom w:val="single" w:sz="8" w:space="0" w:color="FFFFFF"/>
                    <w:right w:val="single" w:sz="8" w:space="0" w:color="FFFFFF"/>
                  </w:tcBorders>
                  <w:shd w:val="clear" w:color="000000" w:fill="FDE9D9"/>
                  <w:noWrap/>
                  <w:vAlign w:val="center"/>
                  <w:hideMark/>
                </w:tcPr>
                <w:p w14:paraId="5B25412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-2.5 </w:t>
                  </w:r>
                </w:p>
              </w:tc>
              <w:tc>
                <w:tcPr>
                  <w:tcW w:w="910" w:type="dxa"/>
                  <w:tcBorders>
                    <w:top w:val="nil"/>
                    <w:left w:val="nil"/>
                    <w:bottom w:val="single" w:sz="8" w:space="0" w:color="FFFFFF"/>
                    <w:right w:val="single" w:sz="8" w:space="0" w:color="FFFFFF"/>
                  </w:tcBorders>
                  <w:shd w:val="clear" w:color="000000" w:fill="FDE9D9"/>
                  <w:noWrap/>
                  <w:vAlign w:val="center"/>
                  <w:hideMark/>
                </w:tcPr>
                <w:p w14:paraId="3F41562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-2.5 </w:t>
                  </w:r>
                </w:p>
              </w:tc>
              <w:tc>
                <w:tcPr>
                  <w:tcW w:w="909" w:type="dxa"/>
                  <w:tcBorders>
                    <w:top w:val="nil"/>
                    <w:left w:val="nil"/>
                    <w:bottom w:val="single" w:sz="8" w:space="0" w:color="FFFFFF"/>
                    <w:right w:val="single" w:sz="8" w:space="0" w:color="FFFFFF"/>
                  </w:tcBorders>
                  <w:shd w:val="clear" w:color="000000" w:fill="FDE9D9"/>
                  <w:noWrap/>
                  <w:vAlign w:val="center"/>
                  <w:hideMark/>
                </w:tcPr>
                <w:p w14:paraId="4891E51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-2.5 </w:t>
                  </w:r>
                </w:p>
              </w:tc>
              <w:tc>
                <w:tcPr>
                  <w:tcW w:w="1134" w:type="dxa"/>
                  <w:tcBorders>
                    <w:top w:val="nil"/>
                    <w:left w:val="nil"/>
                    <w:bottom w:val="single" w:sz="8" w:space="0" w:color="FFFFFF"/>
                    <w:right w:val="single" w:sz="8" w:space="0" w:color="FFFFFF"/>
                  </w:tcBorders>
                  <w:shd w:val="clear" w:color="000000" w:fill="FDE9D9"/>
                  <w:noWrap/>
                  <w:vAlign w:val="center"/>
                  <w:hideMark/>
                </w:tcPr>
                <w:p w14:paraId="200F5B0F"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MTN3Y</w:t>
                  </w:r>
                </w:p>
              </w:tc>
              <w:tc>
                <w:tcPr>
                  <w:tcW w:w="909" w:type="dxa"/>
                  <w:tcBorders>
                    <w:top w:val="nil"/>
                    <w:left w:val="nil"/>
                    <w:bottom w:val="single" w:sz="8" w:space="0" w:color="FFFFFF"/>
                    <w:right w:val="single" w:sz="8" w:space="0" w:color="FFFFFF"/>
                  </w:tcBorders>
                  <w:shd w:val="clear" w:color="000000" w:fill="FDE9D9"/>
                  <w:noWrap/>
                  <w:vAlign w:val="center"/>
                  <w:hideMark/>
                </w:tcPr>
                <w:p w14:paraId="082519E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-1.2 </w:t>
                  </w:r>
                </w:p>
              </w:tc>
              <w:tc>
                <w:tcPr>
                  <w:tcW w:w="909" w:type="dxa"/>
                  <w:tcBorders>
                    <w:top w:val="nil"/>
                    <w:left w:val="nil"/>
                    <w:bottom w:val="single" w:sz="8" w:space="0" w:color="FFFFFF"/>
                    <w:right w:val="single" w:sz="8" w:space="0" w:color="FFFFFF"/>
                  </w:tcBorders>
                  <w:shd w:val="clear" w:color="000000" w:fill="FDE9D9"/>
                  <w:noWrap/>
                  <w:vAlign w:val="center"/>
                  <w:hideMark/>
                </w:tcPr>
                <w:p w14:paraId="125F896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 </w:t>
                  </w:r>
                </w:p>
              </w:tc>
              <w:tc>
                <w:tcPr>
                  <w:tcW w:w="909" w:type="dxa"/>
                  <w:tcBorders>
                    <w:top w:val="nil"/>
                    <w:left w:val="nil"/>
                    <w:bottom w:val="single" w:sz="8" w:space="0" w:color="FFFFFF"/>
                    <w:right w:val="single" w:sz="8" w:space="0" w:color="FFFFFF"/>
                  </w:tcBorders>
                  <w:shd w:val="clear" w:color="000000" w:fill="FDE9D9"/>
                  <w:noWrap/>
                  <w:vAlign w:val="center"/>
                  <w:hideMark/>
                </w:tcPr>
                <w:p w14:paraId="762665F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 </w:t>
                  </w:r>
                </w:p>
              </w:tc>
              <w:tc>
                <w:tcPr>
                  <w:tcW w:w="909" w:type="dxa"/>
                  <w:tcBorders>
                    <w:top w:val="nil"/>
                    <w:left w:val="nil"/>
                    <w:bottom w:val="single" w:sz="8" w:space="0" w:color="FFFFFF"/>
                    <w:right w:val="single" w:sz="8" w:space="0" w:color="FFFFFF"/>
                  </w:tcBorders>
                  <w:shd w:val="clear" w:color="000000" w:fill="FDE9D9"/>
                  <w:noWrap/>
                  <w:vAlign w:val="center"/>
                  <w:hideMark/>
                </w:tcPr>
                <w:p w14:paraId="3A22AE1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 </w:t>
                  </w:r>
                </w:p>
              </w:tc>
            </w:tr>
            <w:tr w:rsidR="00A0730C" w:rsidRPr="00A0730C" w14:paraId="6B3E6125"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10F26B7B"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MTN5Y</w:t>
                  </w:r>
                </w:p>
              </w:tc>
              <w:tc>
                <w:tcPr>
                  <w:tcW w:w="909" w:type="dxa"/>
                  <w:tcBorders>
                    <w:top w:val="nil"/>
                    <w:left w:val="nil"/>
                    <w:bottom w:val="single" w:sz="8" w:space="0" w:color="FFFFFF"/>
                    <w:right w:val="single" w:sz="8" w:space="0" w:color="FFFFFF"/>
                  </w:tcBorders>
                  <w:shd w:val="clear" w:color="000000" w:fill="FCD5B4"/>
                  <w:noWrap/>
                  <w:vAlign w:val="center"/>
                  <w:hideMark/>
                </w:tcPr>
                <w:p w14:paraId="3F11F9D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0.2 </w:t>
                  </w:r>
                </w:p>
              </w:tc>
              <w:tc>
                <w:tcPr>
                  <w:tcW w:w="910" w:type="dxa"/>
                  <w:tcBorders>
                    <w:top w:val="nil"/>
                    <w:left w:val="nil"/>
                    <w:bottom w:val="single" w:sz="8" w:space="0" w:color="FFFFFF"/>
                    <w:right w:val="single" w:sz="8" w:space="0" w:color="FFFFFF"/>
                  </w:tcBorders>
                  <w:shd w:val="clear" w:color="000000" w:fill="FCD5B4"/>
                  <w:noWrap/>
                  <w:vAlign w:val="center"/>
                  <w:hideMark/>
                </w:tcPr>
                <w:p w14:paraId="2FA9A03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2.2 </w:t>
                  </w:r>
                </w:p>
              </w:tc>
              <w:tc>
                <w:tcPr>
                  <w:tcW w:w="910" w:type="dxa"/>
                  <w:tcBorders>
                    <w:top w:val="nil"/>
                    <w:left w:val="nil"/>
                    <w:bottom w:val="single" w:sz="8" w:space="0" w:color="FFFFFF"/>
                    <w:right w:val="single" w:sz="8" w:space="0" w:color="FFFFFF"/>
                  </w:tcBorders>
                  <w:shd w:val="clear" w:color="000000" w:fill="FCD5B4"/>
                  <w:noWrap/>
                  <w:vAlign w:val="center"/>
                  <w:hideMark/>
                </w:tcPr>
                <w:p w14:paraId="197531C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1.2 </w:t>
                  </w:r>
                </w:p>
              </w:tc>
              <w:tc>
                <w:tcPr>
                  <w:tcW w:w="909" w:type="dxa"/>
                  <w:tcBorders>
                    <w:top w:val="nil"/>
                    <w:left w:val="nil"/>
                    <w:bottom w:val="single" w:sz="8" w:space="0" w:color="FFFFFF"/>
                    <w:right w:val="single" w:sz="8" w:space="0" w:color="FFFFFF"/>
                  </w:tcBorders>
                  <w:shd w:val="clear" w:color="000000" w:fill="FCD5B4"/>
                  <w:noWrap/>
                  <w:vAlign w:val="center"/>
                  <w:hideMark/>
                </w:tcPr>
                <w:p w14:paraId="4003958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1.2 </w:t>
                  </w:r>
                </w:p>
              </w:tc>
              <w:tc>
                <w:tcPr>
                  <w:tcW w:w="1134" w:type="dxa"/>
                  <w:tcBorders>
                    <w:top w:val="nil"/>
                    <w:left w:val="nil"/>
                    <w:bottom w:val="single" w:sz="8" w:space="0" w:color="FFFFFF"/>
                    <w:right w:val="single" w:sz="8" w:space="0" w:color="FFFFFF"/>
                  </w:tcBorders>
                  <w:shd w:val="clear" w:color="000000" w:fill="FCD5B4"/>
                  <w:noWrap/>
                  <w:vAlign w:val="center"/>
                  <w:hideMark/>
                </w:tcPr>
                <w:p w14:paraId="648C4E02"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MTN5Y</w:t>
                  </w:r>
                </w:p>
              </w:tc>
              <w:tc>
                <w:tcPr>
                  <w:tcW w:w="909" w:type="dxa"/>
                  <w:tcBorders>
                    <w:top w:val="nil"/>
                    <w:left w:val="nil"/>
                    <w:bottom w:val="single" w:sz="8" w:space="0" w:color="FFFFFF"/>
                    <w:right w:val="single" w:sz="8" w:space="0" w:color="FFFFFF"/>
                  </w:tcBorders>
                  <w:shd w:val="clear" w:color="000000" w:fill="FCD5B4"/>
                  <w:noWrap/>
                  <w:vAlign w:val="center"/>
                  <w:hideMark/>
                </w:tcPr>
                <w:p w14:paraId="7599872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3.2 </w:t>
                  </w:r>
                </w:p>
              </w:tc>
              <w:tc>
                <w:tcPr>
                  <w:tcW w:w="909" w:type="dxa"/>
                  <w:tcBorders>
                    <w:top w:val="nil"/>
                    <w:left w:val="nil"/>
                    <w:bottom w:val="single" w:sz="8" w:space="0" w:color="FFFFFF"/>
                    <w:right w:val="single" w:sz="8" w:space="0" w:color="FFFFFF"/>
                  </w:tcBorders>
                  <w:shd w:val="clear" w:color="000000" w:fill="FCD5B4"/>
                  <w:noWrap/>
                  <w:vAlign w:val="center"/>
                  <w:hideMark/>
                </w:tcPr>
                <w:p w14:paraId="1DE1E61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5.2 </w:t>
                  </w:r>
                </w:p>
              </w:tc>
              <w:tc>
                <w:tcPr>
                  <w:tcW w:w="909" w:type="dxa"/>
                  <w:tcBorders>
                    <w:top w:val="nil"/>
                    <w:left w:val="nil"/>
                    <w:bottom w:val="single" w:sz="8" w:space="0" w:color="FFFFFF"/>
                    <w:right w:val="single" w:sz="8" w:space="0" w:color="FFFFFF"/>
                  </w:tcBorders>
                  <w:shd w:val="clear" w:color="000000" w:fill="FCD5B4"/>
                  <w:noWrap/>
                  <w:vAlign w:val="center"/>
                  <w:hideMark/>
                </w:tcPr>
                <w:p w14:paraId="7E45BA6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4.2 </w:t>
                  </w:r>
                </w:p>
              </w:tc>
              <w:tc>
                <w:tcPr>
                  <w:tcW w:w="909" w:type="dxa"/>
                  <w:tcBorders>
                    <w:top w:val="nil"/>
                    <w:left w:val="nil"/>
                    <w:bottom w:val="single" w:sz="8" w:space="0" w:color="FFFFFF"/>
                    <w:right w:val="single" w:sz="8" w:space="0" w:color="FFFFFF"/>
                  </w:tcBorders>
                  <w:shd w:val="clear" w:color="000000" w:fill="FCD5B4"/>
                  <w:noWrap/>
                  <w:vAlign w:val="center"/>
                  <w:hideMark/>
                </w:tcPr>
                <w:p w14:paraId="540BFEE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4.2 </w:t>
                  </w:r>
                </w:p>
              </w:tc>
            </w:tr>
            <w:tr w:rsidR="00A0730C" w:rsidRPr="00A0730C" w14:paraId="69405A90"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5321ACFF"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企业债3Y</w:t>
                  </w:r>
                </w:p>
              </w:tc>
              <w:tc>
                <w:tcPr>
                  <w:tcW w:w="909" w:type="dxa"/>
                  <w:tcBorders>
                    <w:top w:val="nil"/>
                    <w:left w:val="nil"/>
                    <w:bottom w:val="single" w:sz="8" w:space="0" w:color="FFFFFF"/>
                    <w:right w:val="single" w:sz="8" w:space="0" w:color="FFFFFF"/>
                  </w:tcBorders>
                  <w:shd w:val="clear" w:color="000000" w:fill="FDE9D9"/>
                  <w:noWrap/>
                  <w:vAlign w:val="center"/>
                  <w:hideMark/>
                </w:tcPr>
                <w:p w14:paraId="4DF6837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-1.8 </w:t>
                  </w:r>
                </w:p>
              </w:tc>
              <w:tc>
                <w:tcPr>
                  <w:tcW w:w="910" w:type="dxa"/>
                  <w:tcBorders>
                    <w:top w:val="nil"/>
                    <w:left w:val="nil"/>
                    <w:bottom w:val="single" w:sz="8" w:space="0" w:color="FFFFFF"/>
                    <w:right w:val="single" w:sz="8" w:space="0" w:color="FFFFFF"/>
                  </w:tcBorders>
                  <w:shd w:val="clear" w:color="000000" w:fill="FDE9D9"/>
                  <w:noWrap/>
                  <w:vAlign w:val="center"/>
                  <w:hideMark/>
                </w:tcPr>
                <w:p w14:paraId="051F058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2.2 </w:t>
                  </w:r>
                </w:p>
              </w:tc>
              <w:tc>
                <w:tcPr>
                  <w:tcW w:w="910" w:type="dxa"/>
                  <w:tcBorders>
                    <w:top w:val="nil"/>
                    <w:left w:val="nil"/>
                    <w:bottom w:val="single" w:sz="8" w:space="0" w:color="FFFFFF"/>
                    <w:right w:val="single" w:sz="8" w:space="0" w:color="FFFFFF"/>
                  </w:tcBorders>
                  <w:shd w:val="clear" w:color="000000" w:fill="FDE9D9"/>
                  <w:noWrap/>
                  <w:vAlign w:val="center"/>
                  <w:hideMark/>
                </w:tcPr>
                <w:p w14:paraId="122347C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1.2 </w:t>
                  </w:r>
                </w:p>
              </w:tc>
              <w:tc>
                <w:tcPr>
                  <w:tcW w:w="909" w:type="dxa"/>
                  <w:tcBorders>
                    <w:top w:val="nil"/>
                    <w:left w:val="nil"/>
                    <w:bottom w:val="single" w:sz="8" w:space="0" w:color="FFFFFF"/>
                    <w:right w:val="single" w:sz="8" w:space="0" w:color="FFFFFF"/>
                  </w:tcBorders>
                  <w:shd w:val="clear" w:color="000000" w:fill="FDE9D9"/>
                  <w:noWrap/>
                  <w:vAlign w:val="center"/>
                  <w:hideMark/>
                </w:tcPr>
                <w:p w14:paraId="6E85B1A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1.2 </w:t>
                  </w:r>
                </w:p>
              </w:tc>
              <w:tc>
                <w:tcPr>
                  <w:tcW w:w="1134" w:type="dxa"/>
                  <w:tcBorders>
                    <w:top w:val="nil"/>
                    <w:left w:val="nil"/>
                    <w:bottom w:val="single" w:sz="8" w:space="0" w:color="FFFFFF"/>
                    <w:right w:val="single" w:sz="8" w:space="0" w:color="FFFFFF"/>
                  </w:tcBorders>
                  <w:shd w:val="clear" w:color="000000" w:fill="FDE9D9"/>
                  <w:noWrap/>
                  <w:vAlign w:val="center"/>
                  <w:hideMark/>
                </w:tcPr>
                <w:p w14:paraId="19FD2006"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企业债3Y</w:t>
                  </w:r>
                </w:p>
              </w:tc>
              <w:tc>
                <w:tcPr>
                  <w:tcW w:w="909" w:type="dxa"/>
                  <w:tcBorders>
                    <w:top w:val="nil"/>
                    <w:left w:val="nil"/>
                    <w:bottom w:val="single" w:sz="8" w:space="0" w:color="FFFFFF"/>
                    <w:right w:val="single" w:sz="8" w:space="0" w:color="FFFFFF"/>
                  </w:tcBorders>
                  <w:shd w:val="clear" w:color="000000" w:fill="FDE9D9"/>
                  <w:noWrap/>
                  <w:vAlign w:val="center"/>
                  <w:hideMark/>
                </w:tcPr>
                <w:p w14:paraId="1EC23D4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1.4 </w:t>
                  </w:r>
                </w:p>
              </w:tc>
              <w:tc>
                <w:tcPr>
                  <w:tcW w:w="909" w:type="dxa"/>
                  <w:tcBorders>
                    <w:top w:val="nil"/>
                    <w:left w:val="nil"/>
                    <w:bottom w:val="single" w:sz="8" w:space="0" w:color="FFFFFF"/>
                    <w:right w:val="single" w:sz="8" w:space="0" w:color="FFFFFF"/>
                  </w:tcBorders>
                  <w:shd w:val="clear" w:color="000000" w:fill="FDE9D9"/>
                  <w:noWrap/>
                  <w:vAlign w:val="center"/>
                  <w:hideMark/>
                </w:tcPr>
                <w:p w14:paraId="1CB4AD7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5.4 </w:t>
                  </w:r>
                </w:p>
              </w:tc>
              <w:tc>
                <w:tcPr>
                  <w:tcW w:w="909" w:type="dxa"/>
                  <w:tcBorders>
                    <w:top w:val="nil"/>
                    <w:left w:val="nil"/>
                    <w:bottom w:val="single" w:sz="8" w:space="0" w:color="FFFFFF"/>
                    <w:right w:val="single" w:sz="8" w:space="0" w:color="FFFFFF"/>
                  </w:tcBorders>
                  <w:shd w:val="clear" w:color="000000" w:fill="FDE9D9"/>
                  <w:noWrap/>
                  <w:vAlign w:val="center"/>
                  <w:hideMark/>
                </w:tcPr>
                <w:p w14:paraId="5A70B48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4.4 </w:t>
                  </w:r>
                </w:p>
              </w:tc>
              <w:tc>
                <w:tcPr>
                  <w:tcW w:w="909" w:type="dxa"/>
                  <w:tcBorders>
                    <w:top w:val="nil"/>
                    <w:left w:val="nil"/>
                    <w:bottom w:val="single" w:sz="8" w:space="0" w:color="FFFFFF"/>
                    <w:right w:val="single" w:sz="8" w:space="0" w:color="FFFFFF"/>
                  </w:tcBorders>
                  <w:shd w:val="clear" w:color="000000" w:fill="FDE9D9"/>
                  <w:noWrap/>
                  <w:vAlign w:val="center"/>
                  <w:hideMark/>
                </w:tcPr>
                <w:p w14:paraId="30CAA59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4.4 </w:t>
                  </w:r>
                </w:p>
              </w:tc>
            </w:tr>
            <w:tr w:rsidR="00A0730C" w:rsidRPr="00A0730C" w14:paraId="38E22188"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64DF410B"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企业债5Y</w:t>
                  </w:r>
                </w:p>
              </w:tc>
              <w:tc>
                <w:tcPr>
                  <w:tcW w:w="909" w:type="dxa"/>
                  <w:tcBorders>
                    <w:top w:val="nil"/>
                    <w:left w:val="nil"/>
                    <w:bottom w:val="single" w:sz="8" w:space="0" w:color="FFFFFF"/>
                    <w:right w:val="single" w:sz="8" w:space="0" w:color="FFFFFF"/>
                  </w:tcBorders>
                  <w:shd w:val="clear" w:color="000000" w:fill="FCD5B4"/>
                  <w:noWrap/>
                  <w:vAlign w:val="center"/>
                  <w:hideMark/>
                </w:tcPr>
                <w:p w14:paraId="63CF311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0.2 </w:t>
                  </w:r>
                </w:p>
              </w:tc>
              <w:tc>
                <w:tcPr>
                  <w:tcW w:w="910" w:type="dxa"/>
                  <w:tcBorders>
                    <w:top w:val="nil"/>
                    <w:left w:val="nil"/>
                    <w:bottom w:val="single" w:sz="8" w:space="0" w:color="FFFFFF"/>
                    <w:right w:val="single" w:sz="8" w:space="0" w:color="FFFFFF"/>
                  </w:tcBorders>
                  <w:shd w:val="clear" w:color="000000" w:fill="FCD5B4"/>
                  <w:noWrap/>
                  <w:vAlign w:val="center"/>
                  <w:hideMark/>
                </w:tcPr>
                <w:p w14:paraId="1E9A2C8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-0.8 </w:t>
                  </w:r>
                </w:p>
              </w:tc>
              <w:tc>
                <w:tcPr>
                  <w:tcW w:w="910" w:type="dxa"/>
                  <w:tcBorders>
                    <w:top w:val="nil"/>
                    <w:left w:val="nil"/>
                    <w:bottom w:val="single" w:sz="8" w:space="0" w:color="FFFFFF"/>
                    <w:right w:val="single" w:sz="8" w:space="0" w:color="FFFFFF"/>
                  </w:tcBorders>
                  <w:shd w:val="clear" w:color="000000" w:fill="FCD5B4"/>
                  <w:noWrap/>
                  <w:vAlign w:val="center"/>
                  <w:hideMark/>
                </w:tcPr>
                <w:p w14:paraId="1BA9DD6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-0.8 </w:t>
                  </w:r>
                </w:p>
              </w:tc>
              <w:tc>
                <w:tcPr>
                  <w:tcW w:w="909" w:type="dxa"/>
                  <w:tcBorders>
                    <w:top w:val="nil"/>
                    <w:left w:val="nil"/>
                    <w:bottom w:val="single" w:sz="8" w:space="0" w:color="FFFFFF"/>
                    <w:right w:val="single" w:sz="8" w:space="0" w:color="FFFFFF"/>
                  </w:tcBorders>
                  <w:shd w:val="clear" w:color="000000" w:fill="FCD5B4"/>
                  <w:noWrap/>
                  <w:vAlign w:val="center"/>
                  <w:hideMark/>
                </w:tcPr>
                <w:p w14:paraId="5E9E928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-0.8 </w:t>
                  </w:r>
                </w:p>
              </w:tc>
              <w:tc>
                <w:tcPr>
                  <w:tcW w:w="1134" w:type="dxa"/>
                  <w:tcBorders>
                    <w:top w:val="nil"/>
                    <w:left w:val="nil"/>
                    <w:bottom w:val="single" w:sz="8" w:space="0" w:color="FFFFFF"/>
                    <w:right w:val="single" w:sz="8" w:space="0" w:color="FFFFFF"/>
                  </w:tcBorders>
                  <w:shd w:val="clear" w:color="000000" w:fill="FCD5B4"/>
                  <w:noWrap/>
                  <w:vAlign w:val="center"/>
                  <w:hideMark/>
                </w:tcPr>
                <w:p w14:paraId="0468190B"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企业债5Y</w:t>
                  </w:r>
                </w:p>
              </w:tc>
              <w:tc>
                <w:tcPr>
                  <w:tcW w:w="909" w:type="dxa"/>
                  <w:tcBorders>
                    <w:top w:val="nil"/>
                    <w:left w:val="nil"/>
                    <w:bottom w:val="single" w:sz="8" w:space="0" w:color="FFFFFF"/>
                    <w:right w:val="single" w:sz="8" w:space="0" w:color="FFFFFF"/>
                  </w:tcBorders>
                  <w:shd w:val="clear" w:color="000000" w:fill="FCD5B4"/>
                  <w:noWrap/>
                  <w:vAlign w:val="center"/>
                  <w:hideMark/>
                </w:tcPr>
                <w:p w14:paraId="28955FD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3.2 </w:t>
                  </w:r>
                </w:p>
              </w:tc>
              <w:tc>
                <w:tcPr>
                  <w:tcW w:w="909" w:type="dxa"/>
                  <w:tcBorders>
                    <w:top w:val="nil"/>
                    <w:left w:val="nil"/>
                    <w:bottom w:val="single" w:sz="8" w:space="0" w:color="FFFFFF"/>
                    <w:right w:val="single" w:sz="8" w:space="0" w:color="FFFFFF"/>
                  </w:tcBorders>
                  <w:shd w:val="clear" w:color="000000" w:fill="FCD5B4"/>
                  <w:noWrap/>
                  <w:vAlign w:val="center"/>
                  <w:hideMark/>
                </w:tcPr>
                <w:p w14:paraId="058B62D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2.2 </w:t>
                  </w:r>
                </w:p>
              </w:tc>
              <w:tc>
                <w:tcPr>
                  <w:tcW w:w="909" w:type="dxa"/>
                  <w:tcBorders>
                    <w:top w:val="nil"/>
                    <w:left w:val="nil"/>
                    <w:bottom w:val="single" w:sz="8" w:space="0" w:color="FFFFFF"/>
                    <w:right w:val="single" w:sz="8" w:space="0" w:color="FFFFFF"/>
                  </w:tcBorders>
                  <w:shd w:val="clear" w:color="000000" w:fill="FCD5B4"/>
                  <w:noWrap/>
                  <w:vAlign w:val="center"/>
                  <w:hideMark/>
                </w:tcPr>
                <w:p w14:paraId="4F5BF63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2.2 </w:t>
                  </w:r>
                </w:p>
              </w:tc>
              <w:tc>
                <w:tcPr>
                  <w:tcW w:w="909" w:type="dxa"/>
                  <w:tcBorders>
                    <w:top w:val="nil"/>
                    <w:left w:val="nil"/>
                    <w:bottom w:val="single" w:sz="8" w:space="0" w:color="FFFFFF"/>
                    <w:right w:val="single" w:sz="8" w:space="0" w:color="FFFFFF"/>
                  </w:tcBorders>
                  <w:shd w:val="clear" w:color="000000" w:fill="FCD5B4"/>
                  <w:noWrap/>
                  <w:vAlign w:val="center"/>
                  <w:hideMark/>
                </w:tcPr>
                <w:p w14:paraId="1600D46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2.2 </w:t>
                  </w:r>
                </w:p>
              </w:tc>
            </w:tr>
            <w:tr w:rsidR="00A0730C" w:rsidRPr="00A0730C" w14:paraId="1D0D9674"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562D2044"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企业债7Y</w:t>
                  </w:r>
                </w:p>
              </w:tc>
              <w:tc>
                <w:tcPr>
                  <w:tcW w:w="909" w:type="dxa"/>
                  <w:tcBorders>
                    <w:top w:val="nil"/>
                    <w:left w:val="nil"/>
                    <w:bottom w:val="single" w:sz="8" w:space="0" w:color="FFFFFF"/>
                    <w:right w:val="single" w:sz="8" w:space="0" w:color="FFFFFF"/>
                  </w:tcBorders>
                  <w:shd w:val="clear" w:color="000000" w:fill="FDE9D9"/>
                  <w:noWrap/>
                  <w:vAlign w:val="center"/>
                  <w:hideMark/>
                </w:tcPr>
                <w:p w14:paraId="1C3BC3F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-2.3 </w:t>
                  </w:r>
                </w:p>
              </w:tc>
              <w:tc>
                <w:tcPr>
                  <w:tcW w:w="910" w:type="dxa"/>
                  <w:tcBorders>
                    <w:top w:val="nil"/>
                    <w:left w:val="nil"/>
                    <w:bottom w:val="single" w:sz="8" w:space="0" w:color="FFFFFF"/>
                    <w:right w:val="single" w:sz="8" w:space="0" w:color="FFFFFF"/>
                  </w:tcBorders>
                  <w:shd w:val="clear" w:color="000000" w:fill="FDE9D9"/>
                  <w:noWrap/>
                  <w:vAlign w:val="center"/>
                  <w:hideMark/>
                </w:tcPr>
                <w:p w14:paraId="3BD8DC5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-3.3 </w:t>
                  </w:r>
                </w:p>
              </w:tc>
              <w:tc>
                <w:tcPr>
                  <w:tcW w:w="910" w:type="dxa"/>
                  <w:tcBorders>
                    <w:top w:val="nil"/>
                    <w:left w:val="nil"/>
                    <w:bottom w:val="single" w:sz="8" w:space="0" w:color="FFFFFF"/>
                    <w:right w:val="single" w:sz="8" w:space="0" w:color="FFFFFF"/>
                  </w:tcBorders>
                  <w:shd w:val="clear" w:color="000000" w:fill="FDE9D9"/>
                  <w:noWrap/>
                  <w:vAlign w:val="center"/>
                  <w:hideMark/>
                </w:tcPr>
                <w:p w14:paraId="09894BF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-3.3 </w:t>
                  </w:r>
                </w:p>
              </w:tc>
              <w:tc>
                <w:tcPr>
                  <w:tcW w:w="909" w:type="dxa"/>
                  <w:tcBorders>
                    <w:top w:val="nil"/>
                    <w:left w:val="nil"/>
                    <w:bottom w:val="single" w:sz="8" w:space="0" w:color="FFFFFF"/>
                    <w:right w:val="single" w:sz="8" w:space="0" w:color="FFFFFF"/>
                  </w:tcBorders>
                  <w:shd w:val="clear" w:color="000000" w:fill="FDE9D9"/>
                  <w:noWrap/>
                  <w:vAlign w:val="center"/>
                  <w:hideMark/>
                </w:tcPr>
                <w:p w14:paraId="73335D0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-3.3 </w:t>
                  </w:r>
                </w:p>
              </w:tc>
              <w:tc>
                <w:tcPr>
                  <w:tcW w:w="1134" w:type="dxa"/>
                  <w:tcBorders>
                    <w:top w:val="nil"/>
                    <w:left w:val="nil"/>
                    <w:bottom w:val="single" w:sz="8" w:space="0" w:color="FFFFFF"/>
                    <w:right w:val="single" w:sz="8" w:space="0" w:color="FFFFFF"/>
                  </w:tcBorders>
                  <w:shd w:val="clear" w:color="000000" w:fill="FDE9D9"/>
                  <w:noWrap/>
                  <w:vAlign w:val="center"/>
                  <w:hideMark/>
                </w:tcPr>
                <w:p w14:paraId="1485A945"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企业债7Y</w:t>
                  </w:r>
                </w:p>
              </w:tc>
              <w:tc>
                <w:tcPr>
                  <w:tcW w:w="909" w:type="dxa"/>
                  <w:tcBorders>
                    <w:top w:val="nil"/>
                    <w:left w:val="nil"/>
                    <w:bottom w:val="single" w:sz="8" w:space="0" w:color="FFFFFF"/>
                    <w:right w:val="single" w:sz="8" w:space="0" w:color="FFFFFF"/>
                  </w:tcBorders>
                  <w:shd w:val="clear" w:color="000000" w:fill="FDE9D9"/>
                  <w:noWrap/>
                  <w:vAlign w:val="center"/>
                  <w:hideMark/>
                </w:tcPr>
                <w:p w14:paraId="66BB851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-0.3 </w:t>
                  </w:r>
                </w:p>
              </w:tc>
              <w:tc>
                <w:tcPr>
                  <w:tcW w:w="909" w:type="dxa"/>
                  <w:tcBorders>
                    <w:top w:val="nil"/>
                    <w:left w:val="nil"/>
                    <w:bottom w:val="single" w:sz="8" w:space="0" w:color="FFFFFF"/>
                    <w:right w:val="single" w:sz="8" w:space="0" w:color="FFFFFF"/>
                  </w:tcBorders>
                  <w:shd w:val="clear" w:color="000000" w:fill="FDE9D9"/>
                  <w:noWrap/>
                  <w:vAlign w:val="center"/>
                  <w:hideMark/>
                </w:tcPr>
                <w:p w14:paraId="42EED3E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-1.3 </w:t>
                  </w:r>
                </w:p>
              </w:tc>
              <w:tc>
                <w:tcPr>
                  <w:tcW w:w="909" w:type="dxa"/>
                  <w:tcBorders>
                    <w:top w:val="nil"/>
                    <w:left w:val="nil"/>
                    <w:bottom w:val="single" w:sz="8" w:space="0" w:color="FFFFFF"/>
                    <w:right w:val="single" w:sz="8" w:space="0" w:color="FFFFFF"/>
                  </w:tcBorders>
                  <w:shd w:val="clear" w:color="000000" w:fill="FDE9D9"/>
                  <w:noWrap/>
                  <w:vAlign w:val="center"/>
                  <w:hideMark/>
                </w:tcPr>
                <w:p w14:paraId="5F44E08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-1.3 </w:t>
                  </w:r>
                </w:p>
              </w:tc>
              <w:tc>
                <w:tcPr>
                  <w:tcW w:w="909" w:type="dxa"/>
                  <w:tcBorders>
                    <w:top w:val="nil"/>
                    <w:left w:val="nil"/>
                    <w:bottom w:val="single" w:sz="8" w:space="0" w:color="FFFFFF"/>
                    <w:right w:val="single" w:sz="8" w:space="0" w:color="FFFFFF"/>
                  </w:tcBorders>
                  <w:shd w:val="clear" w:color="000000" w:fill="FDE9D9"/>
                  <w:noWrap/>
                  <w:vAlign w:val="center"/>
                  <w:hideMark/>
                </w:tcPr>
                <w:p w14:paraId="70663BB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-1.3 </w:t>
                  </w:r>
                </w:p>
              </w:tc>
            </w:tr>
            <w:tr w:rsidR="00A0730C" w:rsidRPr="00A0730C" w14:paraId="4D3778A5"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2D5191D2"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3Y</w:t>
                  </w:r>
                </w:p>
              </w:tc>
              <w:tc>
                <w:tcPr>
                  <w:tcW w:w="909" w:type="dxa"/>
                  <w:tcBorders>
                    <w:top w:val="nil"/>
                    <w:left w:val="nil"/>
                    <w:bottom w:val="single" w:sz="8" w:space="0" w:color="FFFFFF"/>
                    <w:right w:val="single" w:sz="8" w:space="0" w:color="FFFFFF"/>
                  </w:tcBorders>
                  <w:shd w:val="clear" w:color="000000" w:fill="FCD5B4"/>
                  <w:noWrap/>
                  <w:vAlign w:val="center"/>
                  <w:hideMark/>
                </w:tcPr>
                <w:p w14:paraId="2D53E92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-7.4 </w:t>
                  </w:r>
                </w:p>
              </w:tc>
              <w:tc>
                <w:tcPr>
                  <w:tcW w:w="910" w:type="dxa"/>
                  <w:tcBorders>
                    <w:top w:val="nil"/>
                    <w:left w:val="nil"/>
                    <w:bottom w:val="single" w:sz="8" w:space="0" w:color="FFFFFF"/>
                    <w:right w:val="single" w:sz="8" w:space="0" w:color="FFFFFF"/>
                  </w:tcBorders>
                  <w:shd w:val="clear" w:color="000000" w:fill="FCD5B4"/>
                  <w:noWrap/>
                  <w:vAlign w:val="center"/>
                  <w:hideMark/>
                </w:tcPr>
                <w:p w14:paraId="07252C8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-5.4 </w:t>
                  </w:r>
                </w:p>
              </w:tc>
              <w:tc>
                <w:tcPr>
                  <w:tcW w:w="910" w:type="dxa"/>
                  <w:tcBorders>
                    <w:top w:val="nil"/>
                    <w:left w:val="nil"/>
                    <w:bottom w:val="single" w:sz="8" w:space="0" w:color="FFFFFF"/>
                    <w:right w:val="single" w:sz="8" w:space="0" w:color="FFFFFF"/>
                  </w:tcBorders>
                  <w:shd w:val="clear" w:color="000000" w:fill="FCD5B4"/>
                  <w:noWrap/>
                  <w:vAlign w:val="center"/>
                  <w:hideMark/>
                </w:tcPr>
                <w:p w14:paraId="382B08D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-1.4 </w:t>
                  </w:r>
                </w:p>
              </w:tc>
              <w:tc>
                <w:tcPr>
                  <w:tcW w:w="909" w:type="dxa"/>
                  <w:tcBorders>
                    <w:top w:val="nil"/>
                    <w:left w:val="nil"/>
                    <w:bottom w:val="single" w:sz="8" w:space="0" w:color="FFFFFF"/>
                    <w:right w:val="single" w:sz="8" w:space="0" w:color="FFFFFF"/>
                  </w:tcBorders>
                  <w:shd w:val="clear" w:color="000000" w:fill="FCD5B4"/>
                  <w:noWrap/>
                  <w:vAlign w:val="center"/>
                  <w:hideMark/>
                </w:tcPr>
                <w:p w14:paraId="65FE33D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-2.4 </w:t>
                  </w:r>
                </w:p>
              </w:tc>
              <w:tc>
                <w:tcPr>
                  <w:tcW w:w="1134" w:type="dxa"/>
                  <w:tcBorders>
                    <w:top w:val="nil"/>
                    <w:left w:val="nil"/>
                    <w:bottom w:val="single" w:sz="8" w:space="0" w:color="FFFFFF"/>
                    <w:right w:val="single" w:sz="8" w:space="0" w:color="FFFFFF"/>
                  </w:tcBorders>
                  <w:shd w:val="clear" w:color="000000" w:fill="FCD5B4"/>
                  <w:noWrap/>
                  <w:vAlign w:val="center"/>
                  <w:hideMark/>
                </w:tcPr>
                <w:p w14:paraId="64176086"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3Y</w:t>
                  </w:r>
                </w:p>
              </w:tc>
              <w:tc>
                <w:tcPr>
                  <w:tcW w:w="909" w:type="dxa"/>
                  <w:tcBorders>
                    <w:top w:val="nil"/>
                    <w:left w:val="nil"/>
                    <w:bottom w:val="single" w:sz="8" w:space="0" w:color="FFFFFF"/>
                    <w:right w:val="single" w:sz="8" w:space="0" w:color="FFFFFF"/>
                  </w:tcBorders>
                  <w:shd w:val="clear" w:color="000000" w:fill="FCD5B4"/>
                  <w:noWrap/>
                  <w:vAlign w:val="center"/>
                  <w:hideMark/>
                </w:tcPr>
                <w:p w14:paraId="6FDECEF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-4.1 </w:t>
                  </w:r>
                </w:p>
              </w:tc>
              <w:tc>
                <w:tcPr>
                  <w:tcW w:w="909" w:type="dxa"/>
                  <w:tcBorders>
                    <w:top w:val="nil"/>
                    <w:left w:val="nil"/>
                    <w:bottom w:val="single" w:sz="8" w:space="0" w:color="FFFFFF"/>
                    <w:right w:val="single" w:sz="8" w:space="0" w:color="FFFFFF"/>
                  </w:tcBorders>
                  <w:shd w:val="clear" w:color="000000" w:fill="FCD5B4"/>
                  <w:noWrap/>
                  <w:vAlign w:val="center"/>
                  <w:hideMark/>
                </w:tcPr>
                <w:p w14:paraId="51B6D53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-2.1 </w:t>
                  </w:r>
                </w:p>
              </w:tc>
              <w:tc>
                <w:tcPr>
                  <w:tcW w:w="909" w:type="dxa"/>
                  <w:tcBorders>
                    <w:top w:val="nil"/>
                    <w:left w:val="nil"/>
                    <w:bottom w:val="single" w:sz="8" w:space="0" w:color="FFFFFF"/>
                    <w:right w:val="single" w:sz="8" w:space="0" w:color="FFFFFF"/>
                  </w:tcBorders>
                  <w:shd w:val="clear" w:color="000000" w:fill="FCD5B4"/>
                  <w:noWrap/>
                  <w:vAlign w:val="center"/>
                  <w:hideMark/>
                </w:tcPr>
                <w:p w14:paraId="6E1E5FA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1.9 </w:t>
                  </w:r>
                </w:p>
              </w:tc>
              <w:tc>
                <w:tcPr>
                  <w:tcW w:w="909" w:type="dxa"/>
                  <w:tcBorders>
                    <w:top w:val="nil"/>
                    <w:left w:val="nil"/>
                    <w:bottom w:val="single" w:sz="8" w:space="0" w:color="FFFFFF"/>
                    <w:right w:val="single" w:sz="8" w:space="0" w:color="FFFFFF"/>
                  </w:tcBorders>
                  <w:shd w:val="clear" w:color="000000" w:fill="FCD5B4"/>
                  <w:noWrap/>
                  <w:vAlign w:val="center"/>
                  <w:hideMark/>
                </w:tcPr>
                <w:p w14:paraId="1E480D6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0.9 </w:t>
                  </w:r>
                </w:p>
              </w:tc>
            </w:tr>
            <w:tr w:rsidR="00A0730C" w:rsidRPr="00A0730C" w14:paraId="52D5CE2C"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641C2350"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lastRenderedPageBreak/>
                    <w:t>城投债</w:t>
                  </w:r>
                  <w:proofErr w:type="gramEnd"/>
                  <w:r w:rsidRPr="00A0730C">
                    <w:rPr>
                      <w:rFonts w:ascii="楷体" w:eastAsia="楷体" w:hAnsi="楷体" w:cs="宋体" w:hint="eastAsia"/>
                      <w:color w:val="000000"/>
                      <w:kern w:val="0"/>
                      <w:sz w:val="20"/>
                      <w:szCs w:val="20"/>
                    </w:rPr>
                    <w:t>5Y</w:t>
                  </w:r>
                </w:p>
              </w:tc>
              <w:tc>
                <w:tcPr>
                  <w:tcW w:w="909" w:type="dxa"/>
                  <w:tcBorders>
                    <w:top w:val="nil"/>
                    <w:left w:val="nil"/>
                    <w:bottom w:val="single" w:sz="8" w:space="0" w:color="FFFFFF"/>
                    <w:right w:val="single" w:sz="8" w:space="0" w:color="FFFFFF"/>
                  </w:tcBorders>
                  <w:shd w:val="clear" w:color="000000" w:fill="FDE9D9"/>
                  <w:noWrap/>
                  <w:vAlign w:val="center"/>
                  <w:hideMark/>
                </w:tcPr>
                <w:p w14:paraId="268397F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-0.2 </w:t>
                  </w:r>
                </w:p>
              </w:tc>
              <w:tc>
                <w:tcPr>
                  <w:tcW w:w="910" w:type="dxa"/>
                  <w:tcBorders>
                    <w:top w:val="nil"/>
                    <w:left w:val="nil"/>
                    <w:bottom w:val="single" w:sz="8" w:space="0" w:color="FFFFFF"/>
                    <w:right w:val="single" w:sz="8" w:space="0" w:color="FFFFFF"/>
                  </w:tcBorders>
                  <w:shd w:val="clear" w:color="000000" w:fill="FDE9D9"/>
                  <w:noWrap/>
                  <w:vAlign w:val="center"/>
                  <w:hideMark/>
                </w:tcPr>
                <w:p w14:paraId="2168D74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 </w:t>
                  </w:r>
                </w:p>
              </w:tc>
              <w:tc>
                <w:tcPr>
                  <w:tcW w:w="910" w:type="dxa"/>
                  <w:tcBorders>
                    <w:top w:val="nil"/>
                    <w:left w:val="nil"/>
                    <w:bottom w:val="single" w:sz="8" w:space="0" w:color="FFFFFF"/>
                    <w:right w:val="single" w:sz="8" w:space="0" w:color="FFFFFF"/>
                  </w:tcBorders>
                  <w:shd w:val="clear" w:color="000000" w:fill="FDE9D9"/>
                  <w:noWrap/>
                  <w:vAlign w:val="center"/>
                  <w:hideMark/>
                </w:tcPr>
                <w:p w14:paraId="4E16EF9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0.8 </w:t>
                  </w:r>
                </w:p>
              </w:tc>
              <w:tc>
                <w:tcPr>
                  <w:tcW w:w="909" w:type="dxa"/>
                  <w:tcBorders>
                    <w:top w:val="nil"/>
                    <w:left w:val="nil"/>
                    <w:bottom w:val="single" w:sz="8" w:space="0" w:color="FFFFFF"/>
                    <w:right w:val="single" w:sz="8" w:space="0" w:color="FFFFFF"/>
                  </w:tcBorders>
                  <w:shd w:val="clear" w:color="000000" w:fill="FDE9D9"/>
                  <w:noWrap/>
                  <w:vAlign w:val="center"/>
                  <w:hideMark/>
                </w:tcPr>
                <w:p w14:paraId="60F2744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2.8 </w:t>
                  </w:r>
                </w:p>
              </w:tc>
              <w:tc>
                <w:tcPr>
                  <w:tcW w:w="1134" w:type="dxa"/>
                  <w:tcBorders>
                    <w:top w:val="nil"/>
                    <w:left w:val="nil"/>
                    <w:bottom w:val="single" w:sz="8" w:space="0" w:color="FFFFFF"/>
                    <w:right w:val="single" w:sz="8" w:space="0" w:color="FFFFFF"/>
                  </w:tcBorders>
                  <w:shd w:val="clear" w:color="000000" w:fill="FDE9D9"/>
                  <w:noWrap/>
                  <w:vAlign w:val="center"/>
                  <w:hideMark/>
                </w:tcPr>
                <w:p w14:paraId="5063D4BB"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5Y</w:t>
                  </w:r>
                </w:p>
              </w:tc>
              <w:tc>
                <w:tcPr>
                  <w:tcW w:w="909" w:type="dxa"/>
                  <w:tcBorders>
                    <w:top w:val="nil"/>
                    <w:left w:val="nil"/>
                    <w:bottom w:val="single" w:sz="8" w:space="0" w:color="FFFFFF"/>
                    <w:right w:val="single" w:sz="8" w:space="0" w:color="FFFFFF"/>
                  </w:tcBorders>
                  <w:shd w:val="clear" w:color="000000" w:fill="FDE9D9"/>
                  <w:noWrap/>
                  <w:vAlign w:val="center"/>
                  <w:hideMark/>
                </w:tcPr>
                <w:p w14:paraId="20E4FD5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2.8 </w:t>
                  </w:r>
                </w:p>
              </w:tc>
              <w:tc>
                <w:tcPr>
                  <w:tcW w:w="909" w:type="dxa"/>
                  <w:tcBorders>
                    <w:top w:val="nil"/>
                    <w:left w:val="nil"/>
                    <w:bottom w:val="single" w:sz="8" w:space="0" w:color="FFFFFF"/>
                    <w:right w:val="single" w:sz="8" w:space="0" w:color="FFFFFF"/>
                  </w:tcBorders>
                  <w:shd w:val="clear" w:color="000000" w:fill="FDE9D9"/>
                  <w:noWrap/>
                  <w:vAlign w:val="center"/>
                  <w:hideMark/>
                </w:tcPr>
                <w:p w14:paraId="0BD7288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3.8 </w:t>
                  </w:r>
                </w:p>
              </w:tc>
              <w:tc>
                <w:tcPr>
                  <w:tcW w:w="909" w:type="dxa"/>
                  <w:tcBorders>
                    <w:top w:val="nil"/>
                    <w:left w:val="nil"/>
                    <w:bottom w:val="single" w:sz="8" w:space="0" w:color="FFFFFF"/>
                    <w:right w:val="single" w:sz="8" w:space="0" w:color="FFFFFF"/>
                  </w:tcBorders>
                  <w:shd w:val="clear" w:color="000000" w:fill="FDE9D9"/>
                  <w:noWrap/>
                  <w:vAlign w:val="center"/>
                  <w:hideMark/>
                </w:tcPr>
                <w:p w14:paraId="58399E0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3.8 </w:t>
                  </w:r>
                </w:p>
              </w:tc>
              <w:tc>
                <w:tcPr>
                  <w:tcW w:w="909" w:type="dxa"/>
                  <w:tcBorders>
                    <w:top w:val="nil"/>
                    <w:left w:val="nil"/>
                    <w:bottom w:val="single" w:sz="8" w:space="0" w:color="FFFFFF"/>
                    <w:right w:val="single" w:sz="8" w:space="0" w:color="FFFFFF"/>
                  </w:tcBorders>
                  <w:shd w:val="clear" w:color="000000" w:fill="FDE9D9"/>
                  <w:noWrap/>
                  <w:vAlign w:val="center"/>
                  <w:hideMark/>
                </w:tcPr>
                <w:p w14:paraId="3571339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 xml:space="preserve">5.8 </w:t>
                  </w:r>
                </w:p>
              </w:tc>
            </w:tr>
            <w:tr w:rsidR="00A0730C" w:rsidRPr="00A0730C" w14:paraId="096992CC" w14:textId="77777777" w:rsidTr="00A0730C">
              <w:trPr>
                <w:trHeight w:val="400"/>
              </w:trPr>
              <w:tc>
                <w:tcPr>
                  <w:tcW w:w="1338" w:type="dxa"/>
                  <w:tcBorders>
                    <w:top w:val="nil"/>
                    <w:left w:val="nil"/>
                    <w:bottom w:val="nil"/>
                    <w:right w:val="nil"/>
                  </w:tcBorders>
                  <w:shd w:val="clear" w:color="000000" w:fill="FCD5B4"/>
                  <w:noWrap/>
                  <w:vAlign w:val="center"/>
                  <w:hideMark/>
                </w:tcPr>
                <w:p w14:paraId="6F535A67"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7Y</w:t>
                  </w:r>
                </w:p>
              </w:tc>
              <w:tc>
                <w:tcPr>
                  <w:tcW w:w="909" w:type="dxa"/>
                  <w:tcBorders>
                    <w:top w:val="nil"/>
                    <w:left w:val="nil"/>
                    <w:bottom w:val="single" w:sz="8" w:space="0" w:color="FFFFFF"/>
                    <w:right w:val="single" w:sz="8" w:space="0" w:color="FFFFFF"/>
                  </w:tcBorders>
                  <w:shd w:val="clear" w:color="000000" w:fill="FCD5B4"/>
                  <w:noWrap/>
                  <w:vAlign w:val="center"/>
                  <w:hideMark/>
                </w:tcPr>
                <w:p w14:paraId="6BC01B4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-4.1 </w:t>
                  </w:r>
                </w:p>
              </w:tc>
              <w:tc>
                <w:tcPr>
                  <w:tcW w:w="910" w:type="dxa"/>
                  <w:tcBorders>
                    <w:top w:val="nil"/>
                    <w:left w:val="nil"/>
                    <w:bottom w:val="single" w:sz="8" w:space="0" w:color="FFFFFF"/>
                    <w:right w:val="single" w:sz="8" w:space="0" w:color="FFFFFF"/>
                  </w:tcBorders>
                  <w:shd w:val="clear" w:color="000000" w:fill="FCD5B4"/>
                  <w:noWrap/>
                  <w:vAlign w:val="center"/>
                  <w:hideMark/>
                </w:tcPr>
                <w:p w14:paraId="43E24D9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-2.1 </w:t>
                  </w:r>
                </w:p>
              </w:tc>
              <w:tc>
                <w:tcPr>
                  <w:tcW w:w="910" w:type="dxa"/>
                  <w:tcBorders>
                    <w:top w:val="nil"/>
                    <w:left w:val="nil"/>
                    <w:bottom w:val="single" w:sz="8" w:space="0" w:color="FFFFFF"/>
                    <w:right w:val="single" w:sz="8" w:space="0" w:color="FFFFFF"/>
                  </w:tcBorders>
                  <w:shd w:val="clear" w:color="000000" w:fill="FCD5B4"/>
                  <w:noWrap/>
                  <w:vAlign w:val="center"/>
                  <w:hideMark/>
                </w:tcPr>
                <w:p w14:paraId="5BC6ECD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-4.1 </w:t>
                  </w:r>
                </w:p>
              </w:tc>
              <w:tc>
                <w:tcPr>
                  <w:tcW w:w="909" w:type="dxa"/>
                  <w:tcBorders>
                    <w:top w:val="nil"/>
                    <w:left w:val="nil"/>
                    <w:bottom w:val="single" w:sz="8" w:space="0" w:color="FFFFFF"/>
                    <w:right w:val="single" w:sz="8" w:space="0" w:color="FFFFFF"/>
                  </w:tcBorders>
                  <w:shd w:val="clear" w:color="000000" w:fill="FCD5B4"/>
                  <w:noWrap/>
                  <w:vAlign w:val="center"/>
                  <w:hideMark/>
                </w:tcPr>
                <w:p w14:paraId="79782E1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-3.1 </w:t>
                  </w:r>
                </w:p>
              </w:tc>
              <w:tc>
                <w:tcPr>
                  <w:tcW w:w="1134" w:type="dxa"/>
                  <w:tcBorders>
                    <w:top w:val="nil"/>
                    <w:left w:val="nil"/>
                    <w:bottom w:val="nil"/>
                    <w:right w:val="nil"/>
                  </w:tcBorders>
                  <w:shd w:val="clear" w:color="000000" w:fill="FCD5B4"/>
                  <w:noWrap/>
                  <w:vAlign w:val="center"/>
                  <w:hideMark/>
                </w:tcPr>
                <w:p w14:paraId="128E4271"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7Y</w:t>
                  </w:r>
                </w:p>
              </w:tc>
              <w:tc>
                <w:tcPr>
                  <w:tcW w:w="909" w:type="dxa"/>
                  <w:tcBorders>
                    <w:top w:val="nil"/>
                    <w:left w:val="nil"/>
                    <w:bottom w:val="single" w:sz="8" w:space="0" w:color="FFFFFF"/>
                    <w:right w:val="single" w:sz="8" w:space="0" w:color="FFFFFF"/>
                  </w:tcBorders>
                  <w:shd w:val="clear" w:color="000000" w:fill="FCD5B4"/>
                  <w:noWrap/>
                  <w:vAlign w:val="center"/>
                  <w:hideMark/>
                </w:tcPr>
                <w:p w14:paraId="7697A12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-2.1 </w:t>
                  </w:r>
                </w:p>
              </w:tc>
              <w:tc>
                <w:tcPr>
                  <w:tcW w:w="909" w:type="dxa"/>
                  <w:tcBorders>
                    <w:top w:val="nil"/>
                    <w:left w:val="nil"/>
                    <w:bottom w:val="single" w:sz="8" w:space="0" w:color="FFFFFF"/>
                    <w:right w:val="single" w:sz="8" w:space="0" w:color="FFFFFF"/>
                  </w:tcBorders>
                  <w:shd w:val="clear" w:color="000000" w:fill="FCD5B4"/>
                  <w:noWrap/>
                  <w:vAlign w:val="center"/>
                  <w:hideMark/>
                </w:tcPr>
                <w:p w14:paraId="320EF0B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-0.1 </w:t>
                  </w:r>
                </w:p>
              </w:tc>
              <w:tc>
                <w:tcPr>
                  <w:tcW w:w="909" w:type="dxa"/>
                  <w:tcBorders>
                    <w:top w:val="nil"/>
                    <w:left w:val="nil"/>
                    <w:bottom w:val="single" w:sz="8" w:space="0" w:color="FFFFFF"/>
                    <w:right w:val="single" w:sz="8" w:space="0" w:color="FFFFFF"/>
                  </w:tcBorders>
                  <w:shd w:val="clear" w:color="000000" w:fill="FCD5B4"/>
                  <w:noWrap/>
                  <w:vAlign w:val="center"/>
                  <w:hideMark/>
                </w:tcPr>
                <w:p w14:paraId="0234C31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-2.1 </w:t>
                  </w:r>
                </w:p>
              </w:tc>
              <w:tc>
                <w:tcPr>
                  <w:tcW w:w="909" w:type="dxa"/>
                  <w:tcBorders>
                    <w:top w:val="nil"/>
                    <w:left w:val="nil"/>
                    <w:bottom w:val="single" w:sz="8" w:space="0" w:color="FFFFFF"/>
                    <w:right w:val="single" w:sz="8" w:space="0" w:color="FFFFFF"/>
                  </w:tcBorders>
                  <w:shd w:val="clear" w:color="000000" w:fill="FCD5B4"/>
                  <w:noWrap/>
                  <w:vAlign w:val="center"/>
                  <w:hideMark/>
                </w:tcPr>
                <w:p w14:paraId="3D2D2EC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FF0000"/>
                      <w:kern w:val="0"/>
                      <w:szCs w:val="21"/>
                    </w:rPr>
                    <w:t xml:space="preserve">-1.1 </w:t>
                  </w:r>
                </w:p>
              </w:tc>
            </w:tr>
            <w:tr w:rsidR="00A0730C" w:rsidRPr="00A0730C" w14:paraId="28B6B8AA" w14:textId="77777777" w:rsidTr="00A0730C">
              <w:trPr>
                <w:trHeight w:val="400"/>
              </w:trPr>
              <w:tc>
                <w:tcPr>
                  <w:tcW w:w="1338" w:type="dxa"/>
                  <w:tcBorders>
                    <w:top w:val="nil"/>
                    <w:left w:val="nil"/>
                    <w:bottom w:val="single" w:sz="12" w:space="0" w:color="FFFFFF"/>
                    <w:right w:val="single" w:sz="8" w:space="0" w:color="FFFFFF"/>
                  </w:tcBorders>
                  <w:shd w:val="clear" w:color="000000" w:fill="F79646"/>
                  <w:noWrap/>
                  <w:vAlign w:val="center"/>
                  <w:hideMark/>
                </w:tcPr>
                <w:p w14:paraId="63F071B0"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收益率分位</w:t>
                  </w:r>
                </w:p>
              </w:tc>
              <w:tc>
                <w:tcPr>
                  <w:tcW w:w="909" w:type="dxa"/>
                  <w:tcBorders>
                    <w:top w:val="nil"/>
                    <w:left w:val="nil"/>
                    <w:bottom w:val="single" w:sz="12" w:space="0" w:color="FFFFFF"/>
                    <w:right w:val="single" w:sz="8" w:space="0" w:color="FFFFFF"/>
                  </w:tcBorders>
                  <w:shd w:val="clear" w:color="000000" w:fill="F79646"/>
                  <w:noWrap/>
                  <w:vAlign w:val="center"/>
                  <w:hideMark/>
                </w:tcPr>
                <w:p w14:paraId="1A4665CD"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AAA</w:t>
                  </w:r>
                </w:p>
              </w:tc>
              <w:tc>
                <w:tcPr>
                  <w:tcW w:w="910" w:type="dxa"/>
                  <w:tcBorders>
                    <w:top w:val="nil"/>
                    <w:left w:val="nil"/>
                    <w:bottom w:val="single" w:sz="12" w:space="0" w:color="FFFFFF"/>
                    <w:right w:val="single" w:sz="8" w:space="0" w:color="FFFFFF"/>
                  </w:tcBorders>
                  <w:shd w:val="clear" w:color="000000" w:fill="F79646"/>
                  <w:noWrap/>
                  <w:vAlign w:val="center"/>
                  <w:hideMark/>
                </w:tcPr>
                <w:p w14:paraId="19BC1C6D"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10" w:type="dxa"/>
                  <w:tcBorders>
                    <w:top w:val="nil"/>
                    <w:left w:val="nil"/>
                    <w:bottom w:val="single" w:sz="12" w:space="0" w:color="FFFFFF"/>
                    <w:right w:val="single" w:sz="8" w:space="0" w:color="FFFFFF"/>
                  </w:tcBorders>
                  <w:shd w:val="clear" w:color="000000" w:fill="F79646"/>
                  <w:noWrap/>
                  <w:vAlign w:val="center"/>
                  <w:hideMark/>
                </w:tcPr>
                <w:p w14:paraId="609B48DA"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4046C96F"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1134" w:type="dxa"/>
                  <w:tcBorders>
                    <w:top w:val="nil"/>
                    <w:left w:val="nil"/>
                    <w:bottom w:val="single" w:sz="12" w:space="0" w:color="FFFFFF"/>
                    <w:right w:val="single" w:sz="8" w:space="0" w:color="FFFFFF"/>
                  </w:tcBorders>
                  <w:shd w:val="clear" w:color="000000" w:fill="F79646"/>
                  <w:noWrap/>
                  <w:vAlign w:val="center"/>
                  <w:hideMark/>
                </w:tcPr>
                <w:p w14:paraId="76AA72ED"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息差</w:t>
                  </w:r>
                </w:p>
              </w:tc>
              <w:tc>
                <w:tcPr>
                  <w:tcW w:w="909" w:type="dxa"/>
                  <w:tcBorders>
                    <w:top w:val="nil"/>
                    <w:left w:val="nil"/>
                    <w:bottom w:val="single" w:sz="12" w:space="0" w:color="FFFFFF"/>
                    <w:right w:val="single" w:sz="8" w:space="0" w:color="FFFFFF"/>
                  </w:tcBorders>
                  <w:shd w:val="clear" w:color="000000" w:fill="F79646"/>
                  <w:noWrap/>
                  <w:vAlign w:val="center"/>
                  <w:hideMark/>
                </w:tcPr>
                <w:p w14:paraId="0407D281"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AAA</w:t>
                  </w:r>
                </w:p>
              </w:tc>
              <w:tc>
                <w:tcPr>
                  <w:tcW w:w="909" w:type="dxa"/>
                  <w:tcBorders>
                    <w:top w:val="nil"/>
                    <w:left w:val="nil"/>
                    <w:bottom w:val="single" w:sz="12" w:space="0" w:color="FFFFFF"/>
                    <w:right w:val="single" w:sz="8" w:space="0" w:color="FFFFFF"/>
                  </w:tcBorders>
                  <w:shd w:val="clear" w:color="000000" w:fill="F79646"/>
                  <w:noWrap/>
                  <w:vAlign w:val="center"/>
                  <w:hideMark/>
                </w:tcPr>
                <w:p w14:paraId="3B2361A0"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57650AE5"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c>
                <w:tcPr>
                  <w:tcW w:w="909" w:type="dxa"/>
                  <w:tcBorders>
                    <w:top w:val="nil"/>
                    <w:left w:val="nil"/>
                    <w:bottom w:val="single" w:sz="12" w:space="0" w:color="FFFFFF"/>
                    <w:right w:val="single" w:sz="8" w:space="0" w:color="FFFFFF"/>
                  </w:tcBorders>
                  <w:shd w:val="clear" w:color="000000" w:fill="F79646"/>
                  <w:noWrap/>
                  <w:vAlign w:val="center"/>
                  <w:hideMark/>
                </w:tcPr>
                <w:p w14:paraId="5A5FCFE0" w14:textId="77777777" w:rsidR="00A0730C" w:rsidRPr="00A0730C" w:rsidRDefault="00A0730C" w:rsidP="00A0730C">
                  <w:pPr>
                    <w:widowControl/>
                    <w:jc w:val="center"/>
                    <w:rPr>
                      <w:rFonts w:ascii="楷体" w:eastAsia="楷体" w:hAnsi="楷体" w:cs="宋体"/>
                      <w:b/>
                      <w:bCs/>
                      <w:color w:val="FFFFFF"/>
                      <w:kern w:val="0"/>
                      <w:sz w:val="20"/>
                      <w:szCs w:val="20"/>
                    </w:rPr>
                  </w:pPr>
                  <w:r w:rsidRPr="00A0730C">
                    <w:rPr>
                      <w:rFonts w:ascii="楷体" w:eastAsia="楷体" w:hAnsi="楷体" w:cs="宋体" w:hint="eastAsia"/>
                      <w:b/>
                      <w:bCs/>
                      <w:color w:val="FFFFFF"/>
                      <w:kern w:val="0"/>
                      <w:sz w:val="20"/>
                      <w:szCs w:val="20"/>
                    </w:rPr>
                    <w:t>AA-</w:t>
                  </w:r>
                </w:p>
              </w:tc>
            </w:tr>
            <w:tr w:rsidR="00A0730C" w:rsidRPr="00A0730C" w14:paraId="4FEA16B3" w14:textId="77777777" w:rsidTr="00A0730C">
              <w:trPr>
                <w:trHeight w:val="421"/>
              </w:trPr>
              <w:tc>
                <w:tcPr>
                  <w:tcW w:w="1338" w:type="dxa"/>
                  <w:tcBorders>
                    <w:top w:val="nil"/>
                    <w:left w:val="nil"/>
                    <w:bottom w:val="single" w:sz="8" w:space="0" w:color="FFFFFF"/>
                    <w:right w:val="single" w:sz="8" w:space="0" w:color="FFFFFF"/>
                  </w:tcBorders>
                  <w:shd w:val="clear" w:color="000000" w:fill="FCD5B4"/>
                  <w:noWrap/>
                  <w:vAlign w:val="center"/>
                  <w:hideMark/>
                </w:tcPr>
                <w:p w14:paraId="04D72801"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CP</w:t>
                  </w:r>
                </w:p>
              </w:tc>
              <w:tc>
                <w:tcPr>
                  <w:tcW w:w="909" w:type="dxa"/>
                  <w:tcBorders>
                    <w:top w:val="nil"/>
                    <w:left w:val="nil"/>
                    <w:bottom w:val="single" w:sz="8" w:space="0" w:color="FFFFFF"/>
                    <w:right w:val="single" w:sz="8" w:space="0" w:color="FFFFFF"/>
                  </w:tcBorders>
                  <w:shd w:val="clear" w:color="000000" w:fill="FCD5B4"/>
                  <w:noWrap/>
                  <w:vAlign w:val="center"/>
                  <w:hideMark/>
                </w:tcPr>
                <w:p w14:paraId="4D26647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41%</w:t>
                  </w:r>
                </w:p>
              </w:tc>
              <w:tc>
                <w:tcPr>
                  <w:tcW w:w="910" w:type="dxa"/>
                  <w:tcBorders>
                    <w:top w:val="nil"/>
                    <w:left w:val="nil"/>
                    <w:bottom w:val="single" w:sz="8" w:space="0" w:color="FFFFFF"/>
                    <w:right w:val="single" w:sz="8" w:space="0" w:color="FFFFFF"/>
                  </w:tcBorders>
                  <w:shd w:val="clear" w:color="000000" w:fill="FCD5B4"/>
                  <w:noWrap/>
                  <w:vAlign w:val="center"/>
                  <w:hideMark/>
                </w:tcPr>
                <w:p w14:paraId="54E8E24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41%</w:t>
                  </w:r>
                </w:p>
              </w:tc>
              <w:tc>
                <w:tcPr>
                  <w:tcW w:w="910" w:type="dxa"/>
                  <w:tcBorders>
                    <w:top w:val="nil"/>
                    <w:left w:val="nil"/>
                    <w:bottom w:val="single" w:sz="8" w:space="0" w:color="FFFFFF"/>
                    <w:right w:val="single" w:sz="8" w:space="0" w:color="FFFFFF"/>
                  </w:tcBorders>
                  <w:shd w:val="clear" w:color="000000" w:fill="FCD5B4"/>
                  <w:noWrap/>
                  <w:vAlign w:val="center"/>
                  <w:hideMark/>
                </w:tcPr>
                <w:p w14:paraId="053C93D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42%</w:t>
                  </w:r>
                </w:p>
              </w:tc>
              <w:tc>
                <w:tcPr>
                  <w:tcW w:w="909" w:type="dxa"/>
                  <w:tcBorders>
                    <w:top w:val="nil"/>
                    <w:left w:val="nil"/>
                    <w:bottom w:val="single" w:sz="8" w:space="0" w:color="FFFFFF"/>
                    <w:right w:val="single" w:sz="8" w:space="0" w:color="FFFFFF"/>
                  </w:tcBorders>
                  <w:shd w:val="clear" w:color="000000" w:fill="FCD5B4"/>
                  <w:noWrap/>
                  <w:vAlign w:val="center"/>
                  <w:hideMark/>
                </w:tcPr>
                <w:p w14:paraId="000113E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71%</w:t>
                  </w:r>
                </w:p>
              </w:tc>
              <w:tc>
                <w:tcPr>
                  <w:tcW w:w="1134" w:type="dxa"/>
                  <w:tcBorders>
                    <w:top w:val="nil"/>
                    <w:left w:val="nil"/>
                    <w:bottom w:val="single" w:sz="8" w:space="0" w:color="FFFFFF"/>
                    <w:right w:val="single" w:sz="8" w:space="0" w:color="FFFFFF"/>
                  </w:tcBorders>
                  <w:shd w:val="clear" w:color="000000" w:fill="FCD5B4"/>
                  <w:noWrap/>
                  <w:vAlign w:val="center"/>
                  <w:hideMark/>
                </w:tcPr>
                <w:p w14:paraId="44652224"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CP</w:t>
                  </w:r>
                </w:p>
              </w:tc>
              <w:tc>
                <w:tcPr>
                  <w:tcW w:w="909" w:type="dxa"/>
                  <w:tcBorders>
                    <w:top w:val="nil"/>
                    <w:left w:val="nil"/>
                    <w:bottom w:val="single" w:sz="8" w:space="0" w:color="FFFFFF"/>
                    <w:right w:val="single" w:sz="8" w:space="0" w:color="FFFFFF"/>
                  </w:tcBorders>
                  <w:shd w:val="clear" w:color="000000" w:fill="FCD5B4"/>
                  <w:noWrap/>
                  <w:vAlign w:val="center"/>
                  <w:hideMark/>
                </w:tcPr>
                <w:p w14:paraId="76DB92C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7%</w:t>
                  </w:r>
                </w:p>
              </w:tc>
              <w:tc>
                <w:tcPr>
                  <w:tcW w:w="909" w:type="dxa"/>
                  <w:tcBorders>
                    <w:top w:val="nil"/>
                    <w:left w:val="nil"/>
                    <w:bottom w:val="single" w:sz="8" w:space="0" w:color="FFFFFF"/>
                    <w:right w:val="single" w:sz="8" w:space="0" w:color="FFFFFF"/>
                  </w:tcBorders>
                  <w:shd w:val="clear" w:color="000000" w:fill="FCD5B4"/>
                  <w:noWrap/>
                  <w:vAlign w:val="center"/>
                  <w:hideMark/>
                </w:tcPr>
                <w:p w14:paraId="609A998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16%</w:t>
                  </w:r>
                </w:p>
              </w:tc>
              <w:tc>
                <w:tcPr>
                  <w:tcW w:w="909" w:type="dxa"/>
                  <w:tcBorders>
                    <w:top w:val="nil"/>
                    <w:left w:val="nil"/>
                    <w:bottom w:val="single" w:sz="8" w:space="0" w:color="FFFFFF"/>
                    <w:right w:val="single" w:sz="8" w:space="0" w:color="FFFFFF"/>
                  </w:tcBorders>
                  <w:shd w:val="clear" w:color="000000" w:fill="FCD5B4"/>
                  <w:noWrap/>
                  <w:vAlign w:val="center"/>
                  <w:hideMark/>
                </w:tcPr>
                <w:p w14:paraId="25FFF98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24%</w:t>
                  </w:r>
                </w:p>
              </w:tc>
              <w:tc>
                <w:tcPr>
                  <w:tcW w:w="909" w:type="dxa"/>
                  <w:tcBorders>
                    <w:top w:val="nil"/>
                    <w:left w:val="nil"/>
                    <w:bottom w:val="single" w:sz="8" w:space="0" w:color="FFFFFF"/>
                    <w:right w:val="single" w:sz="8" w:space="0" w:color="FFFFFF"/>
                  </w:tcBorders>
                  <w:shd w:val="clear" w:color="000000" w:fill="FCD5B4"/>
                  <w:noWrap/>
                  <w:vAlign w:val="center"/>
                  <w:hideMark/>
                </w:tcPr>
                <w:p w14:paraId="6813853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79%</w:t>
                  </w:r>
                </w:p>
              </w:tc>
            </w:tr>
            <w:tr w:rsidR="00A0730C" w:rsidRPr="00A0730C" w14:paraId="595C1ACC"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62759FB3"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MTN3Y</w:t>
                  </w:r>
                </w:p>
              </w:tc>
              <w:tc>
                <w:tcPr>
                  <w:tcW w:w="909" w:type="dxa"/>
                  <w:tcBorders>
                    <w:top w:val="nil"/>
                    <w:left w:val="nil"/>
                    <w:bottom w:val="single" w:sz="8" w:space="0" w:color="FFFFFF"/>
                    <w:right w:val="single" w:sz="8" w:space="0" w:color="FFFFFF"/>
                  </w:tcBorders>
                  <w:shd w:val="clear" w:color="000000" w:fill="FDE9D9"/>
                  <w:noWrap/>
                  <w:vAlign w:val="center"/>
                  <w:hideMark/>
                </w:tcPr>
                <w:p w14:paraId="557C8B9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34%</w:t>
                  </w:r>
                </w:p>
              </w:tc>
              <w:tc>
                <w:tcPr>
                  <w:tcW w:w="910" w:type="dxa"/>
                  <w:tcBorders>
                    <w:top w:val="nil"/>
                    <w:left w:val="nil"/>
                    <w:bottom w:val="single" w:sz="8" w:space="0" w:color="FFFFFF"/>
                    <w:right w:val="single" w:sz="8" w:space="0" w:color="FFFFFF"/>
                  </w:tcBorders>
                  <w:shd w:val="clear" w:color="000000" w:fill="FDE9D9"/>
                  <w:noWrap/>
                  <w:vAlign w:val="center"/>
                  <w:hideMark/>
                </w:tcPr>
                <w:p w14:paraId="2603F97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37%</w:t>
                  </w:r>
                </w:p>
              </w:tc>
              <w:tc>
                <w:tcPr>
                  <w:tcW w:w="910" w:type="dxa"/>
                  <w:tcBorders>
                    <w:top w:val="nil"/>
                    <w:left w:val="nil"/>
                    <w:bottom w:val="single" w:sz="8" w:space="0" w:color="FFFFFF"/>
                    <w:right w:val="single" w:sz="8" w:space="0" w:color="FFFFFF"/>
                  </w:tcBorders>
                  <w:shd w:val="clear" w:color="000000" w:fill="FDE9D9"/>
                  <w:noWrap/>
                  <w:vAlign w:val="center"/>
                  <w:hideMark/>
                </w:tcPr>
                <w:p w14:paraId="018653B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37%</w:t>
                  </w:r>
                </w:p>
              </w:tc>
              <w:tc>
                <w:tcPr>
                  <w:tcW w:w="909" w:type="dxa"/>
                  <w:tcBorders>
                    <w:top w:val="nil"/>
                    <w:left w:val="nil"/>
                    <w:bottom w:val="single" w:sz="8" w:space="0" w:color="FFFFFF"/>
                    <w:right w:val="single" w:sz="8" w:space="0" w:color="FFFFFF"/>
                  </w:tcBorders>
                  <w:shd w:val="clear" w:color="000000" w:fill="FDE9D9"/>
                  <w:noWrap/>
                  <w:vAlign w:val="center"/>
                  <w:hideMark/>
                </w:tcPr>
                <w:p w14:paraId="1946C5F6"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70%</w:t>
                  </w:r>
                </w:p>
              </w:tc>
              <w:tc>
                <w:tcPr>
                  <w:tcW w:w="1134" w:type="dxa"/>
                  <w:tcBorders>
                    <w:top w:val="nil"/>
                    <w:left w:val="nil"/>
                    <w:bottom w:val="single" w:sz="8" w:space="0" w:color="FFFFFF"/>
                    <w:right w:val="single" w:sz="8" w:space="0" w:color="FFFFFF"/>
                  </w:tcBorders>
                  <w:shd w:val="clear" w:color="000000" w:fill="FDE9D9"/>
                  <w:noWrap/>
                  <w:vAlign w:val="center"/>
                  <w:hideMark/>
                </w:tcPr>
                <w:p w14:paraId="4B253B78"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MTN3Y</w:t>
                  </w:r>
                </w:p>
              </w:tc>
              <w:tc>
                <w:tcPr>
                  <w:tcW w:w="909" w:type="dxa"/>
                  <w:tcBorders>
                    <w:top w:val="nil"/>
                    <w:left w:val="nil"/>
                    <w:bottom w:val="single" w:sz="8" w:space="0" w:color="FFFFFF"/>
                    <w:right w:val="single" w:sz="8" w:space="0" w:color="FFFFFF"/>
                  </w:tcBorders>
                  <w:shd w:val="clear" w:color="000000" w:fill="FDE9D9"/>
                  <w:noWrap/>
                  <w:vAlign w:val="center"/>
                  <w:hideMark/>
                </w:tcPr>
                <w:p w14:paraId="6E674C6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17%</w:t>
                  </w:r>
                </w:p>
              </w:tc>
              <w:tc>
                <w:tcPr>
                  <w:tcW w:w="909" w:type="dxa"/>
                  <w:tcBorders>
                    <w:top w:val="nil"/>
                    <w:left w:val="nil"/>
                    <w:bottom w:val="single" w:sz="8" w:space="0" w:color="FFFFFF"/>
                    <w:right w:val="single" w:sz="8" w:space="0" w:color="FFFFFF"/>
                  </w:tcBorders>
                  <w:shd w:val="clear" w:color="000000" w:fill="FDE9D9"/>
                  <w:noWrap/>
                  <w:vAlign w:val="center"/>
                  <w:hideMark/>
                </w:tcPr>
                <w:p w14:paraId="0BEB4A3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27%</w:t>
                  </w:r>
                </w:p>
              </w:tc>
              <w:tc>
                <w:tcPr>
                  <w:tcW w:w="909" w:type="dxa"/>
                  <w:tcBorders>
                    <w:top w:val="nil"/>
                    <w:left w:val="nil"/>
                    <w:bottom w:val="single" w:sz="8" w:space="0" w:color="FFFFFF"/>
                    <w:right w:val="single" w:sz="8" w:space="0" w:color="FFFFFF"/>
                  </w:tcBorders>
                  <w:shd w:val="clear" w:color="000000" w:fill="FDE9D9"/>
                  <w:noWrap/>
                  <w:vAlign w:val="center"/>
                  <w:hideMark/>
                </w:tcPr>
                <w:p w14:paraId="5C89D89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23%</w:t>
                  </w:r>
                </w:p>
              </w:tc>
              <w:tc>
                <w:tcPr>
                  <w:tcW w:w="909" w:type="dxa"/>
                  <w:tcBorders>
                    <w:top w:val="nil"/>
                    <w:left w:val="nil"/>
                    <w:bottom w:val="single" w:sz="8" w:space="0" w:color="FFFFFF"/>
                    <w:right w:val="single" w:sz="8" w:space="0" w:color="FFFFFF"/>
                  </w:tcBorders>
                  <w:shd w:val="clear" w:color="000000" w:fill="FFC7CE"/>
                  <w:noWrap/>
                  <w:vAlign w:val="center"/>
                  <w:hideMark/>
                </w:tcPr>
                <w:p w14:paraId="2F473229" w14:textId="77777777" w:rsidR="00A0730C" w:rsidRPr="00A0730C" w:rsidRDefault="00A0730C" w:rsidP="00A0730C">
                  <w:pPr>
                    <w:widowControl/>
                    <w:jc w:val="center"/>
                    <w:rPr>
                      <w:rFonts w:eastAsia="等线" w:cs="Calibri"/>
                      <w:color w:val="9C0006"/>
                      <w:kern w:val="0"/>
                      <w:szCs w:val="21"/>
                    </w:rPr>
                  </w:pPr>
                  <w:r w:rsidRPr="00A0730C">
                    <w:rPr>
                      <w:rFonts w:eastAsia="等线" w:cs="Calibri"/>
                      <w:color w:val="9C0006"/>
                      <w:kern w:val="0"/>
                      <w:szCs w:val="21"/>
                    </w:rPr>
                    <w:t>80%</w:t>
                  </w:r>
                </w:p>
              </w:tc>
            </w:tr>
            <w:tr w:rsidR="00A0730C" w:rsidRPr="00A0730C" w14:paraId="66EF352B"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3D7CDE06"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MTN5Y</w:t>
                  </w:r>
                </w:p>
              </w:tc>
              <w:tc>
                <w:tcPr>
                  <w:tcW w:w="909" w:type="dxa"/>
                  <w:tcBorders>
                    <w:top w:val="nil"/>
                    <w:left w:val="nil"/>
                    <w:bottom w:val="single" w:sz="8" w:space="0" w:color="FFFFFF"/>
                    <w:right w:val="single" w:sz="8" w:space="0" w:color="FFFFFF"/>
                  </w:tcBorders>
                  <w:shd w:val="clear" w:color="000000" w:fill="FCD5B4"/>
                  <w:noWrap/>
                  <w:vAlign w:val="center"/>
                  <w:hideMark/>
                </w:tcPr>
                <w:p w14:paraId="7A5E64D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26%</w:t>
                  </w:r>
                </w:p>
              </w:tc>
              <w:tc>
                <w:tcPr>
                  <w:tcW w:w="910" w:type="dxa"/>
                  <w:tcBorders>
                    <w:top w:val="nil"/>
                    <w:left w:val="nil"/>
                    <w:bottom w:val="single" w:sz="8" w:space="0" w:color="FFFFFF"/>
                    <w:right w:val="single" w:sz="8" w:space="0" w:color="FFFFFF"/>
                  </w:tcBorders>
                  <w:shd w:val="clear" w:color="000000" w:fill="FCD5B4"/>
                  <w:noWrap/>
                  <w:vAlign w:val="center"/>
                  <w:hideMark/>
                </w:tcPr>
                <w:p w14:paraId="124EA19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28%</w:t>
                  </w:r>
                </w:p>
              </w:tc>
              <w:tc>
                <w:tcPr>
                  <w:tcW w:w="910" w:type="dxa"/>
                  <w:tcBorders>
                    <w:top w:val="nil"/>
                    <w:left w:val="nil"/>
                    <w:bottom w:val="single" w:sz="8" w:space="0" w:color="FFFFFF"/>
                    <w:right w:val="single" w:sz="8" w:space="0" w:color="FFFFFF"/>
                  </w:tcBorders>
                  <w:shd w:val="clear" w:color="000000" w:fill="FCD5B4"/>
                  <w:noWrap/>
                  <w:vAlign w:val="center"/>
                  <w:hideMark/>
                </w:tcPr>
                <w:p w14:paraId="6D98B9B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26%</w:t>
                  </w:r>
                </w:p>
              </w:tc>
              <w:tc>
                <w:tcPr>
                  <w:tcW w:w="909" w:type="dxa"/>
                  <w:tcBorders>
                    <w:top w:val="nil"/>
                    <w:left w:val="nil"/>
                    <w:bottom w:val="single" w:sz="8" w:space="0" w:color="FFFFFF"/>
                    <w:right w:val="single" w:sz="8" w:space="0" w:color="FFFFFF"/>
                  </w:tcBorders>
                  <w:shd w:val="clear" w:color="000000" w:fill="FCD5B4"/>
                  <w:noWrap/>
                  <w:vAlign w:val="center"/>
                  <w:hideMark/>
                </w:tcPr>
                <w:p w14:paraId="1718DE3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65%</w:t>
                  </w:r>
                </w:p>
              </w:tc>
              <w:tc>
                <w:tcPr>
                  <w:tcW w:w="1134" w:type="dxa"/>
                  <w:tcBorders>
                    <w:top w:val="nil"/>
                    <w:left w:val="nil"/>
                    <w:bottom w:val="single" w:sz="8" w:space="0" w:color="FFFFFF"/>
                    <w:right w:val="single" w:sz="8" w:space="0" w:color="FFFFFF"/>
                  </w:tcBorders>
                  <w:shd w:val="clear" w:color="000000" w:fill="FCD5B4"/>
                  <w:noWrap/>
                  <w:vAlign w:val="center"/>
                  <w:hideMark/>
                </w:tcPr>
                <w:p w14:paraId="3010F9CF"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MTN5Y</w:t>
                  </w:r>
                </w:p>
              </w:tc>
              <w:tc>
                <w:tcPr>
                  <w:tcW w:w="909" w:type="dxa"/>
                  <w:tcBorders>
                    <w:top w:val="nil"/>
                    <w:left w:val="nil"/>
                    <w:bottom w:val="single" w:sz="8" w:space="0" w:color="FFFFFF"/>
                    <w:right w:val="single" w:sz="8" w:space="0" w:color="FFFFFF"/>
                  </w:tcBorders>
                  <w:shd w:val="clear" w:color="000000" w:fill="FCD5B4"/>
                  <w:noWrap/>
                  <w:vAlign w:val="center"/>
                  <w:hideMark/>
                </w:tcPr>
                <w:p w14:paraId="164C454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12%</w:t>
                  </w:r>
                </w:p>
              </w:tc>
              <w:tc>
                <w:tcPr>
                  <w:tcW w:w="909" w:type="dxa"/>
                  <w:tcBorders>
                    <w:top w:val="nil"/>
                    <w:left w:val="nil"/>
                    <w:bottom w:val="single" w:sz="8" w:space="0" w:color="FFFFFF"/>
                    <w:right w:val="single" w:sz="8" w:space="0" w:color="FFFFFF"/>
                  </w:tcBorders>
                  <w:shd w:val="clear" w:color="000000" w:fill="FCD5B4"/>
                  <w:noWrap/>
                  <w:vAlign w:val="center"/>
                  <w:hideMark/>
                </w:tcPr>
                <w:p w14:paraId="070A8EC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17%</w:t>
                  </w:r>
                </w:p>
              </w:tc>
              <w:tc>
                <w:tcPr>
                  <w:tcW w:w="909" w:type="dxa"/>
                  <w:tcBorders>
                    <w:top w:val="nil"/>
                    <w:left w:val="nil"/>
                    <w:bottom w:val="single" w:sz="8" w:space="0" w:color="FFFFFF"/>
                    <w:right w:val="single" w:sz="8" w:space="0" w:color="FFFFFF"/>
                  </w:tcBorders>
                  <w:shd w:val="clear" w:color="000000" w:fill="FCD5B4"/>
                  <w:noWrap/>
                  <w:vAlign w:val="center"/>
                  <w:hideMark/>
                </w:tcPr>
                <w:p w14:paraId="3B146E4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12%</w:t>
                  </w:r>
                </w:p>
              </w:tc>
              <w:tc>
                <w:tcPr>
                  <w:tcW w:w="909" w:type="dxa"/>
                  <w:tcBorders>
                    <w:top w:val="nil"/>
                    <w:left w:val="nil"/>
                    <w:bottom w:val="single" w:sz="8" w:space="0" w:color="FFFFFF"/>
                    <w:right w:val="single" w:sz="8" w:space="0" w:color="FFFFFF"/>
                  </w:tcBorders>
                  <w:shd w:val="clear" w:color="000000" w:fill="FCD5B4"/>
                  <w:noWrap/>
                  <w:vAlign w:val="center"/>
                  <w:hideMark/>
                </w:tcPr>
                <w:p w14:paraId="19D6F7D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68%</w:t>
                  </w:r>
                </w:p>
              </w:tc>
            </w:tr>
            <w:tr w:rsidR="00A0730C" w:rsidRPr="00A0730C" w14:paraId="345E400B"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01D79DB3"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企业债3Y</w:t>
                  </w:r>
                </w:p>
              </w:tc>
              <w:tc>
                <w:tcPr>
                  <w:tcW w:w="909" w:type="dxa"/>
                  <w:tcBorders>
                    <w:top w:val="nil"/>
                    <w:left w:val="nil"/>
                    <w:bottom w:val="single" w:sz="8" w:space="0" w:color="FFFFFF"/>
                    <w:right w:val="single" w:sz="8" w:space="0" w:color="FFFFFF"/>
                  </w:tcBorders>
                  <w:shd w:val="clear" w:color="000000" w:fill="FDE9D9"/>
                  <w:noWrap/>
                  <w:vAlign w:val="center"/>
                  <w:hideMark/>
                </w:tcPr>
                <w:p w14:paraId="47C97EC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33%</w:t>
                  </w:r>
                </w:p>
              </w:tc>
              <w:tc>
                <w:tcPr>
                  <w:tcW w:w="910" w:type="dxa"/>
                  <w:tcBorders>
                    <w:top w:val="nil"/>
                    <w:left w:val="nil"/>
                    <w:bottom w:val="single" w:sz="8" w:space="0" w:color="FFFFFF"/>
                    <w:right w:val="single" w:sz="8" w:space="0" w:color="FFFFFF"/>
                  </w:tcBorders>
                  <w:shd w:val="clear" w:color="000000" w:fill="FDE9D9"/>
                  <w:noWrap/>
                  <w:vAlign w:val="center"/>
                  <w:hideMark/>
                </w:tcPr>
                <w:p w14:paraId="1812166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35%</w:t>
                  </w:r>
                </w:p>
              </w:tc>
              <w:tc>
                <w:tcPr>
                  <w:tcW w:w="910" w:type="dxa"/>
                  <w:tcBorders>
                    <w:top w:val="nil"/>
                    <w:left w:val="nil"/>
                    <w:bottom w:val="single" w:sz="8" w:space="0" w:color="FFFFFF"/>
                    <w:right w:val="single" w:sz="8" w:space="0" w:color="FFFFFF"/>
                  </w:tcBorders>
                  <w:shd w:val="clear" w:color="000000" w:fill="FDE9D9"/>
                  <w:noWrap/>
                  <w:vAlign w:val="center"/>
                  <w:hideMark/>
                </w:tcPr>
                <w:p w14:paraId="08F14F8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33%</w:t>
                  </w:r>
                </w:p>
              </w:tc>
              <w:tc>
                <w:tcPr>
                  <w:tcW w:w="909" w:type="dxa"/>
                  <w:tcBorders>
                    <w:top w:val="nil"/>
                    <w:left w:val="nil"/>
                    <w:bottom w:val="single" w:sz="8" w:space="0" w:color="FFFFFF"/>
                    <w:right w:val="single" w:sz="8" w:space="0" w:color="FFFFFF"/>
                  </w:tcBorders>
                  <w:shd w:val="clear" w:color="000000" w:fill="FDE9D9"/>
                  <w:noWrap/>
                  <w:vAlign w:val="center"/>
                  <w:hideMark/>
                </w:tcPr>
                <w:p w14:paraId="2C856C3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66%</w:t>
                  </w:r>
                </w:p>
              </w:tc>
              <w:tc>
                <w:tcPr>
                  <w:tcW w:w="1134" w:type="dxa"/>
                  <w:tcBorders>
                    <w:top w:val="nil"/>
                    <w:left w:val="nil"/>
                    <w:bottom w:val="single" w:sz="8" w:space="0" w:color="FFFFFF"/>
                    <w:right w:val="single" w:sz="8" w:space="0" w:color="FFFFFF"/>
                  </w:tcBorders>
                  <w:shd w:val="clear" w:color="000000" w:fill="FDE9D9"/>
                  <w:noWrap/>
                  <w:vAlign w:val="center"/>
                  <w:hideMark/>
                </w:tcPr>
                <w:p w14:paraId="1594BF2A"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企业债3Y</w:t>
                  </w:r>
                </w:p>
              </w:tc>
              <w:tc>
                <w:tcPr>
                  <w:tcW w:w="909" w:type="dxa"/>
                  <w:tcBorders>
                    <w:top w:val="nil"/>
                    <w:left w:val="nil"/>
                    <w:bottom w:val="single" w:sz="8" w:space="0" w:color="FFFFFF"/>
                    <w:right w:val="single" w:sz="8" w:space="0" w:color="FFFFFF"/>
                  </w:tcBorders>
                  <w:shd w:val="clear" w:color="000000" w:fill="FDE9D9"/>
                  <w:noWrap/>
                  <w:vAlign w:val="center"/>
                  <w:hideMark/>
                </w:tcPr>
                <w:p w14:paraId="0676718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15%</w:t>
                  </w:r>
                </w:p>
              </w:tc>
              <w:tc>
                <w:tcPr>
                  <w:tcW w:w="909" w:type="dxa"/>
                  <w:tcBorders>
                    <w:top w:val="nil"/>
                    <w:left w:val="nil"/>
                    <w:bottom w:val="single" w:sz="8" w:space="0" w:color="FFFFFF"/>
                    <w:right w:val="single" w:sz="8" w:space="0" w:color="FFFFFF"/>
                  </w:tcBorders>
                  <w:shd w:val="clear" w:color="000000" w:fill="FDE9D9"/>
                  <w:noWrap/>
                  <w:vAlign w:val="center"/>
                  <w:hideMark/>
                </w:tcPr>
                <w:p w14:paraId="08EEBFA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22%</w:t>
                  </w:r>
                </w:p>
              </w:tc>
              <w:tc>
                <w:tcPr>
                  <w:tcW w:w="909" w:type="dxa"/>
                  <w:tcBorders>
                    <w:top w:val="nil"/>
                    <w:left w:val="nil"/>
                    <w:bottom w:val="single" w:sz="8" w:space="0" w:color="FFFFFF"/>
                    <w:right w:val="single" w:sz="8" w:space="0" w:color="FFFFFF"/>
                  </w:tcBorders>
                  <w:shd w:val="clear" w:color="000000" w:fill="FDE9D9"/>
                  <w:noWrap/>
                  <w:vAlign w:val="center"/>
                  <w:hideMark/>
                </w:tcPr>
                <w:p w14:paraId="4A3C5C6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19%</w:t>
                  </w:r>
                </w:p>
              </w:tc>
              <w:tc>
                <w:tcPr>
                  <w:tcW w:w="909" w:type="dxa"/>
                  <w:tcBorders>
                    <w:top w:val="nil"/>
                    <w:left w:val="nil"/>
                    <w:bottom w:val="single" w:sz="8" w:space="0" w:color="FFFFFF"/>
                    <w:right w:val="single" w:sz="8" w:space="0" w:color="FFFFFF"/>
                  </w:tcBorders>
                  <w:shd w:val="clear" w:color="000000" w:fill="FDE9D9"/>
                  <w:noWrap/>
                  <w:vAlign w:val="center"/>
                  <w:hideMark/>
                </w:tcPr>
                <w:p w14:paraId="08B21F0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73%</w:t>
                  </w:r>
                </w:p>
              </w:tc>
            </w:tr>
            <w:tr w:rsidR="00A0730C" w:rsidRPr="00A0730C" w14:paraId="115C0770"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1ECBA550"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企业债5Y</w:t>
                  </w:r>
                </w:p>
              </w:tc>
              <w:tc>
                <w:tcPr>
                  <w:tcW w:w="909" w:type="dxa"/>
                  <w:tcBorders>
                    <w:top w:val="nil"/>
                    <w:left w:val="nil"/>
                    <w:bottom w:val="single" w:sz="8" w:space="0" w:color="FFFFFF"/>
                    <w:right w:val="single" w:sz="8" w:space="0" w:color="FFFFFF"/>
                  </w:tcBorders>
                  <w:shd w:val="clear" w:color="000000" w:fill="FCD5B4"/>
                  <w:noWrap/>
                  <w:vAlign w:val="center"/>
                  <w:hideMark/>
                </w:tcPr>
                <w:p w14:paraId="0591B43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27%</w:t>
                  </w:r>
                </w:p>
              </w:tc>
              <w:tc>
                <w:tcPr>
                  <w:tcW w:w="910" w:type="dxa"/>
                  <w:tcBorders>
                    <w:top w:val="nil"/>
                    <w:left w:val="nil"/>
                    <w:bottom w:val="single" w:sz="8" w:space="0" w:color="FFFFFF"/>
                    <w:right w:val="single" w:sz="8" w:space="0" w:color="FFFFFF"/>
                  </w:tcBorders>
                  <w:shd w:val="clear" w:color="000000" w:fill="FCD5B4"/>
                  <w:noWrap/>
                  <w:vAlign w:val="center"/>
                  <w:hideMark/>
                </w:tcPr>
                <w:p w14:paraId="41BABC9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27%</w:t>
                  </w:r>
                </w:p>
              </w:tc>
              <w:tc>
                <w:tcPr>
                  <w:tcW w:w="910" w:type="dxa"/>
                  <w:tcBorders>
                    <w:top w:val="nil"/>
                    <w:left w:val="nil"/>
                    <w:bottom w:val="single" w:sz="8" w:space="0" w:color="FFFFFF"/>
                    <w:right w:val="single" w:sz="8" w:space="0" w:color="FFFFFF"/>
                  </w:tcBorders>
                  <w:shd w:val="clear" w:color="000000" w:fill="FCD5B4"/>
                  <w:noWrap/>
                  <w:vAlign w:val="center"/>
                  <w:hideMark/>
                </w:tcPr>
                <w:p w14:paraId="33E2430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25%</w:t>
                  </w:r>
                </w:p>
              </w:tc>
              <w:tc>
                <w:tcPr>
                  <w:tcW w:w="909" w:type="dxa"/>
                  <w:tcBorders>
                    <w:top w:val="nil"/>
                    <w:left w:val="nil"/>
                    <w:bottom w:val="single" w:sz="8" w:space="0" w:color="FFFFFF"/>
                    <w:right w:val="single" w:sz="8" w:space="0" w:color="FFFFFF"/>
                  </w:tcBorders>
                  <w:shd w:val="clear" w:color="000000" w:fill="FCD5B4"/>
                  <w:noWrap/>
                  <w:vAlign w:val="center"/>
                  <w:hideMark/>
                </w:tcPr>
                <w:p w14:paraId="0A3135C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58%</w:t>
                  </w:r>
                </w:p>
              </w:tc>
              <w:tc>
                <w:tcPr>
                  <w:tcW w:w="1134" w:type="dxa"/>
                  <w:tcBorders>
                    <w:top w:val="nil"/>
                    <w:left w:val="nil"/>
                    <w:bottom w:val="single" w:sz="8" w:space="0" w:color="FFFFFF"/>
                    <w:right w:val="single" w:sz="8" w:space="0" w:color="FFFFFF"/>
                  </w:tcBorders>
                  <w:shd w:val="clear" w:color="000000" w:fill="FCD5B4"/>
                  <w:noWrap/>
                  <w:vAlign w:val="center"/>
                  <w:hideMark/>
                </w:tcPr>
                <w:p w14:paraId="1CE9313F"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企业债5Y</w:t>
                  </w:r>
                </w:p>
              </w:tc>
              <w:tc>
                <w:tcPr>
                  <w:tcW w:w="909" w:type="dxa"/>
                  <w:tcBorders>
                    <w:top w:val="nil"/>
                    <w:left w:val="nil"/>
                    <w:bottom w:val="single" w:sz="8" w:space="0" w:color="FFFFFF"/>
                    <w:right w:val="single" w:sz="8" w:space="0" w:color="FFFFFF"/>
                  </w:tcBorders>
                  <w:shd w:val="clear" w:color="000000" w:fill="FCD5B4"/>
                  <w:noWrap/>
                  <w:vAlign w:val="center"/>
                  <w:hideMark/>
                </w:tcPr>
                <w:p w14:paraId="3912ED7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12%</w:t>
                  </w:r>
                </w:p>
              </w:tc>
              <w:tc>
                <w:tcPr>
                  <w:tcW w:w="909" w:type="dxa"/>
                  <w:tcBorders>
                    <w:top w:val="nil"/>
                    <w:left w:val="nil"/>
                    <w:bottom w:val="single" w:sz="8" w:space="0" w:color="FFFFFF"/>
                    <w:right w:val="single" w:sz="8" w:space="0" w:color="FFFFFF"/>
                  </w:tcBorders>
                  <w:shd w:val="clear" w:color="000000" w:fill="FCD5B4"/>
                  <w:noWrap/>
                  <w:vAlign w:val="center"/>
                  <w:hideMark/>
                </w:tcPr>
                <w:p w14:paraId="262CD52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13%</w:t>
                  </w:r>
                </w:p>
              </w:tc>
              <w:tc>
                <w:tcPr>
                  <w:tcW w:w="909" w:type="dxa"/>
                  <w:tcBorders>
                    <w:top w:val="nil"/>
                    <w:left w:val="nil"/>
                    <w:bottom w:val="single" w:sz="8" w:space="0" w:color="FFFFFF"/>
                    <w:right w:val="single" w:sz="8" w:space="0" w:color="FFFFFF"/>
                  </w:tcBorders>
                  <w:shd w:val="clear" w:color="000000" w:fill="FCD5B4"/>
                  <w:noWrap/>
                  <w:vAlign w:val="center"/>
                  <w:hideMark/>
                </w:tcPr>
                <w:p w14:paraId="20FB359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10%</w:t>
                  </w:r>
                </w:p>
              </w:tc>
              <w:tc>
                <w:tcPr>
                  <w:tcW w:w="909" w:type="dxa"/>
                  <w:tcBorders>
                    <w:top w:val="nil"/>
                    <w:left w:val="nil"/>
                    <w:bottom w:val="single" w:sz="8" w:space="0" w:color="FFFFFF"/>
                    <w:right w:val="single" w:sz="8" w:space="0" w:color="FFFFFF"/>
                  </w:tcBorders>
                  <w:shd w:val="clear" w:color="000000" w:fill="FCD5B4"/>
                  <w:noWrap/>
                  <w:vAlign w:val="center"/>
                  <w:hideMark/>
                </w:tcPr>
                <w:p w14:paraId="60434FD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65%</w:t>
                  </w:r>
                </w:p>
              </w:tc>
            </w:tr>
            <w:tr w:rsidR="00A0730C" w:rsidRPr="00A0730C" w14:paraId="298DAFE4"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12961CF8"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企业债7Y</w:t>
                  </w:r>
                </w:p>
              </w:tc>
              <w:tc>
                <w:tcPr>
                  <w:tcW w:w="909" w:type="dxa"/>
                  <w:tcBorders>
                    <w:top w:val="nil"/>
                    <w:left w:val="nil"/>
                    <w:bottom w:val="single" w:sz="8" w:space="0" w:color="FFFFFF"/>
                    <w:right w:val="single" w:sz="8" w:space="0" w:color="FFFFFF"/>
                  </w:tcBorders>
                  <w:shd w:val="clear" w:color="000000" w:fill="FDE9D9"/>
                  <w:noWrap/>
                  <w:vAlign w:val="center"/>
                  <w:hideMark/>
                </w:tcPr>
                <w:p w14:paraId="23E2224C"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23%</w:t>
                  </w:r>
                </w:p>
              </w:tc>
              <w:tc>
                <w:tcPr>
                  <w:tcW w:w="910" w:type="dxa"/>
                  <w:tcBorders>
                    <w:top w:val="nil"/>
                    <w:left w:val="nil"/>
                    <w:bottom w:val="single" w:sz="8" w:space="0" w:color="FFFFFF"/>
                    <w:right w:val="single" w:sz="8" w:space="0" w:color="FFFFFF"/>
                  </w:tcBorders>
                  <w:shd w:val="clear" w:color="000000" w:fill="FDE9D9"/>
                  <w:noWrap/>
                  <w:vAlign w:val="center"/>
                  <w:hideMark/>
                </w:tcPr>
                <w:p w14:paraId="354A8D0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18%</w:t>
                  </w:r>
                </w:p>
              </w:tc>
              <w:tc>
                <w:tcPr>
                  <w:tcW w:w="910" w:type="dxa"/>
                  <w:tcBorders>
                    <w:top w:val="nil"/>
                    <w:left w:val="nil"/>
                    <w:bottom w:val="single" w:sz="8" w:space="0" w:color="FFFFFF"/>
                    <w:right w:val="single" w:sz="8" w:space="0" w:color="FFFFFF"/>
                  </w:tcBorders>
                  <w:shd w:val="clear" w:color="000000" w:fill="FDE9D9"/>
                  <w:noWrap/>
                  <w:vAlign w:val="center"/>
                  <w:hideMark/>
                </w:tcPr>
                <w:p w14:paraId="08115A6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16%</w:t>
                  </w:r>
                </w:p>
              </w:tc>
              <w:tc>
                <w:tcPr>
                  <w:tcW w:w="909" w:type="dxa"/>
                  <w:tcBorders>
                    <w:top w:val="nil"/>
                    <w:left w:val="nil"/>
                    <w:bottom w:val="single" w:sz="8" w:space="0" w:color="FFFFFF"/>
                    <w:right w:val="single" w:sz="8" w:space="0" w:color="FFFFFF"/>
                  </w:tcBorders>
                  <w:shd w:val="clear" w:color="000000" w:fill="FDE9D9"/>
                  <w:noWrap/>
                  <w:vAlign w:val="center"/>
                  <w:hideMark/>
                </w:tcPr>
                <w:p w14:paraId="1CC6DE5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50%</w:t>
                  </w:r>
                </w:p>
              </w:tc>
              <w:tc>
                <w:tcPr>
                  <w:tcW w:w="1134" w:type="dxa"/>
                  <w:tcBorders>
                    <w:top w:val="nil"/>
                    <w:left w:val="nil"/>
                    <w:bottom w:val="single" w:sz="8" w:space="0" w:color="FFFFFF"/>
                    <w:right w:val="single" w:sz="8" w:space="0" w:color="FFFFFF"/>
                  </w:tcBorders>
                  <w:shd w:val="clear" w:color="000000" w:fill="FDE9D9"/>
                  <w:noWrap/>
                  <w:vAlign w:val="center"/>
                  <w:hideMark/>
                </w:tcPr>
                <w:p w14:paraId="144D7CAA" w14:textId="77777777" w:rsidR="00A0730C" w:rsidRPr="00A0730C" w:rsidRDefault="00A0730C" w:rsidP="00A0730C">
                  <w:pPr>
                    <w:widowControl/>
                    <w:jc w:val="center"/>
                    <w:rPr>
                      <w:rFonts w:ascii="楷体" w:eastAsia="楷体" w:hAnsi="楷体" w:cs="宋体"/>
                      <w:color w:val="000000"/>
                      <w:kern w:val="0"/>
                      <w:sz w:val="20"/>
                      <w:szCs w:val="20"/>
                    </w:rPr>
                  </w:pPr>
                  <w:r w:rsidRPr="00A0730C">
                    <w:rPr>
                      <w:rFonts w:ascii="楷体" w:eastAsia="楷体" w:hAnsi="楷体" w:cs="宋体" w:hint="eastAsia"/>
                      <w:color w:val="000000"/>
                      <w:kern w:val="0"/>
                      <w:sz w:val="20"/>
                      <w:szCs w:val="20"/>
                    </w:rPr>
                    <w:t>企业债7Y</w:t>
                  </w:r>
                </w:p>
              </w:tc>
              <w:tc>
                <w:tcPr>
                  <w:tcW w:w="909" w:type="dxa"/>
                  <w:tcBorders>
                    <w:top w:val="nil"/>
                    <w:left w:val="nil"/>
                    <w:bottom w:val="single" w:sz="8" w:space="0" w:color="FFFFFF"/>
                    <w:right w:val="single" w:sz="8" w:space="0" w:color="FFFFFF"/>
                  </w:tcBorders>
                  <w:shd w:val="clear" w:color="000000" w:fill="FDE9D9"/>
                  <w:noWrap/>
                  <w:vAlign w:val="center"/>
                  <w:hideMark/>
                </w:tcPr>
                <w:p w14:paraId="7BB4484A"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10%</w:t>
                  </w:r>
                </w:p>
              </w:tc>
              <w:tc>
                <w:tcPr>
                  <w:tcW w:w="909" w:type="dxa"/>
                  <w:tcBorders>
                    <w:top w:val="nil"/>
                    <w:left w:val="nil"/>
                    <w:bottom w:val="single" w:sz="8" w:space="0" w:color="FFFFFF"/>
                    <w:right w:val="single" w:sz="8" w:space="0" w:color="FFFFFF"/>
                  </w:tcBorders>
                  <w:shd w:val="clear" w:color="000000" w:fill="FDE9D9"/>
                  <w:noWrap/>
                  <w:vAlign w:val="center"/>
                  <w:hideMark/>
                </w:tcPr>
                <w:p w14:paraId="4E464A79"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4%</w:t>
                  </w:r>
                </w:p>
              </w:tc>
              <w:tc>
                <w:tcPr>
                  <w:tcW w:w="909" w:type="dxa"/>
                  <w:tcBorders>
                    <w:top w:val="nil"/>
                    <w:left w:val="nil"/>
                    <w:bottom w:val="single" w:sz="8" w:space="0" w:color="FFFFFF"/>
                    <w:right w:val="single" w:sz="8" w:space="0" w:color="FFFFFF"/>
                  </w:tcBorders>
                  <w:shd w:val="clear" w:color="000000" w:fill="FDE9D9"/>
                  <w:noWrap/>
                  <w:vAlign w:val="center"/>
                  <w:hideMark/>
                </w:tcPr>
                <w:p w14:paraId="79A3ED1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4%</w:t>
                  </w:r>
                </w:p>
              </w:tc>
              <w:tc>
                <w:tcPr>
                  <w:tcW w:w="909" w:type="dxa"/>
                  <w:tcBorders>
                    <w:top w:val="nil"/>
                    <w:left w:val="nil"/>
                    <w:bottom w:val="single" w:sz="8" w:space="0" w:color="FFFFFF"/>
                    <w:right w:val="single" w:sz="8" w:space="0" w:color="FFFFFF"/>
                  </w:tcBorders>
                  <w:shd w:val="clear" w:color="000000" w:fill="FDE9D9"/>
                  <w:noWrap/>
                  <w:vAlign w:val="center"/>
                  <w:hideMark/>
                </w:tcPr>
                <w:p w14:paraId="20CB126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50%</w:t>
                  </w:r>
                </w:p>
              </w:tc>
            </w:tr>
            <w:tr w:rsidR="00A0730C" w:rsidRPr="00A0730C" w14:paraId="21D43424" w14:textId="77777777" w:rsidTr="00A0730C">
              <w:trPr>
                <w:trHeight w:val="400"/>
              </w:trPr>
              <w:tc>
                <w:tcPr>
                  <w:tcW w:w="1338" w:type="dxa"/>
                  <w:tcBorders>
                    <w:top w:val="nil"/>
                    <w:left w:val="nil"/>
                    <w:bottom w:val="single" w:sz="8" w:space="0" w:color="FFFFFF"/>
                    <w:right w:val="single" w:sz="8" w:space="0" w:color="FFFFFF"/>
                  </w:tcBorders>
                  <w:shd w:val="clear" w:color="000000" w:fill="FCD5B4"/>
                  <w:noWrap/>
                  <w:vAlign w:val="center"/>
                  <w:hideMark/>
                </w:tcPr>
                <w:p w14:paraId="3BA199B1"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3Y</w:t>
                  </w:r>
                </w:p>
              </w:tc>
              <w:tc>
                <w:tcPr>
                  <w:tcW w:w="909" w:type="dxa"/>
                  <w:tcBorders>
                    <w:top w:val="nil"/>
                    <w:left w:val="nil"/>
                    <w:bottom w:val="single" w:sz="8" w:space="0" w:color="FFFFFF"/>
                    <w:right w:val="single" w:sz="8" w:space="0" w:color="FFFFFF"/>
                  </w:tcBorders>
                  <w:shd w:val="clear" w:color="000000" w:fill="FCD5B4"/>
                  <w:noWrap/>
                  <w:vAlign w:val="center"/>
                  <w:hideMark/>
                </w:tcPr>
                <w:p w14:paraId="4191E94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25%</w:t>
                  </w:r>
                </w:p>
              </w:tc>
              <w:tc>
                <w:tcPr>
                  <w:tcW w:w="910" w:type="dxa"/>
                  <w:tcBorders>
                    <w:top w:val="nil"/>
                    <w:left w:val="nil"/>
                    <w:bottom w:val="single" w:sz="8" w:space="0" w:color="FFFFFF"/>
                    <w:right w:val="single" w:sz="8" w:space="0" w:color="FFFFFF"/>
                  </w:tcBorders>
                  <w:shd w:val="clear" w:color="000000" w:fill="FCD5B4"/>
                  <w:noWrap/>
                  <w:vAlign w:val="center"/>
                  <w:hideMark/>
                </w:tcPr>
                <w:p w14:paraId="15B00C3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28%</w:t>
                  </w:r>
                </w:p>
              </w:tc>
              <w:tc>
                <w:tcPr>
                  <w:tcW w:w="910" w:type="dxa"/>
                  <w:tcBorders>
                    <w:top w:val="nil"/>
                    <w:left w:val="nil"/>
                    <w:bottom w:val="single" w:sz="8" w:space="0" w:color="FFFFFF"/>
                    <w:right w:val="single" w:sz="8" w:space="0" w:color="FFFFFF"/>
                  </w:tcBorders>
                  <w:shd w:val="clear" w:color="000000" w:fill="FCD5B4"/>
                  <w:noWrap/>
                  <w:vAlign w:val="center"/>
                  <w:hideMark/>
                </w:tcPr>
                <w:p w14:paraId="1DD03F6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25%</w:t>
                  </w:r>
                </w:p>
              </w:tc>
              <w:tc>
                <w:tcPr>
                  <w:tcW w:w="909" w:type="dxa"/>
                  <w:tcBorders>
                    <w:top w:val="nil"/>
                    <w:left w:val="nil"/>
                    <w:bottom w:val="single" w:sz="8" w:space="0" w:color="FFFFFF"/>
                    <w:right w:val="single" w:sz="8" w:space="0" w:color="FFFFFF"/>
                  </w:tcBorders>
                  <w:shd w:val="clear" w:color="000000" w:fill="FCD5B4"/>
                  <w:noWrap/>
                  <w:vAlign w:val="center"/>
                  <w:hideMark/>
                </w:tcPr>
                <w:p w14:paraId="591DA54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51%</w:t>
                  </w:r>
                </w:p>
              </w:tc>
              <w:tc>
                <w:tcPr>
                  <w:tcW w:w="1134" w:type="dxa"/>
                  <w:tcBorders>
                    <w:top w:val="nil"/>
                    <w:left w:val="nil"/>
                    <w:bottom w:val="single" w:sz="8" w:space="0" w:color="FFFFFF"/>
                    <w:right w:val="single" w:sz="8" w:space="0" w:color="FFFFFF"/>
                  </w:tcBorders>
                  <w:shd w:val="clear" w:color="000000" w:fill="FCD5B4"/>
                  <w:noWrap/>
                  <w:vAlign w:val="center"/>
                  <w:hideMark/>
                </w:tcPr>
                <w:p w14:paraId="615A00C9"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3Y</w:t>
                  </w:r>
                </w:p>
              </w:tc>
              <w:tc>
                <w:tcPr>
                  <w:tcW w:w="909" w:type="dxa"/>
                  <w:tcBorders>
                    <w:top w:val="nil"/>
                    <w:left w:val="nil"/>
                    <w:bottom w:val="single" w:sz="8" w:space="0" w:color="FFFFFF"/>
                    <w:right w:val="single" w:sz="8" w:space="0" w:color="FFFFFF"/>
                  </w:tcBorders>
                  <w:shd w:val="clear" w:color="000000" w:fill="FCD5B4"/>
                  <w:noWrap/>
                  <w:vAlign w:val="center"/>
                  <w:hideMark/>
                </w:tcPr>
                <w:p w14:paraId="54DD0C1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7%</w:t>
                  </w:r>
                </w:p>
              </w:tc>
              <w:tc>
                <w:tcPr>
                  <w:tcW w:w="909" w:type="dxa"/>
                  <w:tcBorders>
                    <w:top w:val="nil"/>
                    <w:left w:val="nil"/>
                    <w:bottom w:val="single" w:sz="8" w:space="0" w:color="FFFFFF"/>
                    <w:right w:val="single" w:sz="8" w:space="0" w:color="FFFFFF"/>
                  </w:tcBorders>
                  <w:shd w:val="clear" w:color="000000" w:fill="FCD5B4"/>
                  <w:noWrap/>
                  <w:vAlign w:val="center"/>
                  <w:hideMark/>
                </w:tcPr>
                <w:p w14:paraId="3F26A05B"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19%</w:t>
                  </w:r>
                </w:p>
              </w:tc>
              <w:tc>
                <w:tcPr>
                  <w:tcW w:w="909" w:type="dxa"/>
                  <w:tcBorders>
                    <w:top w:val="nil"/>
                    <w:left w:val="nil"/>
                    <w:bottom w:val="single" w:sz="8" w:space="0" w:color="FFFFFF"/>
                    <w:right w:val="single" w:sz="8" w:space="0" w:color="FFFFFF"/>
                  </w:tcBorders>
                  <w:shd w:val="clear" w:color="000000" w:fill="FCD5B4"/>
                  <w:noWrap/>
                  <w:vAlign w:val="center"/>
                  <w:hideMark/>
                </w:tcPr>
                <w:p w14:paraId="47E2AB8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24%</w:t>
                  </w:r>
                </w:p>
              </w:tc>
              <w:tc>
                <w:tcPr>
                  <w:tcW w:w="909" w:type="dxa"/>
                  <w:tcBorders>
                    <w:top w:val="nil"/>
                    <w:left w:val="nil"/>
                    <w:bottom w:val="single" w:sz="8" w:space="0" w:color="FFFFFF"/>
                    <w:right w:val="single" w:sz="8" w:space="0" w:color="FFFFFF"/>
                  </w:tcBorders>
                  <w:shd w:val="clear" w:color="000000" w:fill="FCD5B4"/>
                  <w:noWrap/>
                  <w:vAlign w:val="center"/>
                  <w:hideMark/>
                </w:tcPr>
                <w:p w14:paraId="5DDA7C0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55%</w:t>
                  </w:r>
                </w:p>
              </w:tc>
            </w:tr>
            <w:tr w:rsidR="00A0730C" w:rsidRPr="00A0730C" w14:paraId="6CBCC0F8" w14:textId="77777777" w:rsidTr="00A0730C">
              <w:trPr>
                <w:trHeight w:val="400"/>
              </w:trPr>
              <w:tc>
                <w:tcPr>
                  <w:tcW w:w="1338" w:type="dxa"/>
                  <w:tcBorders>
                    <w:top w:val="nil"/>
                    <w:left w:val="nil"/>
                    <w:bottom w:val="single" w:sz="8" w:space="0" w:color="FFFFFF"/>
                    <w:right w:val="single" w:sz="8" w:space="0" w:color="FFFFFF"/>
                  </w:tcBorders>
                  <w:shd w:val="clear" w:color="000000" w:fill="FDE9D9"/>
                  <w:noWrap/>
                  <w:vAlign w:val="center"/>
                  <w:hideMark/>
                </w:tcPr>
                <w:p w14:paraId="64E113A1"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5Y</w:t>
                  </w:r>
                </w:p>
              </w:tc>
              <w:tc>
                <w:tcPr>
                  <w:tcW w:w="909" w:type="dxa"/>
                  <w:tcBorders>
                    <w:top w:val="nil"/>
                    <w:left w:val="nil"/>
                    <w:bottom w:val="single" w:sz="8" w:space="0" w:color="FFFFFF"/>
                    <w:right w:val="single" w:sz="8" w:space="0" w:color="FFFFFF"/>
                  </w:tcBorders>
                  <w:shd w:val="clear" w:color="000000" w:fill="FDE9D9"/>
                  <w:noWrap/>
                  <w:vAlign w:val="center"/>
                  <w:hideMark/>
                </w:tcPr>
                <w:p w14:paraId="29BAFD6D"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19%</w:t>
                  </w:r>
                </w:p>
              </w:tc>
              <w:tc>
                <w:tcPr>
                  <w:tcW w:w="910" w:type="dxa"/>
                  <w:tcBorders>
                    <w:top w:val="nil"/>
                    <w:left w:val="nil"/>
                    <w:bottom w:val="single" w:sz="8" w:space="0" w:color="FFFFFF"/>
                    <w:right w:val="single" w:sz="8" w:space="0" w:color="FFFFFF"/>
                  </w:tcBorders>
                  <w:shd w:val="clear" w:color="000000" w:fill="FDE9D9"/>
                  <w:noWrap/>
                  <w:vAlign w:val="center"/>
                  <w:hideMark/>
                </w:tcPr>
                <w:p w14:paraId="059914B2"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20%</w:t>
                  </w:r>
                </w:p>
              </w:tc>
              <w:tc>
                <w:tcPr>
                  <w:tcW w:w="910" w:type="dxa"/>
                  <w:tcBorders>
                    <w:top w:val="nil"/>
                    <w:left w:val="nil"/>
                    <w:bottom w:val="single" w:sz="8" w:space="0" w:color="FFFFFF"/>
                    <w:right w:val="single" w:sz="8" w:space="0" w:color="FFFFFF"/>
                  </w:tcBorders>
                  <w:shd w:val="clear" w:color="000000" w:fill="FDE9D9"/>
                  <w:noWrap/>
                  <w:vAlign w:val="center"/>
                  <w:hideMark/>
                </w:tcPr>
                <w:p w14:paraId="5CBB98D3"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21%</w:t>
                  </w:r>
                </w:p>
              </w:tc>
              <w:tc>
                <w:tcPr>
                  <w:tcW w:w="909" w:type="dxa"/>
                  <w:tcBorders>
                    <w:top w:val="nil"/>
                    <w:left w:val="nil"/>
                    <w:bottom w:val="single" w:sz="8" w:space="0" w:color="FFFFFF"/>
                    <w:right w:val="single" w:sz="8" w:space="0" w:color="FFFFFF"/>
                  </w:tcBorders>
                  <w:shd w:val="clear" w:color="000000" w:fill="FDE9D9"/>
                  <w:noWrap/>
                  <w:vAlign w:val="center"/>
                  <w:hideMark/>
                </w:tcPr>
                <w:p w14:paraId="23E2BE48"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54%</w:t>
                  </w:r>
                </w:p>
              </w:tc>
              <w:tc>
                <w:tcPr>
                  <w:tcW w:w="1134" w:type="dxa"/>
                  <w:tcBorders>
                    <w:top w:val="nil"/>
                    <w:left w:val="nil"/>
                    <w:bottom w:val="single" w:sz="8" w:space="0" w:color="FFFFFF"/>
                    <w:right w:val="single" w:sz="8" w:space="0" w:color="FFFFFF"/>
                  </w:tcBorders>
                  <w:shd w:val="clear" w:color="000000" w:fill="FDE9D9"/>
                  <w:noWrap/>
                  <w:vAlign w:val="center"/>
                  <w:hideMark/>
                </w:tcPr>
                <w:p w14:paraId="4CAA8BA6"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5Y</w:t>
                  </w:r>
                </w:p>
              </w:tc>
              <w:tc>
                <w:tcPr>
                  <w:tcW w:w="909" w:type="dxa"/>
                  <w:tcBorders>
                    <w:top w:val="nil"/>
                    <w:left w:val="nil"/>
                    <w:bottom w:val="single" w:sz="8" w:space="0" w:color="FFFFFF"/>
                    <w:right w:val="single" w:sz="8" w:space="0" w:color="FFFFFF"/>
                  </w:tcBorders>
                  <w:shd w:val="clear" w:color="000000" w:fill="FDE9D9"/>
                  <w:noWrap/>
                  <w:vAlign w:val="center"/>
                  <w:hideMark/>
                </w:tcPr>
                <w:p w14:paraId="45BC41A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8%</w:t>
                  </w:r>
                </w:p>
              </w:tc>
              <w:tc>
                <w:tcPr>
                  <w:tcW w:w="909" w:type="dxa"/>
                  <w:tcBorders>
                    <w:top w:val="nil"/>
                    <w:left w:val="nil"/>
                    <w:bottom w:val="single" w:sz="8" w:space="0" w:color="FFFFFF"/>
                    <w:right w:val="single" w:sz="8" w:space="0" w:color="FFFFFF"/>
                  </w:tcBorders>
                  <w:shd w:val="clear" w:color="000000" w:fill="FDE9D9"/>
                  <w:noWrap/>
                  <w:vAlign w:val="center"/>
                  <w:hideMark/>
                </w:tcPr>
                <w:p w14:paraId="6230C35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14%</w:t>
                  </w:r>
                </w:p>
              </w:tc>
              <w:tc>
                <w:tcPr>
                  <w:tcW w:w="909" w:type="dxa"/>
                  <w:tcBorders>
                    <w:top w:val="nil"/>
                    <w:left w:val="nil"/>
                    <w:bottom w:val="single" w:sz="8" w:space="0" w:color="FFFFFF"/>
                    <w:right w:val="single" w:sz="8" w:space="0" w:color="FFFFFF"/>
                  </w:tcBorders>
                  <w:shd w:val="clear" w:color="000000" w:fill="FDE9D9"/>
                  <w:noWrap/>
                  <w:vAlign w:val="center"/>
                  <w:hideMark/>
                </w:tcPr>
                <w:p w14:paraId="03C3E37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15%</w:t>
                  </w:r>
                </w:p>
              </w:tc>
              <w:tc>
                <w:tcPr>
                  <w:tcW w:w="909" w:type="dxa"/>
                  <w:tcBorders>
                    <w:top w:val="nil"/>
                    <w:left w:val="nil"/>
                    <w:bottom w:val="single" w:sz="8" w:space="0" w:color="FFFFFF"/>
                    <w:right w:val="single" w:sz="8" w:space="0" w:color="FFFFFF"/>
                  </w:tcBorders>
                  <w:shd w:val="clear" w:color="000000" w:fill="FDE9D9"/>
                  <w:noWrap/>
                  <w:vAlign w:val="center"/>
                  <w:hideMark/>
                </w:tcPr>
                <w:p w14:paraId="0CF9F87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64%</w:t>
                  </w:r>
                </w:p>
              </w:tc>
            </w:tr>
            <w:tr w:rsidR="00A0730C" w:rsidRPr="00A0730C" w14:paraId="130EAD9A" w14:textId="77777777" w:rsidTr="00A0730C">
              <w:trPr>
                <w:trHeight w:val="400"/>
              </w:trPr>
              <w:tc>
                <w:tcPr>
                  <w:tcW w:w="1338" w:type="dxa"/>
                  <w:tcBorders>
                    <w:top w:val="nil"/>
                    <w:left w:val="nil"/>
                    <w:bottom w:val="nil"/>
                    <w:right w:val="nil"/>
                  </w:tcBorders>
                  <w:shd w:val="clear" w:color="000000" w:fill="FCD5B4"/>
                  <w:noWrap/>
                  <w:vAlign w:val="center"/>
                  <w:hideMark/>
                </w:tcPr>
                <w:p w14:paraId="2043D398"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7Y</w:t>
                  </w:r>
                </w:p>
              </w:tc>
              <w:tc>
                <w:tcPr>
                  <w:tcW w:w="909" w:type="dxa"/>
                  <w:tcBorders>
                    <w:top w:val="nil"/>
                    <w:left w:val="nil"/>
                    <w:bottom w:val="single" w:sz="8" w:space="0" w:color="FFFFFF"/>
                    <w:right w:val="single" w:sz="8" w:space="0" w:color="FFFFFF"/>
                  </w:tcBorders>
                  <w:shd w:val="clear" w:color="000000" w:fill="FCD5B4"/>
                  <w:noWrap/>
                  <w:vAlign w:val="center"/>
                  <w:hideMark/>
                </w:tcPr>
                <w:p w14:paraId="65193E77"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18%</w:t>
                  </w:r>
                </w:p>
              </w:tc>
              <w:tc>
                <w:tcPr>
                  <w:tcW w:w="910" w:type="dxa"/>
                  <w:tcBorders>
                    <w:top w:val="nil"/>
                    <w:left w:val="nil"/>
                    <w:bottom w:val="single" w:sz="8" w:space="0" w:color="FFFFFF"/>
                    <w:right w:val="single" w:sz="8" w:space="0" w:color="FFFFFF"/>
                  </w:tcBorders>
                  <w:shd w:val="clear" w:color="000000" w:fill="FCD5B4"/>
                  <w:noWrap/>
                  <w:vAlign w:val="center"/>
                  <w:hideMark/>
                </w:tcPr>
                <w:p w14:paraId="147E49AE"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17%</w:t>
                  </w:r>
                </w:p>
              </w:tc>
              <w:tc>
                <w:tcPr>
                  <w:tcW w:w="910" w:type="dxa"/>
                  <w:tcBorders>
                    <w:top w:val="nil"/>
                    <w:left w:val="nil"/>
                    <w:bottom w:val="single" w:sz="8" w:space="0" w:color="FFFFFF"/>
                    <w:right w:val="single" w:sz="8" w:space="0" w:color="FFFFFF"/>
                  </w:tcBorders>
                  <w:shd w:val="clear" w:color="000000" w:fill="FCD5B4"/>
                  <w:noWrap/>
                  <w:vAlign w:val="center"/>
                  <w:hideMark/>
                </w:tcPr>
                <w:p w14:paraId="4BDD41A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15%</w:t>
                  </w:r>
                </w:p>
              </w:tc>
              <w:tc>
                <w:tcPr>
                  <w:tcW w:w="909" w:type="dxa"/>
                  <w:tcBorders>
                    <w:top w:val="nil"/>
                    <w:left w:val="nil"/>
                    <w:bottom w:val="single" w:sz="8" w:space="0" w:color="FFFFFF"/>
                    <w:right w:val="single" w:sz="8" w:space="0" w:color="FFFFFF"/>
                  </w:tcBorders>
                  <w:shd w:val="clear" w:color="000000" w:fill="FCD5B4"/>
                  <w:noWrap/>
                  <w:vAlign w:val="center"/>
                  <w:hideMark/>
                </w:tcPr>
                <w:p w14:paraId="022C41F1"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55%</w:t>
                  </w:r>
                </w:p>
              </w:tc>
              <w:tc>
                <w:tcPr>
                  <w:tcW w:w="1134" w:type="dxa"/>
                  <w:tcBorders>
                    <w:top w:val="nil"/>
                    <w:left w:val="nil"/>
                    <w:bottom w:val="nil"/>
                    <w:right w:val="nil"/>
                  </w:tcBorders>
                  <w:shd w:val="clear" w:color="000000" w:fill="FCD5B4"/>
                  <w:noWrap/>
                  <w:vAlign w:val="center"/>
                  <w:hideMark/>
                </w:tcPr>
                <w:p w14:paraId="76EA7CB6" w14:textId="77777777" w:rsidR="00A0730C" w:rsidRPr="00A0730C" w:rsidRDefault="00A0730C" w:rsidP="00A0730C">
                  <w:pPr>
                    <w:widowControl/>
                    <w:jc w:val="center"/>
                    <w:rPr>
                      <w:rFonts w:ascii="楷体" w:eastAsia="楷体" w:hAnsi="楷体" w:cs="宋体"/>
                      <w:color w:val="000000"/>
                      <w:kern w:val="0"/>
                      <w:sz w:val="20"/>
                      <w:szCs w:val="20"/>
                    </w:rPr>
                  </w:pPr>
                  <w:proofErr w:type="gramStart"/>
                  <w:r w:rsidRPr="00A0730C">
                    <w:rPr>
                      <w:rFonts w:ascii="楷体" w:eastAsia="楷体" w:hAnsi="楷体" w:cs="宋体" w:hint="eastAsia"/>
                      <w:color w:val="000000"/>
                      <w:kern w:val="0"/>
                      <w:sz w:val="20"/>
                      <w:szCs w:val="20"/>
                    </w:rPr>
                    <w:t>城投债</w:t>
                  </w:r>
                  <w:proofErr w:type="gramEnd"/>
                  <w:r w:rsidRPr="00A0730C">
                    <w:rPr>
                      <w:rFonts w:ascii="楷体" w:eastAsia="楷体" w:hAnsi="楷体" w:cs="宋体" w:hint="eastAsia"/>
                      <w:color w:val="000000"/>
                      <w:kern w:val="0"/>
                      <w:sz w:val="20"/>
                      <w:szCs w:val="20"/>
                    </w:rPr>
                    <w:t>7Y</w:t>
                  </w:r>
                </w:p>
              </w:tc>
              <w:tc>
                <w:tcPr>
                  <w:tcW w:w="909" w:type="dxa"/>
                  <w:tcBorders>
                    <w:top w:val="nil"/>
                    <w:left w:val="nil"/>
                    <w:bottom w:val="single" w:sz="8" w:space="0" w:color="FFFFFF"/>
                    <w:right w:val="single" w:sz="8" w:space="0" w:color="FFFFFF"/>
                  </w:tcBorders>
                  <w:shd w:val="clear" w:color="000000" w:fill="FCD5B4"/>
                  <w:noWrap/>
                  <w:vAlign w:val="center"/>
                  <w:hideMark/>
                </w:tcPr>
                <w:p w14:paraId="1CBF3ADF"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6%</w:t>
                  </w:r>
                </w:p>
              </w:tc>
              <w:tc>
                <w:tcPr>
                  <w:tcW w:w="909" w:type="dxa"/>
                  <w:tcBorders>
                    <w:top w:val="nil"/>
                    <w:left w:val="nil"/>
                    <w:bottom w:val="single" w:sz="8" w:space="0" w:color="FFFFFF"/>
                    <w:right w:val="single" w:sz="8" w:space="0" w:color="FFFFFF"/>
                  </w:tcBorders>
                  <w:shd w:val="clear" w:color="000000" w:fill="FCD5B4"/>
                  <w:noWrap/>
                  <w:vAlign w:val="center"/>
                  <w:hideMark/>
                </w:tcPr>
                <w:p w14:paraId="6F424504"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8%</w:t>
                  </w:r>
                </w:p>
              </w:tc>
              <w:tc>
                <w:tcPr>
                  <w:tcW w:w="909" w:type="dxa"/>
                  <w:tcBorders>
                    <w:top w:val="nil"/>
                    <w:left w:val="nil"/>
                    <w:bottom w:val="single" w:sz="8" w:space="0" w:color="FFFFFF"/>
                    <w:right w:val="single" w:sz="8" w:space="0" w:color="FFFFFF"/>
                  </w:tcBorders>
                  <w:shd w:val="clear" w:color="000000" w:fill="FCD5B4"/>
                  <w:noWrap/>
                  <w:vAlign w:val="center"/>
                  <w:hideMark/>
                </w:tcPr>
                <w:p w14:paraId="5C5E99A5"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w:t>
                  </w:r>
                </w:p>
              </w:tc>
              <w:tc>
                <w:tcPr>
                  <w:tcW w:w="909" w:type="dxa"/>
                  <w:tcBorders>
                    <w:top w:val="nil"/>
                    <w:left w:val="nil"/>
                    <w:bottom w:val="single" w:sz="8" w:space="0" w:color="FFFFFF"/>
                    <w:right w:val="single" w:sz="8" w:space="0" w:color="FFFFFF"/>
                  </w:tcBorders>
                  <w:shd w:val="clear" w:color="000000" w:fill="FCD5B4"/>
                  <w:noWrap/>
                  <w:vAlign w:val="center"/>
                  <w:hideMark/>
                </w:tcPr>
                <w:p w14:paraId="34393E10" w14:textId="77777777" w:rsidR="00A0730C" w:rsidRPr="00A0730C" w:rsidRDefault="00A0730C" w:rsidP="00A0730C">
                  <w:pPr>
                    <w:widowControl/>
                    <w:jc w:val="center"/>
                    <w:rPr>
                      <w:rFonts w:eastAsia="等线" w:cs="Calibri"/>
                      <w:color w:val="000000"/>
                      <w:kern w:val="0"/>
                      <w:szCs w:val="21"/>
                    </w:rPr>
                  </w:pPr>
                  <w:r w:rsidRPr="00A0730C">
                    <w:rPr>
                      <w:rFonts w:eastAsia="等线" w:cs="Calibri"/>
                      <w:color w:val="000000"/>
                      <w:kern w:val="0"/>
                      <w:szCs w:val="21"/>
                    </w:rPr>
                    <w:t>59%</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2495B50E"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926C0" w:rsidRPr="003926C0">
        <w:rPr>
          <w:rFonts w:ascii="华文楷体" w:hAnsi="华文楷体" w:hint="eastAsia"/>
          <w:sz w:val="24"/>
          <w:szCs w:val="24"/>
          <w:lang w:eastAsia="zh-CN"/>
        </w:rPr>
        <w:t>权益</w:t>
      </w:r>
      <w:r w:rsidR="003926C0">
        <w:rPr>
          <w:rFonts w:ascii="华文楷体" w:hAnsi="华文楷体" w:hint="eastAsia"/>
          <w:sz w:val="24"/>
          <w:szCs w:val="24"/>
          <w:lang w:eastAsia="zh-CN"/>
        </w:rPr>
        <w:t>市场情绪</w:t>
      </w:r>
      <w:r w:rsidR="00E33989">
        <w:rPr>
          <w:rFonts w:ascii="华文楷体" w:hAnsi="华文楷体" w:hint="eastAsia"/>
          <w:sz w:val="24"/>
          <w:szCs w:val="24"/>
          <w:lang w:eastAsia="zh-CN"/>
        </w:rPr>
        <w:t>较</w:t>
      </w:r>
      <w:r w:rsidR="005322C6">
        <w:rPr>
          <w:rFonts w:ascii="华文楷体" w:hAnsi="华文楷体" w:hint="eastAsia"/>
          <w:sz w:val="24"/>
          <w:szCs w:val="24"/>
          <w:lang w:eastAsia="zh-CN"/>
        </w:rPr>
        <w:t>好，创业板表现持续相对略好</w:t>
      </w:r>
      <w:r w:rsidR="003926C0">
        <w:rPr>
          <w:rFonts w:ascii="华文楷体" w:hAnsi="华文楷体" w:hint="eastAsia"/>
          <w:sz w:val="24"/>
          <w:szCs w:val="24"/>
          <w:lang w:eastAsia="zh-CN"/>
        </w:rPr>
        <w:t>，</w:t>
      </w:r>
      <w:r w:rsidR="00363D41">
        <w:rPr>
          <w:rFonts w:ascii="华文楷体" w:hAnsi="华文楷体" w:hint="eastAsia"/>
          <w:sz w:val="24"/>
          <w:szCs w:val="24"/>
          <w:lang w:eastAsia="zh-CN"/>
        </w:rPr>
        <w:t>成交量</w:t>
      </w:r>
      <w:r w:rsidR="005322C6">
        <w:rPr>
          <w:rFonts w:ascii="华文楷体" w:hAnsi="华文楷体" w:hint="eastAsia"/>
          <w:sz w:val="24"/>
          <w:szCs w:val="24"/>
          <w:lang w:eastAsia="zh-CN"/>
        </w:rPr>
        <w:t>各板块涨跌互现</w:t>
      </w:r>
      <w:r w:rsidR="003926C0" w:rsidRPr="003926C0">
        <w:rPr>
          <w:rFonts w:ascii="华文楷体" w:hAnsi="华文楷体" w:hint="eastAsia"/>
          <w:sz w:val="24"/>
          <w:szCs w:val="24"/>
          <w:lang w:eastAsia="zh-CN"/>
        </w:rPr>
        <w:t>。</w:t>
      </w:r>
      <w:r w:rsidR="003926C0">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5322C6">
        <w:rPr>
          <w:rFonts w:ascii="华文楷体" w:hAnsi="华文楷体" w:hint="eastAsia"/>
          <w:sz w:val="24"/>
          <w:szCs w:val="24"/>
          <w:lang w:eastAsia="zh-CN"/>
        </w:rPr>
        <w:t>继续</w:t>
      </w:r>
      <w:r w:rsidR="00696F26">
        <w:rPr>
          <w:rFonts w:ascii="华文楷体" w:hAnsi="华文楷体" w:hint="eastAsia"/>
          <w:sz w:val="24"/>
          <w:szCs w:val="24"/>
          <w:lang w:eastAsia="zh-CN"/>
        </w:rPr>
        <w:t>关注行业景气度、业绩较好、估值较低的品种</w:t>
      </w:r>
      <w:r w:rsidR="00345C30">
        <w:rPr>
          <w:rFonts w:ascii="华文楷体" w:hAnsi="华文楷体" w:hint="eastAsia"/>
          <w:sz w:val="24"/>
          <w:szCs w:val="24"/>
          <w:lang w:eastAsia="zh-CN"/>
        </w:rPr>
        <w:t>，关注行业和个</w:t>
      </w:r>
      <w:proofErr w:type="gramStart"/>
      <w:r w:rsidR="00345C30">
        <w:rPr>
          <w:rFonts w:ascii="华文楷体" w:hAnsi="华文楷体" w:hint="eastAsia"/>
          <w:sz w:val="24"/>
          <w:szCs w:val="24"/>
          <w:lang w:eastAsia="zh-CN"/>
        </w:rPr>
        <w:t>券</w:t>
      </w:r>
      <w:proofErr w:type="gramEnd"/>
      <w:r w:rsidR="00345C30">
        <w:rPr>
          <w:rFonts w:ascii="华文楷体" w:hAnsi="华文楷体" w:hint="eastAsia"/>
          <w:sz w:val="24"/>
          <w:szCs w:val="24"/>
          <w:lang w:eastAsia="zh-CN"/>
        </w:rPr>
        <w:t>配置机会</w:t>
      </w:r>
      <w:r w:rsidR="003926C0" w:rsidRPr="003926C0">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5322C6">
        <w:rPr>
          <w:rFonts w:ascii="华文楷体" w:hAnsi="华文楷体" w:hint="eastAsia"/>
          <w:sz w:val="24"/>
          <w:szCs w:val="24"/>
          <w:lang w:eastAsia="zh-CN"/>
        </w:rPr>
        <w:t>+1.4</w:t>
      </w:r>
      <w:r w:rsidR="00AC28BB">
        <w:rPr>
          <w:rFonts w:ascii="华文楷体" w:hAnsi="华文楷体"/>
          <w:sz w:val="24"/>
          <w:szCs w:val="24"/>
          <w:lang w:eastAsia="zh-CN"/>
        </w:rPr>
        <w:t>%、</w:t>
      </w:r>
      <w:r w:rsidR="005322C6">
        <w:rPr>
          <w:rFonts w:ascii="华文楷体" w:hAnsi="华文楷体" w:hint="eastAsia"/>
          <w:sz w:val="24"/>
          <w:szCs w:val="24"/>
          <w:lang w:eastAsia="zh-CN"/>
        </w:rPr>
        <w:t>+3.5</w:t>
      </w:r>
      <w:r w:rsidR="00AC28BB">
        <w:rPr>
          <w:rFonts w:ascii="华文楷体" w:hAnsi="华文楷体"/>
          <w:sz w:val="24"/>
          <w:szCs w:val="24"/>
          <w:lang w:eastAsia="zh-CN"/>
        </w:rPr>
        <w:t>%、</w:t>
      </w:r>
      <w:r w:rsidR="005322C6">
        <w:rPr>
          <w:rFonts w:ascii="华文楷体" w:hAnsi="华文楷体" w:hint="eastAsia"/>
          <w:sz w:val="24"/>
          <w:szCs w:val="24"/>
          <w:lang w:eastAsia="zh-CN"/>
        </w:rPr>
        <w:t>+2.3</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5322C6">
        <w:rPr>
          <w:rFonts w:ascii="华文楷体" w:hAnsi="华文楷体" w:hint="eastAsia"/>
          <w:sz w:val="24"/>
          <w:szCs w:val="24"/>
          <w:lang w:eastAsia="zh-CN"/>
        </w:rPr>
        <w:t>+2.3</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5322C6">
        <w:rPr>
          <w:rFonts w:ascii="华文楷体" w:hAnsi="华文楷体" w:hint="eastAsia"/>
          <w:sz w:val="24"/>
          <w:szCs w:val="24"/>
          <w:lang w:eastAsia="zh-CN"/>
        </w:rPr>
        <w:t>上行0.2</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5322C6">
        <w:tblPrEx>
          <w:tblCellMar>
            <w:left w:w="108" w:type="dxa"/>
            <w:right w:w="108" w:type="dxa"/>
          </w:tblCellMar>
        </w:tblPrEx>
        <w:trPr>
          <w:jc w:val="center"/>
        </w:trPr>
        <w:tc>
          <w:tcPr>
            <w:tcW w:w="4939" w:type="dxa"/>
            <w:vAlign w:val="center"/>
          </w:tcPr>
          <w:p w14:paraId="5C83721A" w14:textId="051B13AC" w:rsidR="00E0626C" w:rsidRPr="00345C30" w:rsidRDefault="001D6E5D" w:rsidP="00345C30">
            <w:pPr>
              <w:widowControl/>
              <w:jc w:val="left"/>
              <w:rPr>
                <w:rFonts w:ascii="宋体" w:hAnsi="宋体" w:cs="宋体"/>
                <w:kern w:val="0"/>
                <w:sz w:val="24"/>
                <w:szCs w:val="24"/>
              </w:rPr>
            </w:pPr>
            <w:r w:rsidRPr="001D6E5D">
              <w:rPr>
                <w:rFonts w:ascii="宋体" w:hAnsi="宋体" w:cs="宋体"/>
                <w:noProof/>
                <w:kern w:val="0"/>
                <w:sz w:val="24"/>
                <w:szCs w:val="24"/>
              </w:rPr>
              <w:drawing>
                <wp:inline distT="0" distB="0" distL="0" distR="0" wp14:anchorId="2B540D27" wp14:editId="4CEB14C1">
                  <wp:extent cx="3123565" cy="1945005"/>
                  <wp:effectExtent l="0" t="0" r="635" b="0"/>
                  <wp:docPr id="6" name="图片 6" descr="C:\Users\Tang\AppData\Local\Temp\16084675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08467553(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3565" cy="1945005"/>
                          </a:xfrm>
                          <a:prstGeom prst="rect">
                            <a:avLst/>
                          </a:prstGeom>
                          <a:noFill/>
                          <a:ln>
                            <a:noFill/>
                          </a:ln>
                        </pic:spPr>
                      </pic:pic>
                    </a:graphicData>
                  </a:graphic>
                </wp:inline>
              </w:drawing>
            </w:r>
          </w:p>
        </w:tc>
        <w:tc>
          <w:tcPr>
            <w:tcW w:w="4938" w:type="dxa"/>
            <w:vAlign w:val="center"/>
          </w:tcPr>
          <w:p w14:paraId="39BD4383" w14:textId="53F4A202" w:rsidR="00E0626C" w:rsidRPr="007E0340" w:rsidRDefault="005322C6" w:rsidP="009A2BA0">
            <w:pPr>
              <w:jc w:val="center"/>
              <w:rPr>
                <w:noProof/>
                <w:szCs w:val="18"/>
              </w:rPr>
            </w:pPr>
            <w:r>
              <w:rPr>
                <w:noProof/>
              </w:rPr>
              <w:drawing>
                <wp:inline distT="0" distB="0" distL="0" distR="0" wp14:anchorId="6AF80728" wp14:editId="5FCF8482">
                  <wp:extent cx="2998470" cy="1939265"/>
                  <wp:effectExtent l="0" t="0" r="0" b="4445"/>
                  <wp:docPr id="13" name="图表 1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2490D40B"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BE6E5F" w:rsidRPr="00BE6E5F">
        <w:rPr>
          <w:rFonts w:ascii="华文楷体" w:hAnsi="华文楷体" w:hint="eastAsia"/>
          <w:bCs/>
          <w:sz w:val="24"/>
          <w:szCs w:val="24"/>
          <w:lang w:eastAsia="zh-CN"/>
        </w:rPr>
        <w:t>本周主要港口动力煤平均价环比回升3.62%，涨幅依然较大，主要受供需共同走高影响。</w:t>
      </w:r>
      <w:r w:rsidR="00591449" w:rsidRPr="00591449">
        <w:rPr>
          <w:rFonts w:ascii="华文楷体" w:hAnsi="华文楷体" w:hint="eastAsia"/>
          <w:bCs/>
          <w:sz w:val="24"/>
          <w:szCs w:val="24"/>
          <w:lang w:eastAsia="zh-CN"/>
        </w:rPr>
        <w:t>中国玻璃综合指数回升3.5%，周内玻璃价格持续上涨。</w:t>
      </w:r>
      <w:proofErr w:type="spellStart"/>
      <w:r w:rsidR="00591449" w:rsidRPr="00591449">
        <w:rPr>
          <w:rFonts w:ascii="华文楷体" w:hAnsi="华文楷体" w:hint="eastAsia"/>
          <w:bCs/>
          <w:sz w:val="24"/>
          <w:szCs w:val="24"/>
          <w:lang w:eastAsia="zh-CN"/>
        </w:rPr>
        <w:t>Myspic</w:t>
      </w:r>
      <w:proofErr w:type="spellEnd"/>
      <w:r w:rsidR="00591449" w:rsidRPr="00591449">
        <w:rPr>
          <w:rFonts w:ascii="华文楷体" w:hAnsi="华文楷体" w:hint="eastAsia"/>
          <w:bCs/>
          <w:sz w:val="24"/>
          <w:szCs w:val="24"/>
          <w:lang w:eastAsia="zh-CN"/>
        </w:rPr>
        <w:t>综合全国钢铁价格指数上行2.88%，较上周涨幅明显走扩。主要品种中，螺纹钢、热卷、高线价格本周表现分化，分别</w:t>
      </w:r>
      <w:r w:rsidR="00591449" w:rsidRPr="00591449">
        <w:rPr>
          <w:rFonts w:ascii="华文楷体" w:hAnsi="华文楷体" w:hint="eastAsia"/>
          <w:bCs/>
          <w:sz w:val="24"/>
          <w:szCs w:val="24"/>
          <w:lang w:eastAsia="zh-CN"/>
        </w:rPr>
        <w:lastRenderedPageBreak/>
        <w:t>变动1.44%、1.92%、2.91%，多个品种价格上涨；从库存来看，螺纹钢、热卷、线材库存分别变动-5.99%、-3.41%、-3.49%，库存回落速度仍较快。</w:t>
      </w:r>
    </w:p>
    <w:p w14:paraId="21425444" w14:textId="74214ABA"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591449" w:rsidRPr="00591449">
        <w:rPr>
          <w:rFonts w:ascii="华文楷体" w:hAnsi="华文楷体" w:hint="eastAsia"/>
          <w:bCs/>
          <w:sz w:val="24"/>
          <w:szCs w:val="24"/>
          <w:lang w:eastAsia="zh-CN"/>
        </w:rPr>
        <w:t>本周30大中城市商品房成交面积较前周小幅回升，其中各线城市表现较为均衡；拿地方面，本周100大中城市土地成交面积继续回落，其中一、三线城市拿地继续大幅回落，带动整体拿地环比仍为下行，二线城市土地成交面积回落幅度相对有限。拿地和销售数据均未延续上周回升趋势，或受地产政策仍偏紧影响。</w:t>
      </w:r>
    </w:p>
    <w:p w14:paraId="77CCCEDF" w14:textId="1AB85737"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591449" w:rsidRPr="00591449">
        <w:rPr>
          <w:rFonts w:ascii="华文楷体" w:hAnsi="华文楷体" w:hint="eastAsia"/>
          <w:bCs/>
          <w:sz w:val="24"/>
          <w:szCs w:val="24"/>
          <w:lang w:eastAsia="zh-CN"/>
        </w:rPr>
        <w:t>波罗的海干散货指数和中国进口干散货运价指数转为回升</w:t>
      </w:r>
      <w:r w:rsidR="00D45F77" w:rsidRPr="00D45F77">
        <w:rPr>
          <w:rFonts w:ascii="华文楷体" w:hAnsi="华文楷体" w:hint="eastAsia"/>
          <w:bCs/>
          <w:sz w:val="24"/>
          <w:szCs w:val="24"/>
          <w:lang w:eastAsia="zh-CN"/>
        </w:rPr>
        <w:t>。</w:t>
      </w:r>
      <w:r w:rsidR="002547B9" w:rsidRPr="00AE5436">
        <w:rPr>
          <w:rFonts w:ascii="华文楷体" w:hAnsi="华文楷体" w:hint="eastAsia"/>
          <w:bCs/>
          <w:sz w:val="24"/>
          <w:szCs w:val="24"/>
          <w:lang w:eastAsia="zh-CN"/>
        </w:rPr>
        <w:t>出口方面，</w:t>
      </w:r>
      <w:r w:rsidR="00591449" w:rsidRPr="00591449">
        <w:rPr>
          <w:rFonts w:ascii="华文楷体" w:hAnsi="华文楷体" w:hint="eastAsia"/>
          <w:bCs/>
          <w:sz w:val="24"/>
          <w:szCs w:val="24"/>
          <w:lang w:eastAsia="zh-CN"/>
        </w:rPr>
        <w:t>上海出口集装箱指数（SCFI）本周回升4.33%，中国出口集装箱运价指数（CCFI）本周则继续明显上行5.43%，两者上行幅度仍较大。</w:t>
      </w:r>
    </w:p>
    <w:p w14:paraId="0542DAC4" w14:textId="29C7BF89"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591449" w:rsidRPr="00591449">
        <w:rPr>
          <w:rFonts w:ascii="华文楷体" w:hAnsi="华文楷体" w:hint="eastAsia"/>
          <w:bCs/>
          <w:sz w:val="24"/>
          <w:szCs w:val="24"/>
          <w:lang w:eastAsia="zh-CN"/>
        </w:rPr>
        <w:t>猪肉价格本周上涨2.12%，</w:t>
      </w:r>
      <w:proofErr w:type="gramStart"/>
      <w:r w:rsidR="00591449" w:rsidRPr="00591449">
        <w:rPr>
          <w:rFonts w:ascii="华文楷体" w:hAnsi="华文楷体" w:hint="eastAsia"/>
          <w:bCs/>
          <w:sz w:val="24"/>
          <w:szCs w:val="24"/>
          <w:lang w:eastAsia="zh-CN"/>
        </w:rPr>
        <w:t>周度数据</w:t>
      </w:r>
      <w:proofErr w:type="gramEnd"/>
      <w:r w:rsidR="00591449" w:rsidRPr="00591449">
        <w:rPr>
          <w:rFonts w:ascii="华文楷体" w:hAnsi="华文楷体" w:hint="eastAsia"/>
          <w:bCs/>
          <w:sz w:val="24"/>
          <w:szCs w:val="24"/>
          <w:lang w:eastAsia="zh-CN"/>
        </w:rPr>
        <w:t>来看，农业部公布的全国平均批发价较上周末回升至43.56元/公斤左右</w:t>
      </w:r>
      <w:r w:rsidR="003E66CA" w:rsidRPr="003E66CA">
        <w:rPr>
          <w:rFonts w:ascii="华文楷体" w:hAnsi="华文楷体" w:hint="eastAsia"/>
          <w:bCs/>
          <w:sz w:val="24"/>
          <w:szCs w:val="24"/>
          <w:lang w:eastAsia="zh-CN"/>
        </w:rPr>
        <w:t>。</w:t>
      </w:r>
      <w:r w:rsidR="00591449" w:rsidRPr="00591449">
        <w:rPr>
          <w:rFonts w:ascii="华文楷体" w:hAnsi="华文楷体" w:hint="eastAsia"/>
          <w:bCs/>
          <w:sz w:val="24"/>
          <w:szCs w:val="24"/>
          <w:lang w:eastAsia="zh-CN"/>
        </w:rPr>
        <w:t>本周牛羊肉价格同样一致上行，牛肉本周回升0.02%，羊肉价格回升1.83%；蔬菜方面，价格继续季节性回升3.09%；水果价格则继续上行2.22%，走势基本符合季节性；鸡蛋方面，价格回升3.23%；水产品本周价格转为上行0.68%。</w:t>
      </w:r>
      <w:r w:rsidR="0063487B" w:rsidRPr="0063487B">
        <w:rPr>
          <w:rFonts w:ascii="华文楷体" w:hAnsi="华文楷体" w:hint="eastAsia"/>
          <w:bCs/>
          <w:sz w:val="24"/>
          <w:szCs w:val="24"/>
          <w:lang w:eastAsia="zh-CN"/>
        </w:rPr>
        <w:t>工业品价格方面，</w:t>
      </w:r>
      <w:r w:rsidR="00591449" w:rsidRPr="00591449">
        <w:rPr>
          <w:rFonts w:ascii="华文楷体" w:hAnsi="华文楷体" w:hint="eastAsia"/>
          <w:bCs/>
          <w:sz w:val="24"/>
          <w:szCs w:val="24"/>
          <w:lang w:eastAsia="zh-CN"/>
        </w:rPr>
        <w:t>长江有色市场现货价格铜、铝、铅、锌价分别变动1.28%、0.97%、-1.53%、1.18%，部分品种价格小幅回落；海外价格来看，LME铜、铝、铅、</w:t>
      </w:r>
      <w:proofErr w:type="gramStart"/>
      <w:r w:rsidR="00591449" w:rsidRPr="00591449">
        <w:rPr>
          <w:rFonts w:ascii="华文楷体" w:hAnsi="华文楷体" w:hint="eastAsia"/>
          <w:bCs/>
          <w:sz w:val="24"/>
          <w:szCs w:val="24"/>
          <w:lang w:eastAsia="zh-CN"/>
        </w:rPr>
        <w:t>锌较上</w:t>
      </w:r>
      <w:proofErr w:type="gramEnd"/>
      <w:r w:rsidR="00591449" w:rsidRPr="00591449">
        <w:rPr>
          <w:rFonts w:ascii="华文楷体" w:hAnsi="华文楷体" w:hint="eastAsia"/>
          <w:bCs/>
          <w:sz w:val="24"/>
          <w:szCs w:val="24"/>
          <w:lang w:eastAsia="zh-CN"/>
        </w:rPr>
        <w:t>周环比变化分别为1.62%、0.92%、-1.1%、1.22%，</w:t>
      </w:r>
      <w:proofErr w:type="gramStart"/>
      <w:r w:rsidR="00591449" w:rsidRPr="00591449">
        <w:rPr>
          <w:rFonts w:ascii="华文楷体" w:hAnsi="华文楷体" w:hint="eastAsia"/>
          <w:bCs/>
          <w:sz w:val="24"/>
          <w:szCs w:val="24"/>
          <w:lang w:eastAsia="zh-CN"/>
        </w:rPr>
        <w:t>多继续</w:t>
      </w:r>
      <w:proofErr w:type="gramEnd"/>
      <w:r w:rsidR="00591449" w:rsidRPr="00591449">
        <w:rPr>
          <w:rFonts w:ascii="华文楷体" w:hAnsi="华文楷体" w:hint="eastAsia"/>
          <w:bCs/>
          <w:sz w:val="24"/>
          <w:szCs w:val="24"/>
          <w:lang w:eastAsia="zh-CN"/>
        </w:rPr>
        <w:t>上涨。</w:t>
      </w:r>
    </w:p>
    <w:p w14:paraId="29155A05" w14:textId="0E9643A9"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591449" w:rsidRPr="00591449">
        <w:rPr>
          <w:rFonts w:ascii="华文楷体" w:hAnsi="华文楷体" w:hint="eastAsia"/>
          <w:bCs/>
          <w:sz w:val="24"/>
          <w:szCs w:val="24"/>
          <w:lang w:eastAsia="zh-CN"/>
        </w:rPr>
        <w:t>乘联会最新数据显示，12月次周日均零售是5.3万辆，同比增长15%，环比11月第二周下降10%；批发方面，12月第二周主要厂商批发销量达到日均5.8万辆，同比去年12月增长7%。环比11月第二周增长13%。</w:t>
      </w:r>
    </w:p>
    <w:p w14:paraId="6C0621FD" w14:textId="6E23CB44"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591449" w:rsidRPr="00591449">
        <w:rPr>
          <w:rFonts w:ascii="华文楷体" w:hAnsi="华文楷体" w:hint="eastAsia"/>
          <w:bCs/>
          <w:sz w:val="24"/>
          <w:szCs w:val="24"/>
          <w:lang w:eastAsia="zh-CN"/>
        </w:rPr>
        <w:t>WTI原油价格回升5.43%，至49.1美元/桶；布伦</w:t>
      </w:r>
      <w:proofErr w:type="gramStart"/>
      <w:r w:rsidR="00591449" w:rsidRPr="00591449">
        <w:rPr>
          <w:rFonts w:ascii="华文楷体" w:hAnsi="华文楷体" w:hint="eastAsia"/>
          <w:bCs/>
          <w:sz w:val="24"/>
          <w:szCs w:val="24"/>
          <w:lang w:eastAsia="zh-CN"/>
        </w:rPr>
        <w:t>特</w:t>
      </w:r>
      <w:proofErr w:type="gramEnd"/>
      <w:r w:rsidR="00591449" w:rsidRPr="00591449">
        <w:rPr>
          <w:rFonts w:ascii="华文楷体" w:hAnsi="华文楷体" w:hint="eastAsia"/>
          <w:bCs/>
          <w:sz w:val="24"/>
          <w:szCs w:val="24"/>
          <w:lang w:eastAsia="zh-CN"/>
        </w:rPr>
        <w:t>原油价格回升4.58%，至52.3美元/桶，国际油价连续多周回升。</w:t>
      </w:r>
    </w:p>
    <w:p w14:paraId="35D3E229" w14:textId="1DA662A2"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591449" w:rsidRPr="00591449">
        <w:rPr>
          <w:rFonts w:ascii="华文楷体" w:hAnsi="华文楷体" w:hint="eastAsia"/>
          <w:bCs/>
          <w:sz w:val="24"/>
          <w:szCs w:val="24"/>
          <w:lang w:eastAsia="zh-CN"/>
        </w:rPr>
        <w:t>LPR报价、</w:t>
      </w:r>
      <w:proofErr w:type="gramStart"/>
      <w:r w:rsidR="00591449" w:rsidRPr="00591449">
        <w:rPr>
          <w:rFonts w:ascii="华文楷体" w:hAnsi="华文楷体" w:hint="eastAsia"/>
          <w:bCs/>
          <w:sz w:val="24"/>
          <w:szCs w:val="24"/>
          <w:lang w:eastAsia="zh-CN"/>
        </w:rPr>
        <w:t>发改委</w:t>
      </w:r>
      <w:proofErr w:type="gramEnd"/>
      <w:r w:rsidR="00591449" w:rsidRPr="00591449">
        <w:rPr>
          <w:rFonts w:ascii="华文楷体" w:hAnsi="华文楷体" w:hint="eastAsia"/>
          <w:bCs/>
          <w:sz w:val="24"/>
          <w:szCs w:val="24"/>
          <w:lang w:eastAsia="zh-CN"/>
        </w:rPr>
        <w:t>财政部等多部年度会议。</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50FB901C"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2E74F9" w:rsidRPr="002E74F9">
        <w:rPr>
          <w:rFonts w:ascii="华文楷体" w:hAnsi="华文楷体" w:hint="eastAsia"/>
          <w:sz w:val="24"/>
          <w:szCs w:val="24"/>
          <w:lang w:eastAsia="zh-CN"/>
        </w:rPr>
        <w:t>中央经济工作会议主要思想要求宏观政策要保持“连续性、稳定性、可持续性”，强调“不急转弯”意味着非常规政策会退出但不会“断崖”，2021年经济平稳的概率会更高。对于债市的影响短期偏多，中短期仍是中性，一方面货币政策短期</w:t>
      </w:r>
      <w:proofErr w:type="gramStart"/>
      <w:r w:rsidR="002E74F9" w:rsidRPr="002E74F9">
        <w:rPr>
          <w:rFonts w:ascii="华文楷体" w:hAnsi="华文楷体" w:hint="eastAsia"/>
          <w:sz w:val="24"/>
          <w:szCs w:val="24"/>
          <w:lang w:eastAsia="zh-CN"/>
        </w:rPr>
        <w:t>因维稳使得</w:t>
      </w:r>
      <w:proofErr w:type="gramEnd"/>
      <w:r w:rsidR="002E74F9" w:rsidRPr="002E74F9">
        <w:rPr>
          <w:rFonts w:ascii="华文楷体" w:hAnsi="华文楷体" w:hint="eastAsia"/>
          <w:sz w:val="24"/>
          <w:szCs w:val="24"/>
          <w:lang w:eastAsia="zh-CN"/>
        </w:rPr>
        <w:t>流动性相对宽松，有利于债市</w:t>
      </w:r>
      <w:r w:rsidR="003C3299">
        <w:rPr>
          <w:rFonts w:ascii="华文楷体" w:hAnsi="华文楷体" w:hint="eastAsia"/>
          <w:sz w:val="24"/>
          <w:szCs w:val="24"/>
          <w:lang w:eastAsia="zh-CN"/>
        </w:rPr>
        <w:t>；</w:t>
      </w:r>
      <w:r w:rsidR="002E74F9" w:rsidRPr="002E74F9">
        <w:rPr>
          <w:rFonts w:ascii="华文楷体" w:hAnsi="华文楷体" w:hint="eastAsia"/>
          <w:sz w:val="24"/>
          <w:szCs w:val="24"/>
          <w:lang w:eastAsia="zh-CN"/>
        </w:rPr>
        <w:t>另一方面稳杠杆的条件下，财政政策力度也不会过快减弱，</w:t>
      </w:r>
      <w:proofErr w:type="gramStart"/>
      <w:r w:rsidR="002E74F9" w:rsidRPr="002E74F9">
        <w:rPr>
          <w:rFonts w:ascii="华文楷体" w:hAnsi="华文楷体" w:hint="eastAsia"/>
          <w:sz w:val="24"/>
          <w:szCs w:val="24"/>
          <w:lang w:eastAsia="zh-CN"/>
        </w:rPr>
        <w:t>社融增速</w:t>
      </w:r>
      <w:proofErr w:type="gramEnd"/>
      <w:r w:rsidR="002E74F9" w:rsidRPr="002E74F9">
        <w:rPr>
          <w:rFonts w:ascii="华文楷体" w:hAnsi="华文楷体" w:hint="eastAsia"/>
          <w:sz w:val="24"/>
          <w:szCs w:val="24"/>
          <w:lang w:eastAsia="zh-CN"/>
        </w:rPr>
        <w:t>或保持对名义GDP的正差额，高位回落幅度有限。前期市场对于利率前高后低的预期较普遍，中央经济工作会议定调，走势或存在预期差。开年利率明显上行的风险降低，后续的走势有概率类似2019年的窄幅震荡，也有概率视经济的强劲程度而后高，无论哪种场景，转弯但不急的方向是确定的，长</w:t>
      </w:r>
      <w:proofErr w:type="gramStart"/>
      <w:r w:rsidR="002E74F9" w:rsidRPr="002E74F9">
        <w:rPr>
          <w:rFonts w:ascii="华文楷体" w:hAnsi="华文楷体" w:hint="eastAsia"/>
          <w:sz w:val="24"/>
          <w:szCs w:val="24"/>
          <w:lang w:eastAsia="zh-CN"/>
        </w:rPr>
        <w:t>端利率</w:t>
      </w:r>
      <w:proofErr w:type="gramEnd"/>
      <w:r w:rsidR="002E74F9" w:rsidRPr="002E74F9">
        <w:rPr>
          <w:rFonts w:ascii="华文楷体" w:hAnsi="华文楷体" w:hint="eastAsia"/>
          <w:sz w:val="24"/>
          <w:szCs w:val="24"/>
          <w:lang w:eastAsia="zh-CN"/>
        </w:rPr>
        <w:t>大幅下行的可能性依然较低。我们前期准确判断了存单价格磨顶， 1Y大行存单一度接近2.95%MLF利率，政策利率下短</w:t>
      </w:r>
      <w:proofErr w:type="gramStart"/>
      <w:r w:rsidR="002E74F9" w:rsidRPr="002E74F9">
        <w:rPr>
          <w:rFonts w:ascii="华文楷体" w:hAnsi="华文楷体" w:hint="eastAsia"/>
          <w:sz w:val="24"/>
          <w:szCs w:val="24"/>
          <w:lang w:eastAsia="zh-CN"/>
        </w:rPr>
        <w:t>端利率</w:t>
      </w:r>
      <w:proofErr w:type="gramEnd"/>
      <w:r w:rsidR="002E74F9" w:rsidRPr="002E74F9">
        <w:rPr>
          <w:rFonts w:ascii="华文楷体" w:hAnsi="华文楷体" w:hint="eastAsia"/>
          <w:sz w:val="24"/>
          <w:szCs w:val="24"/>
          <w:lang w:eastAsia="zh-CN"/>
        </w:rPr>
        <w:t>下行的空间也将有限，但是中长端的上行风险有所减弱，债市策略建议回归到票息策略，部分信用债跌出性价比，但信用分化带来的流动性风险仍待解除，需权衡好流动性与收益。</w:t>
      </w:r>
    </w:p>
    <w:p w14:paraId="2C3F4BD1" w14:textId="38ABB1DF"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2E74F9">
        <w:rPr>
          <w:rFonts w:ascii="华文楷体" w:hAnsi="华文楷体" w:hint="eastAsia"/>
          <w:sz w:val="24"/>
          <w:szCs w:val="24"/>
          <w:lang w:eastAsia="zh-CN"/>
        </w:rPr>
        <w:t>整体相对平稳，流动性分层情况持续，但考虑到近期资金流动性尚可，债券估值压力可控。</w:t>
      </w:r>
      <w:r w:rsidR="00A046B0" w:rsidRPr="00A046B0">
        <w:rPr>
          <w:rFonts w:ascii="华文楷体" w:hAnsi="华文楷体" w:hint="eastAsia"/>
          <w:sz w:val="24"/>
          <w:szCs w:val="24"/>
          <w:lang w:eastAsia="zh-CN"/>
        </w:rPr>
        <w:t>关注个</w:t>
      </w:r>
      <w:proofErr w:type="gramStart"/>
      <w:r w:rsidR="00A046B0" w:rsidRPr="00A046B0">
        <w:rPr>
          <w:rFonts w:ascii="华文楷体" w:hAnsi="华文楷体" w:hint="eastAsia"/>
          <w:sz w:val="24"/>
          <w:szCs w:val="24"/>
          <w:lang w:eastAsia="zh-CN"/>
        </w:rPr>
        <w:t>券</w:t>
      </w:r>
      <w:proofErr w:type="gramEnd"/>
      <w:r w:rsidR="00A046B0" w:rsidRPr="00A046B0">
        <w:rPr>
          <w:rFonts w:ascii="华文楷体" w:hAnsi="华文楷体" w:hint="eastAsia"/>
          <w:sz w:val="24"/>
          <w:szCs w:val="24"/>
          <w:lang w:eastAsia="zh-CN"/>
        </w:rPr>
        <w:t>以及中期板块性的配置机会，坚持右侧配置策略为主，信用策略</w:t>
      </w:r>
      <w:r w:rsidR="00371A4E">
        <w:rPr>
          <w:rFonts w:ascii="华文楷体" w:hAnsi="华文楷体" w:hint="eastAsia"/>
          <w:sz w:val="24"/>
          <w:szCs w:val="24"/>
          <w:lang w:eastAsia="zh-CN"/>
        </w:rPr>
        <w:t>以高等级</w:t>
      </w:r>
      <w:r w:rsidR="00371A4E">
        <w:rPr>
          <w:rFonts w:ascii="华文楷体" w:hAnsi="华文楷体" w:hint="eastAsia"/>
          <w:sz w:val="24"/>
          <w:szCs w:val="24"/>
          <w:lang w:eastAsia="zh-CN"/>
        </w:rPr>
        <w:lastRenderedPageBreak/>
        <w:t>品种为主</w:t>
      </w:r>
      <w:r w:rsidR="00A046B0" w:rsidRPr="00A046B0">
        <w:rPr>
          <w:rFonts w:ascii="华文楷体" w:hAnsi="华文楷体" w:hint="eastAsia"/>
          <w:sz w:val="24"/>
          <w:szCs w:val="24"/>
          <w:lang w:eastAsia="zh-CN"/>
        </w:rPr>
        <w:t>。</w:t>
      </w:r>
    </w:p>
    <w:p w14:paraId="4C893BAE" w14:textId="4BD46EF6"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2E74F9" w:rsidRPr="002E74F9">
        <w:rPr>
          <w:rFonts w:ascii="华文楷体" w:hAnsi="华文楷体" w:hint="eastAsia"/>
          <w:sz w:val="24"/>
          <w:szCs w:val="24"/>
          <w:lang w:eastAsia="zh-CN"/>
        </w:rPr>
        <w:t>对于权益而言，流动性不会过快收敛也有利于估值维系，科技与消费的长期主线也在会议中继续体现。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1EEF0D9"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r w:rsidR="000A4783">
              <w:rPr>
                <w:rFonts w:hint="eastAsia"/>
              </w:rPr>
              <w:t>小幅</w:t>
            </w:r>
            <w:r w:rsidR="00FE5669">
              <w:rPr>
                <w:rFonts w:hint="eastAsia"/>
              </w:rPr>
              <w:t>修复</w:t>
            </w:r>
          </w:p>
        </w:tc>
        <w:tc>
          <w:tcPr>
            <w:tcW w:w="4938" w:type="dxa"/>
            <w:vAlign w:val="center"/>
          </w:tcPr>
          <w:p w14:paraId="02A10F26" w14:textId="1671DDA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FE5669">
              <w:rPr>
                <w:rFonts w:hint="eastAsia"/>
              </w:rPr>
              <w:t>相对平稳</w:t>
            </w:r>
          </w:p>
        </w:tc>
      </w:tr>
      <w:tr w:rsidR="001D35B3" w:rsidRPr="006A5F34" w14:paraId="205667F1" w14:textId="77777777" w:rsidTr="00FE5669">
        <w:tblPrEx>
          <w:tblCellMar>
            <w:left w:w="108" w:type="dxa"/>
            <w:right w:w="108" w:type="dxa"/>
          </w:tblCellMar>
        </w:tblPrEx>
        <w:trPr>
          <w:jc w:val="center"/>
        </w:trPr>
        <w:tc>
          <w:tcPr>
            <w:tcW w:w="4939" w:type="dxa"/>
            <w:vAlign w:val="center"/>
          </w:tcPr>
          <w:p w14:paraId="56C782C2" w14:textId="1230F4EF" w:rsidR="001D35B3" w:rsidRPr="007E0340" w:rsidRDefault="00FE5669" w:rsidP="009A2BA0">
            <w:pPr>
              <w:jc w:val="center"/>
              <w:rPr>
                <w:noProof/>
              </w:rPr>
            </w:pPr>
            <w:r>
              <w:rPr>
                <w:noProof/>
              </w:rPr>
              <w:drawing>
                <wp:inline distT="0" distB="0" distL="0" distR="0" wp14:anchorId="7B313EA0" wp14:editId="7D5BA7BD">
                  <wp:extent cx="3050439" cy="1711757"/>
                  <wp:effectExtent l="0" t="0" r="0" b="3175"/>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3D6AB625" w:rsidR="001D35B3" w:rsidRPr="007E0340" w:rsidRDefault="00FE5669" w:rsidP="009A2BA0">
            <w:pPr>
              <w:jc w:val="center"/>
              <w:rPr>
                <w:noProof/>
                <w:szCs w:val="18"/>
              </w:rPr>
            </w:pPr>
            <w:r>
              <w:rPr>
                <w:noProof/>
              </w:rPr>
              <w:drawing>
                <wp:inline distT="0" distB="0" distL="0" distR="0" wp14:anchorId="41DA6BD4" wp14:editId="5B1F7878">
                  <wp:extent cx="2998470" cy="1777695"/>
                  <wp:effectExtent l="0" t="0" r="0" b="0"/>
                  <wp:docPr id="15" name="图表 15">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1932FB1" w:rsidR="001D35B3" w:rsidRPr="006A5F34" w:rsidRDefault="001D35B3" w:rsidP="000A4783">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0A4783">
              <w:rPr>
                <w:rFonts w:hint="eastAsia"/>
              </w:rPr>
              <w:t>持续</w:t>
            </w:r>
            <w:r w:rsidR="00E24F15">
              <w:rPr>
                <w:rFonts w:hint="eastAsia"/>
              </w:rPr>
              <w:t>上行</w:t>
            </w:r>
          </w:p>
        </w:tc>
        <w:tc>
          <w:tcPr>
            <w:tcW w:w="4938" w:type="dxa"/>
            <w:vAlign w:val="center"/>
          </w:tcPr>
          <w:p w14:paraId="07575C0F" w14:textId="79BCC8D1" w:rsidR="001D35B3" w:rsidRPr="006A5F34" w:rsidRDefault="001D35B3" w:rsidP="000A4783">
            <w:pPr>
              <w:pStyle w:val="ChartHeading"/>
              <w:jc w:val="both"/>
            </w:pPr>
            <w:r w:rsidRPr="006A5F34">
              <w:rPr>
                <w:rFonts w:hint="eastAsia"/>
              </w:rPr>
              <w:t>图表</w:t>
            </w:r>
            <w:r w:rsidRPr="006A5F34">
              <w:t xml:space="preserve">. </w:t>
            </w:r>
            <w:r w:rsidR="00411668">
              <w:rPr>
                <w:rFonts w:hint="eastAsia"/>
              </w:rPr>
              <w:t>猪肉价格持续</w:t>
            </w:r>
            <w:r w:rsidR="000A4783">
              <w:rPr>
                <w:rFonts w:hint="eastAsia"/>
              </w:rPr>
              <w:t>明显反弹</w:t>
            </w:r>
          </w:p>
        </w:tc>
      </w:tr>
      <w:tr w:rsidR="001D35B3" w:rsidRPr="006A5F34" w14:paraId="49BBD33E" w14:textId="77777777" w:rsidTr="00FE5669">
        <w:tblPrEx>
          <w:tblCellMar>
            <w:left w:w="108" w:type="dxa"/>
            <w:right w:w="108" w:type="dxa"/>
          </w:tblCellMar>
        </w:tblPrEx>
        <w:trPr>
          <w:trHeight w:val="2987"/>
          <w:jc w:val="center"/>
        </w:trPr>
        <w:tc>
          <w:tcPr>
            <w:tcW w:w="4939" w:type="dxa"/>
            <w:vAlign w:val="center"/>
          </w:tcPr>
          <w:p w14:paraId="0BAC1731" w14:textId="3B1C504D" w:rsidR="001D35B3" w:rsidRPr="007E0340" w:rsidRDefault="00FE5669" w:rsidP="009A2BA0">
            <w:pPr>
              <w:jc w:val="center"/>
              <w:rPr>
                <w:noProof/>
              </w:rPr>
            </w:pPr>
            <w:r>
              <w:rPr>
                <w:noProof/>
              </w:rPr>
              <w:drawing>
                <wp:inline distT="0" distB="0" distL="0" distR="0" wp14:anchorId="48415FE1" wp14:editId="4EF1CD30">
                  <wp:extent cx="2999105" cy="1905762"/>
                  <wp:effectExtent l="0" t="0" r="0" b="0"/>
                  <wp:docPr id="16" name="图表 1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46E105D7" w:rsidR="001D35B3" w:rsidRPr="007E0340" w:rsidRDefault="00FE5669" w:rsidP="009A2BA0">
            <w:pPr>
              <w:jc w:val="center"/>
              <w:rPr>
                <w:noProof/>
                <w:szCs w:val="18"/>
              </w:rPr>
            </w:pPr>
            <w:r>
              <w:rPr>
                <w:noProof/>
              </w:rPr>
              <w:drawing>
                <wp:inline distT="0" distB="0" distL="0" distR="0" wp14:anchorId="41A9F108" wp14:editId="60701BDD">
                  <wp:extent cx="2998470" cy="1972183"/>
                  <wp:effectExtent l="0" t="0" r="0" b="0"/>
                  <wp:docPr id="20" name="图表 2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1EF1A1F1" w14:textId="25F9D02F" w:rsidR="0028459A" w:rsidRPr="001A1299" w:rsidRDefault="003C3299" w:rsidP="003C3299">
      <w:pPr>
        <w:pStyle w:val="Body-text"/>
        <w:ind w:firstLineChars="200" w:firstLine="400"/>
        <w:rPr>
          <w:rFonts w:ascii="华文楷体" w:hAnsi="华文楷体"/>
          <w:sz w:val="24"/>
          <w:szCs w:val="24"/>
          <w:lang w:eastAsia="zh-CN"/>
        </w:rPr>
      </w:pPr>
      <w:r w:rsidRPr="00CC6A21">
        <w:rPr>
          <w:rFonts w:hint="eastAsia"/>
        </w:rPr>
        <w:t>风险提示：</w:t>
      </w:r>
      <w:r w:rsidRPr="00CC6A21">
        <w:t>1</w:t>
      </w:r>
      <w:r w:rsidRPr="00CC6A21">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CC6A21">
        <w:t>2</w:t>
      </w:r>
      <w:r w:rsidRPr="00CC6A21">
        <w:t>、本报告中的资料、观点和预测等仅供参考，在任何时候均不构成对任何人的个人推荐。市场有风险，投资需谨慎。</w:t>
      </w:r>
      <w:bookmarkStart w:id="2" w:name="_GoBack"/>
      <w:bookmarkEnd w:id="2"/>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AA96C1" w14:textId="77777777" w:rsidR="00E9414B" w:rsidRDefault="00E9414B">
      <w:r>
        <w:separator/>
      </w:r>
    </w:p>
  </w:endnote>
  <w:endnote w:type="continuationSeparator" w:id="0">
    <w:p w14:paraId="186F9A2A" w14:textId="77777777" w:rsidR="00E9414B" w:rsidRDefault="00E94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880256" w:rsidRDefault="00880256">
        <w:pPr>
          <w:pStyle w:val="a4"/>
          <w:jc w:val="right"/>
        </w:pPr>
        <w:r>
          <w:fldChar w:fldCharType="begin"/>
        </w:r>
        <w:r>
          <w:instrText>PAGE   \* MERGEFORMAT</w:instrText>
        </w:r>
        <w:r>
          <w:fldChar w:fldCharType="separate"/>
        </w:r>
        <w:r w:rsidR="003C3299" w:rsidRPr="003C3299">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05163C" w14:textId="77777777" w:rsidR="00E9414B" w:rsidRDefault="00E9414B">
      <w:r>
        <w:separator/>
      </w:r>
    </w:p>
  </w:footnote>
  <w:footnote w:type="continuationSeparator" w:id="0">
    <w:p w14:paraId="7C12E439" w14:textId="77777777" w:rsidR="00E9414B" w:rsidRDefault="00E941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880256" w:rsidRDefault="00880256"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2">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3">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4">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5">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7">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8">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1">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3">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1"/>
  </w:num>
  <w:num w:numId="7">
    <w:abstractNumId w:val="13"/>
  </w:num>
  <w:num w:numId="8">
    <w:abstractNumId w:val="12"/>
  </w:num>
  <w:num w:numId="9">
    <w:abstractNumId w:val="6"/>
  </w:num>
  <w:num w:numId="10">
    <w:abstractNumId w:val="16"/>
  </w:num>
  <w:num w:numId="11">
    <w:abstractNumId w:val="20"/>
  </w:num>
  <w:num w:numId="12">
    <w:abstractNumId w:val="14"/>
  </w:num>
  <w:num w:numId="13">
    <w:abstractNumId w:val="22"/>
  </w:num>
  <w:num w:numId="14">
    <w:abstractNumId w:val="23"/>
  </w:num>
  <w:num w:numId="15">
    <w:abstractNumId w:val="17"/>
  </w:num>
  <w:num w:numId="16">
    <w:abstractNumId w:val="11"/>
  </w:num>
  <w:num w:numId="17">
    <w:abstractNumId w:val="8"/>
  </w:num>
  <w:num w:numId="18">
    <w:abstractNumId w:val="19"/>
  </w:num>
  <w:num w:numId="19">
    <w:abstractNumId w:val="9"/>
  </w:num>
  <w:num w:numId="20">
    <w:abstractNumId w:val="18"/>
  </w:num>
  <w:num w:numId="21">
    <w:abstractNumId w:val="7"/>
  </w:num>
  <w:num w:numId="22">
    <w:abstractNumId w:val="15"/>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1E6"/>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708C4"/>
    <w:rsid w:val="00370BFD"/>
    <w:rsid w:val="0037137A"/>
    <w:rsid w:val="00371885"/>
    <w:rsid w:val="00371A4E"/>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299"/>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56"/>
    <w:rsid w:val="00880284"/>
    <w:rsid w:val="008802EC"/>
    <w:rsid w:val="00880329"/>
    <w:rsid w:val="00880D8B"/>
    <w:rsid w:val="00880FE2"/>
    <w:rsid w:val="0088108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3E"/>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14B"/>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44029</c:v>
                </c:pt>
                <c:pt idx="1">
                  <c:v>44036</c:v>
                </c:pt>
                <c:pt idx="2">
                  <c:v>44043</c:v>
                </c:pt>
                <c:pt idx="3">
                  <c:v>44050</c:v>
                </c:pt>
                <c:pt idx="4">
                  <c:v>44057</c:v>
                </c:pt>
                <c:pt idx="5">
                  <c:v>44064</c:v>
                </c:pt>
                <c:pt idx="6">
                  <c:v>44071</c:v>
                </c:pt>
                <c:pt idx="7">
                  <c:v>44078</c:v>
                </c:pt>
                <c:pt idx="8">
                  <c:v>44085</c:v>
                </c:pt>
                <c:pt idx="9">
                  <c:v>44092</c:v>
                </c:pt>
                <c:pt idx="10">
                  <c:v>44099</c:v>
                </c:pt>
                <c:pt idx="11">
                  <c:v>44106</c:v>
                </c:pt>
                <c:pt idx="12">
                  <c:v>44113</c:v>
                </c:pt>
                <c:pt idx="13">
                  <c:v>44120</c:v>
                </c:pt>
                <c:pt idx="14">
                  <c:v>44127</c:v>
                </c:pt>
                <c:pt idx="15">
                  <c:v>44134</c:v>
                </c:pt>
                <c:pt idx="16">
                  <c:v>44141</c:v>
                </c:pt>
                <c:pt idx="17">
                  <c:v>44148</c:v>
                </c:pt>
                <c:pt idx="18">
                  <c:v>44155</c:v>
                </c:pt>
                <c:pt idx="19">
                  <c:v>44162</c:v>
                </c:pt>
                <c:pt idx="20">
                  <c:v>44169</c:v>
                </c:pt>
                <c:pt idx="21">
                  <c:v>44176</c:v>
                </c:pt>
                <c:pt idx="22">
                  <c:v>44183</c:v>
                </c:pt>
              </c:numCache>
            </c:numRef>
          </c:cat>
          <c:val>
            <c:numRef>
              <c:f>央行!$B$5:$B$27</c:f>
              <c:numCache>
                <c:formatCode>###,###,###,###,##0.00</c:formatCode>
                <c:ptCount val="23"/>
                <c:pt idx="0">
                  <c:v>3300</c:v>
                </c:pt>
                <c:pt idx="1">
                  <c:v>1650</c:v>
                </c:pt>
                <c:pt idx="2">
                  <c:v>2800</c:v>
                </c:pt>
                <c:pt idx="3">
                  <c:v>100</c:v>
                </c:pt>
                <c:pt idx="4">
                  <c:v>5000</c:v>
                </c:pt>
                <c:pt idx="5">
                  <c:v>6600</c:v>
                </c:pt>
                <c:pt idx="6">
                  <c:v>8150</c:v>
                </c:pt>
                <c:pt idx="7">
                  <c:v>2800</c:v>
                </c:pt>
                <c:pt idx="8">
                  <c:v>6200</c:v>
                </c:pt>
                <c:pt idx="9">
                  <c:v>4800</c:v>
                </c:pt>
                <c:pt idx="10">
                  <c:v>9000</c:v>
                </c:pt>
                <c:pt idx="11">
                  <c:v>2150</c:v>
                </c:pt>
                <c:pt idx="12">
                  <c:v>0</c:v>
                </c:pt>
                <c:pt idx="13">
                  <c:v>1000</c:v>
                </c:pt>
                <c:pt idx="14">
                  <c:v>3200</c:v>
                </c:pt>
                <c:pt idx="15">
                  <c:v>5150</c:v>
                </c:pt>
                <c:pt idx="16">
                  <c:v>3200</c:v>
                </c:pt>
                <c:pt idx="17">
                  <c:v>5500</c:v>
                </c:pt>
                <c:pt idx="18">
                  <c:v>3000</c:v>
                </c:pt>
                <c:pt idx="19">
                  <c:v>4350</c:v>
                </c:pt>
                <c:pt idx="20">
                  <c:v>2000</c:v>
                </c:pt>
                <c:pt idx="21">
                  <c:v>1500</c:v>
                </c:pt>
                <c:pt idx="22">
                  <c:v>600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44029</c:v>
                </c:pt>
                <c:pt idx="1">
                  <c:v>44036</c:v>
                </c:pt>
                <c:pt idx="2">
                  <c:v>44043</c:v>
                </c:pt>
                <c:pt idx="3">
                  <c:v>44050</c:v>
                </c:pt>
                <c:pt idx="4">
                  <c:v>44057</c:v>
                </c:pt>
                <c:pt idx="5">
                  <c:v>44064</c:v>
                </c:pt>
                <c:pt idx="6">
                  <c:v>44071</c:v>
                </c:pt>
                <c:pt idx="7">
                  <c:v>44078</c:v>
                </c:pt>
                <c:pt idx="8">
                  <c:v>44085</c:v>
                </c:pt>
                <c:pt idx="9">
                  <c:v>44092</c:v>
                </c:pt>
                <c:pt idx="10">
                  <c:v>44099</c:v>
                </c:pt>
                <c:pt idx="11">
                  <c:v>44106</c:v>
                </c:pt>
                <c:pt idx="12">
                  <c:v>44113</c:v>
                </c:pt>
                <c:pt idx="13">
                  <c:v>44120</c:v>
                </c:pt>
                <c:pt idx="14">
                  <c:v>44127</c:v>
                </c:pt>
                <c:pt idx="15">
                  <c:v>44134</c:v>
                </c:pt>
                <c:pt idx="16">
                  <c:v>44141</c:v>
                </c:pt>
                <c:pt idx="17">
                  <c:v>44148</c:v>
                </c:pt>
                <c:pt idx="18">
                  <c:v>44155</c:v>
                </c:pt>
                <c:pt idx="19">
                  <c:v>44162</c:v>
                </c:pt>
                <c:pt idx="20">
                  <c:v>44169</c:v>
                </c:pt>
                <c:pt idx="21">
                  <c:v>44176</c:v>
                </c:pt>
                <c:pt idx="22">
                  <c:v>44183</c:v>
                </c:pt>
              </c:numCache>
            </c:numRef>
          </c:cat>
          <c:val>
            <c:numRef>
              <c:f>央行!$C$5:$C$27</c:f>
              <c:numCache>
                <c:formatCode>###,###,###,###,##0.00</c:formatCode>
                <c:ptCount val="23"/>
                <c:pt idx="0">
                  <c:v>0</c:v>
                </c:pt>
                <c:pt idx="1">
                  <c:v>-3300</c:v>
                </c:pt>
                <c:pt idx="2">
                  <c:v>-1650</c:v>
                </c:pt>
                <c:pt idx="3">
                  <c:v>-2800</c:v>
                </c:pt>
                <c:pt idx="4">
                  <c:v>-100</c:v>
                </c:pt>
                <c:pt idx="5">
                  <c:v>-5000</c:v>
                </c:pt>
                <c:pt idx="6">
                  <c:v>-6150</c:v>
                </c:pt>
                <c:pt idx="7">
                  <c:v>-7500</c:v>
                </c:pt>
                <c:pt idx="8">
                  <c:v>-3900</c:v>
                </c:pt>
                <c:pt idx="9">
                  <c:v>-6200</c:v>
                </c:pt>
                <c:pt idx="10">
                  <c:v>-4200</c:v>
                </c:pt>
                <c:pt idx="11">
                  <c:v>-4650</c:v>
                </c:pt>
                <c:pt idx="12">
                  <c:v>-5000</c:v>
                </c:pt>
                <c:pt idx="13">
                  <c:v>-2100</c:v>
                </c:pt>
                <c:pt idx="14">
                  <c:v>-1000</c:v>
                </c:pt>
                <c:pt idx="15">
                  <c:v>-3250</c:v>
                </c:pt>
                <c:pt idx="16">
                  <c:v>-5100</c:v>
                </c:pt>
                <c:pt idx="17">
                  <c:v>-3200</c:v>
                </c:pt>
                <c:pt idx="18">
                  <c:v>-5500</c:v>
                </c:pt>
                <c:pt idx="19">
                  <c:v>-3050</c:v>
                </c:pt>
                <c:pt idx="20">
                  <c:v>-4300</c:v>
                </c:pt>
                <c:pt idx="21">
                  <c:v>-2000</c:v>
                </c:pt>
                <c:pt idx="22">
                  <c:v>-1500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22780544"/>
        <c:axId val="135304704"/>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44029</c:v>
                </c:pt>
                <c:pt idx="1">
                  <c:v>44036</c:v>
                </c:pt>
                <c:pt idx="2">
                  <c:v>44043</c:v>
                </c:pt>
                <c:pt idx="3">
                  <c:v>44050</c:v>
                </c:pt>
                <c:pt idx="4">
                  <c:v>44057</c:v>
                </c:pt>
                <c:pt idx="5">
                  <c:v>44064</c:v>
                </c:pt>
                <c:pt idx="6">
                  <c:v>44071</c:v>
                </c:pt>
                <c:pt idx="7">
                  <c:v>44078</c:v>
                </c:pt>
                <c:pt idx="8">
                  <c:v>44085</c:v>
                </c:pt>
                <c:pt idx="9">
                  <c:v>44092</c:v>
                </c:pt>
                <c:pt idx="10">
                  <c:v>44099</c:v>
                </c:pt>
                <c:pt idx="11">
                  <c:v>44106</c:v>
                </c:pt>
                <c:pt idx="12">
                  <c:v>44113</c:v>
                </c:pt>
                <c:pt idx="13">
                  <c:v>44120</c:v>
                </c:pt>
                <c:pt idx="14">
                  <c:v>44127</c:v>
                </c:pt>
                <c:pt idx="15">
                  <c:v>44134</c:v>
                </c:pt>
                <c:pt idx="16">
                  <c:v>44141</c:v>
                </c:pt>
                <c:pt idx="17">
                  <c:v>44148</c:v>
                </c:pt>
                <c:pt idx="18">
                  <c:v>44155</c:v>
                </c:pt>
                <c:pt idx="19">
                  <c:v>44162</c:v>
                </c:pt>
                <c:pt idx="20">
                  <c:v>44169</c:v>
                </c:pt>
                <c:pt idx="21">
                  <c:v>44176</c:v>
                </c:pt>
                <c:pt idx="22">
                  <c:v>44183</c:v>
                </c:pt>
              </c:numCache>
            </c:numRef>
          </c:cat>
          <c:val>
            <c:numRef>
              <c:f>央行!$D$5:$D$27</c:f>
              <c:numCache>
                <c:formatCode>###,###,###,###,##0.00</c:formatCode>
                <c:ptCount val="23"/>
                <c:pt idx="0">
                  <c:v>3300</c:v>
                </c:pt>
                <c:pt idx="1">
                  <c:v>-1650</c:v>
                </c:pt>
                <c:pt idx="2">
                  <c:v>1150</c:v>
                </c:pt>
                <c:pt idx="3">
                  <c:v>-2700</c:v>
                </c:pt>
                <c:pt idx="4">
                  <c:v>4900</c:v>
                </c:pt>
                <c:pt idx="5">
                  <c:v>1600</c:v>
                </c:pt>
                <c:pt idx="6">
                  <c:v>2000</c:v>
                </c:pt>
                <c:pt idx="7">
                  <c:v>-4700</c:v>
                </c:pt>
                <c:pt idx="8">
                  <c:v>2300</c:v>
                </c:pt>
                <c:pt idx="9">
                  <c:v>-1400</c:v>
                </c:pt>
                <c:pt idx="10">
                  <c:v>4800</c:v>
                </c:pt>
                <c:pt idx="11">
                  <c:v>-2500</c:v>
                </c:pt>
                <c:pt idx="12">
                  <c:v>-5000</c:v>
                </c:pt>
                <c:pt idx="13">
                  <c:v>-1100</c:v>
                </c:pt>
                <c:pt idx="14">
                  <c:v>2200</c:v>
                </c:pt>
                <c:pt idx="15">
                  <c:v>1900</c:v>
                </c:pt>
                <c:pt idx="16">
                  <c:v>-1900</c:v>
                </c:pt>
                <c:pt idx="17">
                  <c:v>2300</c:v>
                </c:pt>
                <c:pt idx="18">
                  <c:v>-2500</c:v>
                </c:pt>
                <c:pt idx="19">
                  <c:v>1300</c:v>
                </c:pt>
                <c:pt idx="20">
                  <c:v>-2300</c:v>
                </c:pt>
                <c:pt idx="21">
                  <c:v>-500</c:v>
                </c:pt>
                <c:pt idx="22">
                  <c:v>-900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22780544"/>
        <c:axId val="135304704"/>
      </c:lineChart>
      <c:catAx>
        <c:axId val="3227805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35304704"/>
        <c:crosses val="autoZero"/>
        <c:auto val="0"/>
        <c:lblAlgn val="ctr"/>
        <c:lblOffset val="0"/>
        <c:tickMarkSkip val="2"/>
        <c:noMultiLvlLbl val="0"/>
      </c:catAx>
      <c:valAx>
        <c:axId val="13530470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278054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97880252261987"/>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44183</c:v>
                </c:pt>
                <c:pt idx="1">
                  <c:v>44182</c:v>
                </c:pt>
                <c:pt idx="2">
                  <c:v>44181</c:v>
                </c:pt>
                <c:pt idx="3">
                  <c:v>44180</c:v>
                </c:pt>
                <c:pt idx="4">
                  <c:v>44179</c:v>
                </c:pt>
                <c:pt idx="5">
                  <c:v>44176</c:v>
                </c:pt>
                <c:pt idx="6">
                  <c:v>44175</c:v>
                </c:pt>
                <c:pt idx="7">
                  <c:v>44174</c:v>
                </c:pt>
                <c:pt idx="8">
                  <c:v>44173</c:v>
                </c:pt>
                <c:pt idx="9">
                  <c:v>44172</c:v>
                </c:pt>
                <c:pt idx="10">
                  <c:v>44169</c:v>
                </c:pt>
                <c:pt idx="11">
                  <c:v>44168</c:v>
                </c:pt>
                <c:pt idx="12">
                  <c:v>44167</c:v>
                </c:pt>
                <c:pt idx="13">
                  <c:v>44166</c:v>
                </c:pt>
                <c:pt idx="14">
                  <c:v>44165</c:v>
                </c:pt>
                <c:pt idx="15">
                  <c:v>44162</c:v>
                </c:pt>
                <c:pt idx="16">
                  <c:v>44161</c:v>
                </c:pt>
                <c:pt idx="17">
                  <c:v>44160</c:v>
                </c:pt>
                <c:pt idx="18">
                  <c:v>44159</c:v>
                </c:pt>
                <c:pt idx="19">
                  <c:v>44158</c:v>
                </c:pt>
                <c:pt idx="20">
                  <c:v>44155</c:v>
                </c:pt>
                <c:pt idx="21">
                  <c:v>44154</c:v>
                </c:pt>
                <c:pt idx="22">
                  <c:v>44153</c:v>
                </c:pt>
                <c:pt idx="23">
                  <c:v>44152</c:v>
                </c:pt>
                <c:pt idx="24">
                  <c:v>44151</c:v>
                </c:pt>
                <c:pt idx="25">
                  <c:v>44148</c:v>
                </c:pt>
                <c:pt idx="26">
                  <c:v>44147</c:v>
                </c:pt>
                <c:pt idx="27">
                  <c:v>44146</c:v>
                </c:pt>
                <c:pt idx="28">
                  <c:v>44145</c:v>
                </c:pt>
                <c:pt idx="29">
                  <c:v>44144</c:v>
                </c:pt>
                <c:pt idx="30">
                  <c:v>44141</c:v>
                </c:pt>
                <c:pt idx="31">
                  <c:v>44140</c:v>
                </c:pt>
                <c:pt idx="32">
                  <c:v>44139</c:v>
                </c:pt>
                <c:pt idx="33">
                  <c:v>44138</c:v>
                </c:pt>
                <c:pt idx="34">
                  <c:v>44137</c:v>
                </c:pt>
                <c:pt idx="35">
                  <c:v>44134</c:v>
                </c:pt>
                <c:pt idx="36">
                  <c:v>44133</c:v>
                </c:pt>
                <c:pt idx="37">
                  <c:v>44132</c:v>
                </c:pt>
                <c:pt idx="38">
                  <c:v>44131</c:v>
                </c:pt>
                <c:pt idx="39">
                  <c:v>44130</c:v>
                </c:pt>
                <c:pt idx="40">
                  <c:v>44127</c:v>
                </c:pt>
                <c:pt idx="41">
                  <c:v>44126</c:v>
                </c:pt>
                <c:pt idx="42">
                  <c:v>44125</c:v>
                </c:pt>
                <c:pt idx="43">
                  <c:v>44124</c:v>
                </c:pt>
                <c:pt idx="44">
                  <c:v>44123</c:v>
                </c:pt>
                <c:pt idx="45">
                  <c:v>44120</c:v>
                </c:pt>
                <c:pt idx="46">
                  <c:v>44119</c:v>
                </c:pt>
                <c:pt idx="47">
                  <c:v>44118</c:v>
                </c:pt>
                <c:pt idx="48">
                  <c:v>44117</c:v>
                </c:pt>
                <c:pt idx="49">
                  <c:v>44116</c:v>
                </c:pt>
                <c:pt idx="50">
                  <c:v>44114</c:v>
                </c:pt>
                <c:pt idx="51">
                  <c:v>44113</c:v>
                </c:pt>
                <c:pt idx="52">
                  <c:v>44104</c:v>
                </c:pt>
                <c:pt idx="53">
                  <c:v>44103</c:v>
                </c:pt>
                <c:pt idx="54">
                  <c:v>44102</c:v>
                </c:pt>
                <c:pt idx="55">
                  <c:v>44101</c:v>
                </c:pt>
                <c:pt idx="56">
                  <c:v>44099</c:v>
                </c:pt>
                <c:pt idx="57">
                  <c:v>44098</c:v>
                </c:pt>
                <c:pt idx="58">
                  <c:v>44097</c:v>
                </c:pt>
              </c:numCache>
            </c:numRef>
          </c:cat>
          <c:val>
            <c:numRef>
              <c:f>资金!$B$3:$B$61</c:f>
              <c:numCache>
                <c:formatCode>###,###,###,###,##0.0000</c:formatCode>
                <c:ptCount val="59"/>
                <c:pt idx="0">
                  <c:v>1.7833000000000001</c:v>
                </c:pt>
                <c:pt idx="1">
                  <c:v>1.4323999999999999</c:v>
                </c:pt>
                <c:pt idx="2">
                  <c:v>1.0374000000000001</c:v>
                </c:pt>
                <c:pt idx="3">
                  <c:v>1.4353</c:v>
                </c:pt>
                <c:pt idx="4">
                  <c:v>1.7574000000000001</c:v>
                </c:pt>
                <c:pt idx="5">
                  <c:v>1.5121</c:v>
                </c:pt>
                <c:pt idx="6">
                  <c:v>1.0599000000000001</c:v>
                </c:pt>
                <c:pt idx="7">
                  <c:v>1.1145</c:v>
                </c:pt>
                <c:pt idx="8">
                  <c:v>1.3402000000000001</c:v>
                </c:pt>
                <c:pt idx="9">
                  <c:v>1.4177</c:v>
                </c:pt>
                <c:pt idx="10">
                  <c:v>1.147</c:v>
                </c:pt>
                <c:pt idx="11">
                  <c:v>0.97250000000000003</c:v>
                </c:pt>
                <c:pt idx="12">
                  <c:v>0.81740000000000002</c:v>
                </c:pt>
                <c:pt idx="13">
                  <c:v>0.84609999999999996</c:v>
                </c:pt>
                <c:pt idx="14">
                  <c:v>1.2567999999999999</c:v>
                </c:pt>
                <c:pt idx="15">
                  <c:v>0.89139999999999997</c:v>
                </c:pt>
                <c:pt idx="16">
                  <c:v>1.3314999999999999</c:v>
                </c:pt>
                <c:pt idx="17">
                  <c:v>1.6241000000000001</c:v>
                </c:pt>
                <c:pt idx="18">
                  <c:v>1.8728</c:v>
                </c:pt>
                <c:pt idx="19">
                  <c:v>1.895</c:v>
                </c:pt>
                <c:pt idx="20">
                  <c:v>1.982</c:v>
                </c:pt>
                <c:pt idx="21">
                  <c:v>1.9603999999999999</c:v>
                </c:pt>
                <c:pt idx="22">
                  <c:v>1.7726</c:v>
                </c:pt>
                <c:pt idx="23">
                  <c:v>1.8414999999999999</c:v>
                </c:pt>
                <c:pt idx="24">
                  <c:v>2.2904</c:v>
                </c:pt>
                <c:pt idx="25">
                  <c:v>2.7808999999999999</c:v>
                </c:pt>
                <c:pt idx="26">
                  <c:v>2.8058000000000001</c:v>
                </c:pt>
                <c:pt idx="27">
                  <c:v>2.4857</c:v>
                </c:pt>
                <c:pt idx="28">
                  <c:v>2.4521999999999999</c:v>
                </c:pt>
                <c:pt idx="29">
                  <c:v>2.2858000000000001</c:v>
                </c:pt>
                <c:pt idx="30">
                  <c:v>1.8764000000000001</c:v>
                </c:pt>
                <c:pt idx="31">
                  <c:v>1.4429000000000001</c:v>
                </c:pt>
                <c:pt idx="32">
                  <c:v>1.4752000000000001</c:v>
                </c:pt>
                <c:pt idx="33">
                  <c:v>1.8856999999999999</c:v>
                </c:pt>
                <c:pt idx="34">
                  <c:v>2.4079999999999999</c:v>
                </c:pt>
                <c:pt idx="35">
                  <c:v>2.9178999999999999</c:v>
                </c:pt>
                <c:pt idx="36">
                  <c:v>2.2277999999999998</c:v>
                </c:pt>
                <c:pt idx="37">
                  <c:v>2.6492</c:v>
                </c:pt>
                <c:pt idx="38">
                  <c:v>2.6776</c:v>
                </c:pt>
                <c:pt idx="39">
                  <c:v>2.3357999999999999</c:v>
                </c:pt>
                <c:pt idx="40">
                  <c:v>2.2181999999999999</c:v>
                </c:pt>
                <c:pt idx="41">
                  <c:v>1.9681</c:v>
                </c:pt>
                <c:pt idx="42">
                  <c:v>2.0144000000000002</c:v>
                </c:pt>
                <c:pt idx="43">
                  <c:v>2.2193000000000001</c:v>
                </c:pt>
                <c:pt idx="44">
                  <c:v>2.2770000000000001</c:v>
                </c:pt>
                <c:pt idx="45">
                  <c:v>2.0550000000000002</c:v>
                </c:pt>
                <c:pt idx="46">
                  <c:v>2.1076000000000001</c:v>
                </c:pt>
                <c:pt idx="47">
                  <c:v>2.04</c:v>
                </c:pt>
                <c:pt idx="48">
                  <c:v>1.7559</c:v>
                </c:pt>
                <c:pt idx="49">
                  <c:v>1.5719000000000001</c:v>
                </c:pt>
                <c:pt idx="50">
                  <c:v>1.5667</c:v>
                </c:pt>
                <c:pt idx="51">
                  <c:v>2.0432999999999999</c:v>
                </c:pt>
                <c:pt idx="52">
                  <c:v>2.5255999999999998</c:v>
                </c:pt>
                <c:pt idx="53">
                  <c:v>1.0124</c:v>
                </c:pt>
                <c:pt idx="54">
                  <c:v>0.68540000000000001</c:v>
                </c:pt>
                <c:pt idx="55">
                  <c:v>0.67789999999999995</c:v>
                </c:pt>
                <c:pt idx="56">
                  <c:v>1.0967</c:v>
                </c:pt>
                <c:pt idx="57">
                  <c:v>1.4666999999999999</c:v>
                </c:pt>
                <c:pt idx="58">
                  <c:v>1.9109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44183</c:v>
                </c:pt>
                <c:pt idx="1">
                  <c:v>44182</c:v>
                </c:pt>
                <c:pt idx="2">
                  <c:v>44181</c:v>
                </c:pt>
                <c:pt idx="3">
                  <c:v>44180</c:v>
                </c:pt>
                <c:pt idx="4">
                  <c:v>44179</c:v>
                </c:pt>
                <c:pt idx="5">
                  <c:v>44176</c:v>
                </c:pt>
                <c:pt idx="6">
                  <c:v>44175</c:v>
                </c:pt>
                <c:pt idx="7">
                  <c:v>44174</c:v>
                </c:pt>
                <c:pt idx="8">
                  <c:v>44173</c:v>
                </c:pt>
                <c:pt idx="9">
                  <c:v>44172</c:v>
                </c:pt>
                <c:pt idx="10">
                  <c:v>44169</c:v>
                </c:pt>
                <c:pt idx="11">
                  <c:v>44168</c:v>
                </c:pt>
                <c:pt idx="12">
                  <c:v>44167</c:v>
                </c:pt>
                <c:pt idx="13">
                  <c:v>44166</c:v>
                </c:pt>
                <c:pt idx="14">
                  <c:v>44165</c:v>
                </c:pt>
                <c:pt idx="15">
                  <c:v>44162</c:v>
                </c:pt>
                <c:pt idx="16">
                  <c:v>44161</c:v>
                </c:pt>
                <c:pt idx="17">
                  <c:v>44160</c:v>
                </c:pt>
                <c:pt idx="18">
                  <c:v>44159</c:v>
                </c:pt>
                <c:pt idx="19">
                  <c:v>44158</c:v>
                </c:pt>
                <c:pt idx="20">
                  <c:v>44155</c:v>
                </c:pt>
                <c:pt idx="21">
                  <c:v>44154</c:v>
                </c:pt>
                <c:pt idx="22">
                  <c:v>44153</c:v>
                </c:pt>
                <c:pt idx="23">
                  <c:v>44152</c:v>
                </c:pt>
                <c:pt idx="24">
                  <c:v>44151</c:v>
                </c:pt>
                <c:pt idx="25">
                  <c:v>44148</c:v>
                </c:pt>
                <c:pt idx="26">
                  <c:v>44147</c:v>
                </c:pt>
                <c:pt idx="27">
                  <c:v>44146</c:v>
                </c:pt>
                <c:pt idx="28">
                  <c:v>44145</c:v>
                </c:pt>
                <c:pt idx="29">
                  <c:v>44144</c:v>
                </c:pt>
                <c:pt idx="30">
                  <c:v>44141</c:v>
                </c:pt>
                <c:pt idx="31">
                  <c:v>44140</c:v>
                </c:pt>
                <c:pt idx="32">
                  <c:v>44139</c:v>
                </c:pt>
                <c:pt idx="33">
                  <c:v>44138</c:v>
                </c:pt>
                <c:pt idx="34">
                  <c:v>44137</c:v>
                </c:pt>
                <c:pt idx="35">
                  <c:v>44134</c:v>
                </c:pt>
                <c:pt idx="36">
                  <c:v>44133</c:v>
                </c:pt>
                <c:pt idx="37">
                  <c:v>44132</c:v>
                </c:pt>
                <c:pt idx="38">
                  <c:v>44131</c:v>
                </c:pt>
                <c:pt idx="39">
                  <c:v>44130</c:v>
                </c:pt>
                <c:pt idx="40">
                  <c:v>44127</c:v>
                </c:pt>
                <c:pt idx="41">
                  <c:v>44126</c:v>
                </c:pt>
                <c:pt idx="42">
                  <c:v>44125</c:v>
                </c:pt>
                <c:pt idx="43">
                  <c:v>44124</c:v>
                </c:pt>
                <c:pt idx="44">
                  <c:v>44123</c:v>
                </c:pt>
                <c:pt idx="45">
                  <c:v>44120</c:v>
                </c:pt>
                <c:pt idx="46">
                  <c:v>44119</c:v>
                </c:pt>
                <c:pt idx="47">
                  <c:v>44118</c:v>
                </c:pt>
                <c:pt idx="48">
                  <c:v>44117</c:v>
                </c:pt>
                <c:pt idx="49">
                  <c:v>44116</c:v>
                </c:pt>
                <c:pt idx="50">
                  <c:v>44114</c:v>
                </c:pt>
                <c:pt idx="51">
                  <c:v>44113</c:v>
                </c:pt>
                <c:pt idx="52">
                  <c:v>44104</c:v>
                </c:pt>
                <c:pt idx="53">
                  <c:v>44103</c:v>
                </c:pt>
                <c:pt idx="54">
                  <c:v>44102</c:v>
                </c:pt>
                <c:pt idx="55">
                  <c:v>44101</c:v>
                </c:pt>
                <c:pt idx="56">
                  <c:v>44099</c:v>
                </c:pt>
                <c:pt idx="57">
                  <c:v>44098</c:v>
                </c:pt>
                <c:pt idx="58">
                  <c:v>44097</c:v>
                </c:pt>
              </c:numCache>
            </c:numRef>
          </c:cat>
          <c:val>
            <c:numRef>
              <c:f>资金!$C$3:$C$61</c:f>
              <c:numCache>
                <c:formatCode>###,###,###,###,##0.0000</c:formatCode>
                <c:ptCount val="59"/>
                <c:pt idx="0">
                  <c:v>2.2906</c:v>
                </c:pt>
                <c:pt idx="1">
                  <c:v>2.1383999999999999</c:v>
                </c:pt>
                <c:pt idx="2">
                  <c:v>2.1206</c:v>
                </c:pt>
                <c:pt idx="3">
                  <c:v>2.3511000000000002</c:v>
                </c:pt>
                <c:pt idx="4">
                  <c:v>2.4319000000000002</c:v>
                </c:pt>
                <c:pt idx="5">
                  <c:v>2.3391000000000002</c:v>
                </c:pt>
                <c:pt idx="6">
                  <c:v>2.2159</c:v>
                </c:pt>
                <c:pt idx="7">
                  <c:v>2.2378999999999998</c:v>
                </c:pt>
                <c:pt idx="8">
                  <c:v>2.3071000000000002</c:v>
                </c:pt>
                <c:pt idx="9">
                  <c:v>2.2997000000000001</c:v>
                </c:pt>
                <c:pt idx="10">
                  <c:v>2.3256999999999999</c:v>
                </c:pt>
                <c:pt idx="11">
                  <c:v>2.2808999999999999</c:v>
                </c:pt>
                <c:pt idx="12">
                  <c:v>2.0720000000000001</c:v>
                </c:pt>
                <c:pt idx="13">
                  <c:v>2.13</c:v>
                </c:pt>
                <c:pt idx="14">
                  <c:v>2.4761000000000002</c:v>
                </c:pt>
                <c:pt idx="15">
                  <c:v>2.5836999999999999</c:v>
                </c:pt>
                <c:pt idx="16">
                  <c:v>2.7519999999999998</c:v>
                </c:pt>
                <c:pt idx="17">
                  <c:v>3.1027</c:v>
                </c:pt>
                <c:pt idx="18">
                  <c:v>3.0409000000000002</c:v>
                </c:pt>
                <c:pt idx="19">
                  <c:v>2.3380000000000001</c:v>
                </c:pt>
                <c:pt idx="20">
                  <c:v>2.3595999999999999</c:v>
                </c:pt>
                <c:pt idx="21">
                  <c:v>2.4016999999999999</c:v>
                </c:pt>
                <c:pt idx="22">
                  <c:v>2.3649</c:v>
                </c:pt>
                <c:pt idx="23">
                  <c:v>2.4184999999999999</c:v>
                </c:pt>
                <c:pt idx="24">
                  <c:v>2.7439</c:v>
                </c:pt>
                <c:pt idx="25">
                  <c:v>3.3582000000000001</c:v>
                </c:pt>
                <c:pt idx="26">
                  <c:v>3.1901000000000002</c:v>
                </c:pt>
                <c:pt idx="27">
                  <c:v>2.7547000000000001</c:v>
                </c:pt>
                <c:pt idx="28">
                  <c:v>2.6374</c:v>
                </c:pt>
                <c:pt idx="29">
                  <c:v>2.5253000000000001</c:v>
                </c:pt>
                <c:pt idx="30">
                  <c:v>2.4022000000000001</c:v>
                </c:pt>
                <c:pt idx="31">
                  <c:v>2.1776</c:v>
                </c:pt>
                <c:pt idx="32">
                  <c:v>2.2040000000000002</c:v>
                </c:pt>
                <c:pt idx="33">
                  <c:v>2.3984000000000001</c:v>
                </c:pt>
                <c:pt idx="34">
                  <c:v>2.7995999999999999</c:v>
                </c:pt>
                <c:pt idx="35">
                  <c:v>3.3693</c:v>
                </c:pt>
                <c:pt idx="36">
                  <c:v>3.1760000000000002</c:v>
                </c:pt>
                <c:pt idx="37">
                  <c:v>3.2090000000000001</c:v>
                </c:pt>
                <c:pt idx="38">
                  <c:v>3.2181000000000002</c:v>
                </c:pt>
                <c:pt idx="39">
                  <c:v>2.9083999999999999</c:v>
                </c:pt>
                <c:pt idx="40">
                  <c:v>2.3586999999999998</c:v>
                </c:pt>
                <c:pt idx="41">
                  <c:v>2.3241999999999998</c:v>
                </c:pt>
                <c:pt idx="42">
                  <c:v>2.4226999999999999</c:v>
                </c:pt>
                <c:pt idx="43">
                  <c:v>2.5091999999999999</c:v>
                </c:pt>
                <c:pt idx="44">
                  <c:v>2.4037999999999999</c:v>
                </c:pt>
                <c:pt idx="45">
                  <c:v>2.3121</c:v>
                </c:pt>
                <c:pt idx="46">
                  <c:v>2.3601999999999999</c:v>
                </c:pt>
                <c:pt idx="47">
                  <c:v>2.3079000000000001</c:v>
                </c:pt>
                <c:pt idx="48">
                  <c:v>2.2389000000000001</c:v>
                </c:pt>
                <c:pt idx="49">
                  <c:v>2.2442000000000002</c:v>
                </c:pt>
                <c:pt idx="50">
                  <c:v>2.0114999999999998</c:v>
                </c:pt>
                <c:pt idx="51">
                  <c:v>2.2972999999999999</c:v>
                </c:pt>
                <c:pt idx="52">
                  <c:v>2.5514000000000001</c:v>
                </c:pt>
                <c:pt idx="53">
                  <c:v>3.0106999999999999</c:v>
                </c:pt>
                <c:pt idx="54">
                  <c:v>2.7132000000000001</c:v>
                </c:pt>
                <c:pt idx="55">
                  <c:v>1.89</c:v>
                </c:pt>
                <c:pt idx="56">
                  <c:v>1.968</c:v>
                </c:pt>
                <c:pt idx="57">
                  <c:v>2.1869000000000001</c:v>
                </c:pt>
                <c:pt idx="58">
                  <c:v>2.3142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135316224"/>
        <c:axId val="135317760"/>
      </c:lineChart>
      <c:dateAx>
        <c:axId val="13531622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35317760"/>
        <c:crosses val="autoZero"/>
        <c:auto val="0"/>
        <c:lblOffset val="0"/>
        <c:baseTimeUnit val="days"/>
        <c:majorUnit val="14"/>
        <c:majorTimeUnit val="days"/>
        <c:minorUnit val="7"/>
        <c:minorTimeUnit val="days"/>
      </c:dateAx>
      <c:valAx>
        <c:axId val="13531776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3531622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9.0000000000000071</c:v>
                </c:pt>
                <c:pt idx="1">
                  <c:v>-14.190000000000014</c:v>
                </c:pt>
                <c:pt idx="2">
                  <c:v>-10.670000000000002</c:v>
                </c:pt>
                <c:pt idx="3">
                  <c:v>-3.2700000000000173</c:v>
                </c:pt>
                <c:pt idx="4">
                  <c:v>-3.0299999999999994</c:v>
                </c:pt>
                <c:pt idx="5">
                  <c:v>-1.9599999999999618</c:v>
                </c:pt>
                <c:pt idx="6">
                  <c:v>-0.49000000000001265</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161440896"/>
        <c:axId val="16144281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1.8348</c:v>
                </c:pt>
                <c:pt idx="1">
                  <c:v>2.5802</c:v>
                </c:pt>
                <c:pt idx="2">
                  <c:v>2.7267000000000001</c:v>
                </c:pt>
                <c:pt idx="3">
                  <c:v>2.9641999999999999</c:v>
                </c:pt>
                <c:pt idx="4">
                  <c:v>3.11</c:v>
                </c:pt>
                <c:pt idx="5">
                  <c:v>3.2804000000000002</c:v>
                </c:pt>
                <c:pt idx="6">
                  <c:v>3.2902</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1.7447999999999999</c:v>
                </c:pt>
                <c:pt idx="1">
                  <c:v>2.7221000000000002</c:v>
                </c:pt>
                <c:pt idx="2">
                  <c:v>2.8334000000000001</c:v>
                </c:pt>
                <c:pt idx="3">
                  <c:v>2.9969000000000001</c:v>
                </c:pt>
                <c:pt idx="4">
                  <c:v>3.1402999999999999</c:v>
                </c:pt>
                <c:pt idx="5">
                  <c:v>3.3</c:v>
                </c:pt>
                <c:pt idx="6">
                  <c:v>3.2951000000000001</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161458432"/>
        <c:axId val="161456896"/>
      </c:lineChart>
      <c:dateAx>
        <c:axId val="1614408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61442816"/>
        <c:crosses val="autoZero"/>
        <c:auto val="0"/>
        <c:lblOffset val="0"/>
        <c:baseTimeUnit val="days"/>
      </c:dateAx>
      <c:valAx>
        <c:axId val="16144281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1440896"/>
        <c:crosses val="autoZero"/>
        <c:crossBetween val="between"/>
      </c:valAx>
      <c:valAx>
        <c:axId val="161456896"/>
        <c:scaling>
          <c:orientation val="minMax"/>
        </c:scaling>
        <c:delete val="0"/>
        <c:axPos val="r"/>
        <c:numFmt formatCode="#,##0.0_);[Red]\(#,##0.0\)" sourceLinked="0"/>
        <c:majorTickMark val="out"/>
        <c:minorTickMark val="none"/>
        <c:tickLblPos val="nextTo"/>
        <c:spPr>
          <a:ln w="3175">
            <a:solidFill>
              <a:sysClr val="windowText" lastClr="000000"/>
            </a:solidFill>
          </a:ln>
        </c:spPr>
        <c:crossAx val="161458432"/>
        <c:crosses val="max"/>
        <c:crossBetween val="between"/>
      </c:valAx>
      <c:dateAx>
        <c:axId val="161458432"/>
        <c:scaling>
          <c:orientation val="minMax"/>
        </c:scaling>
        <c:delete val="1"/>
        <c:axPos val="b"/>
        <c:numFmt formatCode="General" sourceLinked="1"/>
        <c:majorTickMark val="out"/>
        <c:minorTickMark val="none"/>
        <c:tickLblPos val="nextTo"/>
        <c:crossAx val="161456896"/>
        <c:crosses val="autoZero"/>
        <c:auto val="0"/>
        <c:lblOffset val="100"/>
        <c:baseTimeUnit val="years"/>
      </c:dateAx>
    </c:plotArea>
    <c:legend>
      <c:legendPos val="r"/>
      <c:layout>
        <c:manualLayout>
          <c:xMode val="edge"/>
          <c:yMode val="edge"/>
          <c:x val="0.10990412139621653"/>
          <c:y val="2.333806634826384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9.0000000000000071</c:v>
                </c:pt>
                <c:pt idx="1">
                  <c:v>-22.560000000000002</c:v>
                </c:pt>
                <c:pt idx="2">
                  <c:v>-8.1500000000000128</c:v>
                </c:pt>
                <c:pt idx="3">
                  <c:v>-8.2400000000000251</c:v>
                </c:pt>
                <c:pt idx="4">
                  <c:v>-3.6399999999999988</c:v>
                </c:pt>
                <c:pt idx="5">
                  <c:v>-2.1700000000000053</c:v>
                </c:pt>
                <c:pt idx="6">
                  <c:v>-4.7400000000000109</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162350592"/>
        <c:axId val="16235251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1.8664000000000001</c:v>
                </c:pt>
                <c:pt idx="1">
                  <c:v>2.6238999999999999</c:v>
                </c:pt>
                <c:pt idx="2">
                  <c:v>2.8340999999999998</c:v>
                </c:pt>
                <c:pt idx="3">
                  <c:v>3.1465999999999998</c:v>
                </c:pt>
                <c:pt idx="4">
                  <c:v>3.3997000000000002</c:v>
                </c:pt>
                <c:pt idx="5">
                  <c:v>3.4969999999999999</c:v>
                </c:pt>
                <c:pt idx="6">
                  <c:v>3.6730999999999998</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1.7764</c:v>
                </c:pt>
                <c:pt idx="1">
                  <c:v>2.8494999999999999</c:v>
                </c:pt>
                <c:pt idx="2">
                  <c:v>2.9156</c:v>
                </c:pt>
                <c:pt idx="3">
                  <c:v>3.2290000000000001</c:v>
                </c:pt>
                <c:pt idx="4">
                  <c:v>3.4361000000000002</c:v>
                </c:pt>
                <c:pt idx="5">
                  <c:v>3.5186999999999999</c:v>
                </c:pt>
                <c:pt idx="6">
                  <c:v>3.7204999999999999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162929280"/>
        <c:axId val="162927744"/>
      </c:lineChart>
      <c:dateAx>
        <c:axId val="16235059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62352512"/>
        <c:crosses val="autoZero"/>
        <c:auto val="0"/>
        <c:lblOffset val="0"/>
        <c:baseTimeUnit val="days"/>
      </c:dateAx>
      <c:valAx>
        <c:axId val="16235251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2350592"/>
        <c:crosses val="autoZero"/>
        <c:crossBetween val="between"/>
      </c:valAx>
      <c:valAx>
        <c:axId val="162927744"/>
        <c:scaling>
          <c:orientation val="minMax"/>
        </c:scaling>
        <c:delete val="0"/>
        <c:axPos val="r"/>
        <c:numFmt formatCode="#,##0.0_);[Red]\(#,##0.0\)" sourceLinked="0"/>
        <c:majorTickMark val="out"/>
        <c:minorTickMark val="none"/>
        <c:tickLblPos val="nextTo"/>
        <c:spPr>
          <a:ln w="3175">
            <a:solidFill>
              <a:sysClr val="windowText" lastClr="000000"/>
            </a:solidFill>
          </a:ln>
        </c:spPr>
        <c:crossAx val="162929280"/>
        <c:crosses val="max"/>
        <c:crossBetween val="between"/>
      </c:valAx>
      <c:dateAx>
        <c:axId val="162929280"/>
        <c:scaling>
          <c:orientation val="minMax"/>
        </c:scaling>
        <c:delete val="1"/>
        <c:axPos val="b"/>
        <c:numFmt formatCode="General" sourceLinked="1"/>
        <c:majorTickMark val="out"/>
        <c:minorTickMark val="none"/>
        <c:tickLblPos val="nextTo"/>
        <c:crossAx val="162927744"/>
        <c:crosses val="autoZero"/>
        <c:auto val="0"/>
        <c:lblOffset val="100"/>
        <c:baseTimeUnit val="years"/>
      </c:dateAx>
    </c:plotArea>
    <c:legend>
      <c:legendPos val="r"/>
      <c:layout>
        <c:manualLayout>
          <c:xMode val="edge"/>
          <c:yMode val="edge"/>
          <c:x val="9.7188566168746035E-2"/>
          <c:y val="2.3337581357243641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2750463594605539"/>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44183</c:v>
                </c:pt>
                <c:pt idx="1">
                  <c:v>44176</c:v>
                </c:pt>
                <c:pt idx="2">
                  <c:v>44169</c:v>
                </c:pt>
                <c:pt idx="3">
                  <c:v>44162</c:v>
                </c:pt>
                <c:pt idx="4">
                  <c:v>44155</c:v>
                </c:pt>
                <c:pt idx="5">
                  <c:v>44148</c:v>
                </c:pt>
                <c:pt idx="6">
                  <c:v>44141</c:v>
                </c:pt>
                <c:pt idx="7">
                  <c:v>44134</c:v>
                </c:pt>
                <c:pt idx="8">
                  <c:v>44127</c:v>
                </c:pt>
                <c:pt idx="9">
                  <c:v>44120</c:v>
                </c:pt>
                <c:pt idx="10">
                  <c:v>44113</c:v>
                </c:pt>
                <c:pt idx="11">
                  <c:v>44104</c:v>
                </c:pt>
                <c:pt idx="12">
                  <c:v>44099</c:v>
                </c:pt>
                <c:pt idx="13">
                  <c:v>44092</c:v>
                </c:pt>
                <c:pt idx="14">
                  <c:v>44085</c:v>
                </c:pt>
                <c:pt idx="15">
                  <c:v>44078</c:v>
                </c:pt>
                <c:pt idx="16">
                  <c:v>44071</c:v>
                </c:pt>
                <c:pt idx="17">
                  <c:v>44064</c:v>
                </c:pt>
                <c:pt idx="18">
                  <c:v>44057</c:v>
                </c:pt>
                <c:pt idx="19">
                  <c:v>44050</c:v>
                </c:pt>
                <c:pt idx="20">
                  <c:v>44043</c:v>
                </c:pt>
                <c:pt idx="21">
                  <c:v>44036</c:v>
                </c:pt>
                <c:pt idx="22">
                  <c:v>44029</c:v>
                </c:pt>
                <c:pt idx="23">
                  <c:v>44022</c:v>
                </c:pt>
              </c:numCache>
            </c:numRef>
          </c:cat>
          <c:val>
            <c:numRef>
              <c:f>转债!$H$5:$H$28</c:f>
              <c:numCache>
                <c:formatCode>General</c:formatCode>
                <c:ptCount val="24"/>
                <c:pt idx="0">
                  <c:v>-2.4094094287685053</c:v>
                </c:pt>
                <c:pt idx="1">
                  <c:v>-2.5643691054080375</c:v>
                </c:pt>
                <c:pt idx="2">
                  <c:v>-0.88320837711635125</c:v>
                </c:pt>
                <c:pt idx="3">
                  <c:v>-1.0476230383593022</c:v>
                </c:pt>
                <c:pt idx="4">
                  <c:v>-1.6852704233039528</c:v>
                </c:pt>
                <c:pt idx="5">
                  <c:v>-1.6559653431836963</c:v>
                </c:pt>
                <c:pt idx="6">
                  <c:v>-1.3060771913538383</c:v>
                </c:pt>
                <c:pt idx="7">
                  <c:v>-1.7316320807627461</c:v>
                </c:pt>
                <c:pt idx="8">
                  <c:v>-1.4606070959659267</c:v>
                </c:pt>
                <c:pt idx="9">
                  <c:v>-1.014691756757613</c:v>
                </c:pt>
                <c:pt idx="10">
                  <c:v>-2.5678072816274544</c:v>
                </c:pt>
                <c:pt idx="11">
                  <c:v>-3.5128491091900194</c:v>
                </c:pt>
                <c:pt idx="12">
                  <c:v>-4.4465288387774642</c:v>
                </c:pt>
                <c:pt idx="13">
                  <c:v>-2.3933466992433816</c:v>
                </c:pt>
                <c:pt idx="14">
                  <c:v>-2.5097343364212321</c:v>
                </c:pt>
                <c:pt idx="15">
                  <c:v>8.3832406100192713E-2</c:v>
                </c:pt>
                <c:pt idx="16">
                  <c:v>-0.17642141725920935</c:v>
                </c:pt>
                <c:pt idx="17">
                  <c:v>-7.1234713546197703E-2</c:v>
                </c:pt>
                <c:pt idx="18">
                  <c:v>-0.18023564400263536</c:v>
                </c:pt>
                <c:pt idx="19">
                  <c:v>0.24209595520057192</c:v>
                </c:pt>
                <c:pt idx="20">
                  <c:v>-0.84995476649410984</c:v>
                </c:pt>
                <c:pt idx="21">
                  <c:v>-3.0540406091588701</c:v>
                </c:pt>
                <c:pt idx="22">
                  <c:v>-3.4849407881589078</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44183</c:v>
                </c:pt>
                <c:pt idx="1">
                  <c:v>44176</c:v>
                </c:pt>
                <c:pt idx="2">
                  <c:v>44169</c:v>
                </c:pt>
                <c:pt idx="3">
                  <c:v>44162</c:v>
                </c:pt>
                <c:pt idx="4">
                  <c:v>44155</c:v>
                </c:pt>
                <c:pt idx="5">
                  <c:v>44148</c:v>
                </c:pt>
                <c:pt idx="6">
                  <c:v>44141</c:v>
                </c:pt>
                <c:pt idx="7">
                  <c:v>44134</c:v>
                </c:pt>
                <c:pt idx="8">
                  <c:v>44127</c:v>
                </c:pt>
                <c:pt idx="9">
                  <c:v>44120</c:v>
                </c:pt>
                <c:pt idx="10">
                  <c:v>44113</c:v>
                </c:pt>
                <c:pt idx="11">
                  <c:v>44104</c:v>
                </c:pt>
                <c:pt idx="12">
                  <c:v>44099</c:v>
                </c:pt>
                <c:pt idx="13">
                  <c:v>44092</c:v>
                </c:pt>
                <c:pt idx="14">
                  <c:v>44085</c:v>
                </c:pt>
                <c:pt idx="15">
                  <c:v>44078</c:v>
                </c:pt>
                <c:pt idx="16">
                  <c:v>44071</c:v>
                </c:pt>
                <c:pt idx="17">
                  <c:v>44064</c:v>
                </c:pt>
                <c:pt idx="18">
                  <c:v>44057</c:v>
                </c:pt>
                <c:pt idx="19">
                  <c:v>44050</c:v>
                </c:pt>
                <c:pt idx="20">
                  <c:v>44043</c:v>
                </c:pt>
                <c:pt idx="21">
                  <c:v>44036</c:v>
                </c:pt>
                <c:pt idx="22">
                  <c:v>44029</c:v>
                </c:pt>
                <c:pt idx="23">
                  <c:v>44022</c:v>
                </c:pt>
              </c:numCache>
            </c:numRef>
          </c:cat>
          <c:val>
            <c:numRef>
              <c:f>转债!$I$5:$I$28</c:f>
              <c:numCache>
                <c:formatCode>General</c:formatCode>
                <c:ptCount val="24"/>
                <c:pt idx="0">
                  <c:v>-0.54451994011299742</c:v>
                </c:pt>
                <c:pt idx="1">
                  <c:v>-0.67394108620347781</c:v>
                </c:pt>
                <c:pt idx="2">
                  <c:v>-0.71725131225738314</c:v>
                </c:pt>
                <c:pt idx="3">
                  <c:v>-0.89117159256797418</c:v>
                </c:pt>
                <c:pt idx="4">
                  <c:v>-1.0758769683860803</c:v>
                </c:pt>
                <c:pt idx="5">
                  <c:v>-0.80905200708928371</c:v>
                </c:pt>
                <c:pt idx="6">
                  <c:v>-0.59012306048740193</c:v>
                </c:pt>
                <c:pt idx="7">
                  <c:v>-0.61143848546687529</c:v>
                </c:pt>
                <c:pt idx="8">
                  <c:v>-0.71996881663723977</c:v>
                </c:pt>
                <c:pt idx="9">
                  <c:v>-0.96607280703765452</c:v>
                </c:pt>
                <c:pt idx="10">
                  <c:v>-0.89083190452047267</c:v>
                </c:pt>
                <c:pt idx="11">
                  <c:v>-0.68701907603152534</c:v>
                </c:pt>
                <c:pt idx="12">
                  <c:v>-0.58451820770395457</c:v>
                </c:pt>
                <c:pt idx="13">
                  <c:v>-0.5874055561075453</c:v>
                </c:pt>
                <c:pt idx="14">
                  <c:v>-0.60642808676651949</c:v>
                </c:pt>
                <c:pt idx="15">
                  <c:v>-0.63343328654129616</c:v>
                </c:pt>
                <c:pt idx="16">
                  <c:v>-0.3858006999272301</c:v>
                </c:pt>
                <c:pt idx="17">
                  <c:v>0.10564298276676265</c:v>
                </c:pt>
                <c:pt idx="18">
                  <c:v>0.33391335067440853</c:v>
                </c:pt>
                <c:pt idx="19">
                  <c:v>0.12551473354445175</c:v>
                </c:pt>
                <c:pt idx="20">
                  <c:v>0.33815945126793867</c:v>
                </c:pt>
                <c:pt idx="21">
                  <c:v>0.88743502404566854</c:v>
                </c:pt>
                <c:pt idx="22">
                  <c:v>0.23217678045366341</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44183</c:v>
                </c:pt>
                <c:pt idx="1">
                  <c:v>44176</c:v>
                </c:pt>
                <c:pt idx="2">
                  <c:v>44169</c:v>
                </c:pt>
                <c:pt idx="3">
                  <c:v>44162</c:v>
                </c:pt>
                <c:pt idx="4">
                  <c:v>44155</c:v>
                </c:pt>
                <c:pt idx="5">
                  <c:v>44148</c:v>
                </c:pt>
                <c:pt idx="6">
                  <c:v>44141</c:v>
                </c:pt>
                <c:pt idx="7">
                  <c:v>44134</c:v>
                </c:pt>
                <c:pt idx="8">
                  <c:v>44127</c:v>
                </c:pt>
                <c:pt idx="9">
                  <c:v>44120</c:v>
                </c:pt>
                <c:pt idx="10">
                  <c:v>44113</c:v>
                </c:pt>
                <c:pt idx="11">
                  <c:v>44104</c:v>
                </c:pt>
                <c:pt idx="12">
                  <c:v>44099</c:v>
                </c:pt>
                <c:pt idx="13">
                  <c:v>44092</c:v>
                </c:pt>
                <c:pt idx="14">
                  <c:v>44085</c:v>
                </c:pt>
                <c:pt idx="15">
                  <c:v>44078</c:v>
                </c:pt>
                <c:pt idx="16">
                  <c:v>44071</c:v>
                </c:pt>
                <c:pt idx="17">
                  <c:v>44064</c:v>
                </c:pt>
                <c:pt idx="18">
                  <c:v>44057</c:v>
                </c:pt>
                <c:pt idx="19">
                  <c:v>44050</c:v>
                </c:pt>
                <c:pt idx="20">
                  <c:v>44043</c:v>
                </c:pt>
                <c:pt idx="21">
                  <c:v>44036</c:v>
                </c:pt>
                <c:pt idx="22">
                  <c:v>44029</c:v>
                </c:pt>
                <c:pt idx="23">
                  <c:v>44022</c:v>
                </c:pt>
              </c:numCache>
            </c:numRef>
          </c:cat>
          <c:val>
            <c:numRef>
              <c:f>转债!$J$5:$J$28</c:f>
              <c:numCache>
                <c:formatCode>General</c:formatCode>
                <c:ptCount val="24"/>
                <c:pt idx="0">
                  <c:v>5.1930902085157049</c:v>
                </c:pt>
                <c:pt idx="1">
                  <c:v>2.8717035981296712</c:v>
                </c:pt>
                <c:pt idx="2">
                  <c:v>6.5805644457730628</c:v>
                </c:pt>
                <c:pt idx="3">
                  <c:v>4.7890872322053246</c:v>
                </c:pt>
                <c:pt idx="4">
                  <c:v>4.0006220738644016</c:v>
                </c:pt>
                <c:pt idx="5">
                  <c:v>2.1820974387568581</c:v>
                </c:pt>
                <c:pt idx="6">
                  <c:v>2.7894126175674439</c:v>
                </c:pt>
                <c:pt idx="7">
                  <c:v>-1.2160294347309808</c:v>
                </c:pt>
                <c:pt idx="8">
                  <c:v>-0.72889182384178186</c:v>
                </c:pt>
                <c:pt idx="9">
                  <c:v>0.81089036572989937</c:v>
                </c:pt>
                <c:pt idx="10">
                  <c:v>-1.5146240480989781</c:v>
                </c:pt>
                <c:pt idx="11">
                  <c:v>-3.4869209327666129</c:v>
                </c:pt>
                <c:pt idx="12">
                  <c:v>-3.8524419249929331</c:v>
                </c:pt>
                <c:pt idx="13">
                  <c:v>-0.33755838490791001</c:v>
                </c:pt>
                <c:pt idx="14">
                  <c:v>-2.6477418590385549</c:v>
                </c:pt>
                <c:pt idx="15">
                  <c:v>0.35946183120931785</c:v>
                </c:pt>
                <c:pt idx="16">
                  <c:v>1.9173015829368589</c:v>
                </c:pt>
                <c:pt idx="17">
                  <c:v>-0.72142306633816711</c:v>
                </c:pt>
                <c:pt idx="18">
                  <c:v>-1.0204742206577744</c:v>
                </c:pt>
                <c:pt idx="19">
                  <c:v>-0.95110103476375718</c:v>
                </c:pt>
                <c:pt idx="20">
                  <c:v>-1.2220801802465875</c:v>
                </c:pt>
                <c:pt idx="21">
                  <c:v>-5.2079898537665699</c:v>
                </c:pt>
                <c:pt idx="22">
                  <c:v>-4.3851620992830131</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162963840"/>
        <c:axId val="162965376"/>
      </c:lineChart>
      <c:dateAx>
        <c:axId val="16296384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162965376"/>
        <c:crosses val="autoZero"/>
        <c:auto val="0"/>
        <c:lblOffset val="0"/>
        <c:baseTimeUnit val="days"/>
        <c:majorUnit val="14"/>
        <c:majorTimeUnit val="days"/>
      </c:dateAx>
      <c:valAx>
        <c:axId val="16296537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296384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1-405E-B422-D7A57FDA5907}"/>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1-405E-B422-D7A57FDA5907}"/>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67.819999999999993</c:v>
                </c:pt>
                <c:pt idx="304">
                  <c:v>#N/A</c:v>
                </c:pt>
                <c:pt idx="305">
                  <c:v>#N/A</c:v>
                </c:pt>
                <c:pt idx="306">
                  <c:v>#N/A</c:v>
                </c:pt>
                <c:pt idx="307">
                  <c:v>#N/A</c:v>
                </c:pt>
                <c:pt idx="308">
                  <c:v>#N/A</c:v>
                </c:pt>
                <c:pt idx="309">
                  <c:v>#N/A</c:v>
                </c:pt>
                <c:pt idx="310">
                  <c:v>67.13</c:v>
                </c:pt>
                <c:pt idx="311">
                  <c:v>#N/A</c:v>
                </c:pt>
                <c:pt idx="312">
                  <c:v>#N/A</c:v>
                </c:pt>
                <c:pt idx="313">
                  <c:v>#N/A</c:v>
                </c:pt>
                <c:pt idx="314">
                  <c:v>#N/A</c:v>
                </c:pt>
                <c:pt idx="315">
                  <c:v>#N/A</c:v>
                </c:pt>
                <c:pt idx="316">
                  <c:v>#N/A</c:v>
                </c:pt>
                <c:pt idx="317">
                  <c:v>67.400000000000006</c:v>
                </c:pt>
                <c:pt idx="318">
                  <c:v>#N/A</c:v>
                </c:pt>
                <c:pt idx="319">
                  <c:v>#N/A</c:v>
                </c:pt>
                <c:pt idx="320">
                  <c:v>#N/A</c:v>
                </c:pt>
                <c:pt idx="321">
                  <c:v>#N/A</c:v>
                </c:pt>
                <c:pt idx="322">
                  <c:v>#N/A</c:v>
                </c:pt>
                <c:pt idx="323">
                  <c:v>#N/A</c:v>
                </c:pt>
                <c:pt idx="324">
                  <c:v>67.27</c:v>
                </c:pt>
                <c:pt idx="325">
                  <c:v>#N/A</c:v>
                </c:pt>
                <c:pt idx="326">
                  <c:v>#N/A</c:v>
                </c:pt>
                <c:pt idx="327">
                  <c:v>#N/A</c:v>
                </c:pt>
                <c:pt idx="328">
                  <c:v>#N/A</c:v>
                </c:pt>
                <c:pt idx="329">
                  <c:v>#N/A</c:v>
                </c:pt>
                <c:pt idx="330">
                  <c:v>#N/A</c:v>
                </c:pt>
                <c:pt idx="331">
                  <c:v>67.27</c:v>
                </c:pt>
                <c:pt idx="332">
                  <c:v>#N/A</c:v>
                </c:pt>
                <c:pt idx="333">
                  <c:v>#N/A</c:v>
                </c:pt>
                <c:pt idx="334">
                  <c:v>#N/A</c:v>
                </c:pt>
                <c:pt idx="335">
                  <c:v>#N/A</c:v>
                </c:pt>
                <c:pt idx="336">
                  <c:v>#N/A</c:v>
                </c:pt>
                <c:pt idx="337">
                  <c:v>#N/A</c:v>
                </c:pt>
                <c:pt idx="338">
                  <c:v>66.849999999999994</c:v>
                </c:pt>
                <c:pt idx="339">
                  <c:v>#N/A</c:v>
                </c:pt>
                <c:pt idx="340">
                  <c:v>#N/A</c:v>
                </c:pt>
                <c:pt idx="341">
                  <c:v>#N/A</c:v>
                </c:pt>
                <c:pt idx="342">
                  <c:v>#N/A</c:v>
                </c:pt>
                <c:pt idx="343">
                  <c:v>#N/A</c:v>
                </c:pt>
                <c:pt idx="344">
                  <c:v>#N/A</c:v>
                </c:pt>
                <c:pt idx="345">
                  <c:v>66.569999999999993</c:v>
                </c:pt>
                <c:pt idx="346">
                  <c:v>#N/A</c:v>
                </c:pt>
                <c:pt idx="347">
                  <c:v>#N/A</c:v>
                </c:pt>
                <c:pt idx="348">
                  <c:v>#N/A</c:v>
                </c:pt>
                <c:pt idx="349">
                  <c:v>#N/A</c:v>
                </c:pt>
                <c:pt idx="350">
                  <c:v>#N/A</c:v>
                </c:pt>
                <c:pt idx="351">
                  <c:v>#N/A</c:v>
                </c:pt>
                <c:pt idx="352">
                  <c:v>66.849999999999994</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B61-405E-B422-D7A57FDA5907}"/>
            </c:ext>
          </c:extLst>
        </c:ser>
        <c:dLbls>
          <c:showLegendKey val="0"/>
          <c:showVal val="0"/>
          <c:showCatName val="0"/>
          <c:showSerName val="0"/>
          <c:showPercent val="0"/>
          <c:showBubbleSize val="0"/>
        </c:dLbls>
        <c:marker val="1"/>
        <c:smooth val="0"/>
        <c:axId val="137550080"/>
        <c:axId val="137555968"/>
      </c:lineChart>
      <c:dateAx>
        <c:axId val="1375500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37555968"/>
        <c:crosses val="autoZero"/>
        <c:auto val="0"/>
        <c:lblOffset val="0"/>
        <c:baseTimeUnit val="days"/>
        <c:majorUnit val="1"/>
        <c:majorTimeUnit val="months"/>
      </c:dateAx>
      <c:valAx>
        <c:axId val="137555968"/>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375500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170670720"/>
        <c:axId val="170692992"/>
      </c:lineChart>
      <c:dateAx>
        <c:axId val="17067072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0692992"/>
        <c:crosses val="autoZero"/>
        <c:auto val="0"/>
        <c:lblOffset val="0"/>
        <c:baseTimeUnit val="days"/>
        <c:majorUnit val="1"/>
        <c:majorTimeUnit val="months"/>
      </c:dateAx>
      <c:valAx>
        <c:axId val="170692992"/>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067072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178469504"/>
        <c:axId val="178499968"/>
      </c:lineChart>
      <c:dateAx>
        <c:axId val="17846950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8499968"/>
        <c:crosses val="autoZero"/>
        <c:auto val="0"/>
        <c:lblOffset val="0"/>
        <c:baseTimeUnit val="days"/>
        <c:majorUnit val="1"/>
        <c:majorTimeUnit val="months"/>
      </c:dateAx>
      <c:valAx>
        <c:axId val="17849996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846950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176154112"/>
        <c:axId val="176155648"/>
      </c:lineChart>
      <c:dateAx>
        <c:axId val="17615411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6155648"/>
        <c:crosses val="autoZero"/>
        <c:auto val="0"/>
        <c:lblOffset val="0"/>
        <c:baseTimeUnit val="days"/>
        <c:majorUnit val="1"/>
        <c:majorTimeUnit val="months"/>
      </c:dateAx>
      <c:valAx>
        <c:axId val="176155648"/>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615411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0.01952</cdr:x>
      <cdr:y>0</cdr:y>
    </cdr:from>
    <cdr:to>
      <cdr:x>0.07706</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58521" y="-987552"/>
          <a:ext cx="172532" cy="146467"/>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楷体" panose="02010609060101010101" pitchFamily="49" charset="-122"/>
              <a:ea typeface="楷体" panose="02010609060101010101" pitchFamily="49" charset="-122"/>
            </a:rPr>
            <a:t>%</a:t>
          </a:r>
          <a:endParaRPr lang="zh-CN" altLang="en-US" sz="10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0.01855</cdr:y>
    </cdr:from>
    <cdr:to>
      <cdr:x>0.1293</cdr:x>
      <cdr:y>0.08533</cdr:y>
    </cdr:to>
    <cdr:sp macro="" textlink="">
      <cdr:nvSpPr>
        <cdr:cNvPr id="5" name="Text Box 1"/>
        <cdr:cNvSpPr txBox="1">
          <a:spLocks xmlns:a="http://schemas.openxmlformats.org/drawingml/2006/main" noChangeArrowheads="1"/>
        </cdr:cNvSpPr>
      </cdr:nvSpPr>
      <cdr:spPr bwMode="auto">
        <a:xfrm xmlns:a="http://schemas.openxmlformats.org/drawingml/2006/main">
          <a:off x="0" y="36576"/>
          <a:ext cx="387706" cy="13167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E3E00-227F-4397-8E4C-A71F47E7E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7</Pages>
  <Words>891</Words>
  <Characters>5083</Characters>
  <Application>Microsoft Office Word</Application>
  <DocSecurity>0</DocSecurity>
  <Lines>42</Lines>
  <Paragraphs>11</Paragraphs>
  <ScaleCrop>false</ScaleCrop>
  <Company>Microsoft</Company>
  <LinksUpToDate>false</LinksUpToDate>
  <CharactersWithSpaces>5963</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19</cp:revision>
  <cp:lastPrinted>2019-06-26T06:05:00Z</cp:lastPrinted>
  <dcterms:created xsi:type="dcterms:W3CDTF">2020-12-20T12:22:00Z</dcterms:created>
  <dcterms:modified xsi:type="dcterms:W3CDTF">2020-12-21T05:22:00Z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