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1B43999F" w:rsidR="002C4C07" w:rsidRDefault="002C4C07" w:rsidP="002C4C07">
      <w:pPr>
        <w:jc w:val="center"/>
        <w:rPr>
          <w:b/>
        </w:rPr>
      </w:pPr>
      <w:r w:rsidRPr="00EF6393">
        <w:rPr>
          <w:rFonts w:hint="eastAsia"/>
          <w:b/>
        </w:rPr>
        <w:t>富荣量化</w:t>
      </w:r>
      <w:r w:rsidR="006A2350">
        <w:rPr>
          <w:rFonts w:hint="eastAsia"/>
          <w:b/>
        </w:rPr>
        <w:t>：</w:t>
      </w:r>
      <w:r w:rsidR="00953D75">
        <w:rPr>
          <w:rFonts w:hint="eastAsia"/>
          <w:b/>
        </w:rPr>
        <w:t>短期维持震荡，波动下降</w:t>
      </w:r>
    </w:p>
    <w:p w14:paraId="2E0A072D" w14:textId="77777777" w:rsidR="00930F5D" w:rsidRPr="006A2350" w:rsidRDefault="00930F5D" w:rsidP="002C4C07">
      <w:pPr>
        <w:jc w:val="center"/>
        <w:rPr>
          <w:b/>
        </w:rPr>
      </w:pPr>
    </w:p>
    <w:p w14:paraId="53F014FC" w14:textId="2F06A879" w:rsidR="00170D56" w:rsidRDefault="00170D56" w:rsidP="00170D56">
      <w:pPr>
        <w:ind w:firstLineChars="200" w:firstLine="480"/>
      </w:pPr>
      <w:r>
        <w:rPr>
          <w:rFonts w:hint="eastAsia"/>
        </w:rPr>
        <w:t>本周市场情绪比较乐观，</w:t>
      </w:r>
      <w:proofErr w:type="gramStart"/>
      <w:r>
        <w:rPr>
          <w:rFonts w:hint="eastAsia"/>
        </w:rPr>
        <w:t>各宽基指数</w:t>
      </w:r>
      <w:proofErr w:type="gramEnd"/>
      <w:r>
        <w:rPr>
          <w:rFonts w:hint="eastAsia"/>
        </w:rPr>
        <w:t>普涨，其中上证指数上涨1.43%，上证50指数收涨2.34%，沪深300指数收涨2.26%，中证500指数上涨1.33%，以及创业板上涨3.46%。市场上周持续回撤后，本周</w:t>
      </w:r>
      <w:r w:rsidR="00CC6A21">
        <w:rPr>
          <w:rFonts w:hint="eastAsia"/>
        </w:rPr>
        <w:t>迎来</w:t>
      </w:r>
      <w:r>
        <w:rPr>
          <w:rFonts w:hint="eastAsia"/>
        </w:rPr>
        <w:t>强势反弹，我们认为市场短期内依然维持震荡格局。</w:t>
      </w:r>
    </w:p>
    <w:p w14:paraId="2A9422FC" w14:textId="70DCECE3" w:rsidR="009A3A51" w:rsidRDefault="00170D56" w:rsidP="00B236BA">
      <w:pPr>
        <w:ind w:firstLineChars="200" w:firstLine="480"/>
      </w:pPr>
      <w:r>
        <w:rPr>
          <w:rFonts w:hint="eastAsia"/>
        </w:rPr>
        <w:t>本周最重要的是12月16日至于12月18日的中央经济工作会议，从会议内容来看明年不会快速急转弯今年的财政政策以及货币政策，也就是说2021年将维持积极的财政政策和稳健的货币政策，需要处理好经济恢复和风险防范的关系，总体来看会议内容对资本市场偏友好。资本市场改革进一步实质性推进，退市制度修订加快市场优胜劣汰，A股市场投资专业化的趋势更加明显。11月经济数据</w:t>
      </w:r>
      <w:r w:rsidR="00BB3363">
        <w:rPr>
          <w:rFonts w:hint="eastAsia"/>
        </w:rPr>
        <w:t>虽然表面全球经济回暖，但是进入冬季各国疫情明显反弹，我国境内也出现零星案例，防疫任务比夏季明显严峻。从</w:t>
      </w:r>
      <w:r w:rsidR="00BA1740">
        <w:rPr>
          <w:rFonts w:hint="eastAsia"/>
        </w:rPr>
        <w:t>资金</w:t>
      </w:r>
      <w:r w:rsidR="00BB3363">
        <w:rPr>
          <w:rFonts w:hint="eastAsia"/>
        </w:rPr>
        <w:t>流动</w:t>
      </w:r>
      <w:r w:rsidR="009A3A51">
        <w:rPr>
          <w:rFonts w:hint="eastAsia"/>
        </w:rPr>
        <w:t>看，本周北向资金</w:t>
      </w:r>
      <w:r w:rsidR="00BA1740">
        <w:rPr>
          <w:rFonts w:hint="eastAsia"/>
        </w:rPr>
        <w:t>继续维持</w:t>
      </w:r>
      <w:r w:rsidR="007E42CD">
        <w:rPr>
          <w:rFonts w:hint="eastAsia"/>
        </w:rPr>
        <w:t>流入</w:t>
      </w:r>
      <w:r w:rsidR="001B42AC">
        <w:rPr>
          <w:rFonts w:hint="eastAsia"/>
        </w:rPr>
        <w:t>，本周合计流入</w:t>
      </w:r>
      <w:r w:rsidR="00BB3363">
        <w:rPr>
          <w:rFonts w:hint="eastAsia"/>
        </w:rPr>
        <w:t>84.84</w:t>
      </w:r>
      <w:r w:rsidR="001B42AC">
        <w:rPr>
          <w:rFonts w:hint="eastAsia"/>
        </w:rPr>
        <w:t>亿，其中沪股通流入</w:t>
      </w:r>
      <w:r w:rsidR="00BB3363">
        <w:rPr>
          <w:rFonts w:hint="eastAsia"/>
        </w:rPr>
        <w:t>79.13</w:t>
      </w:r>
      <w:r w:rsidR="00BA1740">
        <w:rPr>
          <w:rFonts w:hint="eastAsia"/>
        </w:rPr>
        <w:t>亿，深股通流出</w:t>
      </w:r>
      <w:r w:rsidR="00BB3363">
        <w:rPr>
          <w:rFonts w:hint="eastAsia"/>
        </w:rPr>
        <w:t>5.71</w:t>
      </w:r>
      <w:r w:rsidR="00BA1740">
        <w:rPr>
          <w:rFonts w:hint="eastAsia"/>
        </w:rPr>
        <w:t>亿</w:t>
      </w:r>
      <w:r w:rsidR="009A3A51">
        <w:rPr>
          <w:rFonts w:hint="eastAsia"/>
        </w:rPr>
        <w:t>。如下图：</w:t>
      </w:r>
    </w:p>
    <w:p w14:paraId="2D49AD54" w14:textId="2D79F99B" w:rsidR="009A3A51" w:rsidRDefault="009A3A51" w:rsidP="00B236BA">
      <w:pPr>
        <w:ind w:firstLineChars="200" w:firstLine="480"/>
      </w:pPr>
      <w:r>
        <w:rPr>
          <w:rFonts w:hint="eastAsia"/>
        </w:rPr>
        <w:t>图 1</w:t>
      </w:r>
      <w:r>
        <w:t xml:space="preserve"> </w:t>
      </w:r>
      <w:r w:rsidR="00CC6A21">
        <w:rPr>
          <w:rFonts w:hint="eastAsia"/>
        </w:rPr>
        <w:t>：</w:t>
      </w:r>
      <w:r>
        <w:rPr>
          <w:rFonts w:hint="eastAsia"/>
        </w:rPr>
        <w:t>北向资金流动</w:t>
      </w:r>
    </w:p>
    <w:p w14:paraId="3060E4CF" w14:textId="50A29A6E" w:rsidR="009A3A51" w:rsidRDefault="00BB3363" w:rsidP="009A3A51">
      <w:r>
        <w:rPr>
          <w:noProof/>
        </w:rPr>
        <w:drawing>
          <wp:inline distT="0" distB="0" distL="0" distR="0" wp14:anchorId="090B5584" wp14:editId="20F7CDAC">
            <wp:extent cx="5274310" cy="1708046"/>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1708046"/>
                    </a:xfrm>
                    <a:prstGeom prst="rect">
                      <a:avLst/>
                    </a:prstGeom>
                  </pic:spPr>
                </pic:pic>
              </a:graphicData>
            </a:graphic>
          </wp:inline>
        </w:drawing>
      </w:r>
    </w:p>
    <w:p w14:paraId="0A375EBA" w14:textId="2A01A86C" w:rsidR="009A3A51" w:rsidRDefault="009A3A51" w:rsidP="009A3A51">
      <w:r>
        <w:rPr>
          <w:rFonts w:hint="eastAsia"/>
        </w:rPr>
        <w:t>数据来源：Wind</w:t>
      </w:r>
      <w:r w:rsidR="0013128D">
        <w:rPr>
          <w:rFonts w:hint="eastAsia"/>
        </w:rPr>
        <w:t>；整理：富</w:t>
      </w:r>
      <w:proofErr w:type="gramStart"/>
      <w:r w:rsidR="0013128D">
        <w:rPr>
          <w:rFonts w:hint="eastAsia"/>
        </w:rPr>
        <w:t>荣基金</w:t>
      </w:r>
      <w:proofErr w:type="gramEnd"/>
      <w:r w:rsidR="0013128D">
        <w:rPr>
          <w:rFonts w:hint="eastAsia"/>
        </w:rPr>
        <w:t>量化组</w:t>
      </w:r>
    </w:p>
    <w:p w14:paraId="3FD0F67F" w14:textId="766B2BF2" w:rsidR="009A3A51" w:rsidRDefault="009A3A51" w:rsidP="0013128D">
      <w:pPr>
        <w:ind w:firstLine="480"/>
      </w:pPr>
      <w:r>
        <w:rPr>
          <w:rFonts w:hint="eastAsia"/>
        </w:rPr>
        <w:t>从</w:t>
      </w:r>
      <w:r w:rsidR="007E42CD">
        <w:rPr>
          <w:rFonts w:hint="eastAsia"/>
        </w:rPr>
        <w:t>新增融资余额来看，市场的情绪</w:t>
      </w:r>
      <w:r w:rsidR="00BB3363">
        <w:rPr>
          <w:rFonts w:hint="eastAsia"/>
        </w:rPr>
        <w:t>无明显变化</w:t>
      </w:r>
      <w:r w:rsidR="00BA1740">
        <w:rPr>
          <w:rFonts w:hint="eastAsia"/>
        </w:rPr>
        <w:t>，新增融资余额并无大幅增加和减少的状态</w:t>
      </w:r>
      <w:r w:rsidR="001B42AC">
        <w:rPr>
          <w:rFonts w:hint="eastAsia"/>
        </w:rPr>
        <w:t>。</w:t>
      </w:r>
    </w:p>
    <w:p w14:paraId="772B231D" w14:textId="50B9B244" w:rsidR="0013128D" w:rsidRPr="0013128D" w:rsidRDefault="00BB3363" w:rsidP="0013128D">
      <w:r>
        <w:rPr>
          <w:noProof/>
        </w:rPr>
        <w:lastRenderedPageBreak/>
        <w:drawing>
          <wp:inline distT="0" distB="0" distL="0" distR="0" wp14:anchorId="7EF8BF2E" wp14:editId="38644A67">
            <wp:extent cx="5274310" cy="1705604"/>
            <wp:effectExtent l="0" t="0" r="254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1705604"/>
                    </a:xfrm>
                    <a:prstGeom prst="rect">
                      <a:avLst/>
                    </a:prstGeom>
                  </pic:spPr>
                </pic:pic>
              </a:graphicData>
            </a:graphic>
          </wp:inline>
        </w:drawing>
      </w:r>
    </w:p>
    <w:p w14:paraId="762E8E4A" w14:textId="4FD7D775" w:rsidR="009A3A51" w:rsidRDefault="0013128D" w:rsidP="0013128D">
      <w:r>
        <w:rPr>
          <w:rFonts w:hint="eastAsia"/>
        </w:rPr>
        <w:t>数据来源：Wind;整理：富</w:t>
      </w:r>
      <w:proofErr w:type="gramStart"/>
      <w:r>
        <w:rPr>
          <w:rFonts w:hint="eastAsia"/>
        </w:rPr>
        <w:t>荣基金</w:t>
      </w:r>
      <w:proofErr w:type="gramEnd"/>
      <w:r>
        <w:rPr>
          <w:rFonts w:hint="eastAsia"/>
        </w:rPr>
        <w:t>量化组</w:t>
      </w:r>
    </w:p>
    <w:p w14:paraId="26717627" w14:textId="564B4E53" w:rsidR="0013128D" w:rsidRDefault="0013128D" w:rsidP="0013128D">
      <w:pPr>
        <w:ind w:firstLine="480"/>
      </w:pPr>
    </w:p>
    <w:p w14:paraId="600030D4" w14:textId="5B3AE2EA" w:rsidR="0013128D" w:rsidRDefault="00004AAA" w:rsidP="0013128D">
      <w:pPr>
        <w:ind w:firstLine="480"/>
      </w:pPr>
      <w:r>
        <w:rPr>
          <w:rFonts w:hint="eastAsia"/>
        </w:rPr>
        <w:t>本周，波动</w:t>
      </w:r>
      <w:proofErr w:type="gramStart"/>
      <w:r>
        <w:rPr>
          <w:rFonts w:hint="eastAsia"/>
        </w:rPr>
        <w:t>率指数</w:t>
      </w:r>
      <w:proofErr w:type="gramEnd"/>
      <w:r w:rsidR="00BA1740">
        <w:rPr>
          <w:rFonts w:hint="eastAsia"/>
        </w:rPr>
        <w:t>继续出现回撤</w:t>
      </w:r>
      <w:r>
        <w:rPr>
          <w:rFonts w:hint="eastAsia"/>
        </w:rPr>
        <w:t>，市场情绪</w:t>
      </w:r>
      <w:r w:rsidR="00BA1740">
        <w:rPr>
          <w:rFonts w:hint="eastAsia"/>
        </w:rPr>
        <w:t>比较乐观，</w:t>
      </w:r>
      <w:r>
        <w:rPr>
          <w:rFonts w:hint="eastAsia"/>
        </w:rPr>
        <w:t>波动</w:t>
      </w:r>
      <w:proofErr w:type="gramStart"/>
      <w:r>
        <w:rPr>
          <w:rFonts w:hint="eastAsia"/>
        </w:rPr>
        <w:t>率指数</w:t>
      </w:r>
      <w:proofErr w:type="gramEnd"/>
      <w:r w:rsidR="00BB3363">
        <w:rPr>
          <w:rFonts w:hint="eastAsia"/>
        </w:rPr>
        <w:t>上半周特别是周四</w:t>
      </w:r>
      <w:r w:rsidR="00CC6A21">
        <w:rPr>
          <w:rFonts w:hint="eastAsia"/>
        </w:rPr>
        <w:t>出现一定反弹，但</w:t>
      </w:r>
      <w:r w:rsidR="00BB3363">
        <w:rPr>
          <w:rFonts w:hint="eastAsia"/>
        </w:rPr>
        <w:t>最终是下跌了。市场的波动进一步下降，</w:t>
      </w:r>
      <w:r>
        <w:rPr>
          <w:rFonts w:hint="eastAsia"/>
        </w:rPr>
        <w:t>日内交易者可以把握日内的Gamma交易机会。</w:t>
      </w:r>
    </w:p>
    <w:p w14:paraId="172E80AB" w14:textId="2F2E6BA0" w:rsidR="0013128D" w:rsidRDefault="00BB3363" w:rsidP="0013128D">
      <w:r>
        <w:rPr>
          <w:noProof/>
        </w:rPr>
        <w:drawing>
          <wp:inline distT="0" distB="0" distL="0" distR="0" wp14:anchorId="22E3A51B" wp14:editId="6A948DD9">
            <wp:extent cx="5274310" cy="3333071"/>
            <wp:effectExtent l="0" t="0" r="254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333071"/>
                    </a:xfrm>
                    <a:prstGeom prst="rect">
                      <a:avLst/>
                    </a:prstGeom>
                  </pic:spPr>
                </pic:pic>
              </a:graphicData>
            </a:graphic>
          </wp:inline>
        </w:drawing>
      </w:r>
    </w:p>
    <w:p w14:paraId="4F33F48F" w14:textId="0EEA4E09" w:rsidR="0013128D" w:rsidRDefault="00620469" w:rsidP="0013128D">
      <w:pPr>
        <w:rPr>
          <w:rFonts w:hint="eastAsia"/>
        </w:rPr>
      </w:pPr>
      <w:r>
        <w:rPr>
          <w:rFonts w:hint="eastAsia"/>
        </w:rPr>
        <w:t>数据来源：富</w:t>
      </w:r>
      <w:proofErr w:type="gramStart"/>
      <w:r>
        <w:rPr>
          <w:rFonts w:hint="eastAsia"/>
        </w:rPr>
        <w:t>荣基金</w:t>
      </w:r>
      <w:proofErr w:type="gramEnd"/>
      <w:r>
        <w:rPr>
          <w:rFonts w:hint="eastAsia"/>
        </w:rPr>
        <w:t>量化组</w:t>
      </w:r>
    </w:p>
    <w:p w14:paraId="7D201301" w14:textId="77777777" w:rsidR="00CC6A21" w:rsidRDefault="00CC6A21" w:rsidP="0013128D">
      <w:pPr>
        <w:rPr>
          <w:rFonts w:hint="eastAsia"/>
        </w:rPr>
      </w:pPr>
    </w:p>
    <w:p w14:paraId="5286120F" w14:textId="3D938600" w:rsidR="00CC6A21" w:rsidRDefault="00CC6A21" w:rsidP="0013128D">
      <w:r w:rsidRPr="00CC6A21">
        <w:rPr>
          <w:rFonts w:hint="eastAsia"/>
        </w:rPr>
        <w:t>风险提示：</w:t>
      </w:r>
      <w:r w:rsidRPr="00CC6A21">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CC6A21">
        <w:t>作出</w:t>
      </w:r>
      <w:proofErr w:type="gramEnd"/>
      <w:r w:rsidRPr="00CC6A21">
        <w:t>调整。2、本报告中的资料、观点和预测等仅供参考，在任何时候均不构成对任何人的个人推荐。市场</w:t>
      </w:r>
      <w:r w:rsidRPr="00CC6A21">
        <w:lastRenderedPageBreak/>
        <w:t>有风险，投资需谨慎。</w:t>
      </w:r>
      <w:bookmarkStart w:id="0" w:name="_GoBack"/>
      <w:bookmarkEnd w:id="0"/>
    </w:p>
    <w:sectPr w:rsidR="00CC6A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0FB83E" w14:textId="77777777" w:rsidR="007B1EF6" w:rsidRDefault="007B1EF6" w:rsidP="002C4C07">
      <w:pPr>
        <w:spacing w:line="240" w:lineRule="auto"/>
      </w:pPr>
      <w:r>
        <w:separator/>
      </w:r>
    </w:p>
  </w:endnote>
  <w:endnote w:type="continuationSeparator" w:id="0">
    <w:p w14:paraId="0DDE2B43" w14:textId="77777777" w:rsidR="007B1EF6" w:rsidRDefault="007B1EF6"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A31ACE" w14:textId="77777777" w:rsidR="007B1EF6" w:rsidRDefault="007B1EF6" w:rsidP="002C4C07">
      <w:pPr>
        <w:spacing w:line="240" w:lineRule="auto"/>
      </w:pPr>
      <w:r>
        <w:separator/>
      </w:r>
    </w:p>
  </w:footnote>
  <w:footnote w:type="continuationSeparator" w:id="0">
    <w:p w14:paraId="3FCC3A67" w14:textId="77777777" w:rsidR="007B1EF6" w:rsidRDefault="007B1EF6"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04AAA"/>
    <w:rsid w:val="00035595"/>
    <w:rsid w:val="00070AA2"/>
    <w:rsid w:val="00087224"/>
    <w:rsid w:val="000B2DB0"/>
    <w:rsid w:val="0013128D"/>
    <w:rsid w:val="00170D56"/>
    <w:rsid w:val="001867FC"/>
    <w:rsid w:val="001B42AC"/>
    <w:rsid w:val="001D19B6"/>
    <w:rsid w:val="001D6061"/>
    <w:rsid w:val="001F2F6C"/>
    <w:rsid w:val="0020342A"/>
    <w:rsid w:val="002062DE"/>
    <w:rsid w:val="002129BA"/>
    <w:rsid w:val="002A093A"/>
    <w:rsid w:val="002A2062"/>
    <w:rsid w:val="002B15CF"/>
    <w:rsid w:val="002C4C07"/>
    <w:rsid w:val="002C7EF7"/>
    <w:rsid w:val="002D7112"/>
    <w:rsid w:val="002E17CD"/>
    <w:rsid w:val="00314EC4"/>
    <w:rsid w:val="0034141F"/>
    <w:rsid w:val="00374124"/>
    <w:rsid w:val="00386DFB"/>
    <w:rsid w:val="003D637F"/>
    <w:rsid w:val="003F6050"/>
    <w:rsid w:val="00454A3A"/>
    <w:rsid w:val="004E3614"/>
    <w:rsid w:val="00525A53"/>
    <w:rsid w:val="005A2D48"/>
    <w:rsid w:val="005C4905"/>
    <w:rsid w:val="005C66C6"/>
    <w:rsid w:val="00620469"/>
    <w:rsid w:val="00685DD2"/>
    <w:rsid w:val="006965D2"/>
    <w:rsid w:val="006A2350"/>
    <w:rsid w:val="006B1D85"/>
    <w:rsid w:val="006C7CF6"/>
    <w:rsid w:val="006E639C"/>
    <w:rsid w:val="0073379B"/>
    <w:rsid w:val="007856BA"/>
    <w:rsid w:val="007B1EF6"/>
    <w:rsid w:val="007B2BEF"/>
    <w:rsid w:val="007D5907"/>
    <w:rsid w:val="007E42CD"/>
    <w:rsid w:val="007F6A29"/>
    <w:rsid w:val="00830122"/>
    <w:rsid w:val="008540B7"/>
    <w:rsid w:val="008757E1"/>
    <w:rsid w:val="008916E0"/>
    <w:rsid w:val="00893C6A"/>
    <w:rsid w:val="008A74C1"/>
    <w:rsid w:val="008B1754"/>
    <w:rsid w:val="008B27E8"/>
    <w:rsid w:val="00907C93"/>
    <w:rsid w:val="00930F5D"/>
    <w:rsid w:val="00953D75"/>
    <w:rsid w:val="00987C63"/>
    <w:rsid w:val="009953B9"/>
    <w:rsid w:val="009A3A51"/>
    <w:rsid w:val="009D02A8"/>
    <w:rsid w:val="00A07990"/>
    <w:rsid w:val="00A51293"/>
    <w:rsid w:val="00A52850"/>
    <w:rsid w:val="00A61347"/>
    <w:rsid w:val="00A72DA9"/>
    <w:rsid w:val="00A90927"/>
    <w:rsid w:val="00B236BA"/>
    <w:rsid w:val="00B82632"/>
    <w:rsid w:val="00B91093"/>
    <w:rsid w:val="00BA1740"/>
    <w:rsid w:val="00BA3587"/>
    <w:rsid w:val="00BA72C2"/>
    <w:rsid w:val="00BB3363"/>
    <w:rsid w:val="00BC61FC"/>
    <w:rsid w:val="00BD6BA1"/>
    <w:rsid w:val="00C1492E"/>
    <w:rsid w:val="00C24E54"/>
    <w:rsid w:val="00CC6A21"/>
    <w:rsid w:val="00CD5494"/>
    <w:rsid w:val="00CD673E"/>
    <w:rsid w:val="00D055BF"/>
    <w:rsid w:val="00D458F1"/>
    <w:rsid w:val="00D46833"/>
    <w:rsid w:val="00D868FA"/>
    <w:rsid w:val="00DD21CB"/>
    <w:rsid w:val="00DD2E6A"/>
    <w:rsid w:val="00DF6F9A"/>
    <w:rsid w:val="00E86C8A"/>
    <w:rsid w:val="00E87750"/>
    <w:rsid w:val="00E9385A"/>
    <w:rsid w:val="00EF2A7A"/>
    <w:rsid w:val="00F13186"/>
    <w:rsid w:val="00F20633"/>
    <w:rsid w:val="00FC4D42"/>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123</Words>
  <Characters>702</Characters>
  <Application>Microsoft Office Word</Application>
  <DocSecurity>0</DocSecurity>
  <Lines>5</Lines>
  <Paragraphs>1</Paragraphs>
  <ScaleCrop>false</ScaleCrop>
  <Company>微软中国</Company>
  <LinksUpToDate>false</LinksUpToDate>
  <CharactersWithSpaces>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3</cp:revision>
  <dcterms:created xsi:type="dcterms:W3CDTF">2020-12-21T02:09:00Z</dcterms:created>
  <dcterms:modified xsi:type="dcterms:W3CDTF">2020-12-21T02:39:00Z</dcterms:modified>
</cp:coreProperties>
</file>