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08807262"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413D38">
        <w:rPr>
          <w:rFonts w:ascii="楷体" w:eastAsia="楷体" w:hAnsi="楷体" w:hint="eastAsia"/>
          <w:sz w:val="28"/>
          <w:szCs w:val="28"/>
        </w:rPr>
        <w:t>风险偏好渐强</w:t>
      </w:r>
      <w:r w:rsidR="00237DAF">
        <w:rPr>
          <w:rFonts w:ascii="楷体" w:eastAsia="楷体" w:hAnsi="楷体" w:hint="eastAsia"/>
          <w:sz w:val="28"/>
          <w:szCs w:val="28"/>
        </w:rPr>
        <w:t>，</w:t>
      </w:r>
      <w:r w:rsidR="00413D38">
        <w:rPr>
          <w:rFonts w:ascii="楷体" w:eastAsia="楷体" w:hAnsi="楷体" w:hint="eastAsia"/>
          <w:sz w:val="28"/>
          <w:szCs w:val="28"/>
        </w:rPr>
        <w:t>债市情绪稳定</w:t>
      </w:r>
    </w:p>
    <w:p w14:paraId="0A7A9383" w14:textId="50C7ECDC"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w:t>
      </w:r>
      <w:r w:rsidR="00C25CD0">
        <w:rPr>
          <w:rFonts w:ascii="楷体" w:eastAsia="楷体" w:hAnsi="楷体" w:hint="eastAsia"/>
          <w:sz w:val="28"/>
          <w:szCs w:val="28"/>
        </w:rPr>
        <w:t>2</w:t>
      </w:r>
      <w:r w:rsidR="009C30E2" w:rsidRPr="00FA6C01">
        <w:rPr>
          <w:rFonts w:ascii="楷体" w:eastAsia="楷体" w:hAnsi="楷体"/>
          <w:sz w:val="28"/>
          <w:szCs w:val="28"/>
        </w:rPr>
        <w:t>月</w:t>
      </w:r>
      <w:r w:rsidR="00BA1CD0">
        <w:rPr>
          <w:rFonts w:ascii="楷体" w:eastAsia="楷体" w:hAnsi="楷体" w:hint="eastAsia"/>
          <w:sz w:val="28"/>
          <w:szCs w:val="28"/>
        </w:rPr>
        <w:t>31</w:t>
      </w:r>
      <w:r w:rsidR="00F82A54">
        <w:rPr>
          <w:rFonts w:ascii="楷体" w:eastAsia="楷体" w:hAnsi="楷体" w:hint="eastAsia"/>
          <w:sz w:val="28"/>
          <w:szCs w:val="28"/>
        </w:rPr>
        <w:t>日</w:t>
      </w:r>
    </w:p>
    <w:p w14:paraId="1B2C4A22" w14:textId="33809891"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2F7876">
        <w:rPr>
          <w:rFonts w:hint="eastAsia"/>
          <w:color w:val="C45911" w:themeColor="accent2" w:themeShade="BF"/>
        </w:rPr>
        <w:t>上</w:t>
      </w:r>
      <w:r w:rsidR="008F4A92">
        <w:rPr>
          <w:rFonts w:hint="eastAsia"/>
          <w:color w:val="C45911" w:themeColor="accent2" w:themeShade="BF"/>
        </w:rPr>
        <w:t>周关注：</w:t>
      </w:r>
      <w:r w:rsidR="004242D8">
        <w:rPr>
          <w:color w:val="C45911" w:themeColor="accent2" w:themeShade="BF"/>
        </w:rPr>
        <w:t xml:space="preserve"> </w:t>
      </w:r>
    </w:p>
    <w:p w14:paraId="31A3655B" w14:textId="5EBE2DCF" w:rsidR="005829A7" w:rsidRPr="00CC45A5" w:rsidRDefault="00CC45A5" w:rsidP="00A50AD4">
      <w:pPr>
        <w:pStyle w:val="Header1"/>
        <w:spacing w:before="24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 xml:space="preserve">    </w:t>
      </w:r>
      <w:r w:rsidR="002F7876">
        <w:rPr>
          <w:rFonts w:ascii="华文楷体" w:hAnsi="华文楷体" w:hint="eastAsia"/>
          <w:b w:val="0"/>
          <w:bCs/>
          <w:smallCaps w:val="0"/>
          <w:color w:val="auto"/>
          <w:sz w:val="24"/>
          <w:szCs w:val="24"/>
        </w:rPr>
        <w:t>上</w:t>
      </w:r>
      <w:r>
        <w:rPr>
          <w:rFonts w:ascii="华文楷体" w:hAnsi="华文楷体" w:hint="eastAsia"/>
          <w:b w:val="0"/>
          <w:bCs/>
          <w:smallCaps w:val="0"/>
          <w:color w:val="auto"/>
          <w:sz w:val="24"/>
          <w:szCs w:val="24"/>
        </w:rPr>
        <w:t>周公布官方制造业PMI数据：</w:t>
      </w:r>
      <w:r w:rsidRPr="00CC45A5">
        <w:rPr>
          <w:rFonts w:ascii="华文楷体" w:hAnsi="华文楷体" w:hint="eastAsia"/>
          <w:b w:val="0"/>
          <w:bCs/>
          <w:smallCaps w:val="0"/>
          <w:color w:val="auto"/>
          <w:sz w:val="24"/>
          <w:szCs w:val="24"/>
        </w:rPr>
        <w:t>2020年11月中国官方制造业PMI51.9%，略低于预期</w:t>
      </w:r>
      <w:r>
        <w:rPr>
          <w:rFonts w:ascii="华文楷体" w:hAnsi="华文楷体" w:hint="eastAsia"/>
          <w:b w:val="0"/>
          <w:bCs/>
          <w:smallCaps w:val="0"/>
          <w:color w:val="auto"/>
          <w:sz w:val="24"/>
          <w:szCs w:val="24"/>
        </w:rPr>
        <w:t>值</w:t>
      </w:r>
      <w:r w:rsidRPr="00CC45A5">
        <w:rPr>
          <w:rFonts w:ascii="华文楷体" w:hAnsi="华文楷体" w:hint="eastAsia"/>
          <w:b w:val="0"/>
          <w:bCs/>
          <w:smallCaps w:val="0"/>
          <w:color w:val="auto"/>
          <w:sz w:val="24"/>
          <w:szCs w:val="24"/>
        </w:rPr>
        <w:t>52%和11月</w:t>
      </w:r>
      <w:r>
        <w:rPr>
          <w:rFonts w:ascii="华文楷体" w:hAnsi="华文楷体" w:hint="eastAsia"/>
          <w:b w:val="0"/>
          <w:bCs/>
          <w:smallCaps w:val="0"/>
          <w:color w:val="auto"/>
          <w:sz w:val="24"/>
          <w:szCs w:val="24"/>
        </w:rPr>
        <w:t>上月值</w:t>
      </w:r>
      <w:r w:rsidRPr="00CC45A5">
        <w:rPr>
          <w:rFonts w:ascii="华文楷体" w:hAnsi="华文楷体" w:hint="eastAsia"/>
          <w:b w:val="0"/>
          <w:bCs/>
          <w:smallCaps w:val="0"/>
          <w:color w:val="auto"/>
          <w:sz w:val="24"/>
          <w:szCs w:val="24"/>
        </w:rPr>
        <w:t>52.1%；官方非制造业PMI为55.7%，比11月回落0.7个百分点；综合PMI产出指数为55.1%，比11月低0.6个百分点。制造业PMI</w:t>
      </w:r>
      <w:r>
        <w:rPr>
          <w:rFonts w:ascii="华文楷体" w:hAnsi="华文楷体" w:hint="eastAsia"/>
          <w:b w:val="0"/>
          <w:bCs/>
          <w:smallCaps w:val="0"/>
          <w:color w:val="auto"/>
          <w:sz w:val="24"/>
          <w:szCs w:val="24"/>
        </w:rPr>
        <w:t>高位</w:t>
      </w:r>
      <w:r w:rsidRPr="00CC45A5">
        <w:rPr>
          <w:rFonts w:ascii="华文楷体" w:hAnsi="华文楷体" w:hint="eastAsia"/>
          <w:b w:val="0"/>
          <w:bCs/>
          <w:smallCaps w:val="0"/>
          <w:color w:val="auto"/>
          <w:sz w:val="24"/>
          <w:szCs w:val="24"/>
        </w:rPr>
        <w:t>回落，但整体仍处于高位</w:t>
      </w:r>
      <w:r>
        <w:rPr>
          <w:rFonts w:ascii="华文楷体" w:hAnsi="华文楷体" w:hint="eastAsia"/>
          <w:b w:val="0"/>
          <w:bCs/>
          <w:smallCaps w:val="0"/>
          <w:color w:val="auto"/>
          <w:sz w:val="24"/>
          <w:szCs w:val="24"/>
        </w:rPr>
        <w:t>区间</w:t>
      </w:r>
      <w:r w:rsidRPr="00CC45A5">
        <w:rPr>
          <w:rFonts w:ascii="华文楷体" w:hAnsi="华文楷体" w:hint="eastAsia"/>
          <w:b w:val="0"/>
          <w:bCs/>
          <w:smallCaps w:val="0"/>
          <w:color w:val="auto"/>
          <w:sz w:val="24"/>
          <w:szCs w:val="24"/>
        </w:rPr>
        <w:t>。</w:t>
      </w:r>
    </w:p>
    <w:p w14:paraId="5BB5B293" w14:textId="10708296" w:rsidR="00664AED" w:rsidRDefault="00CC45A5"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具体分项来看，</w:t>
      </w:r>
      <w:r w:rsidRPr="00CC45A5">
        <w:rPr>
          <w:rFonts w:ascii="华文楷体" w:hAnsi="华文楷体" w:hint="eastAsia"/>
          <w:b w:val="0"/>
          <w:bCs/>
          <w:smallCaps w:val="0"/>
          <w:color w:val="auto"/>
          <w:sz w:val="24"/>
          <w:szCs w:val="24"/>
        </w:rPr>
        <w:t>供给方面，12月PMI生产指数回落0.5个百分点。需求方面，PMI新订单指数回落0.3个百分点，自4月以来</w:t>
      </w:r>
      <w:r>
        <w:rPr>
          <w:rFonts w:ascii="华文楷体" w:hAnsi="华文楷体" w:hint="eastAsia"/>
          <w:b w:val="0"/>
          <w:bCs/>
          <w:smallCaps w:val="0"/>
          <w:color w:val="auto"/>
          <w:sz w:val="24"/>
          <w:szCs w:val="24"/>
        </w:rPr>
        <w:t>的首次回落，反映制造业生产的扩张和下游需求的修复均有所放缓，生产端回落相对更多</w:t>
      </w:r>
      <w:r w:rsidRPr="00CC45A5">
        <w:rPr>
          <w:rFonts w:ascii="华文楷体" w:hAnsi="华文楷体" w:hint="eastAsia"/>
          <w:b w:val="0"/>
          <w:bCs/>
          <w:smallCaps w:val="0"/>
          <w:color w:val="auto"/>
          <w:sz w:val="24"/>
          <w:szCs w:val="24"/>
        </w:rPr>
        <w:t>，产需关系趋平衡。</w:t>
      </w:r>
    </w:p>
    <w:p w14:paraId="474E700F" w14:textId="3A050454" w:rsidR="00CC45A5" w:rsidRDefault="00CC45A5" w:rsidP="008404A8">
      <w:pPr>
        <w:pStyle w:val="Header1"/>
        <w:ind w:firstLine="480"/>
        <w:rPr>
          <w:rFonts w:ascii="华文楷体" w:hAnsi="华文楷体"/>
          <w:b w:val="0"/>
          <w:bCs/>
          <w:smallCaps w:val="0"/>
          <w:color w:val="auto"/>
          <w:sz w:val="24"/>
          <w:szCs w:val="24"/>
        </w:rPr>
      </w:pPr>
      <w:r w:rsidRPr="00CC45A5">
        <w:rPr>
          <w:rFonts w:ascii="华文楷体" w:hAnsi="华文楷体" w:hint="eastAsia"/>
          <w:b w:val="0"/>
          <w:bCs/>
          <w:smallCaps w:val="0"/>
          <w:color w:val="auto"/>
          <w:sz w:val="24"/>
          <w:szCs w:val="24"/>
        </w:rPr>
        <w:t>12月新出口订单指数回落0.2个百分点至51.3%，是4月以来连续7个月反弹后首次回落，但仍是年内次高增速，与中国出口集装箱运价指数（CCFI）持续上行、</w:t>
      </w:r>
      <w:r w:rsidR="002D44EF">
        <w:rPr>
          <w:rFonts w:ascii="华文楷体" w:hAnsi="华文楷体" w:hint="eastAsia"/>
          <w:b w:val="0"/>
          <w:bCs/>
          <w:smallCaps w:val="0"/>
          <w:color w:val="auto"/>
          <w:sz w:val="24"/>
          <w:szCs w:val="24"/>
        </w:rPr>
        <w:t>持续</w:t>
      </w:r>
      <w:r w:rsidRPr="00CC45A5">
        <w:rPr>
          <w:rFonts w:ascii="华文楷体" w:hAnsi="华文楷体" w:hint="eastAsia"/>
          <w:b w:val="0"/>
          <w:bCs/>
          <w:smallCaps w:val="0"/>
          <w:color w:val="auto"/>
          <w:sz w:val="24"/>
          <w:szCs w:val="24"/>
        </w:rPr>
        <w:t>创新</w:t>
      </w:r>
      <w:proofErr w:type="gramStart"/>
      <w:r w:rsidRPr="00CC45A5">
        <w:rPr>
          <w:rFonts w:ascii="华文楷体" w:hAnsi="华文楷体" w:hint="eastAsia"/>
          <w:b w:val="0"/>
          <w:bCs/>
          <w:smallCaps w:val="0"/>
          <w:color w:val="auto"/>
          <w:sz w:val="24"/>
          <w:szCs w:val="24"/>
        </w:rPr>
        <w:t>高相验证</w:t>
      </w:r>
      <w:proofErr w:type="gramEnd"/>
      <w:r w:rsidRPr="00CC45A5">
        <w:rPr>
          <w:rFonts w:ascii="华文楷体" w:hAnsi="华文楷体" w:hint="eastAsia"/>
          <w:b w:val="0"/>
          <w:bCs/>
          <w:smallCaps w:val="0"/>
          <w:color w:val="auto"/>
          <w:sz w:val="24"/>
          <w:szCs w:val="24"/>
        </w:rPr>
        <w:t>。12月进口订单指数回落0.5个点至50.4%，跌幅较出口指数更大，同样反映内需复苏有所放缓。</w:t>
      </w:r>
    </w:p>
    <w:p w14:paraId="6D83CA6D" w14:textId="2C6DF2C7" w:rsidR="002D44EF" w:rsidRDefault="002D44EF" w:rsidP="008404A8">
      <w:pPr>
        <w:pStyle w:val="Header1"/>
        <w:ind w:firstLine="480"/>
        <w:rPr>
          <w:rFonts w:ascii="华文楷体" w:hAnsi="华文楷体"/>
          <w:b w:val="0"/>
          <w:bCs/>
          <w:smallCaps w:val="0"/>
          <w:color w:val="auto"/>
          <w:sz w:val="24"/>
          <w:szCs w:val="24"/>
        </w:rPr>
      </w:pPr>
      <w:r w:rsidRPr="002D44EF">
        <w:rPr>
          <w:rFonts w:ascii="华文楷体" w:hAnsi="华文楷体" w:hint="eastAsia"/>
          <w:b w:val="0"/>
          <w:bCs/>
          <w:smallCaps w:val="0"/>
          <w:color w:val="auto"/>
          <w:sz w:val="24"/>
          <w:szCs w:val="24"/>
        </w:rPr>
        <w:t>价格方面，上中游大宗价格涨幅普遍扩大影响，12月原材料价格指数、出厂价格指数分别大幅回升5.4、2.4个百分点至68.0%、58.9%</w:t>
      </w:r>
      <w:r>
        <w:rPr>
          <w:rFonts w:ascii="华文楷体" w:hAnsi="华文楷体" w:hint="eastAsia"/>
          <w:b w:val="0"/>
          <w:bCs/>
          <w:smallCaps w:val="0"/>
          <w:color w:val="auto"/>
          <w:sz w:val="24"/>
          <w:szCs w:val="24"/>
        </w:rPr>
        <w:t>。</w:t>
      </w:r>
      <w:r w:rsidRPr="002D44EF">
        <w:rPr>
          <w:rFonts w:ascii="华文楷体" w:hAnsi="华文楷体" w:hint="eastAsia"/>
          <w:b w:val="0"/>
          <w:bCs/>
          <w:smallCaps w:val="0"/>
          <w:color w:val="auto"/>
          <w:sz w:val="24"/>
          <w:szCs w:val="24"/>
        </w:rPr>
        <w:t>12月PMI原材料、产成品库存指数分别变动0.0、0.5个百分点至48.6%、46.2%</w:t>
      </w:r>
      <w:r>
        <w:rPr>
          <w:rFonts w:ascii="华文楷体" w:hAnsi="华文楷体" w:hint="eastAsia"/>
          <w:b w:val="0"/>
          <w:bCs/>
          <w:smallCaps w:val="0"/>
          <w:color w:val="auto"/>
          <w:sz w:val="24"/>
          <w:szCs w:val="24"/>
        </w:rPr>
        <w:t>，其中产成品库存</w:t>
      </w:r>
      <w:r w:rsidRPr="002D44EF">
        <w:rPr>
          <w:rFonts w:ascii="华文楷体" w:hAnsi="华文楷体" w:hint="eastAsia"/>
          <w:b w:val="0"/>
          <w:bCs/>
          <w:smallCaps w:val="0"/>
          <w:color w:val="auto"/>
          <w:sz w:val="24"/>
          <w:szCs w:val="24"/>
        </w:rPr>
        <w:t>连续第2个月反弹，反映企业补库意愿继续回升。12月大中小企业PMI分别变动-0.3、0.7、-1.3个百分点至52.7%、52.7%、48.8%</w:t>
      </w:r>
      <w:r>
        <w:rPr>
          <w:rFonts w:ascii="华文楷体" w:hAnsi="华文楷体" w:hint="eastAsia"/>
          <w:b w:val="0"/>
          <w:bCs/>
          <w:smallCaps w:val="0"/>
          <w:color w:val="auto"/>
          <w:sz w:val="24"/>
          <w:szCs w:val="24"/>
        </w:rPr>
        <w:t>，小企业经营状况再度恶化</w:t>
      </w:r>
      <w:r w:rsidRPr="002D44EF">
        <w:rPr>
          <w:rFonts w:ascii="华文楷体" w:hAnsi="华文楷体" w:hint="eastAsia"/>
          <w:b w:val="0"/>
          <w:bCs/>
          <w:smallCaps w:val="0"/>
          <w:color w:val="auto"/>
          <w:sz w:val="24"/>
          <w:szCs w:val="24"/>
        </w:rPr>
        <w:t>。12月制造业、服务业、建筑业从业人员指数分别变动0.1、0.1、-1.7个百分点至49.6%、48.0%、52.7%，建筑业</w:t>
      </w:r>
      <w:proofErr w:type="gramStart"/>
      <w:r w:rsidRPr="002D44EF">
        <w:rPr>
          <w:rFonts w:ascii="华文楷体" w:hAnsi="华文楷体" w:hint="eastAsia"/>
          <w:b w:val="0"/>
          <w:bCs/>
          <w:smallCaps w:val="0"/>
          <w:color w:val="auto"/>
          <w:sz w:val="24"/>
          <w:szCs w:val="24"/>
        </w:rPr>
        <w:t>用工仍</w:t>
      </w:r>
      <w:proofErr w:type="gramEnd"/>
      <w:r w:rsidRPr="002D44EF">
        <w:rPr>
          <w:rFonts w:ascii="华文楷体" w:hAnsi="华文楷体" w:hint="eastAsia"/>
          <w:b w:val="0"/>
          <w:bCs/>
          <w:smallCaps w:val="0"/>
          <w:color w:val="auto"/>
          <w:sz w:val="24"/>
          <w:szCs w:val="24"/>
        </w:rPr>
        <w:t>趋下降，整体就业情况基本稳定。</w:t>
      </w:r>
    </w:p>
    <w:p w14:paraId="11077F35" w14:textId="7345983E" w:rsidR="002D44EF" w:rsidRDefault="002D44EF" w:rsidP="008404A8">
      <w:pPr>
        <w:pStyle w:val="Header1"/>
        <w:ind w:firstLine="480"/>
        <w:rPr>
          <w:rFonts w:ascii="华文楷体" w:hAnsi="华文楷体"/>
          <w:b w:val="0"/>
          <w:bCs/>
          <w:smallCaps w:val="0"/>
          <w:color w:val="auto"/>
          <w:sz w:val="24"/>
          <w:szCs w:val="24"/>
        </w:rPr>
      </w:pPr>
      <w:r w:rsidRPr="002D44EF">
        <w:rPr>
          <w:rFonts w:ascii="华文楷体" w:hAnsi="华文楷体" w:hint="eastAsia"/>
          <w:b w:val="0"/>
          <w:bCs/>
          <w:smallCaps w:val="0"/>
          <w:color w:val="auto"/>
          <w:sz w:val="24"/>
          <w:szCs w:val="24"/>
        </w:rPr>
        <w:t>12月服务业PMI回落0.9个百分点至54.8%，</w:t>
      </w:r>
      <w:r>
        <w:rPr>
          <w:rFonts w:ascii="华文楷体" w:hAnsi="华文楷体" w:hint="eastAsia"/>
          <w:b w:val="0"/>
          <w:bCs/>
          <w:smallCaps w:val="0"/>
          <w:color w:val="auto"/>
          <w:sz w:val="24"/>
          <w:szCs w:val="24"/>
        </w:rPr>
        <w:t>11</w:t>
      </w:r>
      <w:r w:rsidRPr="002D44EF">
        <w:rPr>
          <w:rFonts w:ascii="华文楷体" w:hAnsi="华文楷体" w:hint="eastAsia"/>
          <w:b w:val="0"/>
          <w:bCs/>
          <w:smallCaps w:val="0"/>
          <w:color w:val="auto"/>
          <w:sz w:val="24"/>
          <w:szCs w:val="24"/>
        </w:rPr>
        <w:t>月创近年新高后高位回落，但仍处于较高水平。</w:t>
      </w:r>
      <w:r>
        <w:rPr>
          <w:rFonts w:ascii="华文楷体" w:hAnsi="华文楷体" w:hint="eastAsia"/>
          <w:b w:val="0"/>
          <w:bCs/>
          <w:smallCaps w:val="0"/>
          <w:color w:val="auto"/>
          <w:sz w:val="24"/>
          <w:szCs w:val="24"/>
        </w:rPr>
        <w:t>服务业新订单、业务预期均出现回落</w:t>
      </w:r>
      <w:r w:rsidRPr="002D44EF">
        <w:rPr>
          <w:rFonts w:ascii="华文楷体" w:hAnsi="华文楷体" w:hint="eastAsia"/>
          <w:b w:val="0"/>
          <w:bCs/>
          <w:smallCaps w:val="0"/>
          <w:color w:val="auto"/>
          <w:sz w:val="24"/>
          <w:szCs w:val="24"/>
        </w:rPr>
        <w:t>。12月建筑业PMI高位续升0.2个百分点至60.7%。</w:t>
      </w:r>
      <w:r>
        <w:rPr>
          <w:rFonts w:ascii="华文楷体" w:hAnsi="华文楷体" w:hint="eastAsia"/>
          <w:b w:val="0"/>
          <w:bCs/>
          <w:smallCaps w:val="0"/>
          <w:color w:val="auto"/>
          <w:sz w:val="24"/>
          <w:szCs w:val="24"/>
        </w:rPr>
        <w:t>关注后续服务也价格和生活资料价格变动情况。</w:t>
      </w:r>
    </w:p>
    <w:p w14:paraId="4FEE7CCE" w14:textId="27720C2B" w:rsidR="002D44EF" w:rsidRDefault="002D44EF"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整体看，12月PMI虽高位回落，但经济景气度仍维持高位，上下游价格持续上涨，经济修复动力较强。中小企业景气度等结构性压力存在，2020年人民币持续升值对出口企业形成一定压力。后续关注PPI走势及库存变化情况，海外疫情修复情况，包括美国大选后财政刺激延续性、欧美疫苗落地情况等，关注疫情反弹对经济复苏的扰动。</w:t>
      </w:r>
    </w:p>
    <w:p w14:paraId="5D49A5BD" w14:textId="77777777" w:rsidR="002D44EF" w:rsidRPr="00CC45A5" w:rsidRDefault="002D44EF" w:rsidP="008404A8">
      <w:pPr>
        <w:pStyle w:val="Header1"/>
        <w:ind w:firstLine="480"/>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6F845BB3" w:rsidR="00EA1459" w:rsidRPr="00EA1459" w:rsidRDefault="002F7876"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上</w:t>
      </w:r>
      <w:r w:rsidR="008628FA">
        <w:rPr>
          <w:rFonts w:ascii="华文楷体" w:hAnsi="华文楷体" w:hint="eastAsia"/>
          <w:sz w:val="24"/>
          <w:szCs w:val="24"/>
          <w:lang w:eastAsia="zh-CN"/>
        </w:rPr>
        <w:t>周</w:t>
      </w:r>
      <w:r w:rsidR="00EC3415">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3C6AC1">
        <w:rPr>
          <w:rFonts w:ascii="华文楷体" w:hAnsi="华文楷体" w:hint="eastAsia"/>
          <w:sz w:val="24"/>
          <w:szCs w:val="24"/>
          <w:lang w:eastAsia="zh-CN"/>
        </w:rPr>
        <w:t>净</w:t>
      </w:r>
      <w:r w:rsidR="00DE5926">
        <w:rPr>
          <w:rFonts w:ascii="华文楷体" w:hAnsi="华文楷体" w:hint="eastAsia"/>
          <w:sz w:val="24"/>
          <w:szCs w:val="24"/>
          <w:lang w:eastAsia="zh-CN"/>
        </w:rPr>
        <w:t>投放</w:t>
      </w:r>
      <w:r w:rsidR="00AB2A4A">
        <w:rPr>
          <w:rFonts w:ascii="华文楷体" w:hAnsi="华文楷体" w:hint="eastAsia"/>
          <w:sz w:val="24"/>
          <w:szCs w:val="24"/>
          <w:lang w:eastAsia="zh-CN"/>
        </w:rPr>
        <w:t>95</w:t>
      </w:r>
      <w:r w:rsidR="00DE5926">
        <w:rPr>
          <w:rFonts w:ascii="华文楷体" w:hAnsi="华文楷体" w:hint="eastAsia"/>
          <w:sz w:val="24"/>
          <w:szCs w:val="24"/>
          <w:lang w:eastAsia="zh-CN"/>
        </w:rPr>
        <w:t>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w:t>
      </w:r>
      <w:r w:rsidR="00DE5926">
        <w:rPr>
          <w:rFonts w:ascii="华文楷体" w:hAnsi="华文楷体" w:hint="eastAsia"/>
          <w:sz w:val="24"/>
          <w:szCs w:val="24"/>
          <w:lang w:eastAsia="zh-CN"/>
        </w:rPr>
        <w:t>逆回购</w:t>
      </w:r>
      <w:r w:rsidR="005952B7">
        <w:rPr>
          <w:rFonts w:ascii="华文楷体" w:hAnsi="华文楷体" w:hint="eastAsia"/>
          <w:sz w:val="24"/>
          <w:szCs w:val="24"/>
          <w:lang w:eastAsia="zh-CN"/>
        </w:rPr>
        <w:t>到期</w:t>
      </w:r>
      <w:r w:rsidR="00AB2A4A">
        <w:rPr>
          <w:rFonts w:ascii="华文楷体" w:hAnsi="华文楷体" w:hint="eastAsia"/>
          <w:sz w:val="24"/>
          <w:szCs w:val="24"/>
          <w:lang w:eastAsia="zh-CN"/>
        </w:rPr>
        <w:t>8</w:t>
      </w:r>
      <w:r w:rsidR="00DE5926">
        <w:rPr>
          <w:rFonts w:ascii="华文楷体" w:hAnsi="华文楷体" w:hint="eastAsia"/>
          <w:sz w:val="24"/>
          <w:szCs w:val="24"/>
          <w:lang w:eastAsia="zh-CN"/>
        </w:rPr>
        <w:t>00</w:t>
      </w:r>
      <w:r w:rsidR="005952B7">
        <w:rPr>
          <w:rFonts w:ascii="华文楷体" w:hAnsi="华文楷体" w:hint="eastAsia"/>
          <w:sz w:val="24"/>
          <w:szCs w:val="24"/>
          <w:lang w:eastAsia="zh-CN"/>
        </w:rPr>
        <w:t>亿，投放</w:t>
      </w:r>
      <w:r w:rsidR="00AB2A4A">
        <w:rPr>
          <w:rFonts w:ascii="华文楷体" w:hAnsi="华文楷体" w:hint="eastAsia"/>
          <w:sz w:val="24"/>
          <w:szCs w:val="24"/>
          <w:lang w:eastAsia="zh-CN"/>
        </w:rPr>
        <w:t>175</w:t>
      </w:r>
      <w:r w:rsidR="00DE5926">
        <w:rPr>
          <w:rFonts w:ascii="华文楷体" w:hAnsi="华文楷体" w:hint="eastAsia"/>
          <w:sz w:val="24"/>
          <w:szCs w:val="24"/>
          <w:lang w:eastAsia="zh-CN"/>
        </w:rPr>
        <w:t>0</w:t>
      </w:r>
      <w:r w:rsidR="005952B7">
        <w:rPr>
          <w:rFonts w:ascii="华文楷体" w:hAnsi="华文楷体" w:hint="eastAsia"/>
          <w:sz w:val="24"/>
          <w:szCs w:val="24"/>
          <w:lang w:eastAsia="zh-CN"/>
        </w:rPr>
        <w:t>亿</w:t>
      </w:r>
      <w:r w:rsidR="00DE5926">
        <w:rPr>
          <w:rFonts w:ascii="华文楷体" w:hAnsi="华文楷体" w:hint="eastAsia"/>
          <w:sz w:val="24"/>
          <w:szCs w:val="24"/>
          <w:lang w:eastAsia="zh-CN"/>
        </w:rPr>
        <w:t>，</w:t>
      </w:r>
      <w:proofErr w:type="gramStart"/>
      <w:r w:rsidR="00DE5926">
        <w:rPr>
          <w:rFonts w:ascii="华文楷体" w:hAnsi="华文楷体" w:hint="eastAsia"/>
          <w:sz w:val="24"/>
          <w:szCs w:val="24"/>
          <w:lang w:eastAsia="zh-CN"/>
        </w:rPr>
        <w:t>3个月央票</w:t>
      </w:r>
      <w:r w:rsidR="00DE5926">
        <w:rPr>
          <w:rFonts w:ascii="华文楷体" w:hAnsi="华文楷体" w:hint="eastAsia"/>
          <w:sz w:val="24"/>
          <w:szCs w:val="24"/>
          <w:lang w:eastAsia="zh-CN"/>
        </w:rPr>
        <w:lastRenderedPageBreak/>
        <w:t>互换</w:t>
      </w:r>
      <w:proofErr w:type="gramEnd"/>
      <w:r w:rsidR="00DE5926">
        <w:rPr>
          <w:rFonts w:ascii="华文楷体" w:hAnsi="华文楷体" w:hint="eastAsia"/>
          <w:sz w:val="24"/>
          <w:szCs w:val="24"/>
          <w:lang w:eastAsia="zh-CN"/>
        </w:rPr>
        <w:t>50亿</w:t>
      </w:r>
      <w:r w:rsidR="005671F6">
        <w:rPr>
          <w:rFonts w:ascii="华文楷体" w:hAnsi="华文楷体" w:hint="eastAsia"/>
          <w:sz w:val="24"/>
          <w:szCs w:val="24"/>
          <w:lang w:eastAsia="zh-CN"/>
        </w:rPr>
        <w:t>。</w:t>
      </w:r>
      <w:r w:rsidR="00AB2A4A">
        <w:rPr>
          <w:rFonts w:ascii="华文楷体" w:hAnsi="华文楷体" w:hint="eastAsia"/>
          <w:sz w:val="24"/>
          <w:szCs w:val="24"/>
          <w:lang w:eastAsia="zh-CN"/>
        </w:rPr>
        <w:t>跨年</w:t>
      </w:r>
      <w:r w:rsidR="005C02C9">
        <w:rPr>
          <w:rFonts w:ascii="华文楷体" w:hAnsi="华文楷体" w:hint="eastAsia"/>
          <w:sz w:val="24"/>
          <w:szCs w:val="24"/>
          <w:lang w:eastAsia="zh-CN"/>
        </w:rPr>
        <w:t>资金</w:t>
      </w:r>
      <w:proofErr w:type="gramStart"/>
      <w:r w:rsidR="005C02C9">
        <w:rPr>
          <w:rFonts w:ascii="华文楷体" w:hAnsi="华文楷体" w:hint="eastAsia"/>
          <w:sz w:val="24"/>
          <w:szCs w:val="24"/>
          <w:lang w:eastAsia="zh-CN"/>
        </w:rPr>
        <w:t>面</w:t>
      </w:r>
      <w:r w:rsidR="00DE5926">
        <w:rPr>
          <w:rFonts w:ascii="华文楷体" w:hAnsi="华文楷体" w:hint="eastAsia"/>
          <w:sz w:val="24"/>
          <w:szCs w:val="24"/>
          <w:lang w:eastAsia="zh-CN"/>
        </w:rPr>
        <w:t>整体</w:t>
      </w:r>
      <w:proofErr w:type="gramEnd"/>
      <w:r w:rsidR="005C02C9">
        <w:rPr>
          <w:rFonts w:ascii="华文楷体" w:hAnsi="华文楷体" w:hint="eastAsia"/>
          <w:sz w:val="24"/>
          <w:szCs w:val="24"/>
          <w:lang w:eastAsia="zh-CN"/>
        </w:rPr>
        <w:t>保持平稳</w:t>
      </w:r>
      <w:r w:rsidR="00AB2A4A">
        <w:rPr>
          <w:rFonts w:ascii="华文楷体" w:hAnsi="华文楷体" w:hint="eastAsia"/>
          <w:sz w:val="24"/>
          <w:szCs w:val="24"/>
          <w:lang w:eastAsia="zh-CN"/>
        </w:rPr>
        <w:t>适度宽松</w:t>
      </w:r>
      <w:r w:rsidR="00F14B3A">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w:t>
      </w:r>
      <w:r>
        <w:rPr>
          <w:rFonts w:ascii="华文楷体" w:hAnsi="华文楷体" w:hint="eastAsia"/>
          <w:sz w:val="24"/>
          <w:szCs w:val="24"/>
          <w:lang w:eastAsia="zh-CN"/>
        </w:rPr>
        <w:t>上</w:t>
      </w:r>
      <w:r w:rsidR="00D9413F">
        <w:rPr>
          <w:rFonts w:ascii="华文楷体" w:hAnsi="华文楷体" w:hint="eastAsia"/>
          <w:sz w:val="24"/>
          <w:szCs w:val="24"/>
          <w:lang w:eastAsia="zh-CN"/>
        </w:rPr>
        <w:t>上周</w:t>
      </w:r>
      <w:r w:rsidR="00F14B3A">
        <w:rPr>
          <w:rFonts w:ascii="华文楷体" w:hAnsi="华文楷体" w:hint="eastAsia"/>
          <w:sz w:val="24"/>
          <w:szCs w:val="24"/>
          <w:lang w:eastAsia="zh-CN"/>
        </w:rPr>
        <w:t>五</w:t>
      </w:r>
      <w:r w:rsidR="00AB2A4A">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AB2A4A">
        <w:rPr>
          <w:rFonts w:ascii="华文楷体" w:hAnsi="华文楷体" w:hint="eastAsia"/>
          <w:sz w:val="24"/>
          <w:szCs w:val="24"/>
          <w:lang w:eastAsia="zh-CN"/>
        </w:rPr>
        <w:t>76</w:t>
      </w:r>
      <w:r w:rsidR="00D9413F">
        <w:rPr>
          <w:rFonts w:ascii="华文楷体" w:hAnsi="华文楷体" w:hint="eastAsia"/>
          <w:sz w:val="24"/>
          <w:szCs w:val="24"/>
          <w:lang w:eastAsia="zh-CN"/>
        </w:rPr>
        <w:t>BP至</w:t>
      </w:r>
      <w:r w:rsidR="00AB2A4A">
        <w:rPr>
          <w:rFonts w:ascii="华文楷体" w:hAnsi="华文楷体" w:hint="eastAsia"/>
          <w:sz w:val="24"/>
          <w:szCs w:val="24"/>
          <w:lang w:eastAsia="zh-CN"/>
        </w:rPr>
        <w:t>1.45</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w:t>
      </w:r>
      <w:r>
        <w:rPr>
          <w:rFonts w:ascii="华文楷体" w:hAnsi="华文楷体" w:hint="eastAsia"/>
          <w:sz w:val="24"/>
          <w:szCs w:val="24"/>
          <w:lang w:eastAsia="zh-CN"/>
        </w:rPr>
        <w:t>上</w:t>
      </w:r>
      <w:r w:rsidR="00D9413F">
        <w:rPr>
          <w:rFonts w:ascii="华文楷体" w:hAnsi="华文楷体" w:hint="eastAsia"/>
          <w:sz w:val="24"/>
          <w:szCs w:val="24"/>
          <w:lang w:eastAsia="zh-CN"/>
        </w:rPr>
        <w:t>上周</w:t>
      </w:r>
      <w:r w:rsidR="00AB2A4A">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AB2A4A">
        <w:rPr>
          <w:rFonts w:ascii="华文楷体" w:hAnsi="华文楷体" w:hint="eastAsia"/>
          <w:sz w:val="24"/>
          <w:szCs w:val="24"/>
          <w:lang w:eastAsia="zh-CN"/>
        </w:rPr>
        <w:t>8</w:t>
      </w:r>
      <w:r w:rsidR="00DE5926">
        <w:rPr>
          <w:rFonts w:ascii="华文楷体" w:hAnsi="华文楷体" w:hint="eastAsia"/>
          <w:sz w:val="24"/>
          <w:szCs w:val="24"/>
          <w:lang w:eastAsia="zh-CN"/>
        </w:rPr>
        <w:t>2</w:t>
      </w:r>
      <w:r w:rsidR="00D9413F">
        <w:rPr>
          <w:rFonts w:ascii="华文楷体" w:hAnsi="华文楷体" w:hint="eastAsia"/>
          <w:sz w:val="24"/>
          <w:szCs w:val="24"/>
          <w:lang w:eastAsia="zh-CN"/>
        </w:rPr>
        <w:t>BP至</w:t>
      </w:r>
      <w:r w:rsidR="00E73151">
        <w:rPr>
          <w:rFonts w:ascii="华文楷体" w:hAnsi="华文楷体"/>
          <w:sz w:val="24"/>
          <w:szCs w:val="24"/>
          <w:lang w:eastAsia="zh-CN"/>
        </w:rPr>
        <w:t>2</w:t>
      </w:r>
      <w:r w:rsidR="00F4221A">
        <w:rPr>
          <w:rFonts w:ascii="华文楷体" w:hAnsi="华文楷体" w:hint="eastAsia"/>
          <w:sz w:val="24"/>
          <w:szCs w:val="24"/>
          <w:lang w:eastAsia="zh-CN"/>
        </w:rPr>
        <w:t>.</w:t>
      </w:r>
      <w:r w:rsidR="00AB2A4A">
        <w:rPr>
          <w:rFonts w:ascii="华文楷体" w:hAnsi="华文楷体" w:hint="eastAsia"/>
          <w:sz w:val="24"/>
          <w:szCs w:val="24"/>
          <w:lang w:eastAsia="zh-CN"/>
        </w:rPr>
        <w:t>59</w:t>
      </w:r>
      <w:r w:rsidR="00EC3415">
        <w:rPr>
          <w:rFonts w:ascii="华文楷体" w:hAnsi="华文楷体" w:hint="eastAsia"/>
          <w:sz w:val="24"/>
          <w:szCs w:val="24"/>
          <w:lang w:eastAsia="zh-CN"/>
        </w:rPr>
        <w:t>%</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AB2A4A">
        <w:tblPrEx>
          <w:tblCellMar>
            <w:left w:w="108" w:type="dxa"/>
            <w:right w:w="108" w:type="dxa"/>
          </w:tblCellMar>
        </w:tblPrEx>
        <w:trPr>
          <w:jc w:val="center"/>
        </w:trPr>
        <w:tc>
          <w:tcPr>
            <w:tcW w:w="4939" w:type="dxa"/>
            <w:vAlign w:val="center"/>
          </w:tcPr>
          <w:p w14:paraId="60AEAEDC" w14:textId="680D7455" w:rsidR="00E0626C" w:rsidRPr="003C6AC1" w:rsidRDefault="00AB2A4A" w:rsidP="009A2BA0">
            <w:pPr>
              <w:jc w:val="center"/>
              <w:rPr>
                <w:noProof/>
                <w:sz w:val="20"/>
              </w:rPr>
            </w:pPr>
            <w:r>
              <w:rPr>
                <w:noProof/>
              </w:rPr>
              <w:drawing>
                <wp:inline distT="0" distB="0" distL="0" distR="0" wp14:anchorId="6734E221" wp14:editId="02D6FFC1">
                  <wp:extent cx="2999105" cy="1713386"/>
                  <wp:effectExtent l="0" t="0" r="0" b="127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5F3A6B13" w:rsidR="00E0626C" w:rsidRPr="00F62F43" w:rsidRDefault="00AB2A4A" w:rsidP="009A2BA0">
            <w:pPr>
              <w:jc w:val="center"/>
              <w:rPr>
                <w:noProof/>
                <w:sz w:val="16"/>
                <w:szCs w:val="18"/>
              </w:rPr>
            </w:pPr>
            <w:r>
              <w:rPr>
                <w:noProof/>
              </w:rPr>
              <w:drawing>
                <wp:inline distT="0" distB="0" distL="0" distR="0" wp14:anchorId="5F2AA73F" wp14:editId="539AE1B8">
                  <wp:extent cx="3053751" cy="1739265"/>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4EE5EE52" w:rsidR="00D948D7" w:rsidRDefault="002F7876"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上</w:t>
      </w:r>
      <w:r w:rsidR="00882FA5">
        <w:rPr>
          <w:rFonts w:ascii="华文楷体" w:hAnsi="华文楷体" w:hint="eastAsia"/>
          <w:sz w:val="24"/>
          <w:szCs w:val="24"/>
          <w:lang w:eastAsia="zh-CN"/>
        </w:rPr>
        <w:t>周</w:t>
      </w:r>
      <w:proofErr w:type="gramStart"/>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176815">
        <w:rPr>
          <w:rFonts w:ascii="华文楷体" w:hAnsi="华文楷体" w:hint="eastAsia"/>
          <w:sz w:val="24"/>
          <w:szCs w:val="24"/>
          <w:lang w:eastAsia="zh-CN"/>
        </w:rPr>
        <w:t>各</w:t>
      </w:r>
      <w:r w:rsidR="000544C9">
        <w:rPr>
          <w:rFonts w:ascii="华文楷体" w:hAnsi="华文楷体" w:hint="eastAsia"/>
          <w:sz w:val="24"/>
          <w:szCs w:val="24"/>
          <w:lang w:eastAsia="zh-CN"/>
        </w:rPr>
        <w:t>主要</w:t>
      </w:r>
      <w:proofErr w:type="gramEnd"/>
      <w:r w:rsidR="000544C9">
        <w:rPr>
          <w:rFonts w:ascii="华文楷体" w:hAnsi="华文楷体" w:hint="eastAsia"/>
          <w:sz w:val="24"/>
          <w:szCs w:val="24"/>
          <w:lang w:eastAsia="zh-CN"/>
        </w:rPr>
        <w:t>期限</w:t>
      </w:r>
      <w:r w:rsidR="00EB3CD5">
        <w:rPr>
          <w:rFonts w:ascii="华文楷体" w:hAnsi="华文楷体" w:hint="eastAsia"/>
          <w:sz w:val="24"/>
          <w:szCs w:val="24"/>
          <w:lang w:eastAsia="zh-CN"/>
        </w:rPr>
        <w:t>持续</w:t>
      </w:r>
      <w:r w:rsidR="002D79BB">
        <w:rPr>
          <w:rFonts w:ascii="华文楷体" w:hAnsi="华文楷体" w:hint="eastAsia"/>
          <w:sz w:val="24"/>
          <w:szCs w:val="24"/>
          <w:lang w:eastAsia="zh-CN"/>
        </w:rPr>
        <w:t>下行</w:t>
      </w:r>
      <w:r w:rsidR="00A31796">
        <w:rPr>
          <w:rFonts w:ascii="华文楷体" w:hAnsi="华文楷体" w:hint="eastAsia"/>
          <w:sz w:val="24"/>
          <w:szCs w:val="24"/>
          <w:lang w:eastAsia="zh-CN"/>
        </w:rPr>
        <w:t>，</w:t>
      </w:r>
      <w:r w:rsidR="00D805A7">
        <w:rPr>
          <w:rFonts w:ascii="华文楷体" w:hAnsi="华文楷体" w:hint="eastAsia"/>
          <w:sz w:val="24"/>
          <w:szCs w:val="24"/>
          <w:lang w:eastAsia="zh-CN"/>
        </w:rPr>
        <w:t>期限利差</w:t>
      </w:r>
      <w:r w:rsidR="00CD630E">
        <w:rPr>
          <w:rFonts w:ascii="华文楷体" w:hAnsi="华文楷体" w:hint="eastAsia"/>
          <w:sz w:val="24"/>
          <w:szCs w:val="24"/>
          <w:lang w:eastAsia="zh-CN"/>
        </w:rPr>
        <w:t>持续上行</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CD630E">
        <w:rPr>
          <w:rFonts w:ascii="华文楷体" w:hAnsi="华文楷体" w:hint="eastAsia"/>
          <w:sz w:val="24"/>
          <w:szCs w:val="24"/>
          <w:lang w:eastAsia="zh-CN"/>
        </w:rPr>
        <w:t>67</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CD630E">
        <w:rPr>
          <w:rFonts w:ascii="华文楷体" w:hAnsi="华文楷体" w:hint="eastAsia"/>
          <w:sz w:val="24"/>
          <w:szCs w:val="24"/>
          <w:lang w:eastAsia="zh-CN"/>
        </w:rPr>
        <w:t>98</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Pr>
          <w:rFonts w:ascii="华文楷体" w:hAnsi="华文楷体" w:hint="eastAsia"/>
          <w:sz w:val="24"/>
          <w:szCs w:val="24"/>
          <w:lang w:eastAsia="zh-CN"/>
        </w:rPr>
        <w:t>上</w:t>
      </w:r>
      <w:r w:rsidR="00882FA5">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2D79BB">
        <w:rPr>
          <w:rFonts w:ascii="华文楷体" w:hAnsi="华文楷体" w:hint="eastAsia"/>
          <w:sz w:val="24"/>
          <w:szCs w:val="24"/>
          <w:lang w:eastAsia="zh-CN"/>
        </w:rPr>
        <w:t>下行</w:t>
      </w:r>
      <w:r w:rsidR="00CD630E">
        <w:rPr>
          <w:rFonts w:ascii="华文楷体" w:hAnsi="华文楷体" w:hint="eastAsia"/>
          <w:sz w:val="24"/>
          <w:szCs w:val="24"/>
          <w:lang w:eastAsia="zh-CN"/>
        </w:rPr>
        <w:t>4.5</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2D79BB">
        <w:rPr>
          <w:rFonts w:ascii="华文楷体" w:hAnsi="华文楷体" w:hint="eastAsia"/>
          <w:sz w:val="24"/>
          <w:szCs w:val="24"/>
          <w:lang w:eastAsia="zh-CN"/>
        </w:rPr>
        <w:t>下</w:t>
      </w:r>
      <w:r w:rsidR="00176815">
        <w:rPr>
          <w:rFonts w:ascii="华文楷体" w:hAnsi="华文楷体" w:hint="eastAsia"/>
          <w:sz w:val="24"/>
          <w:szCs w:val="24"/>
          <w:lang w:eastAsia="zh-CN"/>
        </w:rPr>
        <w:t>行</w:t>
      </w:r>
      <w:r w:rsidR="00CD630E">
        <w:rPr>
          <w:rFonts w:ascii="华文楷体" w:hAnsi="华文楷体" w:hint="eastAsia"/>
          <w:sz w:val="24"/>
          <w:szCs w:val="24"/>
          <w:lang w:eastAsia="zh-CN"/>
        </w:rPr>
        <w:t>5.7</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w:t>
      </w:r>
      <w:proofErr w:type="gramStart"/>
      <w:r w:rsidR="003848B1">
        <w:rPr>
          <w:rFonts w:ascii="华文楷体" w:hAnsi="华文楷体" w:hint="eastAsia"/>
          <w:sz w:val="24"/>
          <w:szCs w:val="24"/>
          <w:lang w:eastAsia="zh-CN"/>
        </w:rPr>
        <w:t>债利差至</w:t>
      </w:r>
      <w:proofErr w:type="gramEnd"/>
      <w:r w:rsidR="00CD630E">
        <w:rPr>
          <w:rFonts w:ascii="华文楷体" w:hAnsi="华文楷体" w:hint="eastAsia"/>
          <w:sz w:val="24"/>
          <w:szCs w:val="24"/>
          <w:lang w:eastAsia="zh-CN"/>
        </w:rPr>
        <w:t>39</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8B6FF9">
        <w:tblPrEx>
          <w:tblCellMar>
            <w:left w:w="108" w:type="dxa"/>
            <w:right w:w="108" w:type="dxa"/>
          </w:tblCellMar>
        </w:tblPrEx>
        <w:trPr>
          <w:jc w:val="center"/>
        </w:trPr>
        <w:tc>
          <w:tcPr>
            <w:tcW w:w="4939" w:type="dxa"/>
            <w:vAlign w:val="center"/>
          </w:tcPr>
          <w:p w14:paraId="678C97B0" w14:textId="097332F5" w:rsidR="00E0626C" w:rsidRPr="007E0340" w:rsidRDefault="008B6FF9" w:rsidP="002104B2">
            <w:pPr>
              <w:rPr>
                <w:noProof/>
              </w:rPr>
            </w:pPr>
            <w:r>
              <w:rPr>
                <w:noProof/>
              </w:rPr>
              <w:drawing>
                <wp:inline distT="0" distB="0" distL="0" distR="0" wp14:anchorId="237687E5" wp14:editId="6A22FB87">
                  <wp:extent cx="2999105" cy="1723090"/>
                  <wp:effectExtent l="0" t="0" r="0" b="0"/>
                  <wp:docPr id="4" name="图表 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115AFD23" w:rsidR="00E0626C" w:rsidRPr="007E0340" w:rsidRDefault="008B6FF9" w:rsidP="009A2BA0">
            <w:pPr>
              <w:jc w:val="center"/>
              <w:rPr>
                <w:noProof/>
                <w:szCs w:val="18"/>
              </w:rPr>
            </w:pPr>
            <w:r>
              <w:rPr>
                <w:noProof/>
              </w:rPr>
              <w:drawing>
                <wp:inline distT="0" distB="0" distL="0" distR="0" wp14:anchorId="6AADE2FB" wp14:editId="21721A07">
                  <wp:extent cx="2998470" cy="1755631"/>
                  <wp:effectExtent l="0" t="0" r="0" b="0"/>
                  <wp:docPr id="6" name="图表 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7423C23E"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2A000F" w:rsidRPr="002A000F">
        <w:rPr>
          <w:rFonts w:ascii="华文楷体" w:hAnsi="华文楷体" w:hint="eastAsia"/>
          <w:sz w:val="24"/>
          <w:szCs w:val="24"/>
          <w:lang w:eastAsia="zh-CN"/>
        </w:rPr>
        <w:t>仍维持下行态势，1Y</w:t>
      </w:r>
      <w:proofErr w:type="gramStart"/>
      <w:r w:rsidR="002A000F" w:rsidRPr="002A000F">
        <w:rPr>
          <w:rFonts w:ascii="华文楷体" w:hAnsi="华文楷体" w:hint="eastAsia"/>
          <w:sz w:val="24"/>
          <w:szCs w:val="24"/>
          <w:lang w:eastAsia="zh-CN"/>
        </w:rPr>
        <w:t>短融</w:t>
      </w:r>
      <w:r w:rsidR="002F7876">
        <w:rPr>
          <w:rFonts w:ascii="华文楷体" w:hAnsi="华文楷体" w:hint="eastAsia"/>
          <w:sz w:val="24"/>
          <w:szCs w:val="24"/>
          <w:lang w:eastAsia="zh-CN"/>
        </w:rPr>
        <w:t>上</w:t>
      </w:r>
      <w:r w:rsidR="002A000F" w:rsidRPr="002A000F">
        <w:rPr>
          <w:rFonts w:ascii="华文楷体" w:hAnsi="华文楷体" w:hint="eastAsia"/>
          <w:sz w:val="24"/>
          <w:szCs w:val="24"/>
          <w:lang w:eastAsia="zh-CN"/>
        </w:rPr>
        <w:t>周</w:t>
      </w:r>
      <w:proofErr w:type="gramEnd"/>
      <w:r w:rsidR="002A000F" w:rsidRPr="002A000F">
        <w:rPr>
          <w:rFonts w:ascii="华文楷体" w:hAnsi="华文楷体" w:hint="eastAsia"/>
          <w:sz w:val="24"/>
          <w:szCs w:val="24"/>
          <w:lang w:eastAsia="zh-CN"/>
        </w:rPr>
        <w:t>下行5-6BP，3Y中票、企业债和</w:t>
      </w:r>
      <w:proofErr w:type="gramStart"/>
      <w:r w:rsidR="002A000F" w:rsidRPr="002A000F">
        <w:rPr>
          <w:rFonts w:ascii="华文楷体" w:hAnsi="华文楷体" w:hint="eastAsia"/>
          <w:sz w:val="24"/>
          <w:szCs w:val="24"/>
          <w:lang w:eastAsia="zh-CN"/>
        </w:rPr>
        <w:t>城投债下行</w:t>
      </w:r>
      <w:proofErr w:type="gramEnd"/>
      <w:r w:rsidR="002A000F" w:rsidRPr="002A000F">
        <w:rPr>
          <w:rFonts w:ascii="华文楷体" w:hAnsi="华文楷体" w:hint="eastAsia"/>
          <w:sz w:val="24"/>
          <w:szCs w:val="24"/>
          <w:lang w:eastAsia="zh-CN"/>
        </w:rPr>
        <w:t>0-7BP，相对中票、企业</w:t>
      </w:r>
      <w:proofErr w:type="gramStart"/>
      <w:r w:rsidR="002A000F" w:rsidRPr="002A000F">
        <w:rPr>
          <w:rFonts w:ascii="华文楷体" w:hAnsi="华文楷体" w:hint="eastAsia"/>
          <w:sz w:val="24"/>
          <w:szCs w:val="24"/>
          <w:lang w:eastAsia="zh-CN"/>
        </w:rPr>
        <w:t>债来说城投债</w:t>
      </w:r>
      <w:proofErr w:type="gramEnd"/>
      <w:r w:rsidR="002A000F" w:rsidRPr="002A000F">
        <w:rPr>
          <w:rFonts w:ascii="华文楷体" w:hAnsi="华文楷体" w:hint="eastAsia"/>
          <w:sz w:val="24"/>
          <w:szCs w:val="24"/>
          <w:lang w:eastAsia="zh-CN"/>
        </w:rPr>
        <w:t>呈现一定</w:t>
      </w:r>
      <w:r w:rsidR="002A000F">
        <w:rPr>
          <w:rFonts w:ascii="华文楷体" w:hAnsi="华文楷体" w:hint="eastAsia"/>
          <w:sz w:val="24"/>
          <w:szCs w:val="24"/>
          <w:lang w:eastAsia="zh-CN"/>
        </w:rPr>
        <w:t>相对资质下沉</w:t>
      </w:r>
      <w:r w:rsidR="002A000F" w:rsidRPr="002A000F">
        <w:rPr>
          <w:rFonts w:ascii="华文楷体" w:hAnsi="华文楷体" w:hint="eastAsia"/>
          <w:sz w:val="24"/>
          <w:szCs w:val="24"/>
          <w:lang w:eastAsia="zh-CN"/>
        </w:rPr>
        <w:t>，5-7Y期限品种AA+评级下行幅度要好于AAA品种。</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6472">
        <w:rPr>
          <w:rFonts w:ascii="华文楷体" w:hAnsi="华文楷体" w:hint="eastAsia"/>
          <w:sz w:val="24"/>
          <w:szCs w:val="24"/>
          <w:lang w:eastAsia="zh-CN"/>
        </w:rPr>
        <w:t>3</w:t>
      </w:r>
      <w:r w:rsidR="002A000F">
        <w:rPr>
          <w:rFonts w:ascii="华文楷体" w:hAnsi="华文楷体"/>
          <w:sz w:val="24"/>
          <w:szCs w:val="24"/>
          <w:lang w:eastAsia="zh-CN"/>
        </w:rPr>
        <w:t>2</w:t>
      </w:r>
      <w:r w:rsidR="00A56472">
        <w:rPr>
          <w:rFonts w:ascii="华文楷体" w:hAnsi="华文楷体" w:hint="eastAsia"/>
          <w:sz w:val="24"/>
          <w:szCs w:val="24"/>
          <w:lang w:eastAsia="zh-CN"/>
        </w:rPr>
        <w:t>-</w:t>
      </w:r>
      <w:r w:rsidR="00DA6CA4">
        <w:rPr>
          <w:rFonts w:ascii="华文楷体" w:hAnsi="华文楷体" w:hint="eastAsia"/>
          <w:sz w:val="24"/>
          <w:szCs w:val="24"/>
          <w:lang w:eastAsia="zh-CN"/>
        </w:rPr>
        <w:t>4</w:t>
      </w:r>
      <w:r w:rsidR="00311579">
        <w:rPr>
          <w:rFonts w:ascii="华文楷体" w:hAnsi="华文楷体" w:hint="eastAsia"/>
          <w:sz w:val="24"/>
          <w:szCs w:val="24"/>
          <w:lang w:eastAsia="zh-CN"/>
        </w:rPr>
        <w:t>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311579">
        <w:rPr>
          <w:rFonts w:ascii="华文楷体" w:hAnsi="华文楷体" w:hint="eastAsia"/>
          <w:sz w:val="24"/>
          <w:szCs w:val="24"/>
          <w:lang w:eastAsia="zh-CN"/>
        </w:rPr>
        <w:t>2</w:t>
      </w:r>
      <w:r w:rsidR="00A56472">
        <w:rPr>
          <w:rFonts w:ascii="华文楷体" w:hAnsi="华文楷体" w:hint="eastAsia"/>
          <w:sz w:val="24"/>
          <w:szCs w:val="24"/>
          <w:lang w:eastAsia="zh-CN"/>
        </w:rPr>
        <w:t>0</w:t>
      </w:r>
      <w:r w:rsidR="00311579">
        <w:rPr>
          <w:rFonts w:ascii="华文楷体" w:hAnsi="华文楷体" w:hint="eastAsia"/>
          <w:sz w:val="24"/>
          <w:szCs w:val="24"/>
          <w:lang w:eastAsia="zh-CN"/>
        </w:rPr>
        <w:t>-35</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A56472">
        <w:rPr>
          <w:rFonts w:ascii="华文楷体" w:hAnsi="华文楷体" w:hint="eastAsia"/>
          <w:sz w:val="24"/>
          <w:szCs w:val="24"/>
          <w:lang w:eastAsia="zh-CN"/>
        </w:rPr>
        <w:t>15-25</w:t>
      </w:r>
      <w:r w:rsidR="00B344C0">
        <w:rPr>
          <w:rFonts w:ascii="华文楷体" w:hAnsi="华文楷体" w:hint="eastAsia"/>
          <w:sz w:val="24"/>
          <w:szCs w:val="24"/>
          <w:lang w:eastAsia="zh-CN"/>
        </w:rPr>
        <w:t>%分位数。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4B4CB3" w:rsidRPr="004B4CB3" w14:paraId="6847EA10" w14:textId="77777777" w:rsidTr="004B4CB3">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4BACEBC6"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43DDEE6F"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410FA8E"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A68F873"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810059A"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19B3DD22"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24372251"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22C4368"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722DFA6"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FEAA84F"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r>
            <w:tr w:rsidR="004B4CB3" w:rsidRPr="004B4CB3" w14:paraId="769171A9" w14:textId="77777777" w:rsidTr="004B4CB3">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29EB6252"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4627BCF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3.14 </w:t>
                  </w:r>
                </w:p>
              </w:tc>
              <w:tc>
                <w:tcPr>
                  <w:tcW w:w="921" w:type="dxa"/>
                  <w:tcBorders>
                    <w:top w:val="nil"/>
                    <w:left w:val="nil"/>
                    <w:bottom w:val="single" w:sz="8" w:space="0" w:color="FFFFFF"/>
                    <w:right w:val="single" w:sz="8" w:space="0" w:color="FFFFFF"/>
                  </w:tcBorders>
                  <w:shd w:val="clear" w:color="000000" w:fill="FCD5B4"/>
                  <w:noWrap/>
                  <w:vAlign w:val="center"/>
                  <w:hideMark/>
                </w:tcPr>
                <w:p w14:paraId="7D88BC5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3.44 </w:t>
                  </w:r>
                </w:p>
              </w:tc>
              <w:tc>
                <w:tcPr>
                  <w:tcW w:w="921" w:type="dxa"/>
                  <w:tcBorders>
                    <w:top w:val="nil"/>
                    <w:left w:val="nil"/>
                    <w:bottom w:val="single" w:sz="8" w:space="0" w:color="FFFFFF"/>
                    <w:right w:val="single" w:sz="8" w:space="0" w:color="FFFFFF"/>
                  </w:tcBorders>
                  <w:shd w:val="clear" w:color="000000" w:fill="FCD5B4"/>
                  <w:noWrap/>
                  <w:vAlign w:val="center"/>
                  <w:hideMark/>
                </w:tcPr>
                <w:p w14:paraId="01AD944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3.84 </w:t>
                  </w:r>
                </w:p>
              </w:tc>
              <w:tc>
                <w:tcPr>
                  <w:tcW w:w="921" w:type="dxa"/>
                  <w:tcBorders>
                    <w:top w:val="nil"/>
                    <w:left w:val="nil"/>
                    <w:bottom w:val="single" w:sz="8" w:space="0" w:color="FFFFFF"/>
                    <w:right w:val="single" w:sz="8" w:space="0" w:color="FFFFFF"/>
                  </w:tcBorders>
                  <w:shd w:val="clear" w:color="000000" w:fill="FCD5B4"/>
                  <w:noWrap/>
                  <w:vAlign w:val="center"/>
                  <w:hideMark/>
                </w:tcPr>
                <w:p w14:paraId="7B1DE5E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5.89 </w:t>
                  </w:r>
                </w:p>
              </w:tc>
              <w:tc>
                <w:tcPr>
                  <w:tcW w:w="1157" w:type="dxa"/>
                  <w:tcBorders>
                    <w:top w:val="nil"/>
                    <w:left w:val="nil"/>
                    <w:bottom w:val="single" w:sz="8" w:space="0" w:color="FFFFFF"/>
                    <w:right w:val="single" w:sz="8" w:space="0" w:color="FFFFFF"/>
                  </w:tcBorders>
                  <w:shd w:val="clear" w:color="000000" w:fill="FCD5B4"/>
                  <w:noWrap/>
                  <w:vAlign w:val="center"/>
                  <w:hideMark/>
                </w:tcPr>
                <w:p w14:paraId="450A53D2"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383E7BF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0.67 </w:t>
                  </w:r>
                </w:p>
              </w:tc>
              <w:tc>
                <w:tcPr>
                  <w:tcW w:w="921" w:type="dxa"/>
                  <w:tcBorders>
                    <w:top w:val="nil"/>
                    <w:left w:val="nil"/>
                    <w:bottom w:val="single" w:sz="8" w:space="0" w:color="FFFFFF"/>
                    <w:right w:val="single" w:sz="8" w:space="0" w:color="FFFFFF"/>
                  </w:tcBorders>
                  <w:shd w:val="clear" w:color="000000" w:fill="FCD5B4"/>
                  <w:noWrap/>
                  <w:vAlign w:val="center"/>
                  <w:hideMark/>
                </w:tcPr>
                <w:p w14:paraId="5026F3B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0.97 </w:t>
                  </w:r>
                </w:p>
              </w:tc>
              <w:tc>
                <w:tcPr>
                  <w:tcW w:w="921" w:type="dxa"/>
                  <w:tcBorders>
                    <w:top w:val="nil"/>
                    <w:left w:val="nil"/>
                    <w:bottom w:val="single" w:sz="8" w:space="0" w:color="FFFFFF"/>
                    <w:right w:val="single" w:sz="8" w:space="0" w:color="FFFFFF"/>
                  </w:tcBorders>
                  <w:shd w:val="clear" w:color="000000" w:fill="FCD5B4"/>
                  <w:noWrap/>
                  <w:vAlign w:val="center"/>
                  <w:hideMark/>
                </w:tcPr>
                <w:p w14:paraId="0161BCA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1.37 </w:t>
                  </w:r>
                </w:p>
              </w:tc>
              <w:tc>
                <w:tcPr>
                  <w:tcW w:w="921" w:type="dxa"/>
                  <w:tcBorders>
                    <w:top w:val="nil"/>
                    <w:left w:val="nil"/>
                    <w:bottom w:val="single" w:sz="8" w:space="0" w:color="FFFFFF"/>
                    <w:right w:val="single" w:sz="8" w:space="0" w:color="FFFFFF"/>
                  </w:tcBorders>
                  <w:shd w:val="clear" w:color="000000" w:fill="FCD5B4"/>
                  <w:noWrap/>
                  <w:vAlign w:val="center"/>
                  <w:hideMark/>
                </w:tcPr>
                <w:p w14:paraId="1D8E48F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3.42 </w:t>
                  </w:r>
                </w:p>
              </w:tc>
            </w:tr>
            <w:tr w:rsidR="004B4CB3" w:rsidRPr="004B4CB3" w14:paraId="27496E96"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4C24E80"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D4A6E8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3.54 </w:t>
                  </w:r>
                </w:p>
              </w:tc>
              <w:tc>
                <w:tcPr>
                  <w:tcW w:w="921" w:type="dxa"/>
                  <w:tcBorders>
                    <w:top w:val="nil"/>
                    <w:left w:val="nil"/>
                    <w:bottom w:val="single" w:sz="8" w:space="0" w:color="FFFFFF"/>
                    <w:right w:val="single" w:sz="8" w:space="0" w:color="FFFFFF"/>
                  </w:tcBorders>
                  <w:shd w:val="clear" w:color="000000" w:fill="FDE9D9"/>
                  <w:noWrap/>
                  <w:vAlign w:val="center"/>
                  <w:hideMark/>
                </w:tcPr>
                <w:p w14:paraId="5B7EE55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4.02 </w:t>
                  </w:r>
                </w:p>
              </w:tc>
              <w:tc>
                <w:tcPr>
                  <w:tcW w:w="921" w:type="dxa"/>
                  <w:tcBorders>
                    <w:top w:val="nil"/>
                    <w:left w:val="nil"/>
                    <w:bottom w:val="single" w:sz="8" w:space="0" w:color="FFFFFF"/>
                    <w:right w:val="single" w:sz="8" w:space="0" w:color="FFFFFF"/>
                  </w:tcBorders>
                  <w:shd w:val="clear" w:color="000000" w:fill="FDE9D9"/>
                  <w:noWrap/>
                  <w:vAlign w:val="center"/>
                  <w:hideMark/>
                </w:tcPr>
                <w:p w14:paraId="2E3132B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4.39 </w:t>
                  </w:r>
                </w:p>
              </w:tc>
              <w:tc>
                <w:tcPr>
                  <w:tcW w:w="921" w:type="dxa"/>
                  <w:tcBorders>
                    <w:top w:val="nil"/>
                    <w:left w:val="nil"/>
                    <w:bottom w:val="single" w:sz="8" w:space="0" w:color="FFFFFF"/>
                    <w:right w:val="single" w:sz="8" w:space="0" w:color="FFFFFF"/>
                  </w:tcBorders>
                  <w:shd w:val="clear" w:color="000000" w:fill="FDE9D9"/>
                  <w:noWrap/>
                  <w:vAlign w:val="center"/>
                  <w:hideMark/>
                </w:tcPr>
                <w:p w14:paraId="307376D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6.49 </w:t>
                  </w:r>
                </w:p>
              </w:tc>
              <w:tc>
                <w:tcPr>
                  <w:tcW w:w="1157" w:type="dxa"/>
                  <w:tcBorders>
                    <w:top w:val="nil"/>
                    <w:left w:val="nil"/>
                    <w:bottom w:val="single" w:sz="8" w:space="0" w:color="FFFFFF"/>
                    <w:right w:val="single" w:sz="8" w:space="0" w:color="FFFFFF"/>
                  </w:tcBorders>
                  <w:shd w:val="clear" w:color="000000" w:fill="FDE9D9"/>
                  <w:noWrap/>
                  <w:vAlign w:val="center"/>
                  <w:hideMark/>
                </w:tcPr>
                <w:p w14:paraId="58A2E035"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B8043B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DE9D9"/>
                  <w:noWrap/>
                  <w:vAlign w:val="center"/>
                  <w:hideMark/>
                </w:tcPr>
                <w:p w14:paraId="02B3BED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1.21 </w:t>
                  </w:r>
                </w:p>
              </w:tc>
              <w:tc>
                <w:tcPr>
                  <w:tcW w:w="921" w:type="dxa"/>
                  <w:tcBorders>
                    <w:top w:val="nil"/>
                    <w:left w:val="nil"/>
                    <w:bottom w:val="single" w:sz="8" w:space="0" w:color="FFFFFF"/>
                    <w:right w:val="single" w:sz="8" w:space="0" w:color="FFFFFF"/>
                  </w:tcBorders>
                  <w:shd w:val="clear" w:color="000000" w:fill="FDE9D9"/>
                  <w:noWrap/>
                  <w:vAlign w:val="center"/>
                  <w:hideMark/>
                </w:tcPr>
                <w:p w14:paraId="44AD30D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1.58 </w:t>
                  </w:r>
                </w:p>
              </w:tc>
              <w:tc>
                <w:tcPr>
                  <w:tcW w:w="921" w:type="dxa"/>
                  <w:tcBorders>
                    <w:top w:val="nil"/>
                    <w:left w:val="nil"/>
                    <w:bottom w:val="single" w:sz="8" w:space="0" w:color="FFFFFF"/>
                    <w:right w:val="single" w:sz="8" w:space="0" w:color="FFFFFF"/>
                  </w:tcBorders>
                  <w:shd w:val="clear" w:color="000000" w:fill="FDE9D9"/>
                  <w:noWrap/>
                  <w:vAlign w:val="center"/>
                  <w:hideMark/>
                </w:tcPr>
                <w:p w14:paraId="4336C5A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3.68 </w:t>
                  </w:r>
                </w:p>
              </w:tc>
            </w:tr>
            <w:tr w:rsidR="004B4CB3" w:rsidRPr="004B4CB3" w14:paraId="1F5BEE0C"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47243EF1"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548F843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3.80 </w:t>
                  </w:r>
                </w:p>
              </w:tc>
              <w:tc>
                <w:tcPr>
                  <w:tcW w:w="921" w:type="dxa"/>
                  <w:tcBorders>
                    <w:top w:val="nil"/>
                    <w:left w:val="nil"/>
                    <w:bottom w:val="single" w:sz="8" w:space="0" w:color="FFFFFF"/>
                    <w:right w:val="single" w:sz="8" w:space="0" w:color="FFFFFF"/>
                  </w:tcBorders>
                  <w:shd w:val="clear" w:color="000000" w:fill="FCD5B4"/>
                  <w:noWrap/>
                  <w:vAlign w:val="center"/>
                  <w:hideMark/>
                </w:tcPr>
                <w:p w14:paraId="20CFCB3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4.36 </w:t>
                  </w:r>
                </w:p>
              </w:tc>
              <w:tc>
                <w:tcPr>
                  <w:tcW w:w="921" w:type="dxa"/>
                  <w:tcBorders>
                    <w:top w:val="nil"/>
                    <w:left w:val="nil"/>
                    <w:bottom w:val="single" w:sz="8" w:space="0" w:color="FFFFFF"/>
                    <w:right w:val="single" w:sz="8" w:space="0" w:color="FFFFFF"/>
                  </w:tcBorders>
                  <w:shd w:val="clear" w:color="000000" w:fill="FCD5B4"/>
                  <w:noWrap/>
                  <w:vAlign w:val="center"/>
                  <w:hideMark/>
                </w:tcPr>
                <w:p w14:paraId="5EB4787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4.75 </w:t>
                  </w:r>
                </w:p>
              </w:tc>
              <w:tc>
                <w:tcPr>
                  <w:tcW w:w="921" w:type="dxa"/>
                  <w:tcBorders>
                    <w:top w:val="nil"/>
                    <w:left w:val="nil"/>
                    <w:bottom w:val="single" w:sz="8" w:space="0" w:color="FFFFFF"/>
                    <w:right w:val="single" w:sz="8" w:space="0" w:color="FFFFFF"/>
                  </w:tcBorders>
                  <w:shd w:val="clear" w:color="000000" w:fill="FCD5B4"/>
                  <w:noWrap/>
                  <w:vAlign w:val="center"/>
                  <w:hideMark/>
                </w:tcPr>
                <w:p w14:paraId="4C7D510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6.92 </w:t>
                  </w:r>
                </w:p>
              </w:tc>
              <w:tc>
                <w:tcPr>
                  <w:tcW w:w="1157" w:type="dxa"/>
                  <w:tcBorders>
                    <w:top w:val="nil"/>
                    <w:left w:val="nil"/>
                    <w:bottom w:val="single" w:sz="8" w:space="0" w:color="FFFFFF"/>
                    <w:right w:val="single" w:sz="8" w:space="0" w:color="FFFFFF"/>
                  </w:tcBorders>
                  <w:shd w:val="clear" w:color="000000" w:fill="FCD5B4"/>
                  <w:noWrap/>
                  <w:vAlign w:val="center"/>
                  <w:hideMark/>
                </w:tcPr>
                <w:p w14:paraId="7E9977EA"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609A431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0.85 </w:t>
                  </w:r>
                </w:p>
              </w:tc>
              <w:tc>
                <w:tcPr>
                  <w:tcW w:w="921" w:type="dxa"/>
                  <w:tcBorders>
                    <w:top w:val="nil"/>
                    <w:left w:val="nil"/>
                    <w:bottom w:val="single" w:sz="8" w:space="0" w:color="FFFFFF"/>
                    <w:right w:val="single" w:sz="8" w:space="0" w:color="FFFFFF"/>
                  </w:tcBorders>
                  <w:shd w:val="clear" w:color="000000" w:fill="FCD5B4"/>
                  <w:noWrap/>
                  <w:vAlign w:val="center"/>
                  <w:hideMark/>
                </w:tcPr>
                <w:p w14:paraId="190BD52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1.41 </w:t>
                  </w:r>
                </w:p>
              </w:tc>
              <w:tc>
                <w:tcPr>
                  <w:tcW w:w="921" w:type="dxa"/>
                  <w:tcBorders>
                    <w:top w:val="nil"/>
                    <w:left w:val="nil"/>
                    <w:bottom w:val="single" w:sz="8" w:space="0" w:color="FFFFFF"/>
                    <w:right w:val="single" w:sz="8" w:space="0" w:color="FFFFFF"/>
                  </w:tcBorders>
                  <w:shd w:val="clear" w:color="000000" w:fill="FCD5B4"/>
                  <w:noWrap/>
                  <w:vAlign w:val="center"/>
                  <w:hideMark/>
                </w:tcPr>
                <w:p w14:paraId="75FCAA7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1.80 </w:t>
                  </w:r>
                </w:p>
              </w:tc>
              <w:tc>
                <w:tcPr>
                  <w:tcW w:w="921" w:type="dxa"/>
                  <w:tcBorders>
                    <w:top w:val="nil"/>
                    <w:left w:val="nil"/>
                    <w:bottom w:val="single" w:sz="8" w:space="0" w:color="FFFFFF"/>
                    <w:right w:val="single" w:sz="8" w:space="0" w:color="FFFFFF"/>
                  </w:tcBorders>
                  <w:shd w:val="clear" w:color="000000" w:fill="FCD5B4"/>
                  <w:noWrap/>
                  <w:vAlign w:val="center"/>
                  <w:hideMark/>
                </w:tcPr>
                <w:p w14:paraId="792519C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3.97 </w:t>
                  </w:r>
                </w:p>
              </w:tc>
            </w:tr>
            <w:tr w:rsidR="004B4CB3" w:rsidRPr="004B4CB3" w14:paraId="688E064A"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4C7FFBA"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7AA535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3.48 </w:t>
                  </w:r>
                </w:p>
              </w:tc>
              <w:tc>
                <w:tcPr>
                  <w:tcW w:w="921" w:type="dxa"/>
                  <w:tcBorders>
                    <w:top w:val="nil"/>
                    <w:left w:val="nil"/>
                    <w:bottom w:val="single" w:sz="8" w:space="0" w:color="FFFFFF"/>
                    <w:right w:val="single" w:sz="8" w:space="0" w:color="FFFFFF"/>
                  </w:tcBorders>
                  <w:shd w:val="clear" w:color="000000" w:fill="FDE9D9"/>
                  <w:noWrap/>
                  <w:vAlign w:val="center"/>
                  <w:hideMark/>
                </w:tcPr>
                <w:p w14:paraId="4C4C297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3.88 </w:t>
                  </w:r>
                </w:p>
              </w:tc>
              <w:tc>
                <w:tcPr>
                  <w:tcW w:w="921" w:type="dxa"/>
                  <w:tcBorders>
                    <w:top w:val="nil"/>
                    <w:left w:val="nil"/>
                    <w:bottom w:val="single" w:sz="8" w:space="0" w:color="FFFFFF"/>
                    <w:right w:val="single" w:sz="8" w:space="0" w:color="FFFFFF"/>
                  </w:tcBorders>
                  <w:shd w:val="clear" w:color="000000" w:fill="FDE9D9"/>
                  <w:noWrap/>
                  <w:vAlign w:val="center"/>
                  <w:hideMark/>
                </w:tcPr>
                <w:p w14:paraId="20DF938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4.26 </w:t>
                  </w:r>
                </w:p>
              </w:tc>
              <w:tc>
                <w:tcPr>
                  <w:tcW w:w="921" w:type="dxa"/>
                  <w:tcBorders>
                    <w:top w:val="nil"/>
                    <w:left w:val="nil"/>
                    <w:bottom w:val="single" w:sz="8" w:space="0" w:color="FFFFFF"/>
                    <w:right w:val="single" w:sz="8" w:space="0" w:color="FFFFFF"/>
                  </w:tcBorders>
                  <w:shd w:val="clear" w:color="000000" w:fill="FDE9D9"/>
                  <w:noWrap/>
                  <w:vAlign w:val="center"/>
                  <w:hideMark/>
                </w:tcPr>
                <w:p w14:paraId="3C2C291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6.42 </w:t>
                  </w:r>
                </w:p>
              </w:tc>
              <w:tc>
                <w:tcPr>
                  <w:tcW w:w="1157" w:type="dxa"/>
                  <w:tcBorders>
                    <w:top w:val="nil"/>
                    <w:left w:val="nil"/>
                    <w:bottom w:val="single" w:sz="8" w:space="0" w:color="FFFFFF"/>
                    <w:right w:val="single" w:sz="8" w:space="0" w:color="FFFFFF"/>
                  </w:tcBorders>
                  <w:shd w:val="clear" w:color="000000" w:fill="FDE9D9"/>
                  <w:noWrap/>
                  <w:vAlign w:val="center"/>
                  <w:hideMark/>
                </w:tcPr>
                <w:p w14:paraId="053233C7"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71F8FE8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0.67 </w:t>
                  </w:r>
                </w:p>
              </w:tc>
              <w:tc>
                <w:tcPr>
                  <w:tcW w:w="921" w:type="dxa"/>
                  <w:tcBorders>
                    <w:top w:val="nil"/>
                    <w:left w:val="nil"/>
                    <w:bottom w:val="single" w:sz="8" w:space="0" w:color="FFFFFF"/>
                    <w:right w:val="single" w:sz="8" w:space="0" w:color="FFFFFF"/>
                  </w:tcBorders>
                  <w:shd w:val="clear" w:color="000000" w:fill="FDE9D9"/>
                  <w:noWrap/>
                  <w:vAlign w:val="center"/>
                  <w:hideMark/>
                </w:tcPr>
                <w:p w14:paraId="78498BC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1.07 </w:t>
                  </w:r>
                </w:p>
              </w:tc>
              <w:tc>
                <w:tcPr>
                  <w:tcW w:w="921" w:type="dxa"/>
                  <w:tcBorders>
                    <w:top w:val="nil"/>
                    <w:left w:val="nil"/>
                    <w:bottom w:val="single" w:sz="8" w:space="0" w:color="FFFFFF"/>
                    <w:right w:val="single" w:sz="8" w:space="0" w:color="FFFFFF"/>
                  </w:tcBorders>
                  <w:shd w:val="clear" w:color="000000" w:fill="FDE9D9"/>
                  <w:noWrap/>
                  <w:vAlign w:val="center"/>
                  <w:hideMark/>
                </w:tcPr>
                <w:p w14:paraId="38856D5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1.45 </w:t>
                  </w:r>
                </w:p>
              </w:tc>
              <w:tc>
                <w:tcPr>
                  <w:tcW w:w="921" w:type="dxa"/>
                  <w:tcBorders>
                    <w:top w:val="nil"/>
                    <w:left w:val="nil"/>
                    <w:bottom w:val="single" w:sz="8" w:space="0" w:color="FFFFFF"/>
                    <w:right w:val="single" w:sz="8" w:space="0" w:color="FFFFFF"/>
                  </w:tcBorders>
                  <w:shd w:val="clear" w:color="000000" w:fill="FDE9D9"/>
                  <w:noWrap/>
                  <w:vAlign w:val="center"/>
                  <w:hideMark/>
                </w:tcPr>
                <w:p w14:paraId="71BFDCF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3.61 </w:t>
                  </w:r>
                </w:p>
              </w:tc>
            </w:tr>
            <w:tr w:rsidR="004B4CB3" w:rsidRPr="004B4CB3" w14:paraId="0DA17A7C"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B943534"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FC9CA1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3.75 </w:t>
                  </w:r>
                </w:p>
              </w:tc>
              <w:tc>
                <w:tcPr>
                  <w:tcW w:w="921" w:type="dxa"/>
                  <w:tcBorders>
                    <w:top w:val="nil"/>
                    <w:left w:val="nil"/>
                    <w:bottom w:val="single" w:sz="8" w:space="0" w:color="FFFFFF"/>
                    <w:right w:val="single" w:sz="8" w:space="0" w:color="FFFFFF"/>
                  </w:tcBorders>
                  <w:shd w:val="clear" w:color="000000" w:fill="FCD5B4"/>
                  <w:noWrap/>
                  <w:vAlign w:val="center"/>
                  <w:hideMark/>
                </w:tcPr>
                <w:p w14:paraId="2B5A585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4.20 </w:t>
                  </w:r>
                </w:p>
              </w:tc>
              <w:tc>
                <w:tcPr>
                  <w:tcW w:w="921" w:type="dxa"/>
                  <w:tcBorders>
                    <w:top w:val="nil"/>
                    <w:left w:val="nil"/>
                    <w:bottom w:val="single" w:sz="8" w:space="0" w:color="FFFFFF"/>
                    <w:right w:val="single" w:sz="8" w:space="0" w:color="FFFFFF"/>
                  </w:tcBorders>
                  <w:shd w:val="clear" w:color="000000" w:fill="FCD5B4"/>
                  <w:noWrap/>
                  <w:vAlign w:val="center"/>
                  <w:hideMark/>
                </w:tcPr>
                <w:p w14:paraId="43FB5A1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4.60 </w:t>
                  </w:r>
                </w:p>
              </w:tc>
              <w:tc>
                <w:tcPr>
                  <w:tcW w:w="921" w:type="dxa"/>
                  <w:tcBorders>
                    <w:top w:val="nil"/>
                    <w:left w:val="nil"/>
                    <w:bottom w:val="single" w:sz="8" w:space="0" w:color="FFFFFF"/>
                    <w:right w:val="single" w:sz="8" w:space="0" w:color="FFFFFF"/>
                  </w:tcBorders>
                  <w:shd w:val="clear" w:color="000000" w:fill="FCD5B4"/>
                  <w:noWrap/>
                  <w:vAlign w:val="center"/>
                  <w:hideMark/>
                </w:tcPr>
                <w:p w14:paraId="1CBD154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6.83 </w:t>
                  </w:r>
                </w:p>
              </w:tc>
              <w:tc>
                <w:tcPr>
                  <w:tcW w:w="1157" w:type="dxa"/>
                  <w:tcBorders>
                    <w:top w:val="nil"/>
                    <w:left w:val="nil"/>
                    <w:bottom w:val="single" w:sz="8" w:space="0" w:color="FFFFFF"/>
                    <w:right w:val="single" w:sz="8" w:space="0" w:color="FFFFFF"/>
                  </w:tcBorders>
                  <w:shd w:val="clear" w:color="000000" w:fill="FCD5B4"/>
                  <w:noWrap/>
                  <w:vAlign w:val="center"/>
                  <w:hideMark/>
                </w:tcPr>
                <w:p w14:paraId="1CE71419"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67FAD6D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0.80 </w:t>
                  </w:r>
                </w:p>
              </w:tc>
              <w:tc>
                <w:tcPr>
                  <w:tcW w:w="921" w:type="dxa"/>
                  <w:tcBorders>
                    <w:top w:val="nil"/>
                    <w:left w:val="nil"/>
                    <w:bottom w:val="single" w:sz="8" w:space="0" w:color="FFFFFF"/>
                    <w:right w:val="single" w:sz="8" w:space="0" w:color="FFFFFF"/>
                  </w:tcBorders>
                  <w:shd w:val="clear" w:color="000000" w:fill="FCD5B4"/>
                  <w:noWrap/>
                  <w:vAlign w:val="center"/>
                  <w:hideMark/>
                </w:tcPr>
                <w:p w14:paraId="1D1145E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1.25 </w:t>
                  </w:r>
                </w:p>
              </w:tc>
              <w:tc>
                <w:tcPr>
                  <w:tcW w:w="921" w:type="dxa"/>
                  <w:tcBorders>
                    <w:top w:val="nil"/>
                    <w:left w:val="nil"/>
                    <w:bottom w:val="single" w:sz="8" w:space="0" w:color="FFFFFF"/>
                    <w:right w:val="single" w:sz="8" w:space="0" w:color="FFFFFF"/>
                  </w:tcBorders>
                  <w:shd w:val="clear" w:color="000000" w:fill="FCD5B4"/>
                  <w:noWrap/>
                  <w:vAlign w:val="center"/>
                  <w:hideMark/>
                </w:tcPr>
                <w:p w14:paraId="3AB2BD0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1.65 </w:t>
                  </w:r>
                </w:p>
              </w:tc>
              <w:tc>
                <w:tcPr>
                  <w:tcW w:w="921" w:type="dxa"/>
                  <w:tcBorders>
                    <w:top w:val="nil"/>
                    <w:left w:val="nil"/>
                    <w:bottom w:val="single" w:sz="8" w:space="0" w:color="FFFFFF"/>
                    <w:right w:val="single" w:sz="8" w:space="0" w:color="FFFFFF"/>
                  </w:tcBorders>
                  <w:shd w:val="clear" w:color="000000" w:fill="FCD5B4"/>
                  <w:noWrap/>
                  <w:vAlign w:val="center"/>
                  <w:hideMark/>
                </w:tcPr>
                <w:p w14:paraId="760A8BC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3.88 </w:t>
                  </w:r>
                </w:p>
              </w:tc>
            </w:tr>
            <w:tr w:rsidR="004B4CB3" w:rsidRPr="004B4CB3" w14:paraId="5BE52A22"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6E4A039"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BE34E8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3.97 </w:t>
                  </w:r>
                </w:p>
              </w:tc>
              <w:tc>
                <w:tcPr>
                  <w:tcW w:w="921" w:type="dxa"/>
                  <w:tcBorders>
                    <w:top w:val="nil"/>
                    <w:left w:val="nil"/>
                    <w:bottom w:val="single" w:sz="8" w:space="0" w:color="FFFFFF"/>
                    <w:right w:val="single" w:sz="8" w:space="0" w:color="FFFFFF"/>
                  </w:tcBorders>
                  <w:shd w:val="clear" w:color="000000" w:fill="FDE9D9"/>
                  <w:noWrap/>
                  <w:vAlign w:val="center"/>
                  <w:hideMark/>
                </w:tcPr>
                <w:p w14:paraId="2A483DC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4.42 </w:t>
                  </w:r>
                </w:p>
              </w:tc>
              <w:tc>
                <w:tcPr>
                  <w:tcW w:w="921" w:type="dxa"/>
                  <w:tcBorders>
                    <w:top w:val="nil"/>
                    <w:left w:val="nil"/>
                    <w:bottom w:val="single" w:sz="8" w:space="0" w:color="FFFFFF"/>
                    <w:right w:val="single" w:sz="8" w:space="0" w:color="FFFFFF"/>
                  </w:tcBorders>
                  <w:shd w:val="clear" w:color="000000" w:fill="FDE9D9"/>
                  <w:noWrap/>
                  <w:vAlign w:val="center"/>
                  <w:hideMark/>
                </w:tcPr>
                <w:p w14:paraId="3076BFA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4.82 </w:t>
                  </w:r>
                </w:p>
              </w:tc>
              <w:tc>
                <w:tcPr>
                  <w:tcW w:w="921" w:type="dxa"/>
                  <w:tcBorders>
                    <w:top w:val="nil"/>
                    <w:left w:val="nil"/>
                    <w:bottom w:val="single" w:sz="8" w:space="0" w:color="FFFFFF"/>
                    <w:right w:val="single" w:sz="8" w:space="0" w:color="FFFFFF"/>
                  </w:tcBorders>
                  <w:shd w:val="clear" w:color="000000" w:fill="FDE9D9"/>
                  <w:noWrap/>
                  <w:vAlign w:val="center"/>
                  <w:hideMark/>
                </w:tcPr>
                <w:p w14:paraId="56A2502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7.05 </w:t>
                  </w:r>
                </w:p>
              </w:tc>
              <w:tc>
                <w:tcPr>
                  <w:tcW w:w="1157" w:type="dxa"/>
                  <w:tcBorders>
                    <w:top w:val="nil"/>
                    <w:left w:val="nil"/>
                    <w:bottom w:val="single" w:sz="8" w:space="0" w:color="FFFFFF"/>
                    <w:right w:val="single" w:sz="8" w:space="0" w:color="FFFFFF"/>
                  </w:tcBorders>
                  <w:shd w:val="clear" w:color="000000" w:fill="FDE9D9"/>
                  <w:noWrap/>
                  <w:vAlign w:val="center"/>
                  <w:hideMark/>
                </w:tcPr>
                <w:p w14:paraId="2BE947F3"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2F7A0B1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0.80 </w:t>
                  </w:r>
                </w:p>
              </w:tc>
              <w:tc>
                <w:tcPr>
                  <w:tcW w:w="921" w:type="dxa"/>
                  <w:tcBorders>
                    <w:top w:val="nil"/>
                    <w:left w:val="nil"/>
                    <w:bottom w:val="single" w:sz="8" w:space="0" w:color="FFFFFF"/>
                    <w:right w:val="single" w:sz="8" w:space="0" w:color="FFFFFF"/>
                  </w:tcBorders>
                  <w:shd w:val="clear" w:color="000000" w:fill="FDE9D9"/>
                  <w:noWrap/>
                  <w:vAlign w:val="center"/>
                  <w:hideMark/>
                </w:tcPr>
                <w:p w14:paraId="78078A8D"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1.25 </w:t>
                  </w:r>
                </w:p>
              </w:tc>
              <w:tc>
                <w:tcPr>
                  <w:tcW w:w="921" w:type="dxa"/>
                  <w:tcBorders>
                    <w:top w:val="nil"/>
                    <w:left w:val="nil"/>
                    <w:bottom w:val="single" w:sz="8" w:space="0" w:color="FFFFFF"/>
                    <w:right w:val="single" w:sz="8" w:space="0" w:color="FFFFFF"/>
                  </w:tcBorders>
                  <w:shd w:val="clear" w:color="000000" w:fill="FDE9D9"/>
                  <w:noWrap/>
                  <w:vAlign w:val="center"/>
                  <w:hideMark/>
                </w:tcPr>
                <w:p w14:paraId="545B3B5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1.65 </w:t>
                  </w:r>
                </w:p>
              </w:tc>
              <w:tc>
                <w:tcPr>
                  <w:tcW w:w="921" w:type="dxa"/>
                  <w:tcBorders>
                    <w:top w:val="nil"/>
                    <w:left w:val="nil"/>
                    <w:bottom w:val="single" w:sz="8" w:space="0" w:color="FFFFFF"/>
                    <w:right w:val="single" w:sz="8" w:space="0" w:color="FFFFFF"/>
                  </w:tcBorders>
                  <w:shd w:val="clear" w:color="000000" w:fill="FDE9D9"/>
                  <w:noWrap/>
                  <w:vAlign w:val="center"/>
                  <w:hideMark/>
                </w:tcPr>
                <w:p w14:paraId="4B000C5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3.88 </w:t>
                  </w:r>
                </w:p>
              </w:tc>
            </w:tr>
            <w:tr w:rsidR="004B4CB3" w:rsidRPr="004B4CB3" w14:paraId="594341BE"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18E48BA"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A88AA0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3.56 </w:t>
                  </w:r>
                </w:p>
              </w:tc>
              <w:tc>
                <w:tcPr>
                  <w:tcW w:w="921" w:type="dxa"/>
                  <w:tcBorders>
                    <w:top w:val="nil"/>
                    <w:left w:val="nil"/>
                    <w:bottom w:val="single" w:sz="8" w:space="0" w:color="FFFFFF"/>
                    <w:right w:val="single" w:sz="8" w:space="0" w:color="FFFFFF"/>
                  </w:tcBorders>
                  <w:shd w:val="clear" w:color="000000" w:fill="FCD5B4"/>
                  <w:noWrap/>
                  <w:vAlign w:val="center"/>
                  <w:hideMark/>
                </w:tcPr>
                <w:p w14:paraId="77F00A6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3.78 </w:t>
                  </w:r>
                </w:p>
              </w:tc>
              <w:tc>
                <w:tcPr>
                  <w:tcW w:w="921" w:type="dxa"/>
                  <w:tcBorders>
                    <w:top w:val="nil"/>
                    <w:left w:val="nil"/>
                    <w:bottom w:val="single" w:sz="8" w:space="0" w:color="FFFFFF"/>
                    <w:right w:val="single" w:sz="8" w:space="0" w:color="FFFFFF"/>
                  </w:tcBorders>
                  <w:shd w:val="clear" w:color="000000" w:fill="FCD5B4"/>
                  <w:noWrap/>
                  <w:vAlign w:val="center"/>
                  <w:hideMark/>
                </w:tcPr>
                <w:p w14:paraId="4ECB6B9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4.13 </w:t>
                  </w:r>
                </w:p>
              </w:tc>
              <w:tc>
                <w:tcPr>
                  <w:tcW w:w="921" w:type="dxa"/>
                  <w:tcBorders>
                    <w:top w:val="nil"/>
                    <w:left w:val="nil"/>
                    <w:bottom w:val="single" w:sz="8" w:space="0" w:color="FFFFFF"/>
                    <w:right w:val="single" w:sz="8" w:space="0" w:color="FFFFFF"/>
                  </w:tcBorders>
                  <w:shd w:val="clear" w:color="000000" w:fill="FCD5B4"/>
                  <w:noWrap/>
                  <w:vAlign w:val="center"/>
                  <w:hideMark/>
                </w:tcPr>
                <w:p w14:paraId="6CEAF11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6.07 </w:t>
                  </w:r>
                </w:p>
              </w:tc>
              <w:tc>
                <w:tcPr>
                  <w:tcW w:w="1157" w:type="dxa"/>
                  <w:tcBorders>
                    <w:top w:val="nil"/>
                    <w:left w:val="nil"/>
                    <w:bottom w:val="single" w:sz="8" w:space="0" w:color="FFFFFF"/>
                    <w:right w:val="single" w:sz="8" w:space="0" w:color="FFFFFF"/>
                  </w:tcBorders>
                  <w:shd w:val="clear" w:color="000000" w:fill="FCD5B4"/>
                  <w:noWrap/>
                  <w:vAlign w:val="center"/>
                  <w:hideMark/>
                </w:tcPr>
                <w:p w14:paraId="0C3007E1"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9AAF46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CD5B4"/>
                  <w:noWrap/>
                  <w:vAlign w:val="center"/>
                  <w:hideMark/>
                </w:tcPr>
                <w:p w14:paraId="1E6F70C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0.96 </w:t>
                  </w:r>
                </w:p>
              </w:tc>
              <w:tc>
                <w:tcPr>
                  <w:tcW w:w="921" w:type="dxa"/>
                  <w:tcBorders>
                    <w:top w:val="nil"/>
                    <w:left w:val="nil"/>
                    <w:bottom w:val="single" w:sz="8" w:space="0" w:color="FFFFFF"/>
                    <w:right w:val="single" w:sz="8" w:space="0" w:color="FFFFFF"/>
                  </w:tcBorders>
                  <w:shd w:val="clear" w:color="000000" w:fill="FCD5B4"/>
                  <w:noWrap/>
                  <w:vAlign w:val="center"/>
                  <w:hideMark/>
                </w:tcPr>
                <w:p w14:paraId="34458BA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1.32 </w:t>
                  </w:r>
                </w:p>
              </w:tc>
              <w:tc>
                <w:tcPr>
                  <w:tcW w:w="921" w:type="dxa"/>
                  <w:tcBorders>
                    <w:top w:val="nil"/>
                    <w:left w:val="nil"/>
                    <w:bottom w:val="single" w:sz="8" w:space="0" w:color="FFFFFF"/>
                    <w:right w:val="single" w:sz="8" w:space="0" w:color="FFFFFF"/>
                  </w:tcBorders>
                  <w:shd w:val="clear" w:color="000000" w:fill="FCD5B4"/>
                  <w:noWrap/>
                  <w:vAlign w:val="center"/>
                  <w:hideMark/>
                </w:tcPr>
                <w:p w14:paraId="6B0C7DC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3.26 </w:t>
                  </w:r>
                </w:p>
              </w:tc>
            </w:tr>
            <w:tr w:rsidR="004B4CB3" w:rsidRPr="004B4CB3" w14:paraId="71800526"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43E043F"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5A359FC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3.84 </w:t>
                  </w:r>
                </w:p>
              </w:tc>
              <w:tc>
                <w:tcPr>
                  <w:tcW w:w="921" w:type="dxa"/>
                  <w:tcBorders>
                    <w:top w:val="nil"/>
                    <w:left w:val="nil"/>
                    <w:bottom w:val="single" w:sz="8" w:space="0" w:color="FFFFFF"/>
                    <w:right w:val="single" w:sz="8" w:space="0" w:color="FFFFFF"/>
                  </w:tcBorders>
                  <w:shd w:val="clear" w:color="000000" w:fill="FDE9D9"/>
                  <w:noWrap/>
                  <w:vAlign w:val="center"/>
                  <w:hideMark/>
                </w:tcPr>
                <w:p w14:paraId="563F8CA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4.08 </w:t>
                  </w:r>
                </w:p>
              </w:tc>
              <w:tc>
                <w:tcPr>
                  <w:tcW w:w="921" w:type="dxa"/>
                  <w:tcBorders>
                    <w:top w:val="nil"/>
                    <w:left w:val="nil"/>
                    <w:bottom w:val="single" w:sz="8" w:space="0" w:color="FFFFFF"/>
                    <w:right w:val="single" w:sz="8" w:space="0" w:color="FFFFFF"/>
                  </w:tcBorders>
                  <w:shd w:val="clear" w:color="000000" w:fill="FDE9D9"/>
                  <w:noWrap/>
                  <w:vAlign w:val="center"/>
                  <w:hideMark/>
                </w:tcPr>
                <w:p w14:paraId="5F03CA1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4.44 </w:t>
                  </w:r>
                </w:p>
              </w:tc>
              <w:tc>
                <w:tcPr>
                  <w:tcW w:w="921" w:type="dxa"/>
                  <w:tcBorders>
                    <w:top w:val="nil"/>
                    <w:left w:val="nil"/>
                    <w:bottom w:val="single" w:sz="8" w:space="0" w:color="FFFFFF"/>
                    <w:right w:val="single" w:sz="8" w:space="0" w:color="FFFFFF"/>
                  </w:tcBorders>
                  <w:shd w:val="clear" w:color="000000" w:fill="FDE9D9"/>
                  <w:noWrap/>
                  <w:vAlign w:val="center"/>
                  <w:hideMark/>
                </w:tcPr>
                <w:p w14:paraId="2F6BE17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6.74 </w:t>
                  </w:r>
                </w:p>
              </w:tc>
              <w:tc>
                <w:tcPr>
                  <w:tcW w:w="1157" w:type="dxa"/>
                  <w:tcBorders>
                    <w:top w:val="nil"/>
                    <w:left w:val="nil"/>
                    <w:bottom w:val="single" w:sz="8" w:space="0" w:color="FFFFFF"/>
                    <w:right w:val="single" w:sz="8" w:space="0" w:color="FFFFFF"/>
                  </w:tcBorders>
                  <w:shd w:val="clear" w:color="000000" w:fill="FDE9D9"/>
                  <w:noWrap/>
                  <w:vAlign w:val="center"/>
                  <w:hideMark/>
                </w:tcPr>
                <w:p w14:paraId="58B66727"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68A02ED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0.88 </w:t>
                  </w:r>
                </w:p>
              </w:tc>
              <w:tc>
                <w:tcPr>
                  <w:tcW w:w="921" w:type="dxa"/>
                  <w:tcBorders>
                    <w:top w:val="nil"/>
                    <w:left w:val="nil"/>
                    <w:bottom w:val="single" w:sz="8" w:space="0" w:color="FFFFFF"/>
                    <w:right w:val="single" w:sz="8" w:space="0" w:color="FFFFFF"/>
                  </w:tcBorders>
                  <w:shd w:val="clear" w:color="000000" w:fill="FDE9D9"/>
                  <w:noWrap/>
                  <w:vAlign w:val="center"/>
                  <w:hideMark/>
                </w:tcPr>
                <w:p w14:paraId="6431C89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1.13 </w:t>
                  </w:r>
                </w:p>
              </w:tc>
              <w:tc>
                <w:tcPr>
                  <w:tcW w:w="921" w:type="dxa"/>
                  <w:tcBorders>
                    <w:top w:val="nil"/>
                    <w:left w:val="nil"/>
                    <w:bottom w:val="single" w:sz="8" w:space="0" w:color="FFFFFF"/>
                    <w:right w:val="single" w:sz="8" w:space="0" w:color="FFFFFF"/>
                  </w:tcBorders>
                  <w:shd w:val="clear" w:color="000000" w:fill="FDE9D9"/>
                  <w:noWrap/>
                  <w:vAlign w:val="center"/>
                  <w:hideMark/>
                </w:tcPr>
                <w:p w14:paraId="64EA3F6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1.49 </w:t>
                  </w:r>
                </w:p>
              </w:tc>
              <w:tc>
                <w:tcPr>
                  <w:tcW w:w="921" w:type="dxa"/>
                  <w:tcBorders>
                    <w:top w:val="nil"/>
                    <w:left w:val="nil"/>
                    <w:bottom w:val="single" w:sz="8" w:space="0" w:color="FFFFFF"/>
                    <w:right w:val="single" w:sz="8" w:space="0" w:color="FFFFFF"/>
                  </w:tcBorders>
                  <w:shd w:val="clear" w:color="000000" w:fill="FDE9D9"/>
                  <w:noWrap/>
                  <w:vAlign w:val="center"/>
                  <w:hideMark/>
                </w:tcPr>
                <w:p w14:paraId="098FECE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3.79 </w:t>
                  </w:r>
                </w:p>
              </w:tc>
            </w:tr>
            <w:tr w:rsidR="004B4CB3" w:rsidRPr="004B4CB3" w14:paraId="093F4135" w14:textId="77777777" w:rsidTr="004B4CB3">
              <w:trPr>
                <w:trHeight w:val="300"/>
              </w:trPr>
              <w:tc>
                <w:tcPr>
                  <w:tcW w:w="1350" w:type="dxa"/>
                  <w:tcBorders>
                    <w:top w:val="nil"/>
                    <w:left w:val="nil"/>
                    <w:bottom w:val="nil"/>
                    <w:right w:val="nil"/>
                  </w:tcBorders>
                  <w:shd w:val="clear" w:color="000000" w:fill="FCD5B4"/>
                  <w:noWrap/>
                  <w:vAlign w:val="center"/>
                  <w:hideMark/>
                </w:tcPr>
                <w:p w14:paraId="57527B97"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125C223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4.02 </w:t>
                  </w:r>
                </w:p>
              </w:tc>
              <w:tc>
                <w:tcPr>
                  <w:tcW w:w="921" w:type="dxa"/>
                  <w:tcBorders>
                    <w:top w:val="nil"/>
                    <w:left w:val="nil"/>
                    <w:bottom w:val="single" w:sz="8" w:space="0" w:color="FFFFFF"/>
                    <w:right w:val="single" w:sz="8" w:space="0" w:color="FFFFFF"/>
                  </w:tcBorders>
                  <w:shd w:val="clear" w:color="000000" w:fill="FCD5B4"/>
                  <w:noWrap/>
                  <w:vAlign w:val="center"/>
                  <w:hideMark/>
                </w:tcPr>
                <w:p w14:paraId="7398F04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4.29 </w:t>
                  </w:r>
                </w:p>
              </w:tc>
              <w:tc>
                <w:tcPr>
                  <w:tcW w:w="921" w:type="dxa"/>
                  <w:tcBorders>
                    <w:top w:val="nil"/>
                    <w:left w:val="nil"/>
                    <w:bottom w:val="single" w:sz="8" w:space="0" w:color="FFFFFF"/>
                    <w:right w:val="single" w:sz="8" w:space="0" w:color="FFFFFF"/>
                  </w:tcBorders>
                  <w:shd w:val="clear" w:color="000000" w:fill="FCD5B4"/>
                  <w:noWrap/>
                  <w:vAlign w:val="center"/>
                  <w:hideMark/>
                </w:tcPr>
                <w:p w14:paraId="4D46569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4.64 </w:t>
                  </w:r>
                </w:p>
              </w:tc>
              <w:tc>
                <w:tcPr>
                  <w:tcW w:w="921" w:type="dxa"/>
                  <w:tcBorders>
                    <w:top w:val="nil"/>
                    <w:left w:val="nil"/>
                    <w:bottom w:val="single" w:sz="8" w:space="0" w:color="FFFFFF"/>
                    <w:right w:val="single" w:sz="8" w:space="0" w:color="FFFFFF"/>
                  </w:tcBorders>
                  <w:shd w:val="clear" w:color="000000" w:fill="FCD5B4"/>
                  <w:noWrap/>
                  <w:vAlign w:val="center"/>
                  <w:hideMark/>
                </w:tcPr>
                <w:p w14:paraId="1E73C7E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7.09 </w:t>
                  </w:r>
                </w:p>
              </w:tc>
              <w:tc>
                <w:tcPr>
                  <w:tcW w:w="1157" w:type="dxa"/>
                  <w:tcBorders>
                    <w:top w:val="nil"/>
                    <w:left w:val="nil"/>
                    <w:bottom w:val="nil"/>
                    <w:right w:val="nil"/>
                  </w:tcBorders>
                  <w:shd w:val="clear" w:color="000000" w:fill="FCD5B4"/>
                  <w:noWrap/>
                  <w:vAlign w:val="center"/>
                  <w:hideMark/>
                </w:tcPr>
                <w:p w14:paraId="5AC7B5FD"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3A9D8E0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0.85 </w:t>
                  </w:r>
                </w:p>
              </w:tc>
              <w:tc>
                <w:tcPr>
                  <w:tcW w:w="921" w:type="dxa"/>
                  <w:tcBorders>
                    <w:top w:val="nil"/>
                    <w:left w:val="nil"/>
                    <w:bottom w:val="single" w:sz="8" w:space="0" w:color="FFFFFF"/>
                    <w:right w:val="single" w:sz="8" w:space="0" w:color="FFFFFF"/>
                  </w:tcBorders>
                  <w:shd w:val="clear" w:color="000000" w:fill="FCD5B4"/>
                  <w:noWrap/>
                  <w:vAlign w:val="center"/>
                  <w:hideMark/>
                </w:tcPr>
                <w:p w14:paraId="495EFB6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1.12 </w:t>
                  </w:r>
                </w:p>
              </w:tc>
              <w:tc>
                <w:tcPr>
                  <w:tcW w:w="921" w:type="dxa"/>
                  <w:tcBorders>
                    <w:top w:val="nil"/>
                    <w:left w:val="nil"/>
                    <w:bottom w:val="single" w:sz="8" w:space="0" w:color="FFFFFF"/>
                    <w:right w:val="single" w:sz="8" w:space="0" w:color="FFFFFF"/>
                  </w:tcBorders>
                  <w:shd w:val="clear" w:color="000000" w:fill="FCD5B4"/>
                  <w:noWrap/>
                  <w:vAlign w:val="center"/>
                  <w:hideMark/>
                </w:tcPr>
                <w:p w14:paraId="5BDED21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1.47 </w:t>
                  </w:r>
                </w:p>
              </w:tc>
              <w:tc>
                <w:tcPr>
                  <w:tcW w:w="921" w:type="dxa"/>
                  <w:tcBorders>
                    <w:top w:val="nil"/>
                    <w:left w:val="nil"/>
                    <w:bottom w:val="single" w:sz="8" w:space="0" w:color="FFFFFF"/>
                    <w:right w:val="single" w:sz="8" w:space="0" w:color="FFFFFF"/>
                  </w:tcBorders>
                  <w:shd w:val="clear" w:color="000000" w:fill="FCD5B4"/>
                  <w:noWrap/>
                  <w:vAlign w:val="center"/>
                  <w:hideMark/>
                </w:tcPr>
                <w:p w14:paraId="0E2DAC7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3.92 </w:t>
                  </w:r>
                </w:p>
              </w:tc>
            </w:tr>
            <w:tr w:rsidR="004B4CB3" w:rsidRPr="004B4CB3" w14:paraId="328A742F" w14:textId="77777777" w:rsidTr="004B4CB3">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55EA4D68" w14:textId="77777777" w:rsidR="004B4CB3" w:rsidRPr="004B4CB3" w:rsidRDefault="004B4CB3" w:rsidP="004B4CB3">
                  <w:pPr>
                    <w:widowControl/>
                    <w:jc w:val="center"/>
                    <w:rPr>
                      <w:rFonts w:ascii="楷体" w:eastAsia="楷体" w:hAnsi="楷体" w:cs="宋体"/>
                      <w:b/>
                      <w:bCs/>
                      <w:color w:val="FFFFFF"/>
                      <w:kern w:val="0"/>
                      <w:sz w:val="20"/>
                      <w:szCs w:val="20"/>
                    </w:rPr>
                  </w:pPr>
                  <w:proofErr w:type="gramStart"/>
                  <w:r w:rsidRPr="004B4CB3">
                    <w:rPr>
                      <w:rFonts w:ascii="楷体" w:eastAsia="楷体" w:hAnsi="楷体" w:cs="宋体" w:hint="eastAsia"/>
                      <w:b/>
                      <w:bCs/>
                      <w:color w:val="FFFFFF"/>
                      <w:kern w:val="0"/>
                      <w:sz w:val="20"/>
                      <w:szCs w:val="20"/>
                    </w:rPr>
                    <w:t>周变化</w:t>
                  </w:r>
                  <w:proofErr w:type="gramEnd"/>
                  <w:r w:rsidRPr="004B4CB3">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18A87E5A"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30407EF"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CB10902"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EB35982"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517DAA84"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5D035F12"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5631C90"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64BB727"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1BE09CA"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r>
            <w:tr w:rsidR="004B4CB3" w:rsidRPr="004B4CB3" w14:paraId="19F0335F" w14:textId="77777777" w:rsidTr="004B4CB3">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0497F4D6"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4986D5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-5.1 </w:t>
                  </w:r>
                </w:p>
              </w:tc>
              <w:tc>
                <w:tcPr>
                  <w:tcW w:w="921" w:type="dxa"/>
                  <w:tcBorders>
                    <w:top w:val="nil"/>
                    <w:left w:val="nil"/>
                    <w:bottom w:val="single" w:sz="8" w:space="0" w:color="FFFFFF"/>
                    <w:right w:val="single" w:sz="8" w:space="0" w:color="FFFFFF"/>
                  </w:tcBorders>
                  <w:shd w:val="clear" w:color="000000" w:fill="FCD5B4"/>
                  <w:noWrap/>
                  <w:vAlign w:val="center"/>
                  <w:hideMark/>
                </w:tcPr>
                <w:p w14:paraId="76A773E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-6.1 </w:t>
                  </w:r>
                </w:p>
              </w:tc>
              <w:tc>
                <w:tcPr>
                  <w:tcW w:w="921" w:type="dxa"/>
                  <w:tcBorders>
                    <w:top w:val="nil"/>
                    <w:left w:val="nil"/>
                    <w:bottom w:val="single" w:sz="8" w:space="0" w:color="FFFFFF"/>
                    <w:right w:val="single" w:sz="8" w:space="0" w:color="FFFFFF"/>
                  </w:tcBorders>
                  <w:shd w:val="clear" w:color="000000" w:fill="FCD5B4"/>
                  <w:noWrap/>
                  <w:vAlign w:val="center"/>
                  <w:hideMark/>
                </w:tcPr>
                <w:p w14:paraId="111641D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-6.1 </w:t>
                  </w:r>
                </w:p>
              </w:tc>
              <w:tc>
                <w:tcPr>
                  <w:tcW w:w="921" w:type="dxa"/>
                  <w:tcBorders>
                    <w:top w:val="nil"/>
                    <w:left w:val="nil"/>
                    <w:bottom w:val="single" w:sz="8" w:space="0" w:color="FFFFFF"/>
                    <w:right w:val="single" w:sz="8" w:space="0" w:color="FFFFFF"/>
                  </w:tcBorders>
                  <w:shd w:val="clear" w:color="000000" w:fill="FCD5B4"/>
                  <w:noWrap/>
                  <w:vAlign w:val="center"/>
                  <w:hideMark/>
                </w:tcPr>
                <w:p w14:paraId="1DE844D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-6.1 </w:t>
                  </w:r>
                </w:p>
              </w:tc>
              <w:tc>
                <w:tcPr>
                  <w:tcW w:w="1157" w:type="dxa"/>
                  <w:tcBorders>
                    <w:top w:val="nil"/>
                    <w:left w:val="nil"/>
                    <w:bottom w:val="single" w:sz="8" w:space="0" w:color="FFFFFF"/>
                    <w:right w:val="single" w:sz="8" w:space="0" w:color="FFFFFF"/>
                  </w:tcBorders>
                  <w:shd w:val="clear" w:color="000000" w:fill="FCD5B4"/>
                  <w:noWrap/>
                  <w:vAlign w:val="center"/>
                  <w:hideMark/>
                </w:tcPr>
                <w:p w14:paraId="72A602B5"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65C2DDB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8.5 </w:t>
                  </w:r>
                </w:p>
              </w:tc>
              <w:tc>
                <w:tcPr>
                  <w:tcW w:w="921" w:type="dxa"/>
                  <w:tcBorders>
                    <w:top w:val="nil"/>
                    <w:left w:val="nil"/>
                    <w:bottom w:val="single" w:sz="8" w:space="0" w:color="FFFFFF"/>
                    <w:right w:val="single" w:sz="8" w:space="0" w:color="FFFFFF"/>
                  </w:tcBorders>
                  <w:shd w:val="clear" w:color="000000" w:fill="FCD5B4"/>
                  <w:noWrap/>
                  <w:vAlign w:val="center"/>
                  <w:hideMark/>
                </w:tcPr>
                <w:p w14:paraId="7FC0174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7.5 </w:t>
                  </w:r>
                </w:p>
              </w:tc>
              <w:tc>
                <w:tcPr>
                  <w:tcW w:w="921" w:type="dxa"/>
                  <w:tcBorders>
                    <w:top w:val="nil"/>
                    <w:left w:val="nil"/>
                    <w:bottom w:val="single" w:sz="8" w:space="0" w:color="FFFFFF"/>
                    <w:right w:val="single" w:sz="8" w:space="0" w:color="FFFFFF"/>
                  </w:tcBorders>
                  <w:shd w:val="clear" w:color="000000" w:fill="FCD5B4"/>
                  <w:noWrap/>
                  <w:vAlign w:val="center"/>
                  <w:hideMark/>
                </w:tcPr>
                <w:p w14:paraId="074A1DA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7.5 </w:t>
                  </w:r>
                </w:p>
              </w:tc>
              <w:tc>
                <w:tcPr>
                  <w:tcW w:w="921" w:type="dxa"/>
                  <w:tcBorders>
                    <w:top w:val="nil"/>
                    <w:left w:val="nil"/>
                    <w:bottom w:val="single" w:sz="8" w:space="0" w:color="FFFFFF"/>
                    <w:right w:val="single" w:sz="8" w:space="0" w:color="FFFFFF"/>
                  </w:tcBorders>
                  <w:shd w:val="clear" w:color="000000" w:fill="FCD5B4"/>
                  <w:noWrap/>
                  <w:vAlign w:val="center"/>
                  <w:hideMark/>
                </w:tcPr>
                <w:p w14:paraId="415FF96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7.5 </w:t>
                  </w:r>
                </w:p>
              </w:tc>
            </w:tr>
            <w:tr w:rsidR="004B4CB3" w:rsidRPr="004B4CB3" w14:paraId="7D93278F"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EEF9183"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7AE2BCD"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-4.3 </w:t>
                  </w:r>
                </w:p>
              </w:tc>
              <w:tc>
                <w:tcPr>
                  <w:tcW w:w="921" w:type="dxa"/>
                  <w:tcBorders>
                    <w:top w:val="nil"/>
                    <w:left w:val="nil"/>
                    <w:bottom w:val="single" w:sz="8" w:space="0" w:color="FFFFFF"/>
                    <w:right w:val="single" w:sz="8" w:space="0" w:color="FFFFFF"/>
                  </w:tcBorders>
                  <w:shd w:val="clear" w:color="000000" w:fill="FDE9D9"/>
                  <w:noWrap/>
                  <w:vAlign w:val="center"/>
                  <w:hideMark/>
                </w:tcPr>
                <w:p w14:paraId="2FD32FD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-0.3 </w:t>
                  </w:r>
                </w:p>
              </w:tc>
              <w:tc>
                <w:tcPr>
                  <w:tcW w:w="921" w:type="dxa"/>
                  <w:tcBorders>
                    <w:top w:val="nil"/>
                    <w:left w:val="nil"/>
                    <w:bottom w:val="single" w:sz="8" w:space="0" w:color="FFFFFF"/>
                    <w:right w:val="single" w:sz="8" w:space="0" w:color="FFFFFF"/>
                  </w:tcBorders>
                  <w:shd w:val="clear" w:color="000000" w:fill="FDE9D9"/>
                  <w:noWrap/>
                  <w:vAlign w:val="center"/>
                  <w:hideMark/>
                </w:tcPr>
                <w:p w14:paraId="53DE1E5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4.7 </w:t>
                  </w:r>
                </w:p>
              </w:tc>
              <w:tc>
                <w:tcPr>
                  <w:tcW w:w="921" w:type="dxa"/>
                  <w:tcBorders>
                    <w:top w:val="nil"/>
                    <w:left w:val="nil"/>
                    <w:bottom w:val="single" w:sz="8" w:space="0" w:color="FFFFFF"/>
                    <w:right w:val="single" w:sz="8" w:space="0" w:color="FFFFFF"/>
                  </w:tcBorders>
                  <w:shd w:val="clear" w:color="000000" w:fill="FDE9D9"/>
                  <w:noWrap/>
                  <w:vAlign w:val="center"/>
                  <w:hideMark/>
                </w:tcPr>
                <w:p w14:paraId="0B3E0EE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4.7 </w:t>
                  </w:r>
                </w:p>
              </w:tc>
              <w:tc>
                <w:tcPr>
                  <w:tcW w:w="1157" w:type="dxa"/>
                  <w:tcBorders>
                    <w:top w:val="nil"/>
                    <w:left w:val="nil"/>
                    <w:bottom w:val="single" w:sz="8" w:space="0" w:color="FFFFFF"/>
                    <w:right w:val="single" w:sz="8" w:space="0" w:color="FFFFFF"/>
                  </w:tcBorders>
                  <w:shd w:val="clear" w:color="000000" w:fill="FDE9D9"/>
                  <w:noWrap/>
                  <w:vAlign w:val="center"/>
                  <w:hideMark/>
                </w:tcPr>
                <w:p w14:paraId="66CD6E1B"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205EDA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2.5 </w:t>
                  </w:r>
                </w:p>
              </w:tc>
              <w:tc>
                <w:tcPr>
                  <w:tcW w:w="921" w:type="dxa"/>
                  <w:tcBorders>
                    <w:top w:val="nil"/>
                    <w:left w:val="nil"/>
                    <w:bottom w:val="single" w:sz="8" w:space="0" w:color="FFFFFF"/>
                    <w:right w:val="single" w:sz="8" w:space="0" w:color="FFFFFF"/>
                  </w:tcBorders>
                  <w:shd w:val="clear" w:color="000000" w:fill="FDE9D9"/>
                  <w:noWrap/>
                  <w:vAlign w:val="center"/>
                  <w:hideMark/>
                </w:tcPr>
                <w:p w14:paraId="687A21F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6.5 </w:t>
                  </w:r>
                </w:p>
              </w:tc>
              <w:tc>
                <w:tcPr>
                  <w:tcW w:w="921" w:type="dxa"/>
                  <w:tcBorders>
                    <w:top w:val="nil"/>
                    <w:left w:val="nil"/>
                    <w:bottom w:val="single" w:sz="8" w:space="0" w:color="FFFFFF"/>
                    <w:right w:val="single" w:sz="8" w:space="0" w:color="FFFFFF"/>
                  </w:tcBorders>
                  <w:shd w:val="clear" w:color="000000" w:fill="FDE9D9"/>
                  <w:noWrap/>
                  <w:vAlign w:val="center"/>
                  <w:hideMark/>
                </w:tcPr>
                <w:p w14:paraId="3074D61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11.5 </w:t>
                  </w:r>
                </w:p>
              </w:tc>
              <w:tc>
                <w:tcPr>
                  <w:tcW w:w="921" w:type="dxa"/>
                  <w:tcBorders>
                    <w:top w:val="nil"/>
                    <w:left w:val="nil"/>
                    <w:bottom w:val="single" w:sz="8" w:space="0" w:color="FFFFFF"/>
                    <w:right w:val="single" w:sz="8" w:space="0" w:color="FFFFFF"/>
                  </w:tcBorders>
                  <w:shd w:val="clear" w:color="000000" w:fill="FDE9D9"/>
                  <w:noWrap/>
                  <w:vAlign w:val="center"/>
                  <w:hideMark/>
                </w:tcPr>
                <w:p w14:paraId="0D47264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11.5 </w:t>
                  </w:r>
                </w:p>
              </w:tc>
            </w:tr>
            <w:tr w:rsidR="004B4CB3" w:rsidRPr="004B4CB3" w14:paraId="7FB9F90D"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1618FA4"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6D02F4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-3.4 </w:t>
                  </w:r>
                </w:p>
              </w:tc>
              <w:tc>
                <w:tcPr>
                  <w:tcW w:w="921" w:type="dxa"/>
                  <w:tcBorders>
                    <w:top w:val="nil"/>
                    <w:left w:val="nil"/>
                    <w:bottom w:val="single" w:sz="8" w:space="0" w:color="FFFFFF"/>
                    <w:right w:val="single" w:sz="8" w:space="0" w:color="FFFFFF"/>
                  </w:tcBorders>
                  <w:shd w:val="clear" w:color="000000" w:fill="FCD5B4"/>
                  <w:noWrap/>
                  <w:vAlign w:val="center"/>
                  <w:hideMark/>
                </w:tcPr>
                <w:p w14:paraId="5BB20F6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9.6 </w:t>
                  </w:r>
                </w:p>
              </w:tc>
              <w:tc>
                <w:tcPr>
                  <w:tcW w:w="921" w:type="dxa"/>
                  <w:tcBorders>
                    <w:top w:val="nil"/>
                    <w:left w:val="nil"/>
                    <w:bottom w:val="single" w:sz="8" w:space="0" w:color="FFFFFF"/>
                    <w:right w:val="single" w:sz="8" w:space="0" w:color="FFFFFF"/>
                  </w:tcBorders>
                  <w:shd w:val="clear" w:color="000000" w:fill="FCD5B4"/>
                  <w:noWrap/>
                  <w:vAlign w:val="center"/>
                  <w:hideMark/>
                </w:tcPr>
                <w:p w14:paraId="5904E79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9.6 </w:t>
                  </w:r>
                </w:p>
              </w:tc>
              <w:tc>
                <w:tcPr>
                  <w:tcW w:w="921" w:type="dxa"/>
                  <w:tcBorders>
                    <w:top w:val="nil"/>
                    <w:left w:val="nil"/>
                    <w:bottom w:val="single" w:sz="8" w:space="0" w:color="FFFFFF"/>
                    <w:right w:val="single" w:sz="8" w:space="0" w:color="FFFFFF"/>
                  </w:tcBorders>
                  <w:shd w:val="clear" w:color="000000" w:fill="FCD5B4"/>
                  <w:noWrap/>
                  <w:vAlign w:val="center"/>
                  <w:hideMark/>
                </w:tcPr>
                <w:p w14:paraId="2C3630AD"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9.6 </w:t>
                  </w:r>
                </w:p>
              </w:tc>
              <w:tc>
                <w:tcPr>
                  <w:tcW w:w="1157" w:type="dxa"/>
                  <w:tcBorders>
                    <w:top w:val="nil"/>
                    <w:left w:val="nil"/>
                    <w:bottom w:val="single" w:sz="8" w:space="0" w:color="FFFFFF"/>
                    <w:right w:val="single" w:sz="8" w:space="0" w:color="FFFFFF"/>
                  </w:tcBorders>
                  <w:shd w:val="clear" w:color="000000" w:fill="FCD5B4"/>
                  <w:noWrap/>
                  <w:vAlign w:val="center"/>
                  <w:hideMark/>
                </w:tcPr>
                <w:p w14:paraId="35F630FE"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40C2597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1.8 </w:t>
                  </w:r>
                </w:p>
              </w:tc>
              <w:tc>
                <w:tcPr>
                  <w:tcW w:w="921" w:type="dxa"/>
                  <w:tcBorders>
                    <w:top w:val="nil"/>
                    <w:left w:val="nil"/>
                    <w:bottom w:val="single" w:sz="8" w:space="0" w:color="FFFFFF"/>
                    <w:right w:val="single" w:sz="8" w:space="0" w:color="FFFFFF"/>
                  </w:tcBorders>
                  <w:shd w:val="clear" w:color="000000" w:fill="FCD5B4"/>
                  <w:noWrap/>
                  <w:vAlign w:val="center"/>
                  <w:hideMark/>
                </w:tcPr>
                <w:p w14:paraId="7AEDFD5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14.8 </w:t>
                  </w:r>
                </w:p>
              </w:tc>
              <w:tc>
                <w:tcPr>
                  <w:tcW w:w="921" w:type="dxa"/>
                  <w:tcBorders>
                    <w:top w:val="nil"/>
                    <w:left w:val="nil"/>
                    <w:bottom w:val="single" w:sz="8" w:space="0" w:color="FFFFFF"/>
                    <w:right w:val="single" w:sz="8" w:space="0" w:color="FFFFFF"/>
                  </w:tcBorders>
                  <w:shd w:val="clear" w:color="000000" w:fill="FCD5B4"/>
                  <w:noWrap/>
                  <w:vAlign w:val="center"/>
                  <w:hideMark/>
                </w:tcPr>
                <w:p w14:paraId="171DFDA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14.8 </w:t>
                  </w:r>
                </w:p>
              </w:tc>
              <w:tc>
                <w:tcPr>
                  <w:tcW w:w="921" w:type="dxa"/>
                  <w:tcBorders>
                    <w:top w:val="nil"/>
                    <w:left w:val="nil"/>
                    <w:bottom w:val="single" w:sz="8" w:space="0" w:color="FFFFFF"/>
                    <w:right w:val="single" w:sz="8" w:space="0" w:color="FFFFFF"/>
                  </w:tcBorders>
                  <w:shd w:val="clear" w:color="000000" w:fill="FCD5B4"/>
                  <w:noWrap/>
                  <w:vAlign w:val="center"/>
                  <w:hideMark/>
                </w:tcPr>
                <w:p w14:paraId="7497D45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14.8 </w:t>
                  </w:r>
                </w:p>
              </w:tc>
            </w:tr>
            <w:tr w:rsidR="004B4CB3" w:rsidRPr="004B4CB3" w14:paraId="6C828E4E"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C9453D9"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161638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-6.3 </w:t>
                  </w:r>
                </w:p>
              </w:tc>
              <w:tc>
                <w:tcPr>
                  <w:tcW w:w="921" w:type="dxa"/>
                  <w:tcBorders>
                    <w:top w:val="nil"/>
                    <w:left w:val="nil"/>
                    <w:bottom w:val="single" w:sz="8" w:space="0" w:color="FFFFFF"/>
                    <w:right w:val="single" w:sz="8" w:space="0" w:color="FFFFFF"/>
                  </w:tcBorders>
                  <w:shd w:val="clear" w:color="000000" w:fill="FDE9D9"/>
                  <w:noWrap/>
                  <w:vAlign w:val="center"/>
                  <w:hideMark/>
                </w:tcPr>
                <w:p w14:paraId="1033242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-7.3 </w:t>
                  </w:r>
                </w:p>
              </w:tc>
              <w:tc>
                <w:tcPr>
                  <w:tcW w:w="921" w:type="dxa"/>
                  <w:tcBorders>
                    <w:top w:val="nil"/>
                    <w:left w:val="nil"/>
                    <w:bottom w:val="single" w:sz="8" w:space="0" w:color="FFFFFF"/>
                    <w:right w:val="single" w:sz="8" w:space="0" w:color="FFFFFF"/>
                  </w:tcBorders>
                  <w:shd w:val="clear" w:color="000000" w:fill="FDE9D9"/>
                  <w:noWrap/>
                  <w:vAlign w:val="center"/>
                  <w:hideMark/>
                </w:tcPr>
                <w:p w14:paraId="14FDDEC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6A5866F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4.7 </w:t>
                  </w:r>
                </w:p>
              </w:tc>
              <w:tc>
                <w:tcPr>
                  <w:tcW w:w="1157" w:type="dxa"/>
                  <w:tcBorders>
                    <w:top w:val="nil"/>
                    <w:left w:val="nil"/>
                    <w:bottom w:val="single" w:sz="8" w:space="0" w:color="FFFFFF"/>
                    <w:right w:val="single" w:sz="8" w:space="0" w:color="FFFFFF"/>
                  </w:tcBorders>
                  <w:shd w:val="clear" w:color="000000" w:fill="FDE9D9"/>
                  <w:noWrap/>
                  <w:vAlign w:val="center"/>
                  <w:hideMark/>
                </w:tcPr>
                <w:p w14:paraId="5C744001"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72C8562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0.5 </w:t>
                  </w:r>
                </w:p>
              </w:tc>
              <w:tc>
                <w:tcPr>
                  <w:tcW w:w="921" w:type="dxa"/>
                  <w:tcBorders>
                    <w:top w:val="nil"/>
                    <w:left w:val="nil"/>
                    <w:bottom w:val="single" w:sz="8" w:space="0" w:color="FFFFFF"/>
                    <w:right w:val="single" w:sz="8" w:space="0" w:color="FFFFFF"/>
                  </w:tcBorders>
                  <w:shd w:val="clear" w:color="000000" w:fill="FDE9D9"/>
                  <w:noWrap/>
                  <w:vAlign w:val="center"/>
                  <w:hideMark/>
                </w:tcPr>
                <w:p w14:paraId="0A9E16A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-0.5 </w:t>
                  </w:r>
                </w:p>
              </w:tc>
              <w:tc>
                <w:tcPr>
                  <w:tcW w:w="921" w:type="dxa"/>
                  <w:tcBorders>
                    <w:top w:val="nil"/>
                    <w:left w:val="nil"/>
                    <w:bottom w:val="single" w:sz="8" w:space="0" w:color="FFFFFF"/>
                    <w:right w:val="single" w:sz="8" w:space="0" w:color="FFFFFF"/>
                  </w:tcBorders>
                  <w:shd w:val="clear" w:color="000000" w:fill="FDE9D9"/>
                  <w:noWrap/>
                  <w:vAlign w:val="center"/>
                  <w:hideMark/>
                </w:tcPr>
                <w:p w14:paraId="6DD88BBD"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5.5 </w:t>
                  </w:r>
                </w:p>
              </w:tc>
              <w:tc>
                <w:tcPr>
                  <w:tcW w:w="921" w:type="dxa"/>
                  <w:tcBorders>
                    <w:top w:val="nil"/>
                    <w:left w:val="nil"/>
                    <w:bottom w:val="single" w:sz="8" w:space="0" w:color="FFFFFF"/>
                    <w:right w:val="single" w:sz="8" w:space="0" w:color="FFFFFF"/>
                  </w:tcBorders>
                  <w:shd w:val="clear" w:color="000000" w:fill="FDE9D9"/>
                  <w:noWrap/>
                  <w:vAlign w:val="center"/>
                  <w:hideMark/>
                </w:tcPr>
                <w:p w14:paraId="2775C7E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11.5 </w:t>
                  </w:r>
                </w:p>
              </w:tc>
            </w:tr>
            <w:tr w:rsidR="004B4CB3" w:rsidRPr="004B4CB3" w14:paraId="476B7E54"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79A38AD"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27D25E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-7.9 </w:t>
                  </w:r>
                </w:p>
              </w:tc>
              <w:tc>
                <w:tcPr>
                  <w:tcW w:w="921" w:type="dxa"/>
                  <w:tcBorders>
                    <w:top w:val="nil"/>
                    <w:left w:val="nil"/>
                    <w:bottom w:val="single" w:sz="8" w:space="0" w:color="FFFFFF"/>
                    <w:right w:val="single" w:sz="8" w:space="0" w:color="FFFFFF"/>
                  </w:tcBorders>
                  <w:shd w:val="clear" w:color="000000" w:fill="FCD5B4"/>
                  <w:noWrap/>
                  <w:vAlign w:val="center"/>
                  <w:hideMark/>
                </w:tcPr>
                <w:p w14:paraId="36230B3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-3.9 </w:t>
                  </w:r>
                </w:p>
              </w:tc>
              <w:tc>
                <w:tcPr>
                  <w:tcW w:w="921" w:type="dxa"/>
                  <w:tcBorders>
                    <w:top w:val="nil"/>
                    <w:left w:val="nil"/>
                    <w:bottom w:val="single" w:sz="8" w:space="0" w:color="FFFFFF"/>
                    <w:right w:val="single" w:sz="8" w:space="0" w:color="FFFFFF"/>
                  </w:tcBorders>
                  <w:shd w:val="clear" w:color="000000" w:fill="FCD5B4"/>
                  <w:noWrap/>
                  <w:vAlign w:val="center"/>
                  <w:hideMark/>
                </w:tcPr>
                <w:p w14:paraId="79714A9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-1.9 </w:t>
                  </w:r>
                </w:p>
              </w:tc>
              <w:tc>
                <w:tcPr>
                  <w:tcW w:w="921" w:type="dxa"/>
                  <w:tcBorders>
                    <w:top w:val="nil"/>
                    <w:left w:val="nil"/>
                    <w:bottom w:val="single" w:sz="8" w:space="0" w:color="FFFFFF"/>
                    <w:right w:val="single" w:sz="8" w:space="0" w:color="FFFFFF"/>
                  </w:tcBorders>
                  <w:shd w:val="clear" w:color="000000" w:fill="FCD5B4"/>
                  <w:noWrap/>
                  <w:vAlign w:val="center"/>
                  <w:hideMark/>
                </w:tcPr>
                <w:p w14:paraId="0A46688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4.1 </w:t>
                  </w:r>
                </w:p>
              </w:tc>
              <w:tc>
                <w:tcPr>
                  <w:tcW w:w="1157" w:type="dxa"/>
                  <w:tcBorders>
                    <w:top w:val="nil"/>
                    <w:left w:val="nil"/>
                    <w:bottom w:val="single" w:sz="8" w:space="0" w:color="FFFFFF"/>
                    <w:right w:val="single" w:sz="8" w:space="0" w:color="FFFFFF"/>
                  </w:tcBorders>
                  <w:shd w:val="clear" w:color="000000" w:fill="FCD5B4"/>
                  <w:noWrap/>
                  <w:vAlign w:val="center"/>
                  <w:hideMark/>
                </w:tcPr>
                <w:p w14:paraId="4A23EFCF"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5FB3B4F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0C32164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788CDA7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3.3 </w:t>
                  </w:r>
                </w:p>
              </w:tc>
              <w:tc>
                <w:tcPr>
                  <w:tcW w:w="921" w:type="dxa"/>
                  <w:tcBorders>
                    <w:top w:val="nil"/>
                    <w:left w:val="nil"/>
                    <w:bottom w:val="single" w:sz="8" w:space="0" w:color="FFFFFF"/>
                    <w:right w:val="single" w:sz="8" w:space="0" w:color="FFFFFF"/>
                  </w:tcBorders>
                  <w:shd w:val="clear" w:color="000000" w:fill="FCD5B4"/>
                  <w:noWrap/>
                  <w:vAlign w:val="center"/>
                  <w:hideMark/>
                </w:tcPr>
                <w:p w14:paraId="4EA5BDB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9.3 </w:t>
                  </w:r>
                </w:p>
              </w:tc>
            </w:tr>
            <w:tr w:rsidR="004B4CB3" w:rsidRPr="004B4CB3" w14:paraId="23899D07"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1DA317D"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AA93B2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394E866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-1.9 </w:t>
                  </w:r>
                </w:p>
              </w:tc>
              <w:tc>
                <w:tcPr>
                  <w:tcW w:w="921" w:type="dxa"/>
                  <w:tcBorders>
                    <w:top w:val="nil"/>
                    <w:left w:val="nil"/>
                    <w:bottom w:val="single" w:sz="8" w:space="0" w:color="FFFFFF"/>
                    <w:right w:val="single" w:sz="8" w:space="0" w:color="FFFFFF"/>
                  </w:tcBorders>
                  <w:shd w:val="clear" w:color="000000" w:fill="FDE9D9"/>
                  <w:noWrap/>
                  <w:vAlign w:val="center"/>
                  <w:hideMark/>
                </w:tcPr>
                <w:p w14:paraId="14881D3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-1.8 </w:t>
                  </w:r>
                </w:p>
              </w:tc>
              <w:tc>
                <w:tcPr>
                  <w:tcW w:w="921" w:type="dxa"/>
                  <w:tcBorders>
                    <w:top w:val="nil"/>
                    <w:left w:val="nil"/>
                    <w:bottom w:val="single" w:sz="8" w:space="0" w:color="FFFFFF"/>
                    <w:right w:val="single" w:sz="8" w:space="0" w:color="FFFFFF"/>
                  </w:tcBorders>
                  <w:shd w:val="clear" w:color="000000" w:fill="FDE9D9"/>
                  <w:noWrap/>
                  <w:vAlign w:val="center"/>
                  <w:hideMark/>
                </w:tcPr>
                <w:p w14:paraId="44D5154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3.1 </w:t>
                  </w:r>
                </w:p>
              </w:tc>
              <w:tc>
                <w:tcPr>
                  <w:tcW w:w="1157" w:type="dxa"/>
                  <w:tcBorders>
                    <w:top w:val="nil"/>
                    <w:left w:val="nil"/>
                    <w:bottom w:val="single" w:sz="8" w:space="0" w:color="FFFFFF"/>
                    <w:right w:val="single" w:sz="8" w:space="0" w:color="FFFFFF"/>
                  </w:tcBorders>
                  <w:shd w:val="clear" w:color="000000" w:fill="FDE9D9"/>
                  <w:noWrap/>
                  <w:vAlign w:val="center"/>
                  <w:hideMark/>
                </w:tcPr>
                <w:p w14:paraId="3D9F1AC4"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1BD2AB5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-3.3 </w:t>
                  </w:r>
                </w:p>
              </w:tc>
              <w:tc>
                <w:tcPr>
                  <w:tcW w:w="921" w:type="dxa"/>
                  <w:tcBorders>
                    <w:top w:val="nil"/>
                    <w:left w:val="nil"/>
                    <w:bottom w:val="single" w:sz="8" w:space="0" w:color="FFFFFF"/>
                    <w:right w:val="single" w:sz="8" w:space="0" w:color="FFFFFF"/>
                  </w:tcBorders>
                  <w:shd w:val="clear" w:color="000000" w:fill="FDE9D9"/>
                  <w:noWrap/>
                  <w:vAlign w:val="center"/>
                  <w:hideMark/>
                </w:tcPr>
                <w:p w14:paraId="7C04162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43D29F1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022D6BB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5.7 </w:t>
                  </w:r>
                </w:p>
              </w:tc>
            </w:tr>
            <w:tr w:rsidR="004B4CB3" w:rsidRPr="004B4CB3" w14:paraId="1E81BDD8"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159D7B4"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1EB5142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-0.5 </w:t>
                  </w:r>
                </w:p>
              </w:tc>
              <w:tc>
                <w:tcPr>
                  <w:tcW w:w="921" w:type="dxa"/>
                  <w:tcBorders>
                    <w:top w:val="nil"/>
                    <w:left w:val="nil"/>
                    <w:bottom w:val="single" w:sz="8" w:space="0" w:color="FFFFFF"/>
                    <w:right w:val="single" w:sz="8" w:space="0" w:color="FFFFFF"/>
                  </w:tcBorders>
                  <w:shd w:val="clear" w:color="000000" w:fill="FCD5B4"/>
                  <w:noWrap/>
                  <w:vAlign w:val="center"/>
                  <w:hideMark/>
                </w:tcPr>
                <w:p w14:paraId="23D29DB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-3.5 </w:t>
                  </w:r>
                </w:p>
              </w:tc>
              <w:tc>
                <w:tcPr>
                  <w:tcW w:w="921" w:type="dxa"/>
                  <w:tcBorders>
                    <w:top w:val="nil"/>
                    <w:left w:val="nil"/>
                    <w:bottom w:val="single" w:sz="8" w:space="0" w:color="FFFFFF"/>
                    <w:right w:val="single" w:sz="8" w:space="0" w:color="FFFFFF"/>
                  </w:tcBorders>
                  <w:shd w:val="clear" w:color="000000" w:fill="FCD5B4"/>
                  <w:noWrap/>
                  <w:vAlign w:val="center"/>
                  <w:hideMark/>
                </w:tcPr>
                <w:p w14:paraId="61FA54B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-0.5 </w:t>
                  </w:r>
                </w:p>
              </w:tc>
              <w:tc>
                <w:tcPr>
                  <w:tcW w:w="921" w:type="dxa"/>
                  <w:tcBorders>
                    <w:top w:val="nil"/>
                    <w:left w:val="nil"/>
                    <w:bottom w:val="single" w:sz="8" w:space="0" w:color="FFFFFF"/>
                    <w:right w:val="single" w:sz="8" w:space="0" w:color="FFFFFF"/>
                  </w:tcBorders>
                  <w:shd w:val="clear" w:color="000000" w:fill="FCD5B4"/>
                  <w:noWrap/>
                  <w:vAlign w:val="center"/>
                  <w:hideMark/>
                </w:tcPr>
                <w:p w14:paraId="5B91EB3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2.5 </w:t>
                  </w:r>
                </w:p>
              </w:tc>
              <w:tc>
                <w:tcPr>
                  <w:tcW w:w="1157" w:type="dxa"/>
                  <w:tcBorders>
                    <w:top w:val="nil"/>
                    <w:left w:val="nil"/>
                    <w:bottom w:val="single" w:sz="8" w:space="0" w:color="FFFFFF"/>
                    <w:right w:val="single" w:sz="8" w:space="0" w:color="FFFFFF"/>
                  </w:tcBorders>
                  <w:shd w:val="clear" w:color="000000" w:fill="FCD5B4"/>
                  <w:noWrap/>
                  <w:vAlign w:val="center"/>
                  <w:hideMark/>
                </w:tcPr>
                <w:p w14:paraId="07FA8AC9"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31AAEBA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051F4D1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3.3 </w:t>
                  </w:r>
                </w:p>
              </w:tc>
              <w:tc>
                <w:tcPr>
                  <w:tcW w:w="921" w:type="dxa"/>
                  <w:tcBorders>
                    <w:top w:val="nil"/>
                    <w:left w:val="nil"/>
                    <w:bottom w:val="single" w:sz="8" w:space="0" w:color="FFFFFF"/>
                    <w:right w:val="single" w:sz="8" w:space="0" w:color="FFFFFF"/>
                  </w:tcBorders>
                  <w:shd w:val="clear" w:color="000000" w:fill="FCD5B4"/>
                  <w:noWrap/>
                  <w:vAlign w:val="center"/>
                  <w:hideMark/>
                </w:tcPr>
                <w:p w14:paraId="1CDC787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5107422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9.3 </w:t>
                  </w:r>
                </w:p>
              </w:tc>
            </w:tr>
            <w:tr w:rsidR="004B4CB3" w:rsidRPr="004B4CB3" w14:paraId="42B3DCFA"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25CBB9E"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6A96866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-7.0 </w:t>
                  </w:r>
                </w:p>
              </w:tc>
              <w:tc>
                <w:tcPr>
                  <w:tcW w:w="921" w:type="dxa"/>
                  <w:tcBorders>
                    <w:top w:val="nil"/>
                    <w:left w:val="nil"/>
                    <w:bottom w:val="single" w:sz="8" w:space="0" w:color="FFFFFF"/>
                    <w:right w:val="single" w:sz="8" w:space="0" w:color="FFFFFF"/>
                  </w:tcBorders>
                  <w:shd w:val="clear" w:color="000000" w:fill="FDE9D9"/>
                  <w:noWrap/>
                  <w:vAlign w:val="center"/>
                  <w:hideMark/>
                </w:tcPr>
                <w:p w14:paraId="2BAFB7F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-8.0 </w:t>
                  </w:r>
                </w:p>
              </w:tc>
              <w:tc>
                <w:tcPr>
                  <w:tcW w:w="921" w:type="dxa"/>
                  <w:tcBorders>
                    <w:top w:val="nil"/>
                    <w:left w:val="nil"/>
                    <w:bottom w:val="single" w:sz="8" w:space="0" w:color="FFFFFF"/>
                    <w:right w:val="single" w:sz="8" w:space="0" w:color="FFFFFF"/>
                  </w:tcBorders>
                  <w:shd w:val="clear" w:color="000000" w:fill="FDE9D9"/>
                  <w:noWrap/>
                  <w:vAlign w:val="center"/>
                  <w:hideMark/>
                </w:tcPr>
                <w:p w14:paraId="0F31A40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-2.0 </w:t>
                  </w:r>
                </w:p>
              </w:tc>
              <w:tc>
                <w:tcPr>
                  <w:tcW w:w="921" w:type="dxa"/>
                  <w:tcBorders>
                    <w:top w:val="nil"/>
                    <w:left w:val="nil"/>
                    <w:bottom w:val="single" w:sz="8" w:space="0" w:color="FFFFFF"/>
                    <w:right w:val="single" w:sz="8" w:space="0" w:color="FFFFFF"/>
                  </w:tcBorders>
                  <w:shd w:val="clear" w:color="000000" w:fill="FDE9D9"/>
                  <w:noWrap/>
                  <w:vAlign w:val="center"/>
                  <w:hideMark/>
                </w:tcPr>
                <w:p w14:paraId="7E6E487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-1.0 </w:t>
                  </w:r>
                </w:p>
              </w:tc>
              <w:tc>
                <w:tcPr>
                  <w:tcW w:w="1157" w:type="dxa"/>
                  <w:tcBorders>
                    <w:top w:val="nil"/>
                    <w:left w:val="nil"/>
                    <w:bottom w:val="single" w:sz="8" w:space="0" w:color="FFFFFF"/>
                    <w:right w:val="single" w:sz="8" w:space="0" w:color="FFFFFF"/>
                  </w:tcBorders>
                  <w:shd w:val="clear" w:color="000000" w:fill="FDE9D9"/>
                  <w:noWrap/>
                  <w:vAlign w:val="center"/>
                  <w:hideMark/>
                </w:tcPr>
                <w:p w14:paraId="67DF6967"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00DB82A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-1.8 </w:t>
                  </w:r>
                </w:p>
              </w:tc>
              <w:tc>
                <w:tcPr>
                  <w:tcW w:w="921" w:type="dxa"/>
                  <w:tcBorders>
                    <w:top w:val="nil"/>
                    <w:left w:val="nil"/>
                    <w:bottom w:val="single" w:sz="8" w:space="0" w:color="FFFFFF"/>
                    <w:right w:val="single" w:sz="8" w:space="0" w:color="FFFFFF"/>
                  </w:tcBorders>
                  <w:shd w:val="clear" w:color="000000" w:fill="FDE9D9"/>
                  <w:noWrap/>
                  <w:vAlign w:val="center"/>
                  <w:hideMark/>
                </w:tcPr>
                <w:p w14:paraId="002F887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-2.8 </w:t>
                  </w:r>
                </w:p>
              </w:tc>
              <w:tc>
                <w:tcPr>
                  <w:tcW w:w="921" w:type="dxa"/>
                  <w:tcBorders>
                    <w:top w:val="nil"/>
                    <w:left w:val="nil"/>
                    <w:bottom w:val="single" w:sz="8" w:space="0" w:color="FFFFFF"/>
                    <w:right w:val="single" w:sz="8" w:space="0" w:color="FFFFFF"/>
                  </w:tcBorders>
                  <w:shd w:val="clear" w:color="000000" w:fill="FDE9D9"/>
                  <w:noWrap/>
                  <w:vAlign w:val="center"/>
                  <w:hideMark/>
                </w:tcPr>
                <w:p w14:paraId="3A935AF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3.2 </w:t>
                  </w:r>
                </w:p>
              </w:tc>
              <w:tc>
                <w:tcPr>
                  <w:tcW w:w="921" w:type="dxa"/>
                  <w:tcBorders>
                    <w:top w:val="nil"/>
                    <w:left w:val="nil"/>
                    <w:bottom w:val="single" w:sz="8" w:space="0" w:color="FFFFFF"/>
                    <w:right w:val="single" w:sz="8" w:space="0" w:color="FFFFFF"/>
                  </w:tcBorders>
                  <w:shd w:val="clear" w:color="000000" w:fill="FDE9D9"/>
                  <w:noWrap/>
                  <w:vAlign w:val="center"/>
                  <w:hideMark/>
                </w:tcPr>
                <w:p w14:paraId="4215358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 xml:space="preserve">4.2 </w:t>
                  </w:r>
                </w:p>
              </w:tc>
            </w:tr>
            <w:tr w:rsidR="004B4CB3" w:rsidRPr="004B4CB3" w14:paraId="7E9D1FA4" w14:textId="77777777" w:rsidTr="004B4CB3">
              <w:trPr>
                <w:trHeight w:val="300"/>
              </w:trPr>
              <w:tc>
                <w:tcPr>
                  <w:tcW w:w="1350" w:type="dxa"/>
                  <w:tcBorders>
                    <w:top w:val="nil"/>
                    <w:left w:val="nil"/>
                    <w:bottom w:val="nil"/>
                    <w:right w:val="nil"/>
                  </w:tcBorders>
                  <w:shd w:val="clear" w:color="000000" w:fill="FCD5B4"/>
                  <w:noWrap/>
                  <w:vAlign w:val="center"/>
                  <w:hideMark/>
                </w:tcPr>
                <w:p w14:paraId="0931479A"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42949E2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-6.7 </w:t>
                  </w:r>
                </w:p>
              </w:tc>
              <w:tc>
                <w:tcPr>
                  <w:tcW w:w="921" w:type="dxa"/>
                  <w:tcBorders>
                    <w:top w:val="nil"/>
                    <w:left w:val="nil"/>
                    <w:bottom w:val="single" w:sz="8" w:space="0" w:color="FFFFFF"/>
                    <w:right w:val="single" w:sz="8" w:space="0" w:color="FFFFFF"/>
                  </w:tcBorders>
                  <w:shd w:val="clear" w:color="000000" w:fill="FCD5B4"/>
                  <w:noWrap/>
                  <w:vAlign w:val="center"/>
                  <w:hideMark/>
                </w:tcPr>
                <w:p w14:paraId="5A85569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-6.7 </w:t>
                  </w:r>
                </w:p>
              </w:tc>
              <w:tc>
                <w:tcPr>
                  <w:tcW w:w="921" w:type="dxa"/>
                  <w:tcBorders>
                    <w:top w:val="nil"/>
                    <w:left w:val="nil"/>
                    <w:bottom w:val="single" w:sz="8" w:space="0" w:color="FFFFFF"/>
                    <w:right w:val="single" w:sz="8" w:space="0" w:color="FFFFFF"/>
                  </w:tcBorders>
                  <w:shd w:val="clear" w:color="000000" w:fill="FCD5B4"/>
                  <w:noWrap/>
                  <w:vAlign w:val="center"/>
                  <w:hideMark/>
                </w:tcPr>
                <w:p w14:paraId="4858308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-3.7 </w:t>
                  </w:r>
                </w:p>
              </w:tc>
              <w:tc>
                <w:tcPr>
                  <w:tcW w:w="921" w:type="dxa"/>
                  <w:tcBorders>
                    <w:top w:val="nil"/>
                    <w:left w:val="nil"/>
                    <w:bottom w:val="single" w:sz="8" w:space="0" w:color="FFFFFF"/>
                    <w:right w:val="single" w:sz="8" w:space="0" w:color="FFFFFF"/>
                  </w:tcBorders>
                  <w:shd w:val="clear" w:color="000000" w:fill="FCD5B4"/>
                  <w:noWrap/>
                  <w:vAlign w:val="center"/>
                  <w:hideMark/>
                </w:tcPr>
                <w:p w14:paraId="7A49A78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-2.7 </w:t>
                  </w:r>
                </w:p>
              </w:tc>
              <w:tc>
                <w:tcPr>
                  <w:tcW w:w="1157" w:type="dxa"/>
                  <w:tcBorders>
                    <w:top w:val="nil"/>
                    <w:left w:val="nil"/>
                    <w:bottom w:val="nil"/>
                    <w:right w:val="nil"/>
                  </w:tcBorders>
                  <w:shd w:val="clear" w:color="000000" w:fill="FCD5B4"/>
                  <w:noWrap/>
                  <w:vAlign w:val="center"/>
                  <w:hideMark/>
                </w:tcPr>
                <w:p w14:paraId="76AD61CD"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748DDB4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CD5B4"/>
                  <w:noWrap/>
                  <w:vAlign w:val="center"/>
                  <w:hideMark/>
                </w:tcPr>
                <w:p w14:paraId="0122ED1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CD5B4"/>
                  <w:noWrap/>
                  <w:vAlign w:val="center"/>
                  <w:hideMark/>
                </w:tcPr>
                <w:p w14:paraId="33EF712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-1.2 </w:t>
                  </w:r>
                </w:p>
              </w:tc>
              <w:tc>
                <w:tcPr>
                  <w:tcW w:w="921" w:type="dxa"/>
                  <w:tcBorders>
                    <w:top w:val="nil"/>
                    <w:left w:val="nil"/>
                    <w:bottom w:val="single" w:sz="8" w:space="0" w:color="FFFFFF"/>
                    <w:right w:val="single" w:sz="8" w:space="0" w:color="FFFFFF"/>
                  </w:tcBorders>
                  <w:shd w:val="clear" w:color="000000" w:fill="FCD5B4"/>
                  <w:noWrap/>
                  <w:vAlign w:val="center"/>
                  <w:hideMark/>
                </w:tcPr>
                <w:p w14:paraId="03D4325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FF0000"/>
                      <w:kern w:val="0"/>
                      <w:szCs w:val="21"/>
                    </w:rPr>
                    <w:t xml:space="preserve">-0.2 </w:t>
                  </w:r>
                </w:p>
              </w:tc>
            </w:tr>
            <w:tr w:rsidR="004B4CB3" w:rsidRPr="004B4CB3" w14:paraId="0CA4325F" w14:textId="77777777" w:rsidTr="004B4CB3">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50DAC1A8"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73441B53"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6D9426E"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7D6326E"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F596FD7"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052468B2"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0D1231E"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23D276A"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F1DEE78"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A5226B9" w14:textId="77777777" w:rsidR="004B4CB3" w:rsidRPr="004B4CB3" w:rsidRDefault="004B4CB3" w:rsidP="004B4CB3">
                  <w:pPr>
                    <w:widowControl/>
                    <w:jc w:val="center"/>
                    <w:rPr>
                      <w:rFonts w:ascii="楷体" w:eastAsia="楷体" w:hAnsi="楷体" w:cs="宋体"/>
                      <w:b/>
                      <w:bCs/>
                      <w:color w:val="FFFFFF"/>
                      <w:kern w:val="0"/>
                      <w:sz w:val="20"/>
                      <w:szCs w:val="20"/>
                    </w:rPr>
                  </w:pPr>
                  <w:r w:rsidRPr="004B4CB3">
                    <w:rPr>
                      <w:rFonts w:ascii="楷体" w:eastAsia="楷体" w:hAnsi="楷体" w:cs="宋体" w:hint="eastAsia"/>
                      <w:b/>
                      <w:bCs/>
                      <w:color w:val="FFFFFF"/>
                      <w:kern w:val="0"/>
                      <w:sz w:val="20"/>
                      <w:szCs w:val="20"/>
                    </w:rPr>
                    <w:t>AA-</w:t>
                  </w:r>
                </w:p>
              </w:tc>
            </w:tr>
            <w:tr w:rsidR="004B4CB3" w:rsidRPr="004B4CB3" w14:paraId="0386394D" w14:textId="77777777" w:rsidTr="004B4CB3">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122D0B9B"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6522E96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32%</w:t>
                  </w:r>
                </w:p>
              </w:tc>
              <w:tc>
                <w:tcPr>
                  <w:tcW w:w="921" w:type="dxa"/>
                  <w:tcBorders>
                    <w:top w:val="nil"/>
                    <w:left w:val="nil"/>
                    <w:bottom w:val="single" w:sz="8" w:space="0" w:color="FFFFFF"/>
                    <w:right w:val="single" w:sz="8" w:space="0" w:color="FFFFFF"/>
                  </w:tcBorders>
                  <w:shd w:val="clear" w:color="000000" w:fill="FCD5B4"/>
                  <w:noWrap/>
                  <w:vAlign w:val="center"/>
                  <w:hideMark/>
                </w:tcPr>
                <w:p w14:paraId="0761528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37%</w:t>
                  </w:r>
                </w:p>
              </w:tc>
              <w:tc>
                <w:tcPr>
                  <w:tcW w:w="921" w:type="dxa"/>
                  <w:tcBorders>
                    <w:top w:val="nil"/>
                    <w:left w:val="nil"/>
                    <w:bottom w:val="single" w:sz="8" w:space="0" w:color="FFFFFF"/>
                    <w:right w:val="single" w:sz="8" w:space="0" w:color="FFFFFF"/>
                  </w:tcBorders>
                  <w:shd w:val="clear" w:color="000000" w:fill="FCD5B4"/>
                  <w:noWrap/>
                  <w:vAlign w:val="center"/>
                  <w:hideMark/>
                </w:tcPr>
                <w:p w14:paraId="3BA73E9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40%</w:t>
                  </w:r>
                </w:p>
              </w:tc>
              <w:tc>
                <w:tcPr>
                  <w:tcW w:w="921" w:type="dxa"/>
                  <w:tcBorders>
                    <w:top w:val="nil"/>
                    <w:left w:val="nil"/>
                    <w:bottom w:val="single" w:sz="8" w:space="0" w:color="FFFFFF"/>
                    <w:right w:val="single" w:sz="8" w:space="0" w:color="FFFFFF"/>
                  </w:tcBorders>
                  <w:shd w:val="clear" w:color="000000" w:fill="FCD5B4"/>
                  <w:noWrap/>
                  <w:vAlign w:val="center"/>
                  <w:hideMark/>
                </w:tcPr>
                <w:p w14:paraId="1A19CA6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68%</w:t>
                  </w:r>
                </w:p>
              </w:tc>
              <w:tc>
                <w:tcPr>
                  <w:tcW w:w="1157" w:type="dxa"/>
                  <w:tcBorders>
                    <w:top w:val="nil"/>
                    <w:left w:val="nil"/>
                    <w:bottom w:val="single" w:sz="8" w:space="0" w:color="FFFFFF"/>
                    <w:right w:val="single" w:sz="8" w:space="0" w:color="FFFFFF"/>
                  </w:tcBorders>
                  <w:shd w:val="clear" w:color="000000" w:fill="FCD5B4"/>
                  <w:noWrap/>
                  <w:vAlign w:val="center"/>
                  <w:hideMark/>
                </w:tcPr>
                <w:p w14:paraId="6A76A230"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6439044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7A66B0E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CD5B4"/>
                  <w:noWrap/>
                  <w:vAlign w:val="center"/>
                  <w:hideMark/>
                </w:tcPr>
                <w:p w14:paraId="509E3B5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FC7CE"/>
                  <w:noWrap/>
                  <w:vAlign w:val="center"/>
                  <w:hideMark/>
                </w:tcPr>
                <w:p w14:paraId="6157E201" w14:textId="77777777" w:rsidR="004B4CB3" w:rsidRPr="004B4CB3" w:rsidRDefault="004B4CB3" w:rsidP="004B4CB3">
                  <w:pPr>
                    <w:widowControl/>
                    <w:jc w:val="center"/>
                    <w:rPr>
                      <w:rFonts w:eastAsia="等线" w:cs="Calibri"/>
                      <w:color w:val="9C0006"/>
                      <w:kern w:val="0"/>
                      <w:szCs w:val="21"/>
                    </w:rPr>
                  </w:pPr>
                  <w:r w:rsidRPr="004B4CB3">
                    <w:rPr>
                      <w:rFonts w:eastAsia="等线" w:cs="Calibri"/>
                      <w:color w:val="9C0006"/>
                      <w:kern w:val="0"/>
                      <w:szCs w:val="21"/>
                    </w:rPr>
                    <w:t>86%</w:t>
                  </w:r>
                </w:p>
              </w:tc>
            </w:tr>
            <w:tr w:rsidR="004B4CB3" w:rsidRPr="004B4CB3" w14:paraId="754B25D6"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F50F8E4"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70692C5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DE9D9"/>
                  <w:noWrap/>
                  <w:vAlign w:val="center"/>
                  <w:hideMark/>
                </w:tcPr>
                <w:p w14:paraId="0DD662C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35%</w:t>
                  </w:r>
                </w:p>
              </w:tc>
              <w:tc>
                <w:tcPr>
                  <w:tcW w:w="921" w:type="dxa"/>
                  <w:tcBorders>
                    <w:top w:val="nil"/>
                    <w:left w:val="nil"/>
                    <w:bottom w:val="single" w:sz="8" w:space="0" w:color="FFFFFF"/>
                    <w:right w:val="single" w:sz="8" w:space="0" w:color="FFFFFF"/>
                  </w:tcBorders>
                  <w:shd w:val="clear" w:color="000000" w:fill="FDE9D9"/>
                  <w:noWrap/>
                  <w:vAlign w:val="center"/>
                  <w:hideMark/>
                </w:tcPr>
                <w:p w14:paraId="7497C15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36%</w:t>
                  </w:r>
                </w:p>
              </w:tc>
              <w:tc>
                <w:tcPr>
                  <w:tcW w:w="921" w:type="dxa"/>
                  <w:tcBorders>
                    <w:top w:val="nil"/>
                    <w:left w:val="nil"/>
                    <w:bottom w:val="single" w:sz="8" w:space="0" w:color="FFFFFF"/>
                    <w:right w:val="single" w:sz="8" w:space="0" w:color="FFFFFF"/>
                  </w:tcBorders>
                  <w:shd w:val="clear" w:color="000000" w:fill="FDE9D9"/>
                  <w:noWrap/>
                  <w:vAlign w:val="center"/>
                  <w:hideMark/>
                </w:tcPr>
                <w:p w14:paraId="7CE1BD2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69%</w:t>
                  </w:r>
                </w:p>
              </w:tc>
              <w:tc>
                <w:tcPr>
                  <w:tcW w:w="1157" w:type="dxa"/>
                  <w:tcBorders>
                    <w:top w:val="nil"/>
                    <w:left w:val="nil"/>
                    <w:bottom w:val="single" w:sz="8" w:space="0" w:color="FFFFFF"/>
                    <w:right w:val="single" w:sz="8" w:space="0" w:color="FFFFFF"/>
                  </w:tcBorders>
                  <w:shd w:val="clear" w:color="000000" w:fill="FDE9D9"/>
                  <w:noWrap/>
                  <w:vAlign w:val="center"/>
                  <w:hideMark/>
                </w:tcPr>
                <w:p w14:paraId="7B23C176"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25C1C2C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155A305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34%</w:t>
                  </w:r>
                </w:p>
              </w:tc>
              <w:tc>
                <w:tcPr>
                  <w:tcW w:w="921" w:type="dxa"/>
                  <w:tcBorders>
                    <w:top w:val="nil"/>
                    <w:left w:val="nil"/>
                    <w:bottom w:val="single" w:sz="8" w:space="0" w:color="FFFFFF"/>
                    <w:right w:val="single" w:sz="8" w:space="0" w:color="FFFFFF"/>
                  </w:tcBorders>
                  <w:shd w:val="clear" w:color="000000" w:fill="FDE9D9"/>
                  <w:noWrap/>
                  <w:vAlign w:val="center"/>
                  <w:hideMark/>
                </w:tcPr>
                <w:p w14:paraId="3FFCA66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33%</w:t>
                  </w:r>
                </w:p>
              </w:tc>
              <w:tc>
                <w:tcPr>
                  <w:tcW w:w="921" w:type="dxa"/>
                  <w:tcBorders>
                    <w:top w:val="nil"/>
                    <w:left w:val="nil"/>
                    <w:bottom w:val="single" w:sz="8" w:space="0" w:color="FFFFFF"/>
                    <w:right w:val="single" w:sz="8" w:space="0" w:color="FFFFFF"/>
                  </w:tcBorders>
                  <w:shd w:val="clear" w:color="000000" w:fill="FFC7CE"/>
                  <w:noWrap/>
                  <w:vAlign w:val="center"/>
                  <w:hideMark/>
                </w:tcPr>
                <w:p w14:paraId="5A89D8B3" w14:textId="77777777" w:rsidR="004B4CB3" w:rsidRPr="004B4CB3" w:rsidRDefault="004B4CB3" w:rsidP="004B4CB3">
                  <w:pPr>
                    <w:widowControl/>
                    <w:jc w:val="center"/>
                    <w:rPr>
                      <w:rFonts w:eastAsia="等线" w:cs="Calibri"/>
                      <w:color w:val="9C0006"/>
                      <w:kern w:val="0"/>
                      <w:szCs w:val="21"/>
                    </w:rPr>
                  </w:pPr>
                  <w:r w:rsidRPr="004B4CB3">
                    <w:rPr>
                      <w:rFonts w:eastAsia="等线" w:cs="Calibri"/>
                      <w:color w:val="9C0006"/>
                      <w:kern w:val="0"/>
                      <w:szCs w:val="21"/>
                    </w:rPr>
                    <w:t>88%</w:t>
                  </w:r>
                </w:p>
              </w:tc>
            </w:tr>
            <w:tr w:rsidR="004B4CB3" w:rsidRPr="004B4CB3" w14:paraId="463DEF09"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EF788A3"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5941C5D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4B4F567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CD5B4"/>
                  <w:noWrap/>
                  <w:vAlign w:val="center"/>
                  <w:hideMark/>
                </w:tcPr>
                <w:p w14:paraId="3DB413A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28%</w:t>
                  </w:r>
                </w:p>
              </w:tc>
              <w:tc>
                <w:tcPr>
                  <w:tcW w:w="921" w:type="dxa"/>
                  <w:tcBorders>
                    <w:top w:val="nil"/>
                    <w:left w:val="nil"/>
                    <w:bottom w:val="single" w:sz="8" w:space="0" w:color="FFFFFF"/>
                    <w:right w:val="single" w:sz="8" w:space="0" w:color="FFFFFF"/>
                  </w:tcBorders>
                  <w:shd w:val="clear" w:color="000000" w:fill="FCD5B4"/>
                  <w:noWrap/>
                  <w:vAlign w:val="center"/>
                  <w:hideMark/>
                </w:tcPr>
                <w:p w14:paraId="4061D48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69%</w:t>
                  </w:r>
                </w:p>
              </w:tc>
              <w:tc>
                <w:tcPr>
                  <w:tcW w:w="1157" w:type="dxa"/>
                  <w:tcBorders>
                    <w:top w:val="nil"/>
                    <w:left w:val="nil"/>
                    <w:bottom w:val="single" w:sz="8" w:space="0" w:color="FFFFFF"/>
                    <w:right w:val="single" w:sz="8" w:space="0" w:color="FFFFFF"/>
                  </w:tcBorders>
                  <w:shd w:val="clear" w:color="000000" w:fill="FCD5B4"/>
                  <w:noWrap/>
                  <w:vAlign w:val="center"/>
                  <w:hideMark/>
                </w:tcPr>
                <w:p w14:paraId="04229B4E"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3EACC08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0462AF9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35%</w:t>
                  </w:r>
                </w:p>
              </w:tc>
              <w:tc>
                <w:tcPr>
                  <w:tcW w:w="921" w:type="dxa"/>
                  <w:tcBorders>
                    <w:top w:val="nil"/>
                    <w:left w:val="nil"/>
                    <w:bottom w:val="single" w:sz="8" w:space="0" w:color="FFFFFF"/>
                    <w:right w:val="single" w:sz="8" w:space="0" w:color="FFFFFF"/>
                  </w:tcBorders>
                  <w:shd w:val="clear" w:color="000000" w:fill="FCD5B4"/>
                  <w:noWrap/>
                  <w:vAlign w:val="center"/>
                  <w:hideMark/>
                </w:tcPr>
                <w:p w14:paraId="58F6342D"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FC7CE"/>
                  <w:noWrap/>
                  <w:vAlign w:val="center"/>
                  <w:hideMark/>
                </w:tcPr>
                <w:p w14:paraId="783C8EC4" w14:textId="77777777" w:rsidR="004B4CB3" w:rsidRPr="004B4CB3" w:rsidRDefault="004B4CB3" w:rsidP="004B4CB3">
                  <w:pPr>
                    <w:widowControl/>
                    <w:jc w:val="center"/>
                    <w:rPr>
                      <w:rFonts w:eastAsia="等线" w:cs="Calibri"/>
                      <w:color w:val="9C0006"/>
                      <w:kern w:val="0"/>
                      <w:szCs w:val="21"/>
                    </w:rPr>
                  </w:pPr>
                  <w:r w:rsidRPr="004B4CB3">
                    <w:rPr>
                      <w:rFonts w:eastAsia="等线" w:cs="Calibri"/>
                      <w:color w:val="9C0006"/>
                      <w:kern w:val="0"/>
                      <w:szCs w:val="21"/>
                    </w:rPr>
                    <w:t>86%</w:t>
                  </w:r>
                </w:p>
              </w:tc>
            </w:tr>
            <w:tr w:rsidR="004B4CB3" w:rsidRPr="004B4CB3" w14:paraId="6EC145A0"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1081398"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3DE49A9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DE9D9"/>
                  <w:noWrap/>
                  <w:vAlign w:val="center"/>
                  <w:hideMark/>
                </w:tcPr>
                <w:p w14:paraId="060A792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29%</w:t>
                  </w:r>
                </w:p>
              </w:tc>
              <w:tc>
                <w:tcPr>
                  <w:tcW w:w="921" w:type="dxa"/>
                  <w:tcBorders>
                    <w:top w:val="nil"/>
                    <w:left w:val="nil"/>
                    <w:bottom w:val="single" w:sz="8" w:space="0" w:color="FFFFFF"/>
                    <w:right w:val="single" w:sz="8" w:space="0" w:color="FFFFFF"/>
                  </w:tcBorders>
                  <w:shd w:val="clear" w:color="000000" w:fill="FDE9D9"/>
                  <w:noWrap/>
                  <w:vAlign w:val="center"/>
                  <w:hideMark/>
                </w:tcPr>
                <w:p w14:paraId="5AD79EA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31%</w:t>
                  </w:r>
                </w:p>
              </w:tc>
              <w:tc>
                <w:tcPr>
                  <w:tcW w:w="921" w:type="dxa"/>
                  <w:tcBorders>
                    <w:top w:val="nil"/>
                    <w:left w:val="nil"/>
                    <w:bottom w:val="single" w:sz="8" w:space="0" w:color="FFFFFF"/>
                    <w:right w:val="single" w:sz="8" w:space="0" w:color="FFFFFF"/>
                  </w:tcBorders>
                  <w:shd w:val="clear" w:color="000000" w:fill="FDE9D9"/>
                  <w:noWrap/>
                  <w:vAlign w:val="center"/>
                  <w:hideMark/>
                </w:tcPr>
                <w:p w14:paraId="1CEDFDF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64%</w:t>
                  </w:r>
                </w:p>
              </w:tc>
              <w:tc>
                <w:tcPr>
                  <w:tcW w:w="1157" w:type="dxa"/>
                  <w:tcBorders>
                    <w:top w:val="nil"/>
                    <w:left w:val="nil"/>
                    <w:bottom w:val="single" w:sz="8" w:space="0" w:color="FFFFFF"/>
                    <w:right w:val="single" w:sz="8" w:space="0" w:color="FFFFFF"/>
                  </w:tcBorders>
                  <w:shd w:val="clear" w:color="000000" w:fill="FDE9D9"/>
                  <w:noWrap/>
                  <w:vAlign w:val="center"/>
                  <w:hideMark/>
                </w:tcPr>
                <w:p w14:paraId="71353815"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21B57CC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4A80E7F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DE9D9"/>
                  <w:noWrap/>
                  <w:vAlign w:val="center"/>
                  <w:hideMark/>
                </w:tcPr>
                <w:p w14:paraId="4E4EAF8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DE9D9"/>
                  <w:noWrap/>
                  <w:vAlign w:val="center"/>
                  <w:hideMark/>
                </w:tcPr>
                <w:p w14:paraId="3BB01FD0"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79%</w:t>
                  </w:r>
                </w:p>
              </w:tc>
            </w:tr>
            <w:tr w:rsidR="004B4CB3" w:rsidRPr="004B4CB3" w14:paraId="5EB74B0C"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7990DE1"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15B622D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076465F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CD5B4"/>
                  <w:noWrap/>
                  <w:vAlign w:val="center"/>
                  <w:hideMark/>
                </w:tcPr>
                <w:p w14:paraId="31A9250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40FE450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59%</w:t>
                  </w:r>
                </w:p>
              </w:tc>
              <w:tc>
                <w:tcPr>
                  <w:tcW w:w="1157" w:type="dxa"/>
                  <w:tcBorders>
                    <w:top w:val="nil"/>
                    <w:left w:val="nil"/>
                    <w:bottom w:val="single" w:sz="8" w:space="0" w:color="FFFFFF"/>
                    <w:right w:val="single" w:sz="8" w:space="0" w:color="FFFFFF"/>
                  </w:tcBorders>
                  <w:shd w:val="clear" w:color="000000" w:fill="FCD5B4"/>
                  <w:noWrap/>
                  <w:vAlign w:val="center"/>
                  <w:hideMark/>
                </w:tcPr>
                <w:p w14:paraId="75AADBF5"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36C52B9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4526BED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7A73F64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4DBCCAA7"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74%</w:t>
                  </w:r>
                </w:p>
              </w:tc>
            </w:tr>
            <w:tr w:rsidR="004B4CB3" w:rsidRPr="004B4CB3" w14:paraId="3ACDAC4F"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8C6F828"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42AE67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3CD8CF4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6493D0E5"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15C1CAB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53%</w:t>
                  </w:r>
                </w:p>
              </w:tc>
              <w:tc>
                <w:tcPr>
                  <w:tcW w:w="1157" w:type="dxa"/>
                  <w:tcBorders>
                    <w:top w:val="nil"/>
                    <w:left w:val="nil"/>
                    <w:bottom w:val="single" w:sz="8" w:space="0" w:color="FFFFFF"/>
                    <w:right w:val="single" w:sz="8" w:space="0" w:color="FFFFFF"/>
                  </w:tcBorders>
                  <w:shd w:val="clear" w:color="000000" w:fill="FDE9D9"/>
                  <w:noWrap/>
                  <w:vAlign w:val="center"/>
                  <w:hideMark/>
                </w:tcPr>
                <w:p w14:paraId="4689B88D" w14:textId="77777777" w:rsidR="004B4CB3" w:rsidRPr="004B4CB3" w:rsidRDefault="004B4CB3" w:rsidP="004B4CB3">
                  <w:pPr>
                    <w:widowControl/>
                    <w:jc w:val="center"/>
                    <w:rPr>
                      <w:rFonts w:ascii="楷体" w:eastAsia="楷体" w:hAnsi="楷体" w:cs="宋体"/>
                      <w:color w:val="000000"/>
                      <w:kern w:val="0"/>
                      <w:sz w:val="20"/>
                      <w:szCs w:val="20"/>
                    </w:rPr>
                  </w:pPr>
                  <w:r w:rsidRPr="004B4CB3">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2C79C14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55F99D2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640E0C5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09FC9AD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63%</w:t>
                  </w:r>
                </w:p>
              </w:tc>
            </w:tr>
            <w:tr w:rsidR="004B4CB3" w:rsidRPr="004B4CB3" w14:paraId="0FAFC556" w14:textId="77777777" w:rsidTr="004B4CB3">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F5829FD"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44FC03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328D56F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734D4379"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CD5B4"/>
                  <w:noWrap/>
                  <w:vAlign w:val="center"/>
                  <w:hideMark/>
                </w:tcPr>
                <w:p w14:paraId="762276A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53%</w:t>
                  </w:r>
                </w:p>
              </w:tc>
              <w:tc>
                <w:tcPr>
                  <w:tcW w:w="1157" w:type="dxa"/>
                  <w:tcBorders>
                    <w:top w:val="nil"/>
                    <w:left w:val="nil"/>
                    <w:bottom w:val="single" w:sz="8" w:space="0" w:color="FFFFFF"/>
                    <w:right w:val="single" w:sz="8" w:space="0" w:color="FFFFFF"/>
                  </w:tcBorders>
                  <w:shd w:val="clear" w:color="000000" w:fill="FCD5B4"/>
                  <w:noWrap/>
                  <w:vAlign w:val="center"/>
                  <w:hideMark/>
                </w:tcPr>
                <w:p w14:paraId="23300FFC"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05E20C7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4C05FE5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1CFBFF4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27%</w:t>
                  </w:r>
                </w:p>
              </w:tc>
              <w:tc>
                <w:tcPr>
                  <w:tcW w:w="921" w:type="dxa"/>
                  <w:tcBorders>
                    <w:top w:val="nil"/>
                    <w:left w:val="nil"/>
                    <w:bottom w:val="single" w:sz="8" w:space="0" w:color="FFFFFF"/>
                    <w:right w:val="single" w:sz="8" w:space="0" w:color="FFFFFF"/>
                  </w:tcBorders>
                  <w:shd w:val="clear" w:color="000000" w:fill="FCD5B4"/>
                  <w:noWrap/>
                  <w:vAlign w:val="center"/>
                  <w:hideMark/>
                </w:tcPr>
                <w:p w14:paraId="0A7D9AF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71%</w:t>
                  </w:r>
                </w:p>
              </w:tc>
            </w:tr>
            <w:tr w:rsidR="004B4CB3" w:rsidRPr="004B4CB3" w14:paraId="14CDD3FC" w14:textId="77777777" w:rsidTr="004B4CB3">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5323D85"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536F09E2"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65DAF286"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1B96ED3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0816944C"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56%</w:t>
                  </w:r>
                </w:p>
              </w:tc>
              <w:tc>
                <w:tcPr>
                  <w:tcW w:w="1157" w:type="dxa"/>
                  <w:tcBorders>
                    <w:top w:val="nil"/>
                    <w:left w:val="nil"/>
                    <w:bottom w:val="single" w:sz="8" w:space="0" w:color="FFFFFF"/>
                    <w:right w:val="single" w:sz="8" w:space="0" w:color="FFFFFF"/>
                  </w:tcBorders>
                  <w:shd w:val="clear" w:color="000000" w:fill="FDE9D9"/>
                  <w:noWrap/>
                  <w:vAlign w:val="center"/>
                  <w:hideMark/>
                </w:tcPr>
                <w:p w14:paraId="6543E81F"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792CD628"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4820C81F"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2CAA366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DE9D9"/>
                  <w:noWrap/>
                  <w:vAlign w:val="center"/>
                  <w:hideMark/>
                </w:tcPr>
                <w:p w14:paraId="18F547BD"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73%</w:t>
                  </w:r>
                </w:p>
              </w:tc>
            </w:tr>
            <w:tr w:rsidR="004B4CB3" w:rsidRPr="004B4CB3" w14:paraId="0FE7088B" w14:textId="77777777" w:rsidTr="004B4CB3">
              <w:trPr>
                <w:trHeight w:val="300"/>
              </w:trPr>
              <w:tc>
                <w:tcPr>
                  <w:tcW w:w="1350" w:type="dxa"/>
                  <w:tcBorders>
                    <w:top w:val="nil"/>
                    <w:left w:val="nil"/>
                    <w:bottom w:val="nil"/>
                    <w:right w:val="nil"/>
                  </w:tcBorders>
                  <w:shd w:val="clear" w:color="000000" w:fill="FCD5B4"/>
                  <w:noWrap/>
                  <w:vAlign w:val="center"/>
                  <w:hideMark/>
                </w:tcPr>
                <w:p w14:paraId="374A3879"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35655033"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AC290FE"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6541194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D7434DB"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53%</w:t>
                  </w:r>
                </w:p>
              </w:tc>
              <w:tc>
                <w:tcPr>
                  <w:tcW w:w="1157" w:type="dxa"/>
                  <w:tcBorders>
                    <w:top w:val="nil"/>
                    <w:left w:val="nil"/>
                    <w:bottom w:val="nil"/>
                    <w:right w:val="nil"/>
                  </w:tcBorders>
                  <w:shd w:val="clear" w:color="000000" w:fill="FCD5B4"/>
                  <w:noWrap/>
                  <w:vAlign w:val="center"/>
                  <w:hideMark/>
                </w:tcPr>
                <w:p w14:paraId="3E1C6A89" w14:textId="77777777" w:rsidR="004B4CB3" w:rsidRPr="004B4CB3" w:rsidRDefault="004B4CB3" w:rsidP="004B4CB3">
                  <w:pPr>
                    <w:widowControl/>
                    <w:jc w:val="center"/>
                    <w:rPr>
                      <w:rFonts w:ascii="楷体" w:eastAsia="楷体" w:hAnsi="楷体" w:cs="宋体"/>
                      <w:color w:val="000000"/>
                      <w:kern w:val="0"/>
                      <w:sz w:val="20"/>
                      <w:szCs w:val="20"/>
                    </w:rPr>
                  </w:pPr>
                  <w:proofErr w:type="gramStart"/>
                  <w:r w:rsidRPr="004B4CB3">
                    <w:rPr>
                      <w:rFonts w:ascii="楷体" w:eastAsia="楷体" w:hAnsi="楷体" w:cs="宋体" w:hint="eastAsia"/>
                      <w:color w:val="000000"/>
                      <w:kern w:val="0"/>
                      <w:sz w:val="20"/>
                      <w:szCs w:val="20"/>
                    </w:rPr>
                    <w:t>城投债</w:t>
                  </w:r>
                  <w:proofErr w:type="gramEnd"/>
                  <w:r w:rsidRPr="004B4CB3">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632FCD5A"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3BE5EFC1"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7F2B94D4"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45F9816D" w14:textId="77777777" w:rsidR="004B4CB3" w:rsidRPr="004B4CB3" w:rsidRDefault="004B4CB3" w:rsidP="004B4CB3">
                  <w:pPr>
                    <w:widowControl/>
                    <w:jc w:val="center"/>
                    <w:rPr>
                      <w:rFonts w:eastAsia="等线" w:cs="Calibri"/>
                      <w:color w:val="000000"/>
                      <w:kern w:val="0"/>
                      <w:szCs w:val="21"/>
                    </w:rPr>
                  </w:pPr>
                  <w:r w:rsidRPr="004B4CB3">
                    <w:rPr>
                      <w:rFonts w:eastAsia="等线" w:cs="Calibri"/>
                      <w:color w:val="000000"/>
                      <w:kern w:val="0"/>
                      <w:szCs w:val="21"/>
                    </w:rPr>
                    <w:t>67%</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2B250A83" w:rsidR="00C37204" w:rsidRPr="00C16434" w:rsidRDefault="002F7876"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上</w:t>
      </w:r>
      <w:r w:rsidR="006050AB">
        <w:rPr>
          <w:rFonts w:ascii="华文楷体" w:hAnsi="华文楷体" w:hint="eastAsia"/>
          <w:sz w:val="24"/>
          <w:szCs w:val="24"/>
          <w:lang w:eastAsia="zh-CN"/>
        </w:rPr>
        <w:t>周</w:t>
      </w:r>
      <w:r w:rsidR="003926C0" w:rsidRPr="003926C0">
        <w:rPr>
          <w:rFonts w:ascii="华文楷体" w:hAnsi="华文楷体" w:hint="eastAsia"/>
          <w:sz w:val="24"/>
          <w:szCs w:val="24"/>
          <w:lang w:eastAsia="zh-CN"/>
        </w:rPr>
        <w:t>权益</w:t>
      </w:r>
      <w:r w:rsidR="003926C0">
        <w:rPr>
          <w:rFonts w:ascii="华文楷体" w:hAnsi="华文楷体" w:hint="eastAsia"/>
          <w:sz w:val="24"/>
          <w:szCs w:val="24"/>
          <w:lang w:eastAsia="zh-CN"/>
        </w:rPr>
        <w:t>市场情绪</w:t>
      </w:r>
      <w:r w:rsidR="004B36CF">
        <w:rPr>
          <w:rFonts w:ascii="华文楷体" w:hAnsi="华文楷体" w:hint="eastAsia"/>
          <w:sz w:val="24"/>
          <w:szCs w:val="24"/>
          <w:lang w:eastAsia="zh-CN"/>
        </w:rPr>
        <w:t>较</w:t>
      </w:r>
      <w:r>
        <w:rPr>
          <w:rFonts w:ascii="华文楷体" w:hAnsi="华文楷体" w:hint="eastAsia"/>
          <w:sz w:val="24"/>
          <w:szCs w:val="24"/>
          <w:lang w:eastAsia="zh-CN"/>
        </w:rPr>
        <w:t>上</w:t>
      </w:r>
      <w:r w:rsidR="004B36CF">
        <w:rPr>
          <w:rFonts w:ascii="华文楷体" w:hAnsi="华文楷体" w:hint="eastAsia"/>
          <w:sz w:val="24"/>
          <w:szCs w:val="24"/>
          <w:lang w:eastAsia="zh-CN"/>
        </w:rPr>
        <w:t>上周</w:t>
      </w:r>
      <w:r w:rsidR="00367F49">
        <w:rPr>
          <w:rFonts w:ascii="华文楷体" w:hAnsi="华文楷体" w:hint="eastAsia"/>
          <w:sz w:val="24"/>
          <w:szCs w:val="24"/>
          <w:lang w:eastAsia="zh-CN"/>
        </w:rPr>
        <w:t>持续向好</w:t>
      </w:r>
      <w:r w:rsidR="004B36CF">
        <w:rPr>
          <w:rFonts w:ascii="华文楷体" w:hAnsi="华文楷体" w:hint="eastAsia"/>
          <w:sz w:val="24"/>
          <w:szCs w:val="24"/>
          <w:lang w:eastAsia="zh-CN"/>
        </w:rPr>
        <w:t>，创业板表现</w:t>
      </w:r>
      <w:r w:rsidR="00367F49">
        <w:rPr>
          <w:rFonts w:ascii="华文楷体" w:hAnsi="华文楷体" w:hint="eastAsia"/>
          <w:sz w:val="24"/>
          <w:szCs w:val="24"/>
          <w:lang w:eastAsia="zh-CN"/>
        </w:rPr>
        <w:t>相对更好</w:t>
      </w:r>
      <w:r w:rsidR="003926C0">
        <w:rPr>
          <w:rFonts w:ascii="华文楷体" w:hAnsi="华文楷体" w:hint="eastAsia"/>
          <w:sz w:val="24"/>
          <w:szCs w:val="24"/>
          <w:lang w:eastAsia="zh-CN"/>
        </w:rPr>
        <w:t>，</w:t>
      </w:r>
      <w:r w:rsidR="00363D41">
        <w:rPr>
          <w:rFonts w:ascii="华文楷体" w:hAnsi="华文楷体" w:hint="eastAsia"/>
          <w:sz w:val="24"/>
          <w:szCs w:val="24"/>
          <w:lang w:eastAsia="zh-CN"/>
        </w:rPr>
        <w:t>成交量</w:t>
      </w:r>
      <w:r w:rsidR="00367F49">
        <w:rPr>
          <w:rFonts w:ascii="华文楷体" w:hAnsi="华文楷体" w:hint="eastAsia"/>
          <w:sz w:val="24"/>
          <w:szCs w:val="24"/>
          <w:lang w:eastAsia="zh-CN"/>
        </w:rPr>
        <w:t>多数上行</w:t>
      </w:r>
      <w:r w:rsidR="003926C0" w:rsidRPr="003926C0">
        <w:rPr>
          <w:rFonts w:ascii="华文楷体" w:hAnsi="华文楷体" w:hint="eastAsia"/>
          <w:sz w:val="24"/>
          <w:szCs w:val="24"/>
          <w:lang w:eastAsia="zh-CN"/>
        </w:rPr>
        <w:t>。</w:t>
      </w:r>
      <w:r w:rsidR="003926C0">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Pr>
          <w:rFonts w:ascii="华文楷体" w:hAnsi="华文楷体" w:hint="eastAsia"/>
          <w:sz w:val="24"/>
          <w:szCs w:val="24"/>
          <w:lang w:eastAsia="zh-CN"/>
        </w:rPr>
        <w:t>上</w:t>
      </w:r>
      <w:r w:rsidR="001E3C02" w:rsidRPr="001E3C02">
        <w:rPr>
          <w:rFonts w:ascii="华文楷体" w:hAnsi="华文楷体" w:hint="eastAsia"/>
          <w:sz w:val="24"/>
          <w:szCs w:val="24"/>
          <w:lang w:eastAsia="zh-CN"/>
        </w:rPr>
        <w:t>周转债市场受权益情绪带动明显，指数</w:t>
      </w:r>
      <w:r w:rsidR="001E3C02">
        <w:rPr>
          <w:rFonts w:ascii="华文楷体" w:hAnsi="华文楷体" w:hint="eastAsia"/>
          <w:sz w:val="24"/>
          <w:szCs w:val="24"/>
          <w:lang w:eastAsia="zh-CN"/>
        </w:rPr>
        <w:t>快速上涨</w:t>
      </w:r>
      <w:r w:rsidR="001E3C02" w:rsidRPr="001E3C02">
        <w:rPr>
          <w:rFonts w:ascii="华文楷体" w:hAnsi="华文楷体" w:hint="eastAsia"/>
          <w:sz w:val="24"/>
          <w:szCs w:val="24"/>
          <w:lang w:eastAsia="zh-CN"/>
        </w:rPr>
        <w:t>，关注顺周期板块、中游制造业和消费板块后续表现。</w:t>
      </w:r>
      <w:r>
        <w:rPr>
          <w:rFonts w:ascii="华文楷体" w:hAnsi="华文楷体" w:hint="eastAsia"/>
          <w:sz w:val="24"/>
          <w:szCs w:val="24"/>
          <w:lang w:eastAsia="zh-CN"/>
        </w:rPr>
        <w:t>上</w:t>
      </w:r>
      <w:r w:rsidR="00591DD3">
        <w:rPr>
          <w:rFonts w:ascii="华文楷体" w:hAnsi="华文楷体" w:hint="eastAsia"/>
          <w:sz w:val="24"/>
          <w:szCs w:val="24"/>
          <w:lang w:eastAsia="zh-CN"/>
        </w:rPr>
        <w:t>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5322C6">
        <w:rPr>
          <w:rFonts w:ascii="华文楷体" w:hAnsi="华文楷体" w:hint="eastAsia"/>
          <w:sz w:val="24"/>
          <w:szCs w:val="24"/>
          <w:lang w:eastAsia="zh-CN"/>
        </w:rPr>
        <w:t>+</w:t>
      </w:r>
      <w:r w:rsidR="001E3C02">
        <w:rPr>
          <w:rFonts w:ascii="华文楷体" w:hAnsi="华文楷体" w:hint="eastAsia"/>
          <w:sz w:val="24"/>
          <w:szCs w:val="24"/>
          <w:lang w:eastAsia="zh-CN"/>
        </w:rPr>
        <w:t>2.3</w:t>
      </w:r>
      <w:r w:rsidR="00AC28BB">
        <w:rPr>
          <w:rFonts w:ascii="华文楷体" w:hAnsi="华文楷体"/>
          <w:sz w:val="24"/>
          <w:szCs w:val="24"/>
          <w:lang w:eastAsia="zh-CN"/>
        </w:rPr>
        <w:t>%、</w:t>
      </w:r>
      <w:r w:rsidR="005322C6">
        <w:rPr>
          <w:rFonts w:ascii="华文楷体" w:hAnsi="华文楷体" w:hint="eastAsia"/>
          <w:sz w:val="24"/>
          <w:szCs w:val="24"/>
          <w:lang w:eastAsia="zh-CN"/>
        </w:rPr>
        <w:t>+</w:t>
      </w:r>
      <w:r w:rsidR="001E3C02">
        <w:rPr>
          <w:rFonts w:ascii="华文楷体" w:hAnsi="华文楷体" w:hint="eastAsia"/>
          <w:sz w:val="24"/>
          <w:szCs w:val="24"/>
          <w:lang w:eastAsia="zh-CN"/>
        </w:rPr>
        <w:t>4.4</w:t>
      </w:r>
      <w:r w:rsidR="00AC28BB">
        <w:rPr>
          <w:rFonts w:ascii="华文楷体" w:hAnsi="华文楷体"/>
          <w:sz w:val="24"/>
          <w:szCs w:val="24"/>
          <w:lang w:eastAsia="zh-CN"/>
        </w:rPr>
        <w:t>%、</w:t>
      </w:r>
      <w:r w:rsidR="005322C6">
        <w:rPr>
          <w:rFonts w:ascii="华文楷体" w:hAnsi="华文楷体" w:hint="eastAsia"/>
          <w:sz w:val="24"/>
          <w:szCs w:val="24"/>
          <w:lang w:eastAsia="zh-CN"/>
        </w:rPr>
        <w:t>+</w:t>
      </w:r>
      <w:r w:rsidR="001E3C02">
        <w:rPr>
          <w:rFonts w:ascii="华文楷体" w:hAnsi="华文楷体" w:hint="eastAsia"/>
          <w:sz w:val="24"/>
          <w:szCs w:val="24"/>
          <w:lang w:eastAsia="zh-CN"/>
        </w:rPr>
        <w:t>3.6</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5322C6">
        <w:rPr>
          <w:rFonts w:ascii="华文楷体" w:hAnsi="华文楷体" w:hint="eastAsia"/>
          <w:sz w:val="24"/>
          <w:szCs w:val="24"/>
          <w:lang w:eastAsia="zh-CN"/>
        </w:rPr>
        <w:t>+</w:t>
      </w:r>
      <w:r w:rsidR="001E3C02">
        <w:rPr>
          <w:rFonts w:ascii="华文楷体" w:hAnsi="华文楷体"/>
          <w:sz w:val="24"/>
          <w:szCs w:val="24"/>
          <w:lang w:eastAsia="zh-CN"/>
        </w:rPr>
        <w:t>3.4</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w:t>
      </w:r>
      <w:r>
        <w:rPr>
          <w:rFonts w:ascii="华文楷体" w:hAnsi="华文楷体" w:hint="eastAsia"/>
          <w:sz w:val="24"/>
          <w:szCs w:val="24"/>
          <w:lang w:eastAsia="zh-CN"/>
        </w:rPr>
        <w:t>上</w:t>
      </w:r>
      <w:r w:rsidR="00DC05C7">
        <w:rPr>
          <w:rFonts w:ascii="华文楷体" w:hAnsi="华文楷体" w:hint="eastAsia"/>
          <w:sz w:val="24"/>
          <w:szCs w:val="24"/>
          <w:lang w:eastAsia="zh-CN"/>
        </w:rPr>
        <w:t>上周</w:t>
      </w:r>
      <w:r w:rsidR="001E3C02">
        <w:rPr>
          <w:rFonts w:ascii="华文楷体" w:hAnsi="华文楷体" w:hint="eastAsia"/>
          <w:sz w:val="24"/>
          <w:szCs w:val="24"/>
          <w:lang w:eastAsia="zh-CN"/>
        </w:rPr>
        <w:t>上涨1.2%</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1E3C02">
        <w:tblPrEx>
          <w:tblCellMar>
            <w:left w:w="108" w:type="dxa"/>
            <w:right w:w="108" w:type="dxa"/>
          </w:tblCellMar>
        </w:tblPrEx>
        <w:trPr>
          <w:trHeight w:val="2921"/>
          <w:jc w:val="center"/>
        </w:trPr>
        <w:tc>
          <w:tcPr>
            <w:tcW w:w="4939" w:type="dxa"/>
            <w:vAlign w:val="center"/>
          </w:tcPr>
          <w:p w14:paraId="5C83721A" w14:textId="5158EE12" w:rsidR="00E0626C" w:rsidRPr="00345C30" w:rsidRDefault="00367F49" w:rsidP="00345C30">
            <w:pPr>
              <w:widowControl/>
              <w:jc w:val="left"/>
              <w:rPr>
                <w:rFonts w:ascii="宋体" w:hAnsi="宋体" w:cs="宋体"/>
                <w:kern w:val="0"/>
                <w:sz w:val="24"/>
                <w:szCs w:val="24"/>
              </w:rPr>
            </w:pPr>
            <w:r w:rsidRPr="00367F49">
              <w:rPr>
                <w:rFonts w:ascii="宋体" w:hAnsi="宋体" w:cs="宋体"/>
                <w:noProof/>
                <w:kern w:val="0"/>
                <w:sz w:val="24"/>
                <w:szCs w:val="24"/>
              </w:rPr>
              <w:drawing>
                <wp:inline distT="0" distB="0" distL="0" distR="0" wp14:anchorId="49D8CAE5" wp14:editId="50EB3037">
                  <wp:extent cx="3119755" cy="1940943"/>
                  <wp:effectExtent l="0" t="0" r="4445" b="2540"/>
                  <wp:docPr id="13" name="图片 13" descr="C:\Users\Tang\AppData\Local\Temp\WeChat Files\e3896a23c00aa20300871790087b8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ang\AppData\Local\Temp\WeChat Files\e3896a23c00aa20300871790087b8b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21870" cy="2004474"/>
                          </a:xfrm>
                          <a:prstGeom prst="rect">
                            <a:avLst/>
                          </a:prstGeom>
                          <a:noFill/>
                          <a:ln>
                            <a:noFill/>
                          </a:ln>
                        </pic:spPr>
                      </pic:pic>
                    </a:graphicData>
                  </a:graphic>
                </wp:inline>
              </w:drawing>
            </w:r>
          </w:p>
        </w:tc>
        <w:tc>
          <w:tcPr>
            <w:tcW w:w="4938" w:type="dxa"/>
            <w:vAlign w:val="center"/>
          </w:tcPr>
          <w:p w14:paraId="39BD4383" w14:textId="250160F5" w:rsidR="00E0626C" w:rsidRPr="007E0340" w:rsidRDefault="001E3C02" w:rsidP="009A2BA0">
            <w:pPr>
              <w:jc w:val="center"/>
              <w:rPr>
                <w:noProof/>
                <w:szCs w:val="18"/>
              </w:rPr>
            </w:pPr>
            <w:r>
              <w:rPr>
                <w:noProof/>
              </w:rPr>
              <w:drawing>
                <wp:inline distT="0" distB="0" distL="0" distR="0" wp14:anchorId="40F154AC" wp14:editId="18B7A737">
                  <wp:extent cx="2998470" cy="1907312"/>
                  <wp:effectExtent l="0" t="0" r="0" b="0"/>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72D46279"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2F7876">
        <w:rPr>
          <w:rFonts w:ascii="华文楷体" w:hAnsi="华文楷体" w:hint="eastAsia"/>
          <w:bCs/>
          <w:sz w:val="24"/>
          <w:szCs w:val="24"/>
          <w:lang w:eastAsia="zh-CN"/>
        </w:rPr>
        <w:t>上</w:t>
      </w:r>
      <w:r w:rsidR="000815F6" w:rsidRPr="000815F6">
        <w:rPr>
          <w:rFonts w:ascii="华文楷体" w:hAnsi="华文楷体" w:hint="eastAsia"/>
          <w:bCs/>
          <w:sz w:val="24"/>
          <w:szCs w:val="24"/>
          <w:lang w:eastAsia="zh-CN"/>
        </w:rPr>
        <w:t>周</w:t>
      </w:r>
      <w:r w:rsidR="006D20EA" w:rsidRPr="006D20EA">
        <w:rPr>
          <w:rFonts w:ascii="华文楷体" w:hAnsi="华文楷体" w:hint="eastAsia"/>
          <w:bCs/>
          <w:sz w:val="24"/>
          <w:szCs w:val="24"/>
          <w:lang w:eastAsia="zh-CN"/>
        </w:rPr>
        <w:t>全国高炉开工率67.1%，月环比走低0.1个百分点，高于去年同期1.8个百分点；</w:t>
      </w:r>
      <w:proofErr w:type="gramStart"/>
      <w:r w:rsidR="006D20EA" w:rsidRPr="006D20EA">
        <w:rPr>
          <w:rFonts w:ascii="华文楷体" w:hAnsi="华文楷体" w:hint="eastAsia"/>
          <w:bCs/>
          <w:sz w:val="24"/>
          <w:szCs w:val="24"/>
          <w:lang w:eastAsia="zh-CN"/>
        </w:rPr>
        <w:t>地炼开工率</w:t>
      </w:r>
      <w:proofErr w:type="gramEnd"/>
      <w:r w:rsidR="006D20EA" w:rsidRPr="006D20EA">
        <w:rPr>
          <w:rFonts w:ascii="华文楷体" w:hAnsi="华文楷体" w:hint="eastAsia"/>
          <w:bCs/>
          <w:sz w:val="24"/>
          <w:szCs w:val="24"/>
          <w:lang w:eastAsia="zh-CN"/>
        </w:rPr>
        <w:t>73.2%，月环比走高1.2个百分点，高于去年同期2.6个百分点；焦化企业开工率74.5%，月环比走低4.7个百分点，高于去年同期3.1个百分点。江浙织机开工率月环比走低2.8个百分点,高于去年同期11.7个百分点。由于轮胎企业停限产比例增加叠加主原材料供应偏紧，全/半钢</w:t>
      </w:r>
      <w:proofErr w:type="gramStart"/>
      <w:r w:rsidR="006D20EA" w:rsidRPr="006D20EA">
        <w:rPr>
          <w:rFonts w:ascii="华文楷体" w:hAnsi="华文楷体" w:hint="eastAsia"/>
          <w:bCs/>
          <w:sz w:val="24"/>
          <w:szCs w:val="24"/>
          <w:lang w:eastAsia="zh-CN"/>
        </w:rPr>
        <w:t>胎</w:t>
      </w:r>
      <w:proofErr w:type="gramEnd"/>
      <w:r w:rsidR="006D20EA" w:rsidRPr="006D20EA">
        <w:rPr>
          <w:rFonts w:ascii="华文楷体" w:hAnsi="华文楷体" w:hint="eastAsia"/>
          <w:bCs/>
          <w:sz w:val="24"/>
          <w:szCs w:val="24"/>
          <w:lang w:eastAsia="zh-CN"/>
        </w:rPr>
        <w:t>开工率月环比分别大幅走低20.5/16.4个百分点，弱于去年同期。</w:t>
      </w:r>
    </w:p>
    <w:p w14:paraId="21425444" w14:textId="65AD6C5E"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2F7876">
        <w:rPr>
          <w:rFonts w:ascii="华文楷体" w:hAnsi="华文楷体" w:hint="eastAsia"/>
          <w:bCs/>
          <w:sz w:val="24"/>
          <w:szCs w:val="24"/>
          <w:lang w:eastAsia="zh-CN"/>
        </w:rPr>
        <w:t>上</w:t>
      </w:r>
      <w:r w:rsidR="00591449" w:rsidRPr="00591449">
        <w:rPr>
          <w:rFonts w:ascii="华文楷体" w:hAnsi="华文楷体" w:hint="eastAsia"/>
          <w:bCs/>
          <w:sz w:val="24"/>
          <w:szCs w:val="24"/>
          <w:lang w:eastAsia="zh-CN"/>
        </w:rPr>
        <w:t>周</w:t>
      </w:r>
      <w:r w:rsidR="006D20EA" w:rsidRPr="006D20EA">
        <w:rPr>
          <w:rFonts w:ascii="华文楷体" w:hAnsi="华文楷体" w:hint="eastAsia"/>
          <w:bCs/>
          <w:sz w:val="24"/>
          <w:szCs w:val="24"/>
          <w:lang w:eastAsia="zh-CN"/>
        </w:rPr>
        <w:t>12月截至31日，30城商品房累计成交面积同比8.7%，较一周前回升0.6个百分点。上周成交</w:t>
      </w:r>
      <w:proofErr w:type="gramStart"/>
      <w:r w:rsidR="006D20EA" w:rsidRPr="006D20EA">
        <w:rPr>
          <w:rFonts w:ascii="华文楷体" w:hAnsi="华文楷体" w:hint="eastAsia"/>
          <w:bCs/>
          <w:sz w:val="24"/>
          <w:szCs w:val="24"/>
          <w:lang w:eastAsia="zh-CN"/>
        </w:rPr>
        <w:t>面积环</w:t>
      </w:r>
      <w:proofErr w:type="gramEnd"/>
      <w:r w:rsidR="006D20EA" w:rsidRPr="006D20EA">
        <w:rPr>
          <w:rFonts w:ascii="华文楷体" w:hAnsi="华文楷体" w:hint="eastAsia"/>
          <w:bCs/>
          <w:sz w:val="24"/>
          <w:szCs w:val="24"/>
          <w:lang w:eastAsia="zh-CN"/>
        </w:rPr>
        <w:t>比7.9%，其中一线、二线和三线环比分别为18.2%、4.8%与3.2%。截至12月27日，百城土地成交面积同比-52.9%，土地溢价率周环比走低2个百分点。</w:t>
      </w:r>
    </w:p>
    <w:p w14:paraId="77CCCEDF" w14:textId="0272E4EC"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6D20EA" w:rsidRPr="006D20EA">
        <w:rPr>
          <w:rFonts w:ascii="华文楷体" w:hAnsi="华文楷体" w:hint="eastAsia"/>
          <w:bCs/>
          <w:sz w:val="24"/>
          <w:szCs w:val="24"/>
          <w:lang w:eastAsia="zh-CN"/>
        </w:rPr>
        <w:t>进口运价（CDFI）有所回落，周环比-4%</w:t>
      </w:r>
      <w:r w:rsidR="000815F6" w:rsidRPr="000815F6">
        <w:rPr>
          <w:rFonts w:ascii="华文楷体" w:hAnsi="华文楷体" w:hint="eastAsia"/>
          <w:bCs/>
          <w:sz w:val="24"/>
          <w:szCs w:val="24"/>
          <w:lang w:eastAsia="zh-CN"/>
        </w:rPr>
        <w:t>。</w:t>
      </w:r>
      <w:r w:rsidR="002547B9" w:rsidRPr="00AE5436">
        <w:rPr>
          <w:rFonts w:ascii="华文楷体" w:hAnsi="华文楷体" w:hint="eastAsia"/>
          <w:bCs/>
          <w:sz w:val="24"/>
          <w:szCs w:val="24"/>
          <w:lang w:eastAsia="zh-CN"/>
        </w:rPr>
        <w:t>出口方面，</w:t>
      </w:r>
      <w:r w:rsidR="000815F6" w:rsidRPr="000815F6">
        <w:rPr>
          <w:rFonts w:ascii="华文楷体" w:hAnsi="华文楷体" w:hint="eastAsia"/>
          <w:bCs/>
          <w:sz w:val="24"/>
          <w:szCs w:val="24"/>
          <w:lang w:eastAsia="zh-CN"/>
        </w:rPr>
        <w:t>中国出口集装箱运价指数（CCFI</w:t>
      </w:r>
      <w:r w:rsidR="000815F6">
        <w:rPr>
          <w:rFonts w:ascii="华文楷体" w:hAnsi="华文楷体" w:hint="eastAsia"/>
          <w:bCs/>
          <w:sz w:val="24"/>
          <w:szCs w:val="24"/>
          <w:lang w:eastAsia="zh-CN"/>
        </w:rPr>
        <w:t>）</w:t>
      </w:r>
      <w:r w:rsidR="000815F6" w:rsidRPr="000815F6">
        <w:rPr>
          <w:rFonts w:ascii="华文楷体" w:hAnsi="华文楷体" w:hint="eastAsia"/>
          <w:bCs/>
          <w:sz w:val="24"/>
          <w:szCs w:val="24"/>
          <w:lang w:eastAsia="zh-CN"/>
        </w:rPr>
        <w:t>上行5.9%，</w:t>
      </w:r>
      <w:r w:rsidR="00627CD5">
        <w:rPr>
          <w:rFonts w:ascii="华文楷体" w:hAnsi="华文楷体" w:hint="eastAsia"/>
          <w:bCs/>
          <w:sz w:val="24"/>
          <w:szCs w:val="24"/>
          <w:lang w:eastAsia="zh-CN"/>
        </w:rPr>
        <w:t>出口方面持续走强</w:t>
      </w:r>
      <w:r w:rsidR="00591449" w:rsidRPr="00591449">
        <w:rPr>
          <w:rFonts w:ascii="华文楷体" w:hAnsi="华文楷体" w:hint="eastAsia"/>
          <w:bCs/>
          <w:sz w:val="24"/>
          <w:szCs w:val="24"/>
          <w:lang w:eastAsia="zh-CN"/>
        </w:rPr>
        <w:t>。</w:t>
      </w:r>
    </w:p>
    <w:p w14:paraId="0542DAC4" w14:textId="0E0CC8FF"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6D20EA" w:rsidRPr="006D20EA">
        <w:rPr>
          <w:rFonts w:ascii="华文楷体" w:hAnsi="华文楷体" w:hint="eastAsia"/>
          <w:bCs/>
          <w:sz w:val="24"/>
          <w:szCs w:val="24"/>
          <w:lang w:eastAsia="zh-CN"/>
        </w:rPr>
        <w:t>农产品批发价格200指数周均环比上涨2.3%。猪肉、鲜菜分别上涨2.2%、2.6%，水果下跌1.8%。12月鲜菜均价月环比上涨9.9%，</w:t>
      </w:r>
      <w:r w:rsidR="006D20EA">
        <w:rPr>
          <w:rFonts w:ascii="华文楷体" w:hAnsi="华文楷体" w:hint="eastAsia"/>
          <w:bCs/>
          <w:sz w:val="24"/>
          <w:szCs w:val="24"/>
          <w:lang w:eastAsia="zh-CN"/>
        </w:rPr>
        <w:t>呈现一定季节性上涨</w:t>
      </w:r>
      <w:r w:rsidR="000815F6">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proofErr w:type="spellStart"/>
      <w:r w:rsidR="006D20EA">
        <w:rPr>
          <w:rFonts w:ascii="华文楷体" w:hAnsi="华文楷体" w:hint="eastAsia"/>
          <w:bCs/>
          <w:sz w:val="24"/>
          <w:szCs w:val="24"/>
          <w:lang w:eastAsia="zh-CN"/>
        </w:rPr>
        <w:t>Mys</w:t>
      </w:r>
      <w:r w:rsidR="006D20EA">
        <w:rPr>
          <w:rFonts w:ascii="华文楷体" w:hAnsi="华文楷体"/>
          <w:bCs/>
          <w:sz w:val="24"/>
          <w:szCs w:val="24"/>
          <w:lang w:eastAsia="zh-CN"/>
        </w:rPr>
        <w:t>pic</w:t>
      </w:r>
      <w:proofErr w:type="spellEnd"/>
      <w:r w:rsidR="006D20EA">
        <w:rPr>
          <w:rFonts w:ascii="华文楷体" w:hAnsi="华文楷体" w:hint="eastAsia"/>
          <w:bCs/>
          <w:sz w:val="24"/>
          <w:szCs w:val="24"/>
          <w:lang w:eastAsia="zh-CN"/>
        </w:rPr>
        <w:t>综合钢价</w:t>
      </w:r>
      <w:proofErr w:type="gramStart"/>
      <w:r w:rsidR="006D20EA">
        <w:rPr>
          <w:rFonts w:ascii="华文楷体" w:hAnsi="华文楷体" w:hint="eastAsia"/>
          <w:bCs/>
          <w:sz w:val="24"/>
          <w:szCs w:val="24"/>
          <w:lang w:eastAsia="zh-CN"/>
        </w:rPr>
        <w:t>指数环</w:t>
      </w:r>
      <w:proofErr w:type="gramEnd"/>
      <w:r w:rsidR="006D20EA">
        <w:rPr>
          <w:rFonts w:ascii="华文楷体" w:hAnsi="华文楷体" w:hint="eastAsia"/>
          <w:bCs/>
          <w:sz w:val="24"/>
          <w:szCs w:val="24"/>
          <w:lang w:eastAsia="zh-CN"/>
        </w:rPr>
        <w:t>比下降2</w:t>
      </w:r>
      <w:r w:rsidR="006D20EA">
        <w:rPr>
          <w:rFonts w:ascii="华文楷体" w:hAnsi="华文楷体"/>
          <w:bCs/>
          <w:sz w:val="24"/>
          <w:szCs w:val="24"/>
          <w:lang w:eastAsia="zh-CN"/>
        </w:rPr>
        <w:t>.39</w:t>
      </w:r>
      <w:r w:rsidR="006D20EA">
        <w:rPr>
          <w:rFonts w:ascii="华文楷体" w:hAnsi="华文楷体" w:hint="eastAsia"/>
          <w:bCs/>
          <w:sz w:val="24"/>
          <w:szCs w:val="24"/>
          <w:lang w:eastAsia="zh-CN"/>
        </w:rPr>
        <w:t>%，国内主要港口动力煤均价环比上涨3</w:t>
      </w:r>
      <w:r w:rsidR="006D20EA">
        <w:rPr>
          <w:rFonts w:ascii="华文楷体" w:hAnsi="华文楷体"/>
          <w:bCs/>
          <w:sz w:val="24"/>
          <w:szCs w:val="24"/>
          <w:lang w:eastAsia="zh-CN"/>
        </w:rPr>
        <w:t>.66</w:t>
      </w:r>
      <w:r w:rsidR="006D20EA">
        <w:rPr>
          <w:rFonts w:ascii="华文楷体" w:hAnsi="华文楷体" w:hint="eastAsia"/>
          <w:bCs/>
          <w:sz w:val="24"/>
          <w:szCs w:val="24"/>
          <w:lang w:eastAsia="zh-CN"/>
        </w:rPr>
        <w:t>%，长江有色市场，铜均价上涨0</w:t>
      </w:r>
      <w:r w:rsidR="006D20EA">
        <w:rPr>
          <w:rFonts w:ascii="华文楷体" w:hAnsi="华文楷体"/>
          <w:bCs/>
          <w:sz w:val="24"/>
          <w:szCs w:val="24"/>
          <w:lang w:eastAsia="zh-CN"/>
        </w:rPr>
        <w:t>.17</w:t>
      </w:r>
      <w:r w:rsidR="006D20EA">
        <w:rPr>
          <w:rFonts w:ascii="华文楷体" w:hAnsi="华文楷体" w:hint="eastAsia"/>
          <w:bCs/>
          <w:sz w:val="24"/>
          <w:szCs w:val="24"/>
          <w:lang w:eastAsia="zh-CN"/>
        </w:rPr>
        <w:t>%。</w:t>
      </w:r>
      <w:r w:rsidR="006D20EA" w:rsidRPr="006D20EA">
        <w:rPr>
          <w:rFonts w:ascii="华文楷体" w:hAnsi="华文楷体" w:hint="eastAsia"/>
          <w:bCs/>
          <w:sz w:val="24"/>
          <w:szCs w:val="24"/>
          <w:lang w:eastAsia="zh-CN"/>
        </w:rPr>
        <w:t>铁矿石</w:t>
      </w:r>
      <w:r w:rsidR="006D20EA">
        <w:rPr>
          <w:rFonts w:ascii="华文楷体" w:hAnsi="华文楷体" w:hint="eastAsia"/>
          <w:bCs/>
          <w:sz w:val="24"/>
          <w:szCs w:val="24"/>
          <w:lang w:eastAsia="zh-CN"/>
        </w:rPr>
        <w:t>、</w:t>
      </w:r>
      <w:r w:rsidR="006D20EA" w:rsidRPr="006D20EA">
        <w:rPr>
          <w:rFonts w:ascii="华文楷体" w:hAnsi="华文楷体" w:hint="eastAsia"/>
          <w:bCs/>
          <w:sz w:val="24"/>
          <w:szCs w:val="24"/>
          <w:lang w:eastAsia="zh-CN"/>
        </w:rPr>
        <w:t>焦炭</w:t>
      </w:r>
      <w:r w:rsidR="006D20EA">
        <w:rPr>
          <w:rFonts w:ascii="华文楷体" w:hAnsi="华文楷体" w:hint="eastAsia"/>
          <w:bCs/>
          <w:sz w:val="24"/>
          <w:szCs w:val="24"/>
          <w:lang w:eastAsia="zh-CN"/>
        </w:rPr>
        <w:t>、螺</w:t>
      </w:r>
      <w:r w:rsidR="006D20EA" w:rsidRPr="006D20EA">
        <w:rPr>
          <w:rFonts w:ascii="华文楷体" w:hAnsi="华文楷体" w:hint="eastAsia"/>
          <w:bCs/>
          <w:sz w:val="24"/>
          <w:szCs w:val="24"/>
          <w:lang w:eastAsia="zh-CN"/>
        </w:rPr>
        <w:t>纹钢周环比分别为-3.9%</w:t>
      </w:r>
      <w:r w:rsidR="006D20EA">
        <w:rPr>
          <w:rFonts w:ascii="华文楷体" w:hAnsi="华文楷体" w:hint="eastAsia"/>
          <w:bCs/>
          <w:sz w:val="24"/>
          <w:szCs w:val="24"/>
          <w:lang w:eastAsia="zh-CN"/>
        </w:rPr>
        <w:t>、</w:t>
      </w:r>
      <w:r w:rsidR="006D20EA" w:rsidRPr="006D20EA">
        <w:rPr>
          <w:rFonts w:ascii="华文楷体" w:hAnsi="华文楷体" w:hint="eastAsia"/>
          <w:bCs/>
          <w:sz w:val="24"/>
          <w:szCs w:val="24"/>
          <w:lang w:eastAsia="zh-CN"/>
        </w:rPr>
        <w:t>0.2%</w:t>
      </w:r>
      <w:r w:rsidR="006D20EA">
        <w:rPr>
          <w:rFonts w:ascii="华文楷体" w:hAnsi="华文楷体" w:hint="eastAsia"/>
          <w:bCs/>
          <w:sz w:val="24"/>
          <w:szCs w:val="24"/>
          <w:lang w:eastAsia="zh-CN"/>
        </w:rPr>
        <w:t>、</w:t>
      </w:r>
      <w:r w:rsidR="006D20EA" w:rsidRPr="006D20EA">
        <w:rPr>
          <w:rFonts w:ascii="华文楷体" w:hAnsi="华文楷体" w:hint="eastAsia"/>
          <w:bCs/>
          <w:sz w:val="24"/>
          <w:szCs w:val="24"/>
          <w:lang w:eastAsia="zh-CN"/>
        </w:rPr>
        <w:t>2.3%；水泥</w:t>
      </w:r>
      <w:r w:rsidR="006D20EA">
        <w:rPr>
          <w:rFonts w:ascii="华文楷体" w:hAnsi="华文楷体" w:hint="eastAsia"/>
          <w:bCs/>
          <w:sz w:val="24"/>
          <w:szCs w:val="24"/>
          <w:lang w:eastAsia="zh-CN"/>
        </w:rPr>
        <w:t>、</w:t>
      </w:r>
      <w:r w:rsidR="006D20EA" w:rsidRPr="006D20EA">
        <w:rPr>
          <w:rFonts w:ascii="华文楷体" w:hAnsi="华文楷体" w:hint="eastAsia"/>
          <w:bCs/>
          <w:sz w:val="24"/>
          <w:szCs w:val="24"/>
          <w:lang w:eastAsia="zh-CN"/>
        </w:rPr>
        <w:t>玻璃价格周环比分别为-0.3%</w:t>
      </w:r>
      <w:r w:rsidR="006D20EA">
        <w:rPr>
          <w:rFonts w:ascii="华文楷体" w:hAnsi="华文楷体" w:hint="eastAsia"/>
          <w:bCs/>
          <w:sz w:val="24"/>
          <w:szCs w:val="24"/>
          <w:lang w:eastAsia="zh-CN"/>
        </w:rPr>
        <w:t>、</w:t>
      </w:r>
      <w:r w:rsidR="006D20EA" w:rsidRPr="006D20EA">
        <w:rPr>
          <w:rFonts w:ascii="华文楷体" w:hAnsi="华文楷体" w:hint="eastAsia"/>
          <w:bCs/>
          <w:sz w:val="24"/>
          <w:szCs w:val="24"/>
          <w:lang w:eastAsia="zh-CN"/>
        </w:rPr>
        <w:t>3.3%。</w:t>
      </w:r>
    </w:p>
    <w:p w14:paraId="29155A05" w14:textId="4F6352D6"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591449" w:rsidRPr="00591449">
        <w:rPr>
          <w:rFonts w:ascii="华文楷体" w:hAnsi="华文楷体" w:hint="eastAsia"/>
          <w:bCs/>
          <w:sz w:val="24"/>
          <w:szCs w:val="24"/>
          <w:lang w:eastAsia="zh-CN"/>
        </w:rPr>
        <w:t>乘联会最新数据显示，</w:t>
      </w:r>
      <w:r w:rsidR="00481216" w:rsidRPr="00481216">
        <w:rPr>
          <w:rFonts w:ascii="华文楷体" w:hAnsi="华文楷体" w:hint="eastAsia"/>
          <w:bCs/>
          <w:sz w:val="24"/>
          <w:szCs w:val="24"/>
          <w:lang w:eastAsia="zh-CN"/>
        </w:rPr>
        <w:t>12月第</w:t>
      </w:r>
      <w:r w:rsidR="006D20EA">
        <w:rPr>
          <w:rFonts w:ascii="华文楷体" w:hAnsi="华文楷体" w:hint="eastAsia"/>
          <w:bCs/>
          <w:sz w:val="24"/>
          <w:szCs w:val="24"/>
          <w:lang w:eastAsia="zh-CN"/>
        </w:rPr>
        <w:t>四</w:t>
      </w:r>
      <w:r w:rsidR="00481216" w:rsidRPr="00481216">
        <w:rPr>
          <w:rFonts w:ascii="华文楷体" w:hAnsi="华文楷体" w:hint="eastAsia"/>
          <w:bCs/>
          <w:sz w:val="24"/>
          <w:szCs w:val="24"/>
          <w:lang w:eastAsia="zh-CN"/>
        </w:rPr>
        <w:t>周日均零售是</w:t>
      </w:r>
      <w:r w:rsidR="006D20EA">
        <w:rPr>
          <w:rFonts w:ascii="华文楷体" w:hAnsi="华文楷体"/>
          <w:bCs/>
          <w:sz w:val="24"/>
          <w:szCs w:val="24"/>
          <w:lang w:eastAsia="zh-CN"/>
        </w:rPr>
        <w:t>7.7</w:t>
      </w:r>
      <w:r w:rsidR="00481216" w:rsidRPr="00481216">
        <w:rPr>
          <w:rFonts w:ascii="华文楷体" w:hAnsi="华文楷体" w:hint="eastAsia"/>
          <w:bCs/>
          <w:sz w:val="24"/>
          <w:szCs w:val="24"/>
          <w:lang w:eastAsia="zh-CN"/>
        </w:rPr>
        <w:t>万辆；批发方面，12月第</w:t>
      </w:r>
      <w:r w:rsidR="008C18FD">
        <w:rPr>
          <w:rFonts w:ascii="华文楷体" w:hAnsi="华文楷体" w:hint="eastAsia"/>
          <w:bCs/>
          <w:sz w:val="24"/>
          <w:szCs w:val="24"/>
          <w:lang w:eastAsia="zh-CN"/>
        </w:rPr>
        <w:t>四</w:t>
      </w:r>
      <w:r w:rsidR="00481216" w:rsidRPr="00481216">
        <w:rPr>
          <w:rFonts w:ascii="华文楷体" w:hAnsi="华文楷体" w:hint="eastAsia"/>
          <w:bCs/>
          <w:sz w:val="24"/>
          <w:szCs w:val="24"/>
          <w:lang w:eastAsia="zh-CN"/>
        </w:rPr>
        <w:t>周主要厂商批发销量达到日均6.</w:t>
      </w:r>
      <w:r w:rsidR="008C18FD">
        <w:rPr>
          <w:rFonts w:ascii="华文楷体" w:hAnsi="华文楷体"/>
          <w:bCs/>
          <w:sz w:val="24"/>
          <w:szCs w:val="24"/>
          <w:lang w:eastAsia="zh-CN"/>
        </w:rPr>
        <w:t>4</w:t>
      </w:r>
      <w:r w:rsidR="00481216" w:rsidRPr="00481216">
        <w:rPr>
          <w:rFonts w:ascii="华文楷体" w:hAnsi="华文楷体" w:hint="eastAsia"/>
          <w:bCs/>
          <w:sz w:val="24"/>
          <w:szCs w:val="24"/>
          <w:lang w:eastAsia="zh-CN"/>
        </w:rPr>
        <w:t>万辆，</w:t>
      </w:r>
      <w:r w:rsidR="008C18FD">
        <w:rPr>
          <w:rFonts w:ascii="华文楷体" w:hAnsi="华文楷体" w:hint="eastAsia"/>
          <w:bCs/>
          <w:sz w:val="24"/>
          <w:szCs w:val="24"/>
          <w:lang w:eastAsia="zh-CN"/>
        </w:rPr>
        <w:t>1</w:t>
      </w:r>
      <w:r w:rsidR="008C18FD">
        <w:rPr>
          <w:rFonts w:ascii="华文楷体" w:hAnsi="华文楷体"/>
          <w:bCs/>
          <w:sz w:val="24"/>
          <w:szCs w:val="24"/>
          <w:lang w:eastAsia="zh-CN"/>
        </w:rPr>
        <w:t>2</w:t>
      </w:r>
      <w:r w:rsidR="008C18FD">
        <w:rPr>
          <w:rFonts w:ascii="华文楷体" w:hAnsi="华文楷体" w:hint="eastAsia"/>
          <w:bCs/>
          <w:sz w:val="24"/>
          <w:szCs w:val="24"/>
          <w:lang w:eastAsia="zh-CN"/>
        </w:rPr>
        <w:t>月第四周汽车零售和批发销售增速均有所回落。</w:t>
      </w:r>
      <w:r w:rsidR="008C18FD">
        <w:rPr>
          <w:rFonts w:ascii="华文楷体" w:hAnsi="华文楷体"/>
          <w:bCs/>
          <w:sz w:val="24"/>
          <w:szCs w:val="24"/>
          <w:lang w:eastAsia="zh-CN"/>
        </w:rPr>
        <w:t xml:space="preserve"> </w:t>
      </w:r>
    </w:p>
    <w:p w14:paraId="6C0621FD" w14:textId="2EAE06FB"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2D0B07" w:rsidRPr="002D0B07">
        <w:rPr>
          <w:rFonts w:ascii="华文楷体" w:hAnsi="华文楷体" w:hint="eastAsia"/>
          <w:bCs/>
          <w:sz w:val="24"/>
          <w:szCs w:val="24"/>
          <w:lang w:eastAsia="zh-CN"/>
        </w:rPr>
        <w:t>WTI原油价格小幅</w:t>
      </w:r>
      <w:r w:rsidR="008C18FD">
        <w:rPr>
          <w:rFonts w:ascii="华文楷体" w:hAnsi="华文楷体" w:hint="eastAsia"/>
          <w:bCs/>
          <w:sz w:val="24"/>
          <w:szCs w:val="24"/>
          <w:lang w:eastAsia="zh-CN"/>
        </w:rPr>
        <w:t>上涨0</w:t>
      </w:r>
      <w:r w:rsidR="008C18FD">
        <w:rPr>
          <w:rFonts w:ascii="华文楷体" w:hAnsi="华文楷体"/>
          <w:bCs/>
          <w:sz w:val="24"/>
          <w:szCs w:val="24"/>
          <w:lang w:eastAsia="zh-CN"/>
        </w:rPr>
        <w:t>.83</w:t>
      </w:r>
      <w:r w:rsidR="002D0B07" w:rsidRPr="002D0B07">
        <w:rPr>
          <w:rFonts w:ascii="华文楷体" w:hAnsi="华文楷体" w:hint="eastAsia"/>
          <w:bCs/>
          <w:sz w:val="24"/>
          <w:szCs w:val="24"/>
          <w:lang w:eastAsia="zh-CN"/>
        </w:rPr>
        <w:t>%，至48.</w:t>
      </w:r>
      <w:r w:rsidR="008C18FD">
        <w:rPr>
          <w:rFonts w:ascii="华文楷体" w:hAnsi="华文楷体"/>
          <w:bCs/>
          <w:sz w:val="24"/>
          <w:szCs w:val="24"/>
          <w:lang w:eastAsia="zh-CN"/>
        </w:rPr>
        <w:t>5</w:t>
      </w:r>
      <w:r w:rsidR="002D0B07" w:rsidRPr="002D0B07">
        <w:rPr>
          <w:rFonts w:ascii="华文楷体" w:hAnsi="华文楷体" w:hint="eastAsia"/>
          <w:bCs/>
          <w:sz w:val="24"/>
          <w:szCs w:val="24"/>
          <w:lang w:eastAsia="zh-CN"/>
        </w:rPr>
        <w:t>2美元/桶；布伦</w:t>
      </w:r>
      <w:proofErr w:type="gramStart"/>
      <w:r w:rsidR="002D0B07" w:rsidRPr="002D0B07">
        <w:rPr>
          <w:rFonts w:ascii="华文楷体" w:hAnsi="华文楷体" w:hint="eastAsia"/>
          <w:bCs/>
          <w:sz w:val="24"/>
          <w:szCs w:val="24"/>
          <w:lang w:eastAsia="zh-CN"/>
        </w:rPr>
        <w:t>特</w:t>
      </w:r>
      <w:proofErr w:type="gramEnd"/>
      <w:r w:rsidR="002D0B07" w:rsidRPr="002D0B07">
        <w:rPr>
          <w:rFonts w:ascii="华文楷体" w:hAnsi="华文楷体" w:hint="eastAsia"/>
          <w:bCs/>
          <w:sz w:val="24"/>
          <w:szCs w:val="24"/>
          <w:lang w:eastAsia="zh-CN"/>
        </w:rPr>
        <w:t>原油价格小幅</w:t>
      </w:r>
      <w:r w:rsidR="008C18FD">
        <w:rPr>
          <w:rFonts w:ascii="华文楷体" w:hAnsi="华文楷体" w:hint="eastAsia"/>
          <w:bCs/>
          <w:sz w:val="24"/>
          <w:szCs w:val="24"/>
          <w:lang w:eastAsia="zh-CN"/>
        </w:rPr>
        <w:t>上涨1</w:t>
      </w:r>
      <w:r w:rsidR="008C18FD">
        <w:rPr>
          <w:rFonts w:ascii="华文楷体" w:hAnsi="华文楷体"/>
          <w:bCs/>
          <w:sz w:val="24"/>
          <w:szCs w:val="24"/>
          <w:lang w:eastAsia="zh-CN"/>
        </w:rPr>
        <w:t>.17</w:t>
      </w:r>
      <w:r w:rsidR="002D0B07" w:rsidRPr="002D0B07">
        <w:rPr>
          <w:rFonts w:ascii="华文楷体" w:hAnsi="华文楷体" w:hint="eastAsia"/>
          <w:bCs/>
          <w:sz w:val="24"/>
          <w:szCs w:val="24"/>
          <w:lang w:eastAsia="zh-CN"/>
        </w:rPr>
        <w:t>%，至51.</w:t>
      </w:r>
      <w:r w:rsidR="008C18FD">
        <w:rPr>
          <w:rFonts w:ascii="华文楷体" w:hAnsi="华文楷体"/>
          <w:bCs/>
          <w:sz w:val="24"/>
          <w:szCs w:val="24"/>
          <w:lang w:eastAsia="zh-CN"/>
        </w:rPr>
        <w:t>80</w:t>
      </w:r>
      <w:r w:rsidR="002D0B07" w:rsidRPr="002D0B07">
        <w:rPr>
          <w:rFonts w:ascii="华文楷体" w:hAnsi="华文楷体" w:hint="eastAsia"/>
          <w:bCs/>
          <w:sz w:val="24"/>
          <w:szCs w:val="24"/>
          <w:lang w:eastAsia="zh-CN"/>
        </w:rPr>
        <w:t>美元/桶，国际油价</w:t>
      </w:r>
      <w:r w:rsidR="008C18FD">
        <w:rPr>
          <w:rFonts w:ascii="华文楷体" w:hAnsi="华文楷体" w:hint="eastAsia"/>
          <w:bCs/>
          <w:sz w:val="24"/>
          <w:szCs w:val="24"/>
          <w:lang w:eastAsia="zh-CN"/>
        </w:rPr>
        <w:t>本周小幅回升</w:t>
      </w:r>
      <w:r w:rsidR="002D0B07" w:rsidRPr="002D0B07">
        <w:rPr>
          <w:rFonts w:ascii="华文楷体" w:hAnsi="华文楷体" w:hint="eastAsia"/>
          <w:bCs/>
          <w:sz w:val="24"/>
          <w:szCs w:val="24"/>
          <w:lang w:eastAsia="zh-CN"/>
        </w:rPr>
        <w:t>。</w:t>
      </w:r>
    </w:p>
    <w:p w14:paraId="35D3E229" w14:textId="66698E6C" w:rsidR="00DA6262" w:rsidRDefault="002F7876"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8C18FD">
        <w:rPr>
          <w:rFonts w:ascii="华文楷体" w:hAnsi="华文楷体" w:hint="eastAsia"/>
          <w:bCs/>
          <w:sz w:val="24"/>
          <w:szCs w:val="24"/>
          <w:lang w:eastAsia="zh-CN"/>
        </w:rPr>
        <w:t>疫情与疫苗动态、</w:t>
      </w:r>
      <w:proofErr w:type="gramStart"/>
      <w:r w:rsidR="00156410">
        <w:rPr>
          <w:rFonts w:ascii="华文楷体" w:hAnsi="华文楷体" w:hint="eastAsia"/>
          <w:bCs/>
          <w:sz w:val="24"/>
          <w:szCs w:val="24"/>
          <w:lang w:eastAsia="zh-CN"/>
        </w:rPr>
        <w:t>财新</w:t>
      </w:r>
      <w:r w:rsidR="008C18FD">
        <w:rPr>
          <w:rFonts w:ascii="华文楷体" w:hAnsi="华文楷体" w:hint="eastAsia"/>
          <w:bCs/>
          <w:sz w:val="24"/>
          <w:szCs w:val="24"/>
          <w:lang w:eastAsia="zh-CN"/>
        </w:rPr>
        <w:t>制造业</w:t>
      </w:r>
      <w:proofErr w:type="gramEnd"/>
      <w:r w:rsidR="002D0B07" w:rsidRPr="002D0B07">
        <w:rPr>
          <w:rFonts w:ascii="华文楷体" w:hAnsi="华文楷体" w:hint="eastAsia"/>
          <w:bCs/>
          <w:sz w:val="24"/>
          <w:szCs w:val="24"/>
          <w:lang w:eastAsia="zh-CN"/>
        </w:rPr>
        <w:t>PMI、</w:t>
      </w:r>
      <w:r w:rsidR="008C18FD">
        <w:rPr>
          <w:rFonts w:ascii="华文楷体" w:hAnsi="华文楷体" w:hint="eastAsia"/>
          <w:bCs/>
          <w:sz w:val="24"/>
          <w:szCs w:val="24"/>
          <w:lang w:eastAsia="zh-CN"/>
        </w:rPr>
        <w:t>中国1</w:t>
      </w:r>
      <w:r w:rsidR="008C18FD">
        <w:rPr>
          <w:rFonts w:ascii="华文楷体" w:hAnsi="华文楷体"/>
          <w:bCs/>
          <w:sz w:val="24"/>
          <w:szCs w:val="24"/>
          <w:lang w:eastAsia="zh-CN"/>
        </w:rPr>
        <w:t>2</w:t>
      </w:r>
      <w:r w:rsidR="008C18FD">
        <w:rPr>
          <w:rFonts w:ascii="华文楷体" w:hAnsi="华文楷体" w:hint="eastAsia"/>
          <w:bCs/>
          <w:sz w:val="24"/>
          <w:szCs w:val="24"/>
          <w:lang w:eastAsia="zh-CN"/>
        </w:rPr>
        <w:t>月外汇储备、美联储</w:t>
      </w:r>
      <w:r w:rsidR="008C18FD">
        <w:rPr>
          <w:rFonts w:ascii="华文楷体" w:hAnsi="华文楷体"/>
          <w:bCs/>
          <w:sz w:val="24"/>
          <w:szCs w:val="24"/>
          <w:lang w:eastAsia="zh-CN"/>
        </w:rPr>
        <w:t>12</w:t>
      </w:r>
      <w:r w:rsidR="008C18FD">
        <w:rPr>
          <w:rFonts w:ascii="华文楷体" w:hAnsi="华文楷体" w:hint="eastAsia"/>
          <w:bCs/>
          <w:sz w:val="24"/>
          <w:szCs w:val="24"/>
          <w:lang w:eastAsia="zh-CN"/>
        </w:rPr>
        <w:t>月货币政策会议纪要</w:t>
      </w:r>
      <w:r w:rsidR="00591449" w:rsidRPr="00591449">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11C7329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2F7876">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21ED17F0"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lastRenderedPageBreak/>
        <w:t>利率债：</w:t>
      </w:r>
      <w:r w:rsidR="003307C2" w:rsidRPr="003307C2">
        <w:rPr>
          <w:rFonts w:ascii="华文楷体" w:hAnsi="华文楷体" w:hint="eastAsia"/>
          <w:sz w:val="24"/>
          <w:szCs w:val="24"/>
          <w:lang w:eastAsia="zh-CN"/>
        </w:rPr>
        <w:t>本周为2021年首</w:t>
      </w:r>
      <w:proofErr w:type="gramStart"/>
      <w:r w:rsidR="003307C2" w:rsidRPr="003307C2">
        <w:rPr>
          <w:rFonts w:ascii="华文楷体" w:hAnsi="华文楷体" w:hint="eastAsia"/>
          <w:sz w:val="24"/>
          <w:szCs w:val="24"/>
          <w:lang w:eastAsia="zh-CN"/>
        </w:rPr>
        <w:t>个</w:t>
      </w:r>
      <w:proofErr w:type="gramEnd"/>
      <w:r w:rsidR="003307C2" w:rsidRPr="003307C2">
        <w:rPr>
          <w:rFonts w:ascii="华文楷体" w:hAnsi="华文楷体" w:hint="eastAsia"/>
          <w:sz w:val="24"/>
          <w:szCs w:val="24"/>
          <w:lang w:eastAsia="zh-CN"/>
        </w:rPr>
        <w:t>交易周，央行公开市场操作到期5200亿，考虑到当前经济环境和市场利率表现，预计本周面临一定流动性回笼压力。</w:t>
      </w:r>
      <w:r w:rsidR="002F7876">
        <w:rPr>
          <w:rFonts w:ascii="华文楷体" w:hAnsi="华文楷体" w:hint="eastAsia"/>
          <w:sz w:val="24"/>
          <w:szCs w:val="24"/>
          <w:lang w:eastAsia="zh-CN"/>
        </w:rPr>
        <w:t>上</w:t>
      </w:r>
      <w:r w:rsidR="003307C2" w:rsidRPr="003307C2">
        <w:rPr>
          <w:rFonts w:ascii="华文楷体" w:hAnsi="华文楷体" w:hint="eastAsia"/>
          <w:sz w:val="24"/>
          <w:szCs w:val="24"/>
          <w:lang w:eastAsia="zh-CN"/>
        </w:rPr>
        <w:t>周末发布两条重要信息，一</w:t>
      </w:r>
      <w:proofErr w:type="gramStart"/>
      <w:r w:rsidR="003307C2" w:rsidRPr="003307C2">
        <w:rPr>
          <w:rFonts w:ascii="华文楷体" w:hAnsi="华文楷体" w:hint="eastAsia"/>
          <w:sz w:val="24"/>
          <w:szCs w:val="24"/>
          <w:lang w:eastAsia="zh-CN"/>
        </w:rPr>
        <w:t>是人社部</w:t>
      </w:r>
      <w:proofErr w:type="gramEnd"/>
      <w:r w:rsidR="003307C2" w:rsidRPr="003307C2">
        <w:rPr>
          <w:rFonts w:ascii="华文楷体" w:hAnsi="华文楷体" w:hint="eastAsia"/>
          <w:sz w:val="24"/>
          <w:szCs w:val="24"/>
          <w:lang w:eastAsia="zh-CN"/>
        </w:rPr>
        <w:t>调整年金基金投资范围，新增优先股、资产支持证券、同业存单、永续债、国债期货等金融产品和工具，提高权益类资产投资比例上限；二是央行、银保监会发布《关于建立银行业金融机构房地产贷款集中度管理制度的通知》，房地产贷款市场面临监管加强。综合来看，政策导向仍在鼓励权益市场发展和严控房地产市场风险两方面。债市方面，利率债品种动力较强，</w:t>
      </w:r>
      <w:proofErr w:type="gramStart"/>
      <w:r w:rsidR="003307C2" w:rsidRPr="003307C2">
        <w:rPr>
          <w:rFonts w:ascii="华文楷体" w:hAnsi="华文楷体" w:hint="eastAsia"/>
          <w:sz w:val="24"/>
          <w:szCs w:val="24"/>
          <w:lang w:eastAsia="zh-CN"/>
        </w:rPr>
        <w:t>永煤事件</w:t>
      </w:r>
      <w:proofErr w:type="gramEnd"/>
      <w:r w:rsidR="003307C2" w:rsidRPr="003307C2">
        <w:rPr>
          <w:rFonts w:ascii="华文楷体" w:hAnsi="华文楷体" w:hint="eastAsia"/>
          <w:sz w:val="24"/>
          <w:szCs w:val="24"/>
          <w:lang w:eastAsia="zh-CN"/>
        </w:rPr>
        <w:t>后在央行</w:t>
      </w:r>
      <w:proofErr w:type="gramStart"/>
      <w:r w:rsidR="003307C2" w:rsidRPr="003307C2">
        <w:rPr>
          <w:rFonts w:ascii="华文楷体" w:hAnsi="华文楷体" w:hint="eastAsia"/>
          <w:sz w:val="24"/>
          <w:szCs w:val="24"/>
          <w:lang w:eastAsia="zh-CN"/>
        </w:rPr>
        <w:t>维稳操作</w:t>
      </w:r>
      <w:proofErr w:type="gramEnd"/>
      <w:r w:rsidR="003307C2" w:rsidRPr="003307C2">
        <w:rPr>
          <w:rFonts w:ascii="华文楷体" w:hAnsi="华文楷体" w:hint="eastAsia"/>
          <w:sz w:val="24"/>
          <w:szCs w:val="24"/>
          <w:lang w:eastAsia="zh-CN"/>
        </w:rPr>
        <w:t>下，期限利差持续修复，目前10Y-1Y期限利差接近一年均值，10Y</w:t>
      </w:r>
      <w:proofErr w:type="gramStart"/>
      <w:r w:rsidR="003307C2" w:rsidRPr="003307C2">
        <w:rPr>
          <w:rFonts w:ascii="华文楷体" w:hAnsi="华文楷体" w:hint="eastAsia"/>
          <w:sz w:val="24"/>
          <w:szCs w:val="24"/>
          <w:lang w:eastAsia="zh-CN"/>
        </w:rPr>
        <w:t>国开债和</w:t>
      </w:r>
      <w:proofErr w:type="gramEnd"/>
      <w:r w:rsidR="003307C2" w:rsidRPr="003307C2">
        <w:rPr>
          <w:rFonts w:ascii="华文楷体" w:hAnsi="华文楷体" w:hint="eastAsia"/>
          <w:sz w:val="24"/>
          <w:szCs w:val="24"/>
          <w:lang w:eastAsia="zh-CN"/>
        </w:rPr>
        <w:t>国债利差同时持续压缩接近中位数，但距离近期低点仍有一定距离，市场短期看，春节</w:t>
      </w:r>
      <w:proofErr w:type="gramStart"/>
      <w:r w:rsidR="003307C2" w:rsidRPr="003307C2">
        <w:rPr>
          <w:rFonts w:ascii="华文楷体" w:hAnsi="华文楷体" w:hint="eastAsia"/>
          <w:sz w:val="24"/>
          <w:szCs w:val="24"/>
          <w:lang w:eastAsia="zh-CN"/>
        </w:rPr>
        <w:t>前利率债情绪</w:t>
      </w:r>
      <w:proofErr w:type="gramEnd"/>
      <w:r w:rsidR="003307C2" w:rsidRPr="003307C2">
        <w:rPr>
          <w:rFonts w:ascii="华文楷体" w:hAnsi="华文楷体" w:hint="eastAsia"/>
          <w:sz w:val="24"/>
          <w:szCs w:val="24"/>
          <w:lang w:eastAsia="zh-CN"/>
        </w:rPr>
        <w:t>仍相对积极，曲线陡峭化同时可能出现一定曲线整体下移情况。后续需关注的风险在于，经济持续向好的程度，以及是否会引发政策回笼提前。</w:t>
      </w:r>
    </w:p>
    <w:p w14:paraId="2C3F4BD1" w14:textId="0C0F727A"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8819C3" w:rsidRPr="008819C3">
        <w:rPr>
          <w:rFonts w:ascii="华文楷体" w:hAnsi="华文楷体" w:hint="eastAsia"/>
          <w:sz w:val="24"/>
          <w:szCs w:val="24"/>
          <w:lang w:eastAsia="zh-CN"/>
        </w:rPr>
        <w:t>信用风险仍是市场关注主要焦点，从</w:t>
      </w:r>
      <w:r w:rsidR="002F7876">
        <w:rPr>
          <w:rFonts w:ascii="华文楷体" w:hAnsi="华文楷体" w:hint="eastAsia"/>
          <w:sz w:val="24"/>
          <w:szCs w:val="24"/>
          <w:lang w:eastAsia="zh-CN"/>
        </w:rPr>
        <w:t>上</w:t>
      </w:r>
      <w:r w:rsidR="008819C3" w:rsidRPr="008819C3">
        <w:rPr>
          <w:rFonts w:ascii="华文楷体" w:hAnsi="华文楷体" w:hint="eastAsia"/>
          <w:sz w:val="24"/>
          <w:szCs w:val="24"/>
          <w:lang w:eastAsia="zh-CN"/>
        </w:rPr>
        <w:t>周信用债表现看，市场对</w:t>
      </w:r>
      <w:proofErr w:type="gramStart"/>
      <w:r w:rsidR="00A13B19">
        <w:rPr>
          <w:rFonts w:ascii="华文楷体" w:hAnsi="华文楷体" w:hint="eastAsia"/>
          <w:sz w:val="24"/>
          <w:szCs w:val="24"/>
          <w:lang w:eastAsia="zh-CN"/>
        </w:rPr>
        <w:t>城投债偏好</w:t>
      </w:r>
      <w:proofErr w:type="gramEnd"/>
      <w:r w:rsidR="00A13B19">
        <w:rPr>
          <w:rFonts w:ascii="华文楷体" w:hAnsi="华文楷体" w:hint="eastAsia"/>
          <w:sz w:val="24"/>
          <w:szCs w:val="24"/>
          <w:lang w:eastAsia="zh-CN"/>
        </w:rPr>
        <w:t>更强，产业债和中票都向AAA靠拢，</w:t>
      </w:r>
      <w:proofErr w:type="gramStart"/>
      <w:r w:rsidR="00A13B19">
        <w:rPr>
          <w:rFonts w:ascii="华文楷体" w:hAnsi="华文楷体" w:hint="eastAsia"/>
          <w:sz w:val="24"/>
          <w:szCs w:val="24"/>
          <w:lang w:eastAsia="zh-CN"/>
        </w:rPr>
        <w:t>城投债反而</w:t>
      </w:r>
      <w:proofErr w:type="gramEnd"/>
      <w:r w:rsidR="00A13B19">
        <w:rPr>
          <w:rFonts w:ascii="华文楷体" w:hAnsi="华文楷体" w:hint="eastAsia"/>
          <w:sz w:val="24"/>
          <w:szCs w:val="24"/>
          <w:lang w:eastAsia="zh-CN"/>
        </w:rPr>
        <w:t>是AA+表现略好</w:t>
      </w:r>
      <w:r w:rsidR="008819C3" w:rsidRPr="008819C3">
        <w:rPr>
          <w:rFonts w:ascii="华文楷体" w:hAnsi="华文楷体" w:hint="eastAsia"/>
          <w:sz w:val="24"/>
          <w:szCs w:val="24"/>
          <w:lang w:eastAsia="zh-CN"/>
        </w:rPr>
        <w:t>，信用分化情况延续。信用</w:t>
      </w:r>
      <w:proofErr w:type="gramStart"/>
      <w:r w:rsidR="008819C3" w:rsidRPr="008819C3">
        <w:rPr>
          <w:rFonts w:ascii="华文楷体" w:hAnsi="华文楷体" w:hint="eastAsia"/>
          <w:sz w:val="24"/>
          <w:szCs w:val="24"/>
          <w:lang w:eastAsia="zh-CN"/>
        </w:rPr>
        <w:t>债</w:t>
      </w:r>
      <w:r w:rsidR="00A13B19">
        <w:rPr>
          <w:rFonts w:ascii="华文楷体" w:hAnsi="华文楷体" w:hint="eastAsia"/>
          <w:sz w:val="24"/>
          <w:szCs w:val="24"/>
          <w:lang w:eastAsia="zh-CN"/>
        </w:rPr>
        <w:t>坚持</w:t>
      </w:r>
      <w:proofErr w:type="gramEnd"/>
      <w:r w:rsidR="008819C3" w:rsidRPr="008819C3">
        <w:rPr>
          <w:rFonts w:ascii="华文楷体" w:hAnsi="华文楷体" w:hint="eastAsia"/>
          <w:sz w:val="24"/>
          <w:szCs w:val="24"/>
          <w:lang w:eastAsia="zh-CN"/>
        </w:rPr>
        <w:t>从票息策略出发，持续关注短期错杀个</w:t>
      </w:r>
      <w:proofErr w:type="gramStart"/>
      <w:r w:rsidR="008819C3" w:rsidRPr="008819C3">
        <w:rPr>
          <w:rFonts w:ascii="华文楷体" w:hAnsi="华文楷体" w:hint="eastAsia"/>
          <w:sz w:val="24"/>
          <w:szCs w:val="24"/>
          <w:lang w:eastAsia="zh-CN"/>
        </w:rPr>
        <w:t>券</w:t>
      </w:r>
      <w:proofErr w:type="gramEnd"/>
      <w:r w:rsidR="008819C3" w:rsidRPr="008819C3">
        <w:rPr>
          <w:rFonts w:ascii="华文楷体" w:hAnsi="华文楷体" w:hint="eastAsia"/>
          <w:sz w:val="24"/>
          <w:szCs w:val="24"/>
          <w:lang w:eastAsia="zh-CN"/>
        </w:rPr>
        <w:t>以及中期板块性的配置机会，坚持右侧配置策略为主。</w:t>
      </w:r>
    </w:p>
    <w:p w14:paraId="4C893BAE" w14:textId="7AA9EB6A"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A13B19" w:rsidRPr="00A13B19">
        <w:rPr>
          <w:rFonts w:ascii="华文楷体" w:hAnsi="华文楷体" w:hint="eastAsia"/>
          <w:sz w:val="24"/>
          <w:szCs w:val="24"/>
          <w:lang w:eastAsia="zh-CN"/>
        </w:rPr>
        <w:t>流动性</w:t>
      </w:r>
      <w:proofErr w:type="gramStart"/>
      <w:r w:rsidR="00A13B19" w:rsidRPr="00A13B19">
        <w:rPr>
          <w:rFonts w:ascii="华文楷体" w:hAnsi="华文楷体" w:hint="eastAsia"/>
          <w:sz w:val="24"/>
          <w:szCs w:val="24"/>
          <w:lang w:eastAsia="zh-CN"/>
        </w:rPr>
        <w:t>宽松将</w:t>
      </w:r>
      <w:proofErr w:type="gramEnd"/>
      <w:r w:rsidR="00A13B19" w:rsidRPr="00A13B19">
        <w:rPr>
          <w:rFonts w:ascii="华文楷体" w:hAnsi="华文楷体" w:hint="eastAsia"/>
          <w:sz w:val="24"/>
          <w:szCs w:val="24"/>
          <w:lang w:eastAsia="zh-CN"/>
        </w:rPr>
        <w:t>为春季躁动创造良好环境，特斯拉的降价引发的大量预购对新能源板块本就顺畅的逻辑有所强化，前期调整的通讯、电子、计算机板块也有更好的占位，顺周期行业仍有不错的供需窗口，春季躁动或提前演绎。</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1B7CF3C7"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r w:rsidR="00CE0946">
              <w:rPr>
                <w:rFonts w:hint="eastAsia"/>
              </w:rPr>
              <w:t>持续</w:t>
            </w:r>
            <w:r w:rsidR="000A4783">
              <w:rPr>
                <w:rFonts w:hint="eastAsia"/>
              </w:rPr>
              <w:t>小幅</w:t>
            </w:r>
            <w:r w:rsidR="00FE5669">
              <w:rPr>
                <w:rFonts w:hint="eastAsia"/>
              </w:rPr>
              <w:t>修复</w:t>
            </w:r>
          </w:p>
        </w:tc>
        <w:tc>
          <w:tcPr>
            <w:tcW w:w="4938" w:type="dxa"/>
            <w:vAlign w:val="center"/>
          </w:tcPr>
          <w:p w14:paraId="02A10F26" w14:textId="1671DDA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FE5669">
              <w:rPr>
                <w:rFonts w:hint="eastAsia"/>
              </w:rPr>
              <w:t>相对平稳</w:t>
            </w:r>
          </w:p>
        </w:tc>
      </w:tr>
      <w:tr w:rsidR="001D35B3" w:rsidRPr="006A5F34" w14:paraId="205667F1" w14:textId="77777777" w:rsidTr="006A62D4">
        <w:tblPrEx>
          <w:tblCellMar>
            <w:left w:w="108" w:type="dxa"/>
            <w:right w:w="108" w:type="dxa"/>
          </w:tblCellMar>
        </w:tblPrEx>
        <w:trPr>
          <w:jc w:val="center"/>
        </w:trPr>
        <w:tc>
          <w:tcPr>
            <w:tcW w:w="4939" w:type="dxa"/>
            <w:vAlign w:val="center"/>
          </w:tcPr>
          <w:p w14:paraId="56C782C2" w14:textId="32B80AE6" w:rsidR="001D35B3" w:rsidRPr="007E0340" w:rsidRDefault="006A62D4" w:rsidP="009A2BA0">
            <w:pPr>
              <w:jc w:val="center"/>
              <w:rPr>
                <w:noProof/>
              </w:rPr>
            </w:pPr>
            <w:r>
              <w:rPr>
                <w:noProof/>
              </w:rPr>
              <w:drawing>
                <wp:inline distT="0" distB="0" distL="0" distR="0" wp14:anchorId="5986F33E" wp14:editId="63135DAC">
                  <wp:extent cx="2999105" cy="1760507"/>
                  <wp:effectExtent l="0" t="0" r="0" b="0"/>
                  <wp:docPr id="15" name="图表 15">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5ED8BFFC" w:rsidR="001D35B3" w:rsidRPr="007E0340" w:rsidRDefault="006A62D4" w:rsidP="009A2BA0">
            <w:pPr>
              <w:jc w:val="center"/>
              <w:rPr>
                <w:noProof/>
                <w:szCs w:val="18"/>
              </w:rPr>
            </w:pPr>
            <w:r>
              <w:rPr>
                <w:noProof/>
              </w:rPr>
              <w:drawing>
                <wp:inline distT="0" distB="0" distL="0" distR="0" wp14:anchorId="3C4A1B96" wp14:editId="26F91744">
                  <wp:extent cx="2998470" cy="1734149"/>
                  <wp:effectExtent l="0" t="0" r="0" b="0"/>
                  <wp:docPr id="16" name="图表 1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6E00944D" w:rsidR="001D35B3" w:rsidRPr="006A5F34" w:rsidRDefault="001D35B3" w:rsidP="000A4783">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CE0946">
              <w:rPr>
                <w:rFonts w:hint="eastAsia"/>
              </w:rPr>
              <w:t>出现回落</w:t>
            </w:r>
          </w:p>
        </w:tc>
        <w:tc>
          <w:tcPr>
            <w:tcW w:w="4938" w:type="dxa"/>
            <w:vAlign w:val="center"/>
          </w:tcPr>
          <w:p w14:paraId="07575C0F" w14:textId="467DA5F9"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猪肉价格走稳</w:t>
            </w:r>
          </w:p>
        </w:tc>
      </w:tr>
      <w:tr w:rsidR="001D35B3" w:rsidRPr="006A5F34" w14:paraId="49BBD33E" w14:textId="77777777" w:rsidTr="006A62D4">
        <w:tblPrEx>
          <w:tblCellMar>
            <w:left w:w="108" w:type="dxa"/>
            <w:right w:w="108" w:type="dxa"/>
          </w:tblCellMar>
        </w:tblPrEx>
        <w:trPr>
          <w:trHeight w:val="2987"/>
          <w:jc w:val="center"/>
        </w:trPr>
        <w:tc>
          <w:tcPr>
            <w:tcW w:w="4939" w:type="dxa"/>
            <w:vAlign w:val="center"/>
          </w:tcPr>
          <w:p w14:paraId="0BAC1731" w14:textId="019ECECA" w:rsidR="001D35B3" w:rsidRPr="007E0340" w:rsidRDefault="006A62D4" w:rsidP="009A2BA0">
            <w:pPr>
              <w:jc w:val="center"/>
              <w:rPr>
                <w:noProof/>
              </w:rPr>
            </w:pPr>
            <w:r>
              <w:rPr>
                <w:noProof/>
              </w:rPr>
              <w:drawing>
                <wp:inline distT="0" distB="0" distL="0" distR="0" wp14:anchorId="446FBF93" wp14:editId="3EF7460F">
                  <wp:extent cx="2999105" cy="1967541"/>
                  <wp:effectExtent l="0" t="0" r="0" b="0"/>
                  <wp:docPr id="18" name="图表 1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57739F99" w:rsidR="001D35B3" w:rsidRPr="007E0340" w:rsidRDefault="006A62D4" w:rsidP="009A2BA0">
            <w:pPr>
              <w:jc w:val="center"/>
              <w:rPr>
                <w:noProof/>
                <w:szCs w:val="18"/>
              </w:rPr>
            </w:pPr>
            <w:r>
              <w:rPr>
                <w:noProof/>
              </w:rPr>
              <w:drawing>
                <wp:inline distT="0" distB="0" distL="0" distR="0" wp14:anchorId="09BEA7A6" wp14:editId="29F46A9B">
                  <wp:extent cx="2998470" cy="1903862"/>
                  <wp:effectExtent l="0" t="0" r="0" b="1270"/>
                  <wp:docPr id="19" name="图表 1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236E8CBA" w14:textId="1CD31D6F" w:rsidR="00EA1966" w:rsidRDefault="00594303" w:rsidP="002F7876">
      <w:pPr>
        <w:widowControl/>
        <w:jc w:val="left"/>
        <w:rPr>
          <w:rFonts w:ascii="华文楷体" w:hAnsi="华文楷体"/>
          <w:sz w:val="24"/>
          <w:szCs w:val="24"/>
        </w:rPr>
      </w:pPr>
      <w:r>
        <w:rPr>
          <w:rFonts w:ascii="华文楷体" w:hAnsi="华文楷体"/>
          <w:sz w:val="24"/>
          <w:szCs w:val="24"/>
        </w:rPr>
        <w:br w:type="page"/>
      </w:r>
      <w:r w:rsidR="002F7876" w:rsidRPr="002F7876">
        <w:rPr>
          <w:rFonts w:ascii="华文楷体" w:hAnsi="华文楷体" w:hint="eastAsia"/>
          <w:sz w:val="24"/>
          <w:szCs w:val="24"/>
        </w:rPr>
        <w:lastRenderedPageBreak/>
        <w:t>风险提示：</w:t>
      </w:r>
      <w:r w:rsidR="002F7876" w:rsidRPr="002F7876">
        <w:rPr>
          <w:rFonts w:ascii="华文楷体" w:hAnsi="华文楷体" w:hint="eastAsia"/>
          <w:sz w:val="24"/>
          <w:szCs w:val="24"/>
        </w:rPr>
        <w:t>1</w:t>
      </w:r>
      <w:r w:rsidR="002F7876" w:rsidRPr="002F7876">
        <w:rPr>
          <w:rFonts w:ascii="华文楷体" w:hAnsi="华文楷体" w:hint="eastAsia"/>
          <w:sz w:val="24"/>
          <w:szCs w:val="24"/>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002F7876" w:rsidRPr="002F7876">
        <w:rPr>
          <w:rFonts w:ascii="华文楷体" w:hAnsi="华文楷体" w:hint="eastAsia"/>
          <w:sz w:val="24"/>
          <w:szCs w:val="24"/>
        </w:rPr>
        <w:t>作出</w:t>
      </w:r>
      <w:proofErr w:type="gramEnd"/>
      <w:r w:rsidR="002F7876" w:rsidRPr="002F7876">
        <w:rPr>
          <w:rFonts w:ascii="华文楷体" w:hAnsi="华文楷体" w:hint="eastAsia"/>
          <w:sz w:val="24"/>
          <w:szCs w:val="24"/>
        </w:rPr>
        <w:t>调整。</w:t>
      </w:r>
      <w:r w:rsidR="002F7876" w:rsidRPr="002F7876">
        <w:rPr>
          <w:rFonts w:ascii="华文楷体" w:hAnsi="华文楷体" w:hint="eastAsia"/>
          <w:sz w:val="24"/>
          <w:szCs w:val="24"/>
        </w:rPr>
        <w:t>2</w:t>
      </w:r>
      <w:r w:rsidR="002F7876" w:rsidRPr="002F7876">
        <w:rPr>
          <w:rFonts w:ascii="华文楷体" w:hAnsi="华文楷体" w:hint="eastAsia"/>
          <w:sz w:val="24"/>
          <w:szCs w:val="24"/>
        </w:rPr>
        <w:t>、本报告中的资料、观点和预测等仅供参考，在任何时候均不构成对任何人的个人推荐。市场有风险，投资需谨慎。</w:t>
      </w:r>
      <w:bookmarkStart w:id="2" w:name="_GoBack"/>
      <w:bookmarkEnd w:id="2"/>
    </w:p>
    <w:sectPr w:rsidR="00EA1966"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673FD4" w14:textId="77777777" w:rsidR="009A7DE5" w:rsidRDefault="009A7DE5">
      <w:r>
        <w:separator/>
      </w:r>
    </w:p>
  </w:endnote>
  <w:endnote w:type="continuationSeparator" w:id="0">
    <w:p w14:paraId="547BEAF7" w14:textId="77777777" w:rsidR="009A7DE5" w:rsidRDefault="009A7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2A000F" w:rsidRDefault="002A000F">
        <w:pPr>
          <w:pStyle w:val="a4"/>
          <w:jc w:val="right"/>
        </w:pPr>
        <w:r>
          <w:fldChar w:fldCharType="begin"/>
        </w:r>
        <w:r>
          <w:instrText>PAGE   \* MERGEFORMAT</w:instrText>
        </w:r>
        <w:r>
          <w:fldChar w:fldCharType="separate"/>
        </w:r>
        <w:r w:rsidR="002F7876" w:rsidRPr="002F7876">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1F9CB4" w14:textId="77777777" w:rsidR="009A7DE5" w:rsidRDefault="009A7DE5">
      <w:r>
        <w:separator/>
      </w:r>
    </w:p>
  </w:footnote>
  <w:footnote w:type="continuationSeparator" w:id="0">
    <w:p w14:paraId="41174E95" w14:textId="77777777" w:rsidR="009A7DE5" w:rsidRDefault="009A7D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2A000F" w:rsidRDefault="002A000F"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4BA"/>
    <w:rsid w:val="001C269A"/>
    <w:rsid w:val="001C2789"/>
    <w:rsid w:val="001C2DB8"/>
    <w:rsid w:val="001C3579"/>
    <w:rsid w:val="001C398F"/>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4C26"/>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876"/>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1E6"/>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CB3"/>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DE5"/>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799634683319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44043</c:v>
                </c:pt>
                <c:pt idx="1">
                  <c:v>44050</c:v>
                </c:pt>
                <c:pt idx="2">
                  <c:v>44057</c:v>
                </c:pt>
                <c:pt idx="3">
                  <c:v>44064</c:v>
                </c:pt>
                <c:pt idx="4">
                  <c:v>44071</c:v>
                </c:pt>
                <c:pt idx="5">
                  <c:v>44078</c:v>
                </c:pt>
                <c:pt idx="6">
                  <c:v>44085</c:v>
                </c:pt>
                <c:pt idx="7">
                  <c:v>44092</c:v>
                </c:pt>
                <c:pt idx="8">
                  <c:v>44099</c:v>
                </c:pt>
                <c:pt idx="9">
                  <c:v>44106</c:v>
                </c:pt>
                <c:pt idx="10">
                  <c:v>44113</c:v>
                </c:pt>
                <c:pt idx="11">
                  <c:v>44120</c:v>
                </c:pt>
                <c:pt idx="12">
                  <c:v>44127</c:v>
                </c:pt>
                <c:pt idx="13">
                  <c:v>44134</c:v>
                </c:pt>
                <c:pt idx="14">
                  <c:v>44141</c:v>
                </c:pt>
                <c:pt idx="15">
                  <c:v>44148</c:v>
                </c:pt>
                <c:pt idx="16">
                  <c:v>44155</c:v>
                </c:pt>
                <c:pt idx="17">
                  <c:v>44162</c:v>
                </c:pt>
                <c:pt idx="18">
                  <c:v>44169</c:v>
                </c:pt>
                <c:pt idx="19">
                  <c:v>44176</c:v>
                </c:pt>
                <c:pt idx="20">
                  <c:v>44183</c:v>
                </c:pt>
                <c:pt idx="21">
                  <c:v>44190</c:v>
                </c:pt>
                <c:pt idx="22">
                  <c:v>44197</c:v>
                </c:pt>
              </c:numCache>
            </c:numRef>
          </c:cat>
          <c:val>
            <c:numRef>
              <c:f>央行!$B$5:$B$27</c:f>
              <c:numCache>
                <c:formatCode>###,###,###,###,##0.00</c:formatCode>
                <c:ptCount val="23"/>
                <c:pt idx="0">
                  <c:v>2800</c:v>
                </c:pt>
                <c:pt idx="1">
                  <c:v>100</c:v>
                </c:pt>
                <c:pt idx="2">
                  <c:v>5000</c:v>
                </c:pt>
                <c:pt idx="3">
                  <c:v>6600</c:v>
                </c:pt>
                <c:pt idx="4">
                  <c:v>8150</c:v>
                </c:pt>
                <c:pt idx="5">
                  <c:v>2800</c:v>
                </c:pt>
                <c:pt idx="6">
                  <c:v>6200</c:v>
                </c:pt>
                <c:pt idx="7">
                  <c:v>4800</c:v>
                </c:pt>
                <c:pt idx="8">
                  <c:v>9000</c:v>
                </c:pt>
                <c:pt idx="9">
                  <c:v>2150</c:v>
                </c:pt>
                <c:pt idx="10">
                  <c:v>0</c:v>
                </c:pt>
                <c:pt idx="11">
                  <c:v>1000</c:v>
                </c:pt>
                <c:pt idx="12">
                  <c:v>3200</c:v>
                </c:pt>
                <c:pt idx="13">
                  <c:v>5150</c:v>
                </c:pt>
                <c:pt idx="14">
                  <c:v>3200</c:v>
                </c:pt>
                <c:pt idx="15">
                  <c:v>5500</c:v>
                </c:pt>
                <c:pt idx="16">
                  <c:v>3000</c:v>
                </c:pt>
                <c:pt idx="17">
                  <c:v>4350</c:v>
                </c:pt>
                <c:pt idx="18">
                  <c:v>2000</c:v>
                </c:pt>
                <c:pt idx="19">
                  <c:v>1500</c:v>
                </c:pt>
                <c:pt idx="20">
                  <c:v>600</c:v>
                </c:pt>
                <c:pt idx="21">
                  <c:v>4300</c:v>
                </c:pt>
                <c:pt idx="22">
                  <c:v>1750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44043</c:v>
                </c:pt>
                <c:pt idx="1">
                  <c:v>44050</c:v>
                </c:pt>
                <c:pt idx="2">
                  <c:v>44057</c:v>
                </c:pt>
                <c:pt idx="3">
                  <c:v>44064</c:v>
                </c:pt>
                <c:pt idx="4">
                  <c:v>44071</c:v>
                </c:pt>
                <c:pt idx="5">
                  <c:v>44078</c:v>
                </c:pt>
                <c:pt idx="6">
                  <c:v>44085</c:v>
                </c:pt>
                <c:pt idx="7">
                  <c:v>44092</c:v>
                </c:pt>
                <c:pt idx="8">
                  <c:v>44099</c:v>
                </c:pt>
                <c:pt idx="9">
                  <c:v>44106</c:v>
                </c:pt>
                <c:pt idx="10">
                  <c:v>44113</c:v>
                </c:pt>
                <c:pt idx="11">
                  <c:v>44120</c:v>
                </c:pt>
                <c:pt idx="12">
                  <c:v>44127</c:v>
                </c:pt>
                <c:pt idx="13">
                  <c:v>44134</c:v>
                </c:pt>
                <c:pt idx="14">
                  <c:v>44141</c:v>
                </c:pt>
                <c:pt idx="15">
                  <c:v>44148</c:v>
                </c:pt>
                <c:pt idx="16">
                  <c:v>44155</c:v>
                </c:pt>
                <c:pt idx="17">
                  <c:v>44162</c:v>
                </c:pt>
                <c:pt idx="18">
                  <c:v>44169</c:v>
                </c:pt>
                <c:pt idx="19">
                  <c:v>44176</c:v>
                </c:pt>
                <c:pt idx="20">
                  <c:v>44183</c:v>
                </c:pt>
                <c:pt idx="21">
                  <c:v>44190</c:v>
                </c:pt>
                <c:pt idx="22">
                  <c:v>44197</c:v>
                </c:pt>
              </c:numCache>
            </c:numRef>
          </c:cat>
          <c:val>
            <c:numRef>
              <c:f>央行!$C$5:$C$27</c:f>
              <c:numCache>
                <c:formatCode>###,###,###,###,##0.00</c:formatCode>
                <c:ptCount val="23"/>
                <c:pt idx="0">
                  <c:v>-1650</c:v>
                </c:pt>
                <c:pt idx="1">
                  <c:v>-2800</c:v>
                </c:pt>
                <c:pt idx="2">
                  <c:v>-100</c:v>
                </c:pt>
                <c:pt idx="3">
                  <c:v>-5000</c:v>
                </c:pt>
                <c:pt idx="4">
                  <c:v>-6150</c:v>
                </c:pt>
                <c:pt idx="5">
                  <c:v>-7500</c:v>
                </c:pt>
                <c:pt idx="6">
                  <c:v>-3900</c:v>
                </c:pt>
                <c:pt idx="7">
                  <c:v>-6200</c:v>
                </c:pt>
                <c:pt idx="8">
                  <c:v>-4200</c:v>
                </c:pt>
                <c:pt idx="9">
                  <c:v>-4650</c:v>
                </c:pt>
                <c:pt idx="10">
                  <c:v>-5000</c:v>
                </c:pt>
                <c:pt idx="11">
                  <c:v>-2100</c:v>
                </c:pt>
                <c:pt idx="12">
                  <c:v>-1000</c:v>
                </c:pt>
                <c:pt idx="13">
                  <c:v>-3250</c:v>
                </c:pt>
                <c:pt idx="14">
                  <c:v>-5100</c:v>
                </c:pt>
                <c:pt idx="15">
                  <c:v>-3200</c:v>
                </c:pt>
                <c:pt idx="16">
                  <c:v>-5500</c:v>
                </c:pt>
                <c:pt idx="17">
                  <c:v>-3050</c:v>
                </c:pt>
                <c:pt idx="18">
                  <c:v>-4300</c:v>
                </c:pt>
                <c:pt idx="19">
                  <c:v>-2000</c:v>
                </c:pt>
                <c:pt idx="20">
                  <c:v>-1500</c:v>
                </c:pt>
                <c:pt idx="21">
                  <c:v>-650</c:v>
                </c:pt>
                <c:pt idx="22">
                  <c:v>-800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458990720"/>
        <c:axId val="45899264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44043</c:v>
                </c:pt>
                <c:pt idx="1">
                  <c:v>44050</c:v>
                </c:pt>
                <c:pt idx="2">
                  <c:v>44057</c:v>
                </c:pt>
                <c:pt idx="3">
                  <c:v>44064</c:v>
                </c:pt>
                <c:pt idx="4">
                  <c:v>44071</c:v>
                </c:pt>
                <c:pt idx="5">
                  <c:v>44078</c:v>
                </c:pt>
                <c:pt idx="6">
                  <c:v>44085</c:v>
                </c:pt>
                <c:pt idx="7">
                  <c:v>44092</c:v>
                </c:pt>
                <c:pt idx="8">
                  <c:v>44099</c:v>
                </c:pt>
                <c:pt idx="9">
                  <c:v>44106</c:v>
                </c:pt>
                <c:pt idx="10">
                  <c:v>44113</c:v>
                </c:pt>
                <c:pt idx="11">
                  <c:v>44120</c:v>
                </c:pt>
                <c:pt idx="12">
                  <c:v>44127</c:v>
                </c:pt>
                <c:pt idx="13">
                  <c:v>44134</c:v>
                </c:pt>
                <c:pt idx="14">
                  <c:v>44141</c:v>
                </c:pt>
                <c:pt idx="15">
                  <c:v>44148</c:v>
                </c:pt>
                <c:pt idx="16">
                  <c:v>44155</c:v>
                </c:pt>
                <c:pt idx="17">
                  <c:v>44162</c:v>
                </c:pt>
                <c:pt idx="18">
                  <c:v>44169</c:v>
                </c:pt>
                <c:pt idx="19">
                  <c:v>44176</c:v>
                </c:pt>
                <c:pt idx="20">
                  <c:v>44183</c:v>
                </c:pt>
                <c:pt idx="21">
                  <c:v>44190</c:v>
                </c:pt>
                <c:pt idx="22">
                  <c:v>44197</c:v>
                </c:pt>
              </c:numCache>
            </c:numRef>
          </c:cat>
          <c:val>
            <c:numRef>
              <c:f>央行!$D$5:$D$27</c:f>
              <c:numCache>
                <c:formatCode>###,###,###,###,##0.00</c:formatCode>
                <c:ptCount val="23"/>
                <c:pt idx="0">
                  <c:v>1150</c:v>
                </c:pt>
                <c:pt idx="1">
                  <c:v>-2700</c:v>
                </c:pt>
                <c:pt idx="2">
                  <c:v>4900</c:v>
                </c:pt>
                <c:pt idx="3">
                  <c:v>1600</c:v>
                </c:pt>
                <c:pt idx="4">
                  <c:v>2000</c:v>
                </c:pt>
                <c:pt idx="5">
                  <c:v>-4700</c:v>
                </c:pt>
                <c:pt idx="6">
                  <c:v>2300</c:v>
                </c:pt>
                <c:pt idx="7">
                  <c:v>-1400</c:v>
                </c:pt>
                <c:pt idx="8">
                  <c:v>4800</c:v>
                </c:pt>
                <c:pt idx="9">
                  <c:v>-2500</c:v>
                </c:pt>
                <c:pt idx="10">
                  <c:v>-5000</c:v>
                </c:pt>
                <c:pt idx="11">
                  <c:v>-1100</c:v>
                </c:pt>
                <c:pt idx="12">
                  <c:v>2200</c:v>
                </c:pt>
                <c:pt idx="13">
                  <c:v>1900</c:v>
                </c:pt>
                <c:pt idx="14">
                  <c:v>-1900</c:v>
                </c:pt>
                <c:pt idx="15">
                  <c:v>2300</c:v>
                </c:pt>
                <c:pt idx="16">
                  <c:v>-2500</c:v>
                </c:pt>
                <c:pt idx="17">
                  <c:v>1300</c:v>
                </c:pt>
                <c:pt idx="18">
                  <c:v>-2300</c:v>
                </c:pt>
                <c:pt idx="19">
                  <c:v>-500</c:v>
                </c:pt>
                <c:pt idx="20">
                  <c:v>-900</c:v>
                </c:pt>
                <c:pt idx="21">
                  <c:v>3650</c:v>
                </c:pt>
                <c:pt idx="22">
                  <c:v>950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458990720"/>
        <c:axId val="458992640"/>
      </c:lineChart>
      <c:catAx>
        <c:axId val="45899072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992640"/>
        <c:crosses val="autoZero"/>
        <c:auto val="0"/>
        <c:lblAlgn val="ctr"/>
        <c:lblOffset val="0"/>
        <c:tickMarkSkip val="2"/>
        <c:noMultiLvlLbl val="0"/>
      </c:catAx>
      <c:valAx>
        <c:axId val="45899264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99072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738956868002661"/>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44196</c:v>
                </c:pt>
                <c:pt idx="1">
                  <c:v>44195</c:v>
                </c:pt>
                <c:pt idx="2">
                  <c:v>44194</c:v>
                </c:pt>
                <c:pt idx="3">
                  <c:v>44193</c:v>
                </c:pt>
                <c:pt idx="4">
                  <c:v>44190</c:v>
                </c:pt>
                <c:pt idx="5">
                  <c:v>44189</c:v>
                </c:pt>
                <c:pt idx="6">
                  <c:v>44188</c:v>
                </c:pt>
                <c:pt idx="7">
                  <c:v>44187</c:v>
                </c:pt>
                <c:pt idx="8">
                  <c:v>44186</c:v>
                </c:pt>
                <c:pt idx="9">
                  <c:v>44183</c:v>
                </c:pt>
                <c:pt idx="10">
                  <c:v>44182</c:v>
                </c:pt>
                <c:pt idx="11">
                  <c:v>44181</c:v>
                </c:pt>
                <c:pt idx="12">
                  <c:v>44180</c:v>
                </c:pt>
                <c:pt idx="13">
                  <c:v>44179</c:v>
                </c:pt>
                <c:pt idx="14">
                  <c:v>44176</c:v>
                </c:pt>
                <c:pt idx="15">
                  <c:v>44175</c:v>
                </c:pt>
                <c:pt idx="16">
                  <c:v>44174</c:v>
                </c:pt>
                <c:pt idx="17">
                  <c:v>44173</c:v>
                </c:pt>
                <c:pt idx="18">
                  <c:v>44172</c:v>
                </c:pt>
                <c:pt idx="19">
                  <c:v>44169</c:v>
                </c:pt>
                <c:pt idx="20">
                  <c:v>44168</c:v>
                </c:pt>
                <c:pt idx="21">
                  <c:v>44167</c:v>
                </c:pt>
                <c:pt idx="22">
                  <c:v>44166</c:v>
                </c:pt>
                <c:pt idx="23">
                  <c:v>44165</c:v>
                </c:pt>
                <c:pt idx="24">
                  <c:v>44162</c:v>
                </c:pt>
                <c:pt idx="25">
                  <c:v>44161</c:v>
                </c:pt>
                <c:pt idx="26">
                  <c:v>44160</c:v>
                </c:pt>
                <c:pt idx="27">
                  <c:v>44159</c:v>
                </c:pt>
                <c:pt idx="28">
                  <c:v>44158</c:v>
                </c:pt>
                <c:pt idx="29">
                  <c:v>44155</c:v>
                </c:pt>
                <c:pt idx="30">
                  <c:v>44154</c:v>
                </c:pt>
                <c:pt idx="31">
                  <c:v>44153</c:v>
                </c:pt>
                <c:pt idx="32">
                  <c:v>44152</c:v>
                </c:pt>
                <c:pt idx="33">
                  <c:v>44151</c:v>
                </c:pt>
                <c:pt idx="34">
                  <c:v>44148</c:v>
                </c:pt>
                <c:pt idx="35">
                  <c:v>44147</c:v>
                </c:pt>
                <c:pt idx="36">
                  <c:v>44146</c:v>
                </c:pt>
                <c:pt idx="37">
                  <c:v>44145</c:v>
                </c:pt>
                <c:pt idx="38">
                  <c:v>44144</c:v>
                </c:pt>
                <c:pt idx="39">
                  <c:v>44141</c:v>
                </c:pt>
                <c:pt idx="40">
                  <c:v>44140</c:v>
                </c:pt>
                <c:pt idx="41">
                  <c:v>44139</c:v>
                </c:pt>
                <c:pt idx="42">
                  <c:v>44138</c:v>
                </c:pt>
                <c:pt idx="43">
                  <c:v>44137</c:v>
                </c:pt>
                <c:pt idx="44">
                  <c:v>44134</c:v>
                </c:pt>
                <c:pt idx="45">
                  <c:v>44133</c:v>
                </c:pt>
                <c:pt idx="46">
                  <c:v>44132</c:v>
                </c:pt>
                <c:pt idx="47">
                  <c:v>44131</c:v>
                </c:pt>
                <c:pt idx="48">
                  <c:v>44130</c:v>
                </c:pt>
                <c:pt idx="49">
                  <c:v>44127</c:v>
                </c:pt>
                <c:pt idx="50">
                  <c:v>44126</c:v>
                </c:pt>
                <c:pt idx="51">
                  <c:v>44125</c:v>
                </c:pt>
                <c:pt idx="52">
                  <c:v>44124</c:v>
                </c:pt>
                <c:pt idx="53">
                  <c:v>44123</c:v>
                </c:pt>
                <c:pt idx="54">
                  <c:v>44120</c:v>
                </c:pt>
                <c:pt idx="55">
                  <c:v>44119</c:v>
                </c:pt>
                <c:pt idx="56">
                  <c:v>44118</c:v>
                </c:pt>
                <c:pt idx="57">
                  <c:v>44117</c:v>
                </c:pt>
                <c:pt idx="58">
                  <c:v>44116</c:v>
                </c:pt>
              </c:numCache>
            </c:numRef>
          </c:cat>
          <c:val>
            <c:numRef>
              <c:f>资金!$B$3:$B$61</c:f>
              <c:numCache>
                <c:formatCode>###,###,###,###,##0.0000</c:formatCode>
                <c:ptCount val="59"/>
                <c:pt idx="0">
                  <c:v>1.4548000000000001</c:v>
                </c:pt>
                <c:pt idx="1">
                  <c:v>0.7712</c:v>
                </c:pt>
                <c:pt idx="2">
                  <c:v>0.71660000000000001</c:v>
                </c:pt>
                <c:pt idx="3">
                  <c:v>0.74880000000000002</c:v>
                </c:pt>
                <c:pt idx="4">
                  <c:v>0.86060000000000003</c:v>
                </c:pt>
                <c:pt idx="5">
                  <c:v>0.69410000000000005</c:v>
                </c:pt>
                <c:pt idx="6">
                  <c:v>0.68979999999999997</c:v>
                </c:pt>
                <c:pt idx="7">
                  <c:v>1.0650999999999999</c:v>
                </c:pt>
                <c:pt idx="8">
                  <c:v>1.5268999999999999</c:v>
                </c:pt>
                <c:pt idx="9">
                  <c:v>1.7833000000000001</c:v>
                </c:pt>
                <c:pt idx="10">
                  <c:v>1.4323999999999999</c:v>
                </c:pt>
                <c:pt idx="11">
                  <c:v>1.0374000000000001</c:v>
                </c:pt>
                <c:pt idx="12">
                  <c:v>1.4353</c:v>
                </c:pt>
                <c:pt idx="13">
                  <c:v>1.7574000000000001</c:v>
                </c:pt>
                <c:pt idx="14">
                  <c:v>1.5121</c:v>
                </c:pt>
                <c:pt idx="15">
                  <c:v>1.0599000000000001</c:v>
                </c:pt>
                <c:pt idx="16">
                  <c:v>1.1145</c:v>
                </c:pt>
                <c:pt idx="17">
                  <c:v>1.3402000000000001</c:v>
                </c:pt>
                <c:pt idx="18">
                  <c:v>1.4177</c:v>
                </c:pt>
                <c:pt idx="19">
                  <c:v>1.147</c:v>
                </c:pt>
                <c:pt idx="20">
                  <c:v>0.97250000000000003</c:v>
                </c:pt>
                <c:pt idx="21">
                  <c:v>0.81740000000000002</c:v>
                </c:pt>
                <c:pt idx="22">
                  <c:v>0.84609999999999996</c:v>
                </c:pt>
                <c:pt idx="23">
                  <c:v>1.2567999999999999</c:v>
                </c:pt>
                <c:pt idx="24">
                  <c:v>0.89139999999999997</c:v>
                </c:pt>
                <c:pt idx="25">
                  <c:v>1.3314999999999999</c:v>
                </c:pt>
                <c:pt idx="26">
                  <c:v>1.6241000000000001</c:v>
                </c:pt>
                <c:pt idx="27">
                  <c:v>1.8728</c:v>
                </c:pt>
                <c:pt idx="28">
                  <c:v>1.895</c:v>
                </c:pt>
                <c:pt idx="29">
                  <c:v>1.982</c:v>
                </c:pt>
                <c:pt idx="30">
                  <c:v>1.9603999999999999</c:v>
                </c:pt>
                <c:pt idx="31">
                  <c:v>1.7726</c:v>
                </c:pt>
                <c:pt idx="32">
                  <c:v>1.8414999999999999</c:v>
                </c:pt>
                <c:pt idx="33">
                  <c:v>2.2904</c:v>
                </c:pt>
                <c:pt idx="34">
                  <c:v>2.7808999999999999</c:v>
                </c:pt>
                <c:pt idx="35">
                  <c:v>2.8058000000000001</c:v>
                </c:pt>
                <c:pt idx="36">
                  <c:v>2.4857</c:v>
                </c:pt>
                <c:pt idx="37">
                  <c:v>2.4521999999999999</c:v>
                </c:pt>
                <c:pt idx="38">
                  <c:v>2.2858000000000001</c:v>
                </c:pt>
                <c:pt idx="39">
                  <c:v>1.8764000000000001</c:v>
                </c:pt>
                <c:pt idx="40">
                  <c:v>1.4429000000000001</c:v>
                </c:pt>
                <c:pt idx="41">
                  <c:v>1.4752000000000001</c:v>
                </c:pt>
                <c:pt idx="42">
                  <c:v>1.8856999999999999</c:v>
                </c:pt>
                <c:pt idx="43">
                  <c:v>2.4079999999999999</c:v>
                </c:pt>
                <c:pt idx="44">
                  <c:v>2.9178999999999999</c:v>
                </c:pt>
                <c:pt idx="45">
                  <c:v>2.2277999999999998</c:v>
                </c:pt>
                <c:pt idx="46">
                  <c:v>2.6492</c:v>
                </c:pt>
                <c:pt idx="47">
                  <c:v>2.6776</c:v>
                </c:pt>
                <c:pt idx="48">
                  <c:v>2.3357999999999999</c:v>
                </c:pt>
                <c:pt idx="49">
                  <c:v>2.2181999999999999</c:v>
                </c:pt>
                <c:pt idx="50">
                  <c:v>1.9681</c:v>
                </c:pt>
                <c:pt idx="51">
                  <c:v>2.0144000000000002</c:v>
                </c:pt>
                <c:pt idx="52">
                  <c:v>2.2193000000000001</c:v>
                </c:pt>
                <c:pt idx="53">
                  <c:v>2.2770000000000001</c:v>
                </c:pt>
                <c:pt idx="54">
                  <c:v>2.0550000000000002</c:v>
                </c:pt>
                <c:pt idx="55">
                  <c:v>2.1076000000000001</c:v>
                </c:pt>
                <c:pt idx="56">
                  <c:v>2.04</c:v>
                </c:pt>
                <c:pt idx="57">
                  <c:v>1.7559</c:v>
                </c:pt>
                <c:pt idx="58">
                  <c:v>1.5719000000000001</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44196</c:v>
                </c:pt>
                <c:pt idx="1">
                  <c:v>44195</c:v>
                </c:pt>
                <c:pt idx="2">
                  <c:v>44194</c:v>
                </c:pt>
                <c:pt idx="3">
                  <c:v>44193</c:v>
                </c:pt>
                <c:pt idx="4">
                  <c:v>44190</c:v>
                </c:pt>
                <c:pt idx="5">
                  <c:v>44189</c:v>
                </c:pt>
                <c:pt idx="6">
                  <c:v>44188</c:v>
                </c:pt>
                <c:pt idx="7">
                  <c:v>44187</c:v>
                </c:pt>
                <c:pt idx="8">
                  <c:v>44186</c:v>
                </c:pt>
                <c:pt idx="9">
                  <c:v>44183</c:v>
                </c:pt>
                <c:pt idx="10">
                  <c:v>44182</c:v>
                </c:pt>
                <c:pt idx="11">
                  <c:v>44181</c:v>
                </c:pt>
                <c:pt idx="12">
                  <c:v>44180</c:v>
                </c:pt>
                <c:pt idx="13">
                  <c:v>44179</c:v>
                </c:pt>
                <c:pt idx="14">
                  <c:v>44176</c:v>
                </c:pt>
                <c:pt idx="15">
                  <c:v>44175</c:v>
                </c:pt>
                <c:pt idx="16">
                  <c:v>44174</c:v>
                </c:pt>
                <c:pt idx="17">
                  <c:v>44173</c:v>
                </c:pt>
                <c:pt idx="18">
                  <c:v>44172</c:v>
                </c:pt>
                <c:pt idx="19">
                  <c:v>44169</c:v>
                </c:pt>
                <c:pt idx="20">
                  <c:v>44168</c:v>
                </c:pt>
                <c:pt idx="21">
                  <c:v>44167</c:v>
                </c:pt>
                <c:pt idx="22">
                  <c:v>44166</c:v>
                </c:pt>
                <c:pt idx="23">
                  <c:v>44165</c:v>
                </c:pt>
                <c:pt idx="24">
                  <c:v>44162</c:v>
                </c:pt>
                <c:pt idx="25">
                  <c:v>44161</c:v>
                </c:pt>
                <c:pt idx="26">
                  <c:v>44160</c:v>
                </c:pt>
                <c:pt idx="27">
                  <c:v>44159</c:v>
                </c:pt>
                <c:pt idx="28">
                  <c:v>44158</c:v>
                </c:pt>
                <c:pt idx="29">
                  <c:v>44155</c:v>
                </c:pt>
                <c:pt idx="30">
                  <c:v>44154</c:v>
                </c:pt>
                <c:pt idx="31">
                  <c:v>44153</c:v>
                </c:pt>
                <c:pt idx="32">
                  <c:v>44152</c:v>
                </c:pt>
                <c:pt idx="33">
                  <c:v>44151</c:v>
                </c:pt>
                <c:pt idx="34">
                  <c:v>44148</c:v>
                </c:pt>
                <c:pt idx="35">
                  <c:v>44147</c:v>
                </c:pt>
                <c:pt idx="36">
                  <c:v>44146</c:v>
                </c:pt>
                <c:pt idx="37">
                  <c:v>44145</c:v>
                </c:pt>
                <c:pt idx="38">
                  <c:v>44144</c:v>
                </c:pt>
                <c:pt idx="39">
                  <c:v>44141</c:v>
                </c:pt>
                <c:pt idx="40">
                  <c:v>44140</c:v>
                </c:pt>
                <c:pt idx="41">
                  <c:v>44139</c:v>
                </c:pt>
                <c:pt idx="42">
                  <c:v>44138</c:v>
                </c:pt>
                <c:pt idx="43">
                  <c:v>44137</c:v>
                </c:pt>
                <c:pt idx="44">
                  <c:v>44134</c:v>
                </c:pt>
                <c:pt idx="45">
                  <c:v>44133</c:v>
                </c:pt>
                <c:pt idx="46">
                  <c:v>44132</c:v>
                </c:pt>
                <c:pt idx="47">
                  <c:v>44131</c:v>
                </c:pt>
                <c:pt idx="48">
                  <c:v>44130</c:v>
                </c:pt>
                <c:pt idx="49">
                  <c:v>44127</c:v>
                </c:pt>
                <c:pt idx="50">
                  <c:v>44126</c:v>
                </c:pt>
                <c:pt idx="51">
                  <c:v>44125</c:v>
                </c:pt>
                <c:pt idx="52">
                  <c:v>44124</c:v>
                </c:pt>
                <c:pt idx="53">
                  <c:v>44123</c:v>
                </c:pt>
                <c:pt idx="54">
                  <c:v>44120</c:v>
                </c:pt>
                <c:pt idx="55">
                  <c:v>44119</c:v>
                </c:pt>
                <c:pt idx="56">
                  <c:v>44118</c:v>
                </c:pt>
                <c:pt idx="57">
                  <c:v>44117</c:v>
                </c:pt>
                <c:pt idx="58">
                  <c:v>44116</c:v>
                </c:pt>
              </c:numCache>
            </c:numRef>
          </c:cat>
          <c:val>
            <c:numRef>
              <c:f>资金!$C$3:$C$61</c:f>
              <c:numCache>
                <c:formatCode>###,###,###,###,##0.0000</c:formatCode>
                <c:ptCount val="59"/>
                <c:pt idx="0">
                  <c:v>2.5943000000000001</c:v>
                </c:pt>
                <c:pt idx="1">
                  <c:v>3.3605</c:v>
                </c:pt>
                <c:pt idx="2">
                  <c:v>2.9542000000000002</c:v>
                </c:pt>
                <c:pt idx="3">
                  <c:v>2.7515999999999998</c:v>
                </c:pt>
                <c:pt idx="4">
                  <c:v>2.4668000000000001</c:v>
                </c:pt>
                <c:pt idx="5">
                  <c:v>1.7735000000000001</c:v>
                </c:pt>
                <c:pt idx="6">
                  <c:v>2.0478000000000001</c:v>
                </c:pt>
                <c:pt idx="7">
                  <c:v>2.1903999999999999</c:v>
                </c:pt>
                <c:pt idx="8">
                  <c:v>2.2450999999999999</c:v>
                </c:pt>
                <c:pt idx="9">
                  <c:v>2.2906</c:v>
                </c:pt>
                <c:pt idx="10">
                  <c:v>2.1383999999999999</c:v>
                </c:pt>
                <c:pt idx="11">
                  <c:v>2.1206</c:v>
                </c:pt>
                <c:pt idx="12">
                  <c:v>2.3511000000000002</c:v>
                </c:pt>
                <c:pt idx="13">
                  <c:v>2.4319000000000002</c:v>
                </c:pt>
                <c:pt idx="14">
                  <c:v>2.3391000000000002</c:v>
                </c:pt>
                <c:pt idx="15">
                  <c:v>2.2159</c:v>
                </c:pt>
                <c:pt idx="16">
                  <c:v>2.2378999999999998</c:v>
                </c:pt>
                <c:pt idx="17">
                  <c:v>2.3071000000000002</c:v>
                </c:pt>
                <c:pt idx="18">
                  <c:v>2.2997000000000001</c:v>
                </c:pt>
                <c:pt idx="19">
                  <c:v>2.3256999999999999</c:v>
                </c:pt>
                <c:pt idx="20">
                  <c:v>2.2808999999999999</c:v>
                </c:pt>
                <c:pt idx="21">
                  <c:v>2.0720000000000001</c:v>
                </c:pt>
                <c:pt idx="22">
                  <c:v>2.13</c:v>
                </c:pt>
                <c:pt idx="23">
                  <c:v>2.4761000000000002</c:v>
                </c:pt>
                <c:pt idx="24">
                  <c:v>2.5836999999999999</c:v>
                </c:pt>
                <c:pt idx="25">
                  <c:v>2.7519999999999998</c:v>
                </c:pt>
                <c:pt idx="26">
                  <c:v>3.1027</c:v>
                </c:pt>
                <c:pt idx="27">
                  <c:v>3.0409000000000002</c:v>
                </c:pt>
                <c:pt idx="28">
                  <c:v>2.3380000000000001</c:v>
                </c:pt>
                <c:pt idx="29">
                  <c:v>2.3595999999999999</c:v>
                </c:pt>
                <c:pt idx="30">
                  <c:v>2.4016999999999999</c:v>
                </c:pt>
                <c:pt idx="31">
                  <c:v>2.3649</c:v>
                </c:pt>
                <c:pt idx="32">
                  <c:v>2.4184999999999999</c:v>
                </c:pt>
                <c:pt idx="33">
                  <c:v>2.7439</c:v>
                </c:pt>
                <c:pt idx="34">
                  <c:v>3.3582000000000001</c:v>
                </c:pt>
                <c:pt idx="35">
                  <c:v>3.1901000000000002</c:v>
                </c:pt>
                <c:pt idx="36">
                  <c:v>2.7547000000000001</c:v>
                </c:pt>
                <c:pt idx="37">
                  <c:v>2.6374</c:v>
                </c:pt>
                <c:pt idx="38">
                  <c:v>2.5253000000000001</c:v>
                </c:pt>
                <c:pt idx="39">
                  <c:v>2.4022000000000001</c:v>
                </c:pt>
                <c:pt idx="40">
                  <c:v>2.1776</c:v>
                </c:pt>
                <c:pt idx="41">
                  <c:v>2.2040000000000002</c:v>
                </c:pt>
                <c:pt idx="42">
                  <c:v>2.3984000000000001</c:v>
                </c:pt>
                <c:pt idx="43">
                  <c:v>2.7995999999999999</c:v>
                </c:pt>
                <c:pt idx="44">
                  <c:v>3.3693</c:v>
                </c:pt>
                <c:pt idx="45">
                  <c:v>3.1760000000000002</c:v>
                </c:pt>
                <c:pt idx="46">
                  <c:v>3.2090000000000001</c:v>
                </c:pt>
                <c:pt idx="47">
                  <c:v>3.2181000000000002</c:v>
                </c:pt>
                <c:pt idx="48">
                  <c:v>2.9083999999999999</c:v>
                </c:pt>
                <c:pt idx="49">
                  <c:v>2.3586999999999998</c:v>
                </c:pt>
                <c:pt idx="50">
                  <c:v>2.3241999999999998</c:v>
                </c:pt>
                <c:pt idx="51">
                  <c:v>2.4226999999999999</c:v>
                </c:pt>
                <c:pt idx="52">
                  <c:v>2.5091999999999999</c:v>
                </c:pt>
                <c:pt idx="53">
                  <c:v>2.4037999999999999</c:v>
                </c:pt>
                <c:pt idx="54">
                  <c:v>2.3121</c:v>
                </c:pt>
                <c:pt idx="55">
                  <c:v>2.3601999999999999</c:v>
                </c:pt>
                <c:pt idx="56">
                  <c:v>2.3079000000000001</c:v>
                </c:pt>
                <c:pt idx="57">
                  <c:v>2.2389000000000001</c:v>
                </c:pt>
                <c:pt idx="58">
                  <c:v>2.2442000000000002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457783552"/>
        <c:axId val="457785344"/>
      </c:lineChart>
      <c:dateAx>
        <c:axId val="45778355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7785344"/>
        <c:crosses val="autoZero"/>
        <c:auto val="0"/>
        <c:lblOffset val="0"/>
        <c:baseTimeUnit val="days"/>
        <c:majorUnit val="14"/>
        <c:majorTimeUnit val="days"/>
        <c:minorUnit val="7"/>
        <c:minorTimeUnit val="days"/>
      </c:dateAx>
      <c:valAx>
        <c:axId val="45778534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778355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0.30000000000001137</c:v>
                </c:pt>
                <c:pt idx="1">
                  <c:v>-19.149999999999999</c:v>
                </c:pt>
                <c:pt idx="2">
                  <c:v>-13.569999999999993</c:v>
                </c:pt>
                <c:pt idx="3">
                  <c:v>-6.8200000000000038</c:v>
                </c:pt>
                <c:pt idx="4">
                  <c:v>-5.1800000000000068</c:v>
                </c:pt>
                <c:pt idx="5">
                  <c:v>-2.5099999999999678</c:v>
                </c:pt>
                <c:pt idx="6">
                  <c:v>-4.4900000000000162</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457820800"/>
        <c:axId val="457831168"/>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1.7411000000000001</c:v>
                </c:pt>
                <c:pt idx="1">
                  <c:v>2.2824</c:v>
                </c:pt>
                <c:pt idx="2">
                  <c:v>2.4739</c:v>
                </c:pt>
                <c:pt idx="3">
                  <c:v>2.8174000000000001</c:v>
                </c:pt>
                <c:pt idx="4">
                  <c:v>2.9512</c:v>
                </c:pt>
                <c:pt idx="5">
                  <c:v>3.1699000000000002</c:v>
                </c:pt>
                <c:pt idx="6">
                  <c:v>3.1429</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1.7381</c:v>
                </c:pt>
                <c:pt idx="1">
                  <c:v>2.4739</c:v>
                </c:pt>
                <c:pt idx="2">
                  <c:v>2.6095999999999999</c:v>
                </c:pt>
                <c:pt idx="3">
                  <c:v>2.8856000000000002</c:v>
                </c:pt>
                <c:pt idx="4">
                  <c:v>3.0030000000000001</c:v>
                </c:pt>
                <c:pt idx="5">
                  <c:v>3.1949999999999998</c:v>
                </c:pt>
                <c:pt idx="6">
                  <c:v>3.1878000000000002</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458964992"/>
        <c:axId val="457832704"/>
      </c:lineChart>
      <c:dateAx>
        <c:axId val="45782080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7831168"/>
        <c:crosses val="autoZero"/>
        <c:auto val="0"/>
        <c:lblOffset val="0"/>
        <c:baseTimeUnit val="days"/>
      </c:dateAx>
      <c:valAx>
        <c:axId val="45783116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7820800"/>
        <c:crosses val="autoZero"/>
        <c:crossBetween val="between"/>
      </c:valAx>
      <c:valAx>
        <c:axId val="457832704"/>
        <c:scaling>
          <c:orientation val="minMax"/>
        </c:scaling>
        <c:delete val="0"/>
        <c:axPos val="r"/>
        <c:numFmt formatCode="#,##0.0_);[Red]\(#,##0.0\)" sourceLinked="0"/>
        <c:majorTickMark val="out"/>
        <c:minorTickMark val="none"/>
        <c:tickLblPos val="nextTo"/>
        <c:spPr>
          <a:ln w="3175">
            <a:solidFill>
              <a:sysClr val="windowText" lastClr="000000"/>
            </a:solidFill>
          </a:ln>
        </c:spPr>
        <c:crossAx val="458964992"/>
        <c:crosses val="max"/>
        <c:crossBetween val="between"/>
      </c:valAx>
      <c:dateAx>
        <c:axId val="458964992"/>
        <c:scaling>
          <c:orientation val="minMax"/>
        </c:scaling>
        <c:delete val="1"/>
        <c:axPos val="b"/>
        <c:numFmt formatCode="General" sourceLinked="1"/>
        <c:majorTickMark val="out"/>
        <c:minorTickMark val="none"/>
        <c:tickLblPos val="nextTo"/>
        <c:crossAx val="457832704"/>
        <c:crosses val="autoZero"/>
        <c:auto val="0"/>
        <c:lblOffset val="100"/>
        <c:baseTimeUnit val="years"/>
      </c:dateAx>
    </c:plotArea>
    <c:legend>
      <c:legendPos val="r"/>
      <c:layout>
        <c:manualLayout>
          <c:xMode val="edge"/>
          <c:yMode val="edge"/>
          <c:x val="8.0261944813536032E-2"/>
          <c:y val="2.334052143224080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0.29999999999998916</c:v>
                </c:pt>
                <c:pt idx="1">
                  <c:v>-20.630000000000017</c:v>
                </c:pt>
                <c:pt idx="2">
                  <c:v>-16.589999999999971</c:v>
                </c:pt>
                <c:pt idx="3">
                  <c:v>-9.7599999999999909</c:v>
                </c:pt>
                <c:pt idx="4">
                  <c:v>-5.600000000000005</c:v>
                </c:pt>
                <c:pt idx="5">
                  <c:v>-1.4399999999999746</c:v>
                </c:pt>
                <c:pt idx="6">
                  <c:v>-5.7000000000000384</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458488832"/>
        <c:axId val="45865075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1.7726999999999999</c:v>
                </c:pt>
                <c:pt idx="1">
                  <c:v>2.2991999999999999</c:v>
                </c:pt>
                <c:pt idx="2">
                  <c:v>2.5577000000000001</c:v>
                </c:pt>
                <c:pt idx="3">
                  <c:v>2.9817</c:v>
                </c:pt>
                <c:pt idx="4">
                  <c:v>3.2631000000000001</c:v>
                </c:pt>
                <c:pt idx="5">
                  <c:v>3.4342000000000001</c:v>
                </c:pt>
                <c:pt idx="6">
                  <c:v>3.5337999999999998</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1.7697000000000001</c:v>
                </c:pt>
                <c:pt idx="1">
                  <c:v>2.5055000000000001</c:v>
                </c:pt>
                <c:pt idx="2">
                  <c:v>2.7235999999999998</c:v>
                </c:pt>
                <c:pt idx="3">
                  <c:v>3.0792999999999999</c:v>
                </c:pt>
                <c:pt idx="4">
                  <c:v>3.3191000000000002</c:v>
                </c:pt>
                <c:pt idx="5">
                  <c:v>3.4485999999999999</c:v>
                </c:pt>
                <c:pt idx="6">
                  <c:v>3.5908000000000002</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458658176"/>
        <c:axId val="458652288"/>
      </c:lineChart>
      <c:dateAx>
        <c:axId val="45848883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650752"/>
        <c:crosses val="autoZero"/>
        <c:auto val="0"/>
        <c:lblOffset val="0"/>
        <c:baseTimeUnit val="days"/>
      </c:dateAx>
      <c:valAx>
        <c:axId val="45865075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488832"/>
        <c:crosses val="autoZero"/>
        <c:crossBetween val="between"/>
      </c:valAx>
      <c:valAx>
        <c:axId val="458652288"/>
        <c:scaling>
          <c:orientation val="minMax"/>
        </c:scaling>
        <c:delete val="0"/>
        <c:axPos val="r"/>
        <c:numFmt formatCode="#,##0.0_);[Red]\(#,##0.0\)" sourceLinked="0"/>
        <c:majorTickMark val="out"/>
        <c:minorTickMark val="none"/>
        <c:tickLblPos val="nextTo"/>
        <c:spPr>
          <a:ln w="3175">
            <a:solidFill>
              <a:sysClr val="windowText" lastClr="000000"/>
            </a:solidFill>
          </a:ln>
        </c:spPr>
        <c:crossAx val="458658176"/>
        <c:crosses val="max"/>
        <c:crossBetween val="between"/>
      </c:valAx>
      <c:dateAx>
        <c:axId val="458658176"/>
        <c:scaling>
          <c:orientation val="minMax"/>
        </c:scaling>
        <c:delete val="1"/>
        <c:axPos val="b"/>
        <c:numFmt formatCode="General" sourceLinked="1"/>
        <c:majorTickMark val="out"/>
        <c:minorTickMark val="none"/>
        <c:tickLblPos val="nextTo"/>
        <c:crossAx val="458652288"/>
        <c:crosses val="autoZero"/>
        <c:auto val="0"/>
        <c:lblOffset val="100"/>
        <c:baseTimeUnit val="years"/>
      </c:dateAx>
    </c:plotArea>
    <c:legend>
      <c:legendPos val="r"/>
      <c:layout>
        <c:manualLayout>
          <c:xMode val="edge"/>
          <c:yMode val="edge"/>
          <c:x val="0.12260152677865711"/>
          <c:y val="2.333716968446961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44196</c:v>
                </c:pt>
                <c:pt idx="1">
                  <c:v>44190</c:v>
                </c:pt>
                <c:pt idx="2">
                  <c:v>44183</c:v>
                </c:pt>
                <c:pt idx="3">
                  <c:v>44176</c:v>
                </c:pt>
                <c:pt idx="4">
                  <c:v>44169</c:v>
                </c:pt>
                <c:pt idx="5">
                  <c:v>44162</c:v>
                </c:pt>
                <c:pt idx="6">
                  <c:v>44155</c:v>
                </c:pt>
                <c:pt idx="7">
                  <c:v>44148</c:v>
                </c:pt>
                <c:pt idx="8">
                  <c:v>44141</c:v>
                </c:pt>
                <c:pt idx="9">
                  <c:v>44134</c:v>
                </c:pt>
                <c:pt idx="10">
                  <c:v>44127</c:v>
                </c:pt>
                <c:pt idx="11">
                  <c:v>44120</c:v>
                </c:pt>
                <c:pt idx="12">
                  <c:v>44113</c:v>
                </c:pt>
                <c:pt idx="13">
                  <c:v>44104</c:v>
                </c:pt>
                <c:pt idx="14">
                  <c:v>44099</c:v>
                </c:pt>
                <c:pt idx="15">
                  <c:v>44092</c:v>
                </c:pt>
                <c:pt idx="16">
                  <c:v>44085</c:v>
                </c:pt>
                <c:pt idx="17">
                  <c:v>44078</c:v>
                </c:pt>
                <c:pt idx="18">
                  <c:v>44071</c:v>
                </c:pt>
                <c:pt idx="19">
                  <c:v>44064</c:v>
                </c:pt>
                <c:pt idx="20">
                  <c:v>44057</c:v>
                </c:pt>
                <c:pt idx="21">
                  <c:v>44050</c:v>
                </c:pt>
                <c:pt idx="22">
                  <c:v>44043</c:v>
                </c:pt>
                <c:pt idx="23">
                  <c:v>44036</c:v>
                </c:pt>
              </c:numCache>
            </c:numRef>
          </c:cat>
          <c:val>
            <c:numRef>
              <c:f>转债!$H$5:$H$28</c:f>
              <c:numCache>
                <c:formatCode>General</c:formatCode>
                <c:ptCount val="24"/>
                <c:pt idx="0">
                  <c:v>2.0450764087936335</c:v>
                </c:pt>
                <c:pt idx="1">
                  <c:v>0.84226304684826836</c:v>
                </c:pt>
                <c:pt idx="2">
                  <c:v>0.66493867763122161</c:v>
                </c:pt>
                <c:pt idx="3">
                  <c:v>0.50509738294166606</c:v>
                </c:pt>
                <c:pt idx="4">
                  <c:v>2.2392188861535933</c:v>
                </c:pt>
                <c:pt idx="5">
                  <c:v>2.0696247511571064</c:v>
                </c:pt>
                <c:pt idx="6">
                  <c:v>1.4118898760253185</c:v>
                </c:pt>
                <c:pt idx="7">
                  <c:v>1.4421181395902982</c:v>
                </c:pt>
                <c:pt idx="8">
                  <c:v>1.8030286448123656</c:v>
                </c:pt>
                <c:pt idx="9">
                  <c:v>1.3640677102021215</c:v>
                </c:pt>
                <c:pt idx="10">
                  <c:v>1.6436306610458695</c:v>
                </c:pt>
                <c:pt idx="11">
                  <c:v>2.103593450635266</c:v>
                </c:pt>
                <c:pt idx="12">
                  <c:v>0.50155089555732335</c:v>
                </c:pt>
                <c:pt idx="13">
                  <c:v>-0.47326211728067058</c:v>
                </c:pt>
                <c:pt idx="14">
                  <c:v>-1.4363550975907469</c:v>
                </c:pt>
                <c:pt idx="15">
                  <c:v>0.68150742337993453</c:v>
                </c:pt>
                <c:pt idx="16">
                  <c:v>0.56145328403347516</c:v>
                </c:pt>
                <c:pt idx="17">
                  <c:v>3.2367238768648443</c:v>
                </c:pt>
                <c:pt idx="18">
                  <c:v>2.9682714060298654</c:v>
                </c:pt>
                <c:pt idx="19">
                  <c:v>3.0767717544445405</c:v>
                </c:pt>
                <c:pt idx="20">
                  <c:v>2.9643370215878484</c:v>
                </c:pt>
                <c:pt idx="21">
                  <c:v>3.3999731242752906</c:v>
                </c:pt>
                <c:pt idx="22">
                  <c:v>2.2735200688240198</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44196</c:v>
                </c:pt>
                <c:pt idx="1">
                  <c:v>44190</c:v>
                </c:pt>
                <c:pt idx="2">
                  <c:v>44183</c:v>
                </c:pt>
                <c:pt idx="3">
                  <c:v>44176</c:v>
                </c:pt>
                <c:pt idx="4">
                  <c:v>44169</c:v>
                </c:pt>
                <c:pt idx="5">
                  <c:v>44162</c:v>
                </c:pt>
                <c:pt idx="6">
                  <c:v>44155</c:v>
                </c:pt>
                <c:pt idx="7">
                  <c:v>44148</c:v>
                </c:pt>
                <c:pt idx="8">
                  <c:v>44141</c:v>
                </c:pt>
                <c:pt idx="9">
                  <c:v>44134</c:v>
                </c:pt>
                <c:pt idx="10">
                  <c:v>44127</c:v>
                </c:pt>
                <c:pt idx="11">
                  <c:v>44120</c:v>
                </c:pt>
                <c:pt idx="12">
                  <c:v>44113</c:v>
                </c:pt>
                <c:pt idx="13">
                  <c:v>44104</c:v>
                </c:pt>
                <c:pt idx="14">
                  <c:v>44099</c:v>
                </c:pt>
                <c:pt idx="15">
                  <c:v>44092</c:v>
                </c:pt>
                <c:pt idx="16">
                  <c:v>44085</c:v>
                </c:pt>
                <c:pt idx="17">
                  <c:v>44078</c:v>
                </c:pt>
                <c:pt idx="18">
                  <c:v>44071</c:v>
                </c:pt>
                <c:pt idx="19">
                  <c:v>44064</c:v>
                </c:pt>
                <c:pt idx="20">
                  <c:v>44057</c:v>
                </c:pt>
                <c:pt idx="21">
                  <c:v>44050</c:v>
                </c:pt>
                <c:pt idx="22">
                  <c:v>44043</c:v>
                </c:pt>
                <c:pt idx="23">
                  <c:v>44036</c:v>
                </c:pt>
              </c:numCache>
            </c:numRef>
          </c:cat>
          <c:val>
            <c:numRef>
              <c:f>转债!$I$5:$I$28</c:f>
              <c:numCache>
                <c:formatCode>General</c:formatCode>
                <c:ptCount val="24"/>
                <c:pt idx="0">
                  <c:v>-0.82937640624881626</c:v>
                </c:pt>
                <c:pt idx="1">
                  <c:v>-1.102861024527757</c:v>
                </c:pt>
                <c:pt idx="2">
                  <c:v>-1.4193590746135687</c:v>
                </c:pt>
                <c:pt idx="3">
                  <c:v>-1.5476417949143118</c:v>
                </c:pt>
                <c:pt idx="4">
                  <c:v>-1.5905710517078675</c:v>
                </c:pt>
                <c:pt idx="5">
                  <c:v>-1.7629614789886561</c:v>
                </c:pt>
                <c:pt idx="6">
                  <c:v>-1.9460421329611677</c:v>
                </c:pt>
                <c:pt idx="7">
                  <c:v>-1.681564241107536</c:v>
                </c:pt>
                <c:pt idx="8">
                  <c:v>-1.4645610567667888</c:v>
                </c:pt>
                <c:pt idx="9">
                  <c:v>-1.4856889851102784</c:v>
                </c:pt>
                <c:pt idx="10">
                  <c:v>-1.5932646521341298</c:v>
                </c:pt>
                <c:pt idx="11">
                  <c:v>-1.8372038407375002</c:v>
                </c:pt>
                <c:pt idx="12">
                  <c:v>-1.7626247789353622</c:v>
                </c:pt>
                <c:pt idx="13">
                  <c:v>-1.5606047469656992</c:v>
                </c:pt>
                <c:pt idx="14">
                  <c:v>-1.4590055058876228</c:v>
                </c:pt>
                <c:pt idx="15">
                  <c:v>-1.4618674563405265</c:v>
                </c:pt>
                <c:pt idx="16">
                  <c:v>-1.4807226593243628</c:v>
                </c:pt>
                <c:pt idx="17">
                  <c:v>-1.5074903135603335</c:v>
                </c:pt>
                <c:pt idx="18">
                  <c:v>-1.2620359747172016</c:v>
                </c:pt>
                <c:pt idx="19">
                  <c:v>-0.7749151726303305</c:v>
                </c:pt>
                <c:pt idx="20">
                  <c:v>-0.54865273682429549</c:v>
                </c:pt>
                <c:pt idx="21">
                  <c:v>-0.75521821951327617</c:v>
                </c:pt>
                <c:pt idx="22">
                  <c:v>-0.54444398615826062</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44196</c:v>
                </c:pt>
                <c:pt idx="1">
                  <c:v>44190</c:v>
                </c:pt>
                <c:pt idx="2">
                  <c:v>44183</c:v>
                </c:pt>
                <c:pt idx="3">
                  <c:v>44176</c:v>
                </c:pt>
                <c:pt idx="4">
                  <c:v>44169</c:v>
                </c:pt>
                <c:pt idx="5">
                  <c:v>44162</c:v>
                </c:pt>
                <c:pt idx="6">
                  <c:v>44155</c:v>
                </c:pt>
                <c:pt idx="7">
                  <c:v>44148</c:v>
                </c:pt>
                <c:pt idx="8">
                  <c:v>44141</c:v>
                </c:pt>
                <c:pt idx="9">
                  <c:v>44134</c:v>
                </c:pt>
                <c:pt idx="10">
                  <c:v>44127</c:v>
                </c:pt>
                <c:pt idx="11">
                  <c:v>44120</c:v>
                </c:pt>
                <c:pt idx="12">
                  <c:v>44113</c:v>
                </c:pt>
                <c:pt idx="13">
                  <c:v>44104</c:v>
                </c:pt>
                <c:pt idx="14">
                  <c:v>44099</c:v>
                </c:pt>
                <c:pt idx="15">
                  <c:v>44092</c:v>
                </c:pt>
                <c:pt idx="16">
                  <c:v>44085</c:v>
                </c:pt>
                <c:pt idx="17">
                  <c:v>44078</c:v>
                </c:pt>
                <c:pt idx="18">
                  <c:v>44071</c:v>
                </c:pt>
                <c:pt idx="19">
                  <c:v>44064</c:v>
                </c:pt>
                <c:pt idx="20">
                  <c:v>44057</c:v>
                </c:pt>
                <c:pt idx="21">
                  <c:v>44050</c:v>
                </c:pt>
                <c:pt idx="22">
                  <c:v>44043</c:v>
                </c:pt>
                <c:pt idx="23">
                  <c:v>44036</c:v>
                </c:pt>
              </c:numCache>
            </c:numRef>
          </c:cat>
          <c:val>
            <c:numRef>
              <c:f>转债!$J$5:$J$28</c:f>
              <c:numCache>
                <c:formatCode>General</c:formatCode>
                <c:ptCount val="24"/>
                <c:pt idx="0">
                  <c:v>15.662716892209417</c:v>
                </c:pt>
                <c:pt idx="1">
                  <c:v>11.905722193223678</c:v>
                </c:pt>
                <c:pt idx="2">
                  <c:v>10.972528218609124</c:v>
                </c:pt>
                <c:pt idx="3">
                  <c:v>8.5236017671024058</c:v>
                </c:pt>
                <c:pt idx="4">
                  <c:v>12.436232000306457</c:v>
                </c:pt>
                <c:pt idx="5">
                  <c:v>10.546328820909734</c:v>
                </c:pt>
                <c:pt idx="6">
                  <c:v>9.7145444151095273</c:v>
                </c:pt>
                <c:pt idx="7">
                  <c:v>7.7961077955018832</c:v>
                </c:pt>
                <c:pt idx="8">
                  <c:v>8.4367896186573255</c:v>
                </c:pt>
                <c:pt idx="9">
                  <c:v>4.2112836439245127</c:v>
                </c:pt>
                <c:pt idx="10">
                  <c:v>4.7251851954769108</c:v>
                </c:pt>
                <c:pt idx="11">
                  <c:v>6.3495649160844714</c:v>
                </c:pt>
                <c:pt idx="12">
                  <c:v>3.8962838745268957</c:v>
                </c:pt>
                <c:pt idx="13">
                  <c:v>1.8156265684680539</c:v>
                </c:pt>
                <c:pt idx="14">
                  <c:v>1.4300234024813507</c:v>
                </c:pt>
                <c:pt idx="15">
                  <c:v>5.1380189758030825</c:v>
                </c:pt>
                <c:pt idx="16">
                  <c:v>2.7009111746637338</c:v>
                </c:pt>
                <c:pt idx="17">
                  <c:v>5.8733343415622308</c:v>
                </c:pt>
                <c:pt idx="18">
                  <c:v>7.5167637290436407</c:v>
                </c:pt>
                <c:pt idx="19">
                  <c:v>4.7330642957218449</c:v>
                </c:pt>
                <c:pt idx="20">
                  <c:v>4.4175829024501345</c:v>
                </c:pt>
                <c:pt idx="21">
                  <c:v>4.4907675366687716</c:v>
                </c:pt>
                <c:pt idx="22">
                  <c:v>4.2049004629936659</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458893184"/>
        <c:axId val="458894720"/>
      </c:lineChart>
      <c:dateAx>
        <c:axId val="45889318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58894720"/>
        <c:crosses val="autoZero"/>
        <c:auto val="0"/>
        <c:lblOffset val="0"/>
        <c:baseTimeUnit val="days"/>
        <c:majorUnit val="14"/>
        <c:majorTimeUnit val="days"/>
      </c:dateAx>
      <c:valAx>
        <c:axId val="45889472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893184"/>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1-405E-B422-D7A57FDA5907}"/>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1-405E-B422-D7A57FDA5907}"/>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67.819999999999993</c:v>
                </c:pt>
                <c:pt idx="304">
                  <c:v>#N/A</c:v>
                </c:pt>
                <c:pt idx="305">
                  <c:v>#N/A</c:v>
                </c:pt>
                <c:pt idx="306">
                  <c:v>#N/A</c:v>
                </c:pt>
                <c:pt idx="307">
                  <c:v>#N/A</c:v>
                </c:pt>
                <c:pt idx="308">
                  <c:v>#N/A</c:v>
                </c:pt>
                <c:pt idx="309">
                  <c:v>#N/A</c:v>
                </c:pt>
                <c:pt idx="310">
                  <c:v>67.13</c:v>
                </c:pt>
                <c:pt idx="311">
                  <c:v>#N/A</c:v>
                </c:pt>
                <c:pt idx="312">
                  <c:v>#N/A</c:v>
                </c:pt>
                <c:pt idx="313">
                  <c:v>#N/A</c:v>
                </c:pt>
                <c:pt idx="314">
                  <c:v>#N/A</c:v>
                </c:pt>
                <c:pt idx="315">
                  <c:v>#N/A</c:v>
                </c:pt>
                <c:pt idx="316">
                  <c:v>#N/A</c:v>
                </c:pt>
                <c:pt idx="317">
                  <c:v>67.400000000000006</c:v>
                </c:pt>
                <c:pt idx="318">
                  <c:v>#N/A</c:v>
                </c:pt>
                <c:pt idx="319">
                  <c:v>#N/A</c:v>
                </c:pt>
                <c:pt idx="320">
                  <c:v>#N/A</c:v>
                </c:pt>
                <c:pt idx="321">
                  <c:v>#N/A</c:v>
                </c:pt>
                <c:pt idx="322">
                  <c:v>#N/A</c:v>
                </c:pt>
                <c:pt idx="323">
                  <c:v>#N/A</c:v>
                </c:pt>
                <c:pt idx="324">
                  <c:v>67.27</c:v>
                </c:pt>
                <c:pt idx="325">
                  <c:v>#N/A</c:v>
                </c:pt>
                <c:pt idx="326">
                  <c:v>#N/A</c:v>
                </c:pt>
                <c:pt idx="327">
                  <c:v>#N/A</c:v>
                </c:pt>
                <c:pt idx="328">
                  <c:v>#N/A</c:v>
                </c:pt>
                <c:pt idx="329">
                  <c:v>#N/A</c:v>
                </c:pt>
                <c:pt idx="330">
                  <c:v>#N/A</c:v>
                </c:pt>
                <c:pt idx="331">
                  <c:v>67.27</c:v>
                </c:pt>
                <c:pt idx="332">
                  <c:v>#N/A</c:v>
                </c:pt>
                <c:pt idx="333">
                  <c:v>#N/A</c:v>
                </c:pt>
                <c:pt idx="334">
                  <c:v>#N/A</c:v>
                </c:pt>
                <c:pt idx="335">
                  <c:v>#N/A</c:v>
                </c:pt>
                <c:pt idx="336">
                  <c:v>#N/A</c:v>
                </c:pt>
                <c:pt idx="337">
                  <c:v>#N/A</c:v>
                </c:pt>
                <c:pt idx="338">
                  <c:v>66.849999999999994</c:v>
                </c:pt>
                <c:pt idx="339">
                  <c:v>#N/A</c:v>
                </c:pt>
                <c:pt idx="340">
                  <c:v>#N/A</c:v>
                </c:pt>
                <c:pt idx="341">
                  <c:v>#N/A</c:v>
                </c:pt>
                <c:pt idx="342">
                  <c:v>#N/A</c:v>
                </c:pt>
                <c:pt idx="343">
                  <c:v>#N/A</c:v>
                </c:pt>
                <c:pt idx="344">
                  <c:v>#N/A</c:v>
                </c:pt>
                <c:pt idx="345">
                  <c:v>66.569999999999993</c:v>
                </c:pt>
                <c:pt idx="346">
                  <c:v>#N/A</c:v>
                </c:pt>
                <c:pt idx="347">
                  <c:v>#N/A</c:v>
                </c:pt>
                <c:pt idx="348">
                  <c:v>#N/A</c:v>
                </c:pt>
                <c:pt idx="349">
                  <c:v>#N/A</c:v>
                </c:pt>
                <c:pt idx="350">
                  <c:v>#N/A</c:v>
                </c:pt>
                <c:pt idx="351">
                  <c:v>#N/A</c:v>
                </c:pt>
                <c:pt idx="352">
                  <c:v>66.849999999999994</c:v>
                </c:pt>
                <c:pt idx="353">
                  <c:v>#N/A</c:v>
                </c:pt>
                <c:pt idx="354">
                  <c:v>#N/A</c:v>
                </c:pt>
                <c:pt idx="355">
                  <c:v>#N/A</c:v>
                </c:pt>
                <c:pt idx="356">
                  <c:v>#N/A</c:v>
                </c:pt>
                <c:pt idx="357">
                  <c:v>#N/A</c:v>
                </c:pt>
                <c:pt idx="358">
                  <c:v>#N/A</c:v>
                </c:pt>
                <c:pt idx="359">
                  <c:v>67.13</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B61-405E-B422-D7A57FDA5907}"/>
            </c:ext>
          </c:extLst>
        </c:ser>
        <c:dLbls>
          <c:showLegendKey val="0"/>
          <c:showVal val="0"/>
          <c:showCatName val="0"/>
          <c:showSerName val="0"/>
          <c:showPercent val="0"/>
          <c:showBubbleSize val="0"/>
        </c:dLbls>
        <c:marker val="1"/>
        <c:smooth val="0"/>
        <c:axId val="458928128"/>
        <c:axId val="458929664"/>
      </c:lineChart>
      <c:dateAx>
        <c:axId val="4589281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929664"/>
        <c:crosses val="autoZero"/>
        <c:auto val="0"/>
        <c:lblOffset val="0"/>
        <c:baseTimeUnit val="days"/>
        <c:majorUnit val="1"/>
        <c:majorTimeUnit val="months"/>
      </c:dateAx>
      <c:valAx>
        <c:axId val="458929664"/>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9281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466641280"/>
        <c:axId val="466642816"/>
      </c:lineChart>
      <c:dateAx>
        <c:axId val="4666412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66642816"/>
        <c:crosses val="autoZero"/>
        <c:auto val="0"/>
        <c:lblOffset val="0"/>
        <c:baseTimeUnit val="days"/>
        <c:majorUnit val="1"/>
        <c:majorTimeUnit val="months"/>
      </c:dateAx>
      <c:valAx>
        <c:axId val="46664281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66412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466678144"/>
        <c:axId val="466679680"/>
      </c:lineChart>
      <c:dateAx>
        <c:axId val="4666781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66679680"/>
        <c:crosses val="autoZero"/>
        <c:auto val="0"/>
        <c:lblOffset val="0"/>
        <c:baseTimeUnit val="days"/>
        <c:majorUnit val="1"/>
        <c:majorTimeUnit val="months"/>
      </c:dateAx>
      <c:valAx>
        <c:axId val="46667968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66781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466660352"/>
        <c:axId val="466789120"/>
      </c:lineChart>
      <c:dateAx>
        <c:axId val="46666035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66789120"/>
        <c:crosses val="autoZero"/>
        <c:auto val="0"/>
        <c:lblOffset val="0"/>
        <c:baseTimeUnit val="days"/>
        <c:majorUnit val="1"/>
        <c:majorTimeUnit val="months"/>
      </c:dateAx>
      <c:valAx>
        <c:axId val="466789120"/>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6666035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楷体" panose="02010609060101010101" pitchFamily="49" charset="-122"/>
              <a:ea typeface="楷体" panose="02010609060101010101" pitchFamily="49" charset="-122"/>
            </a:rPr>
            <a:t>%</a:t>
          </a:r>
          <a:endParaRPr lang="zh-CN" altLang="en-US" sz="10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5.25285E-7</cdr:y>
    </cdr:from>
    <cdr:to>
      <cdr:x>0.12946</cdr:x>
      <cdr:y>0.06344</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88189" cy="12076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0F0CBF-ABB4-4242-A9C5-816CE7F7C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6</Pages>
  <Words>778</Words>
  <Characters>4439</Characters>
  <Application>Microsoft Office Word</Application>
  <DocSecurity>0</DocSecurity>
  <Lines>36</Lines>
  <Paragraphs>10</Paragraphs>
  <ScaleCrop>false</ScaleCrop>
  <Company>Microsoft</Company>
  <LinksUpToDate>false</LinksUpToDate>
  <CharactersWithSpaces>5207</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2021-01-04T04:12:00Z</dcterms:created>
  <dcterms:modified xsi:type="dcterms:W3CDTF">2021-01-04T05:08:00Z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