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E59BDE7" w14:textId="669E92DF" w:rsidR="002C4C07" w:rsidRDefault="002C4C07" w:rsidP="002C4C07">
      <w:pPr>
        <w:jc w:val="center"/>
        <w:rPr>
          <w:b/>
        </w:rPr>
      </w:pPr>
      <w:r w:rsidRPr="00EF6393">
        <w:rPr>
          <w:rFonts w:hint="eastAsia"/>
          <w:b/>
        </w:rPr>
        <w:t>富荣量化周观察——</w:t>
      </w:r>
      <w:r w:rsidR="0057064F">
        <w:rPr>
          <w:rFonts w:hint="eastAsia"/>
          <w:b/>
        </w:rPr>
        <w:t>市场</w:t>
      </w:r>
      <w:r w:rsidR="00C53BED">
        <w:rPr>
          <w:rFonts w:hint="eastAsia"/>
          <w:b/>
        </w:rPr>
        <w:t>震荡上行</w:t>
      </w:r>
    </w:p>
    <w:p w14:paraId="2E0A072D" w14:textId="77777777" w:rsidR="00930F5D" w:rsidRPr="00EF6393" w:rsidRDefault="00930F5D" w:rsidP="002C4C07">
      <w:pPr>
        <w:jc w:val="center"/>
        <w:rPr>
          <w:b/>
        </w:rPr>
      </w:pPr>
    </w:p>
    <w:p w14:paraId="2692BE60" w14:textId="51AF938F" w:rsidR="00C53BED" w:rsidRDefault="00C53BED" w:rsidP="00170D56">
      <w:pPr>
        <w:ind w:firstLineChars="200" w:firstLine="480"/>
      </w:pPr>
      <w:r>
        <w:rPr>
          <w:rFonts w:hint="eastAsia"/>
        </w:rPr>
        <w:t>市场在过去一周维持了短期上涨动能</w:t>
      </w:r>
      <w:r w:rsidR="00BB0FF4">
        <w:rPr>
          <w:rFonts w:hint="eastAsia"/>
        </w:rPr>
        <w:t>，</w:t>
      </w:r>
      <w:r>
        <w:rPr>
          <w:rFonts w:hint="eastAsia"/>
        </w:rPr>
        <w:t>市场震荡上行，</w:t>
      </w:r>
      <w:proofErr w:type="gramStart"/>
      <w:r w:rsidR="00BB0FF4">
        <w:rPr>
          <w:rFonts w:hint="eastAsia"/>
        </w:rPr>
        <w:t>宽基指数</w:t>
      </w:r>
      <w:proofErr w:type="gramEnd"/>
      <w:r>
        <w:rPr>
          <w:rFonts w:hint="eastAsia"/>
        </w:rPr>
        <w:t>表现各异，</w:t>
      </w:r>
      <w:r w:rsidR="00BB0FF4">
        <w:rPr>
          <w:rFonts w:hint="eastAsia"/>
        </w:rPr>
        <w:t>其中上证指数</w:t>
      </w:r>
      <w:r>
        <w:rPr>
          <w:rFonts w:hint="eastAsia"/>
        </w:rPr>
        <w:t>上涨1.13</w:t>
      </w:r>
      <w:r w:rsidR="00170D56">
        <w:rPr>
          <w:rFonts w:hint="eastAsia"/>
        </w:rPr>
        <w:t>%，上证50指数收涨</w:t>
      </w:r>
      <w:r w:rsidR="00BB0FF4">
        <w:rPr>
          <w:rFonts w:hint="eastAsia"/>
        </w:rPr>
        <w:t>0.7</w:t>
      </w:r>
      <w:r>
        <w:rPr>
          <w:rFonts w:hint="eastAsia"/>
        </w:rPr>
        <w:t>5</w:t>
      </w:r>
      <w:r w:rsidR="00170D56">
        <w:rPr>
          <w:rFonts w:hint="eastAsia"/>
        </w:rPr>
        <w:t>%，沪深300指数</w:t>
      </w:r>
      <w:r w:rsidR="004A3D6C">
        <w:rPr>
          <w:rFonts w:hint="eastAsia"/>
        </w:rPr>
        <w:t>上涨</w:t>
      </w:r>
      <w:r>
        <w:rPr>
          <w:rFonts w:hint="eastAsia"/>
        </w:rPr>
        <w:t>2.05</w:t>
      </w:r>
      <w:r w:rsidR="00170D56">
        <w:rPr>
          <w:rFonts w:hint="eastAsia"/>
        </w:rPr>
        <w:t>%，中证500指数</w:t>
      </w:r>
      <w:r w:rsidR="00BB0FF4">
        <w:rPr>
          <w:rFonts w:hint="eastAsia"/>
        </w:rPr>
        <w:t>收</w:t>
      </w:r>
      <w:r w:rsidR="004A3D6C">
        <w:rPr>
          <w:rFonts w:hint="eastAsia"/>
        </w:rPr>
        <w:t>涨</w:t>
      </w:r>
      <w:r>
        <w:rPr>
          <w:rFonts w:hint="eastAsia"/>
        </w:rPr>
        <w:t>3.43</w:t>
      </w:r>
      <w:r w:rsidR="00170D56">
        <w:rPr>
          <w:rFonts w:hint="eastAsia"/>
        </w:rPr>
        <w:t>%，以及创业</w:t>
      </w:r>
      <w:proofErr w:type="gramStart"/>
      <w:r w:rsidR="00170D56">
        <w:rPr>
          <w:rFonts w:hint="eastAsia"/>
        </w:rPr>
        <w:t>板</w:t>
      </w:r>
      <w:r>
        <w:rPr>
          <w:rFonts w:hint="eastAsia"/>
        </w:rPr>
        <w:t>指数</w:t>
      </w:r>
      <w:proofErr w:type="gramEnd"/>
      <w:r>
        <w:rPr>
          <w:rFonts w:hint="eastAsia"/>
        </w:rPr>
        <w:t>最强，上涨了8.68</w:t>
      </w:r>
      <w:r w:rsidR="00170D56">
        <w:rPr>
          <w:rFonts w:hint="eastAsia"/>
        </w:rPr>
        <w:t>%。</w:t>
      </w:r>
      <w:r w:rsidR="00BB0FF4">
        <w:rPr>
          <w:rFonts w:hint="eastAsia"/>
        </w:rPr>
        <w:t>市场延续</w:t>
      </w:r>
      <w:r w:rsidR="008732E7">
        <w:rPr>
          <w:rFonts w:hint="eastAsia"/>
        </w:rPr>
        <w:t>了</w:t>
      </w:r>
      <w:r w:rsidR="00BB0FF4">
        <w:rPr>
          <w:rFonts w:hint="eastAsia"/>
        </w:rPr>
        <w:t>前几周的交易活跃度</w:t>
      </w:r>
      <w:r w:rsidR="00170D56">
        <w:rPr>
          <w:rFonts w:hint="eastAsia"/>
        </w:rPr>
        <w:t>，</w:t>
      </w:r>
      <w:r>
        <w:rPr>
          <w:rFonts w:hint="eastAsia"/>
        </w:rPr>
        <w:t>成交额再次破万亿，风格从大盘转向中盘成长</w:t>
      </w:r>
      <w:r w:rsidR="00BB0FF4">
        <w:rPr>
          <w:rFonts w:hint="eastAsia"/>
        </w:rPr>
        <w:t>。</w:t>
      </w:r>
    </w:p>
    <w:p w14:paraId="0207E7E5" w14:textId="7A13C9E7" w:rsidR="00904CA2" w:rsidRPr="00904CA2" w:rsidRDefault="00DA0D09" w:rsidP="00904CA2">
      <w:pPr>
        <w:ind w:firstLineChars="200" w:firstLine="480"/>
      </w:pPr>
      <w:r>
        <w:rPr>
          <w:rFonts w:hint="eastAsia"/>
        </w:rPr>
        <w:t>从资金流入来看，</w:t>
      </w:r>
      <w:r w:rsidR="00904CA2">
        <w:rPr>
          <w:rFonts w:hint="eastAsia"/>
        </w:rPr>
        <w:t>北向资金（图1）</w:t>
      </w:r>
      <w:r w:rsidR="002E2E9A">
        <w:rPr>
          <w:rFonts w:hint="eastAsia"/>
        </w:rPr>
        <w:t>维持净</w:t>
      </w:r>
      <w:r w:rsidR="00904CA2">
        <w:rPr>
          <w:rFonts w:hint="eastAsia"/>
        </w:rPr>
        <w:t>流入</w:t>
      </w:r>
      <w:r>
        <w:rPr>
          <w:rFonts w:hint="eastAsia"/>
        </w:rPr>
        <w:t>，全周流入</w:t>
      </w:r>
      <w:r w:rsidR="002E2E9A">
        <w:rPr>
          <w:rFonts w:hint="eastAsia"/>
        </w:rPr>
        <w:t>96.07</w:t>
      </w:r>
      <w:r w:rsidR="00904CA2">
        <w:rPr>
          <w:rFonts w:hint="eastAsia"/>
        </w:rPr>
        <w:t>亿，其中沪股通流入</w:t>
      </w:r>
      <w:r w:rsidR="002E2E9A">
        <w:rPr>
          <w:rFonts w:hint="eastAsia"/>
        </w:rPr>
        <w:t>11.45</w:t>
      </w:r>
      <w:r w:rsidR="00904CA2">
        <w:rPr>
          <w:rFonts w:hint="eastAsia"/>
        </w:rPr>
        <w:t>亿，深股通流入</w:t>
      </w:r>
      <w:r w:rsidR="002E2E9A">
        <w:rPr>
          <w:rFonts w:hint="eastAsia"/>
        </w:rPr>
        <w:t>84.62亿；新增融资余额有所上升</w:t>
      </w:r>
      <w:r w:rsidR="00904CA2">
        <w:rPr>
          <w:rFonts w:hint="eastAsia"/>
        </w:rPr>
        <w:t>（图2）。</w:t>
      </w:r>
    </w:p>
    <w:p w14:paraId="2D49AD54" w14:textId="6F6FD590" w:rsidR="009A3A51" w:rsidRDefault="009A3A51" w:rsidP="00B236BA">
      <w:pPr>
        <w:ind w:firstLineChars="200" w:firstLine="480"/>
      </w:pPr>
      <w:r>
        <w:rPr>
          <w:rFonts w:hint="eastAsia"/>
        </w:rPr>
        <w:t>图 1</w:t>
      </w:r>
      <w:r>
        <w:t xml:space="preserve"> </w:t>
      </w:r>
      <w:r>
        <w:rPr>
          <w:rFonts w:hint="eastAsia"/>
        </w:rPr>
        <w:t>北向资金流动</w:t>
      </w:r>
      <w:bookmarkStart w:id="0" w:name="_GoBack"/>
      <w:bookmarkEnd w:id="0"/>
    </w:p>
    <w:p w14:paraId="3060E4CF" w14:textId="143D1839" w:rsidR="009A3A51" w:rsidRDefault="002E2E9A" w:rsidP="009A3A51">
      <w:r>
        <w:rPr>
          <w:noProof/>
        </w:rPr>
        <w:drawing>
          <wp:inline distT="0" distB="0" distL="0" distR="0" wp14:anchorId="06D709AB" wp14:editId="5D65EE9E">
            <wp:extent cx="5274310" cy="1670198"/>
            <wp:effectExtent l="0" t="0" r="2540"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5274310" cy="1670198"/>
                    </a:xfrm>
                    <a:prstGeom prst="rect">
                      <a:avLst/>
                    </a:prstGeom>
                  </pic:spPr>
                </pic:pic>
              </a:graphicData>
            </a:graphic>
          </wp:inline>
        </w:drawing>
      </w:r>
    </w:p>
    <w:p w14:paraId="0A375EBA" w14:textId="2A01A86C" w:rsidR="009A3A51" w:rsidRDefault="009A3A51" w:rsidP="009A3A51">
      <w:r>
        <w:rPr>
          <w:rFonts w:hint="eastAsia"/>
        </w:rPr>
        <w:t>数据来源：Wind</w:t>
      </w:r>
      <w:r w:rsidR="0013128D">
        <w:rPr>
          <w:rFonts w:hint="eastAsia"/>
        </w:rPr>
        <w:t>；整理：富</w:t>
      </w:r>
      <w:proofErr w:type="gramStart"/>
      <w:r w:rsidR="0013128D">
        <w:rPr>
          <w:rFonts w:hint="eastAsia"/>
        </w:rPr>
        <w:t>荣基金</w:t>
      </w:r>
      <w:proofErr w:type="gramEnd"/>
      <w:r w:rsidR="0013128D">
        <w:rPr>
          <w:rFonts w:hint="eastAsia"/>
        </w:rPr>
        <w:t>量化组</w:t>
      </w:r>
    </w:p>
    <w:p w14:paraId="3FD0F67F" w14:textId="28466120" w:rsidR="009A3A51" w:rsidRDefault="009A3A51" w:rsidP="0013128D">
      <w:pPr>
        <w:ind w:firstLine="480"/>
      </w:pPr>
      <w:r>
        <w:rPr>
          <w:rFonts w:hint="eastAsia"/>
        </w:rPr>
        <w:t>从</w:t>
      </w:r>
      <w:r w:rsidR="007E42CD">
        <w:rPr>
          <w:rFonts w:hint="eastAsia"/>
        </w:rPr>
        <w:t>新增融资余额来看，市场的情绪</w:t>
      </w:r>
      <w:r w:rsidR="002E2E9A">
        <w:rPr>
          <w:rFonts w:hint="eastAsia"/>
        </w:rPr>
        <w:t>不错</w:t>
      </w:r>
      <w:r w:rsidR="00B86B44">
        <w:rPr>
          <w:rFonts w:hint="eastAsia"/>
        </w:rPr>
        <w:t>，</w:t>
      </w:r>
      <w:r w:rsidR="002E2E9A">
        <w:rPr>
          <w:rFonts w:hint="eastAsia"/>
        </w:rPr>
        <w:t>两市两融余额周环比上涨1.75%，其中融资余额为15608.80亿，融券余额为1486.29亿，两市买入融资买入额为5044.43亿。</w:t>
      </w:r>
      <w:r w:rsidR="00B86B44">
        <w:rPr>
          <w:rFonts w:hint="eastAsia"/>
        </w:rPr>
        <w:t>散户</w:t>
      </w:r>
      <w:r w:rsidR="00904CA2">
        <w:rPr>
          <w:rFonts w:hint="eastAsia"/>
        </w:rPr>
        <w:t>入场</w:t>
      </w:r>
      <w:r w:rsidR="00B86B44">
        <w:rPr>
          <w:rFonts w:hint="eastAsia"/>
        </w:rPr>
        <w:t>速度减缓</w:t>
      </w:r>
      <w:r w:rsidR="00904CA2">
        <w:rPr>
          <w:rFonts w:hint="eastAsia"/>
        </w:rPr>
        <w:t>，新增融资余额新年后第一个交易日增加最大，随后放缓，总体为增加趋势</w:t>
      </w:r>
      <w:r w:rsidR="00B86B44">
        <w:rPr>
          <w:rFonts w:hint="eastAsia"/>
        </w:rPr>
        <w:t>，但是风险偏好正在下降</w:t>
      </w:r>
      <w:r w:rsidR="001B42AC">
        <w:rPr>
          <w:rFonts w:hint="eastAsia"/>
        </w:rPr>
        <w:t>。</w:t>
      </w:r>
    </w:p>
    <w:p w14:paraId="38E79A20" w14:textId="078D3FAA" w:rsidR="00904CA2" w:rsidRDefault="00904CA2" w:rsidP="0013128D">
      <w:pPr>
        <w:ind w:firstLine="480"/>
      </w:pPr>
      <w:r>
        <w:rPr>
          <w:rFonts w:hint="eastAsia"/>
        </w:rPr>
        <w:t>图 2 新增融资余额</w:t>
      </w:r>
    </w:p>
    <w:p w14:paraId="772B231D" w14:textId="12D00185" w:rsidR="0013128D" w:rsidRPr="0013128D" w:rsidRDefault="002E2E9A" w:rsidP="0013128D">
      <w:r>
        <w:rPr>
          <w:noProof/>
        </w:rPr>
        <w:drawing>
          <wp:inline distT="0" distB="0" distL="0" distR="0" wp14:anchorId="50D714BF" wp14:editId="2D877E87">
            <wp:extent cx="5274310" cy="1722087"/>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5274310" cy="1722087"/>
                    </a:xfrm>
                    <a:prstGeom prst="rect">
                      <a:avLst/>
                    </a:prstGeom>
                  </pic:spPr>
                </pic:pic>
              </a:graphicData>
            </a:graphic>
          </wp:inline>
        </w:drawing>
      </w:r>
    </w:p>
    <w:p w14:paraId="762E8E4A" w14:textId="4FD7D775" w:rsidR="009A3A51" w:rsidRDefault="0013128D" w:rsidP="0013128D">
      <w:r>
        <w:rPr>
          <w:rFonts w:hint="eastAsia"/>
        </w:rPr>
        <w:t>数据来源：Wind;整理：富</w:t>
      </w:r>
      <w:proofErr w:type="gramStart"/>
      <w:r>
        <w:rPr>
          <w:rFonts w:hint="eastAsia"/>
        </w:rPr>
        <w:t>荣基金</w:t>
      </w:r>
      <w:proofErr w:type="gramEnd"/>
      <w:r>
        <w:rPr>
          <w:rFonts w:hint="eastAsia"/>
        </w:rPr>
        <w:t>量化组</w:t>
      </w:r>
    </w:p>
    <w:p w14:paraId="600030D4" w14:textId="10A4563B" w:rsidR="0013128D" w:rsidRDefault="00004AAA" w:rsidP="0013128D">
      <w:pPr>
        <w:ind w:firstLine="480"/>
      </w:pPr>
      <w:r>
        <w:rPr>
          <w:rFonts w:hint="eastAsia"/>
        </w:rPr>
        <w:t>本周，波动</w:t>
      </w:r>
      <w:proofErr w:type="gramStart"/>
      <w:r>
        <w:rPr>
          <w:rFonts w:hint="eastAsia"/>
        </w:rPr>
        <w:t>率指数</w:t>
      </w:r>
      <w:proofErr w:type="gramEnd"/>
      <w:r w:rsidR="00120B66">
        <w:rPr>
          <w:rFonts w:hint="eastAsia"/>
        </w:rPr>
        <w:t>维持在高位震荡，</w:t>
      </w:r>
      <w:r>
        <w:rPr>
          <w:rFonts w:hint="eastAsia"/>
        </w:rPr>
        <w:t>市场情绪</w:t>
      </w:r>
      <w:r w:rsidR="00120B66">
        <w:rPr>
          <w:rFonts w:hint="eastAsia"/>
        </w:rPr>
        <w:t>相比年初虽然有所</w:t>
      </w:r>
      <w:r w:rsidR="00B86B44">
        <w:rPr>
          <w:rFonts w:hint="eastAsia"/>
        </w:rPr>
        <w:t>趋缓</w:t>
      </w:r>
      <w:r w:rsidR="00BA1740">
        <w:rPr>
          <w:rFonts w:hint="eastAsia"/>
        </w:rPr>
        <w:t>，</w:t>
      </w:r>
      <w:r w:rsidR="00120B66">
        <w:rPr>
          <w:rFonts w:hint="eastAsia"/>
        </w:rPr>
        <w:t>但是</w:t>
      </w:r>
      <w:r w:rsidR="00120B66">
        <w:rPr>
          <w:rFonts w:hint="eastAsia"/>
        </w:rPr>
        <w:lastRenderedPageBreak/>
        <w:t>活跃的交易情绪使得</w:t>
      </w:r>
      <w:r w:rsidR="00904CA2">
        <w:rPr>
          <w:rFonts w:hint="eastAsia"/>
        </w:rPr>
        <w:t>波动率</w:t>
      </w:r>
      <w:r w:rsidR="00B86B44">
        <w:rPr>
          <w:rFonts w:hint="eastAsia"/>
        </w:rPr>
        <w:t>仍</w:t>
      </w:r>
      <w:r w:rsidR="00904CA2">
        <w:rPr>
          <w:rFonts w:hint="eastAsia"/>
        </w:rPr>
        <w:t>处于历史</w:t>
      </w:r>
      <w:r w:rsidR="00B86B44">
        <w:rPr>
          <w:rFonts w:hint="eastAsia"/>
        </w:rPr>
        <w:t>相对</w:t>
      </w:r>
      <w:r w:rsidR="00904CA2">
        <w:rPr>
          <w:rFonts w:hint="eastAsia"/>
        </w:rPr>
        <w:t>高分位</w:t>
      </w:r>
      <w:r w:rsidR="002232B4">
        <w:rPr>
          <w:rFonts w:hint="eastAsia"/>
        </w:rPr>
        <w:t>，</w:t>
      </w:r>
      <w:r w:rsidR="00120B66">
        <w:rPr>
          <w:rFonts w:hint="eastAsia"/>
        </w:rPr>
        <w:t>相比2020年7月那一次情绪拉升，本次市场情绪视乎并没有那么快下降。</w:t>
      </w:r>
    </w:p>
    <w:p w14:paraId="50D00DAF" w14:textId="40A42854" w:rsidR="00904CA2" w:rsidRDefault="00904CA2" w:rsidP="0013128D">
      <w:pPr>
        <w:ind w:firstLine="480"/>
      </w:pPr>
      <w:r>
        <w:rPr>
          <w:rFonts w:hint="eastAsia"/>
        </w:rPr>
        <w:t>图 3 波动率指数</w:t>
      </w:r>
    </w:p>
    <w:p w14:paraId="172E80AB" w14:textId="5110B7DC" w:rsidR="0013128D" w:rsidRDefault="00120B66" w:rsidP="0013128D">
      <w:r>
        <w:rPr>
          <w:noProof/>
        </w:rPr>
        <w:drawing>
          <wp:inline distT="0" distB="0" distL="0" distR="0" wp14:anchorId="096A4413" wp14:editId="0657E877">
            <wp:extent cx="5274310" cy="3414261"/>
            <wp:effectExtent l="0" t="0" r="254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5274310" cy="3414261"/>
                    </a:xfrm>
                    <a:prstGeom prst="rect">
                      <a:avLst/>
                    </a:prstGeom>
                  </pic:spPr>
                </pic:pic>
              </a:graphicData>
            </a:graphic>
          </wp:inline>
        </w:drawing>
      </w:r>
    </w:p>
    <w:p w14:paraId="4F33F48F" w14:textId="0EEA4E09" w:rsidR="0013128D" w:rsidRDefault="00620469" w:rsidP="0013128D">
      <w:pPr>
        <w:rPr>
          <w:rFonts w:hint="eastAsia"/>
        </w:rPr>
      </w:pPr>
      <w:r>
        <w:rPr>
          <w:rFonts w:hint="eastAsia"/>
        </w:rPr>
        <w:t>数据来源：富</w:t>
      </w:r>
      <w:proofErr w:type="gramStart"/>
      <w:r>
        <w:rPr>
          <w:rFonts w:hint="eastAsia"/>
        </w:rPr>
        <w:t>荣基金</w:t>
      </w:r>
      <w:proofErr w:type="gramEnd"/>
      <w:r>
        <w:rPr>
          <w:rFonts w:hint="eastAsia"/>
        </w:rPr>
        <w:t>量化组</w:t>
      </w:r>
    </w:p>
    <w:p w14:paraId="33863F7D" w14:textId="77777777" w:rsidR="002D69EF" w:rsidRDefault="002D69EF" w:rsidP="0013128D">
      <w:pPr>
        <w:rPr>
          <w:rFonts w:hint="eastAsia"/>
        </w:rPr>
      </w:pPr>
    </w:p>
    <w:p w14:paraId="403E61BC" w14:textId="77777777" w:rsidR="002D69EF" w:rsidRDefault="002D69EF" w:rsidP="0013128D">
      <w:pPr>
        <w:rPr>
          <w:rFonts w:hint="eastAsia"/>
        </w:rPr>
      </w:pPr>
    </w:p>
    <w:p w14:paraId="1DFB364A" w14:textId="77777777" w:rsidR="002D69EF" w:rsidRPr="002D69EF" w:rsidRDefault="002D69EF" w:rsidP="002D69EF">
      <w:r w:rsidRPr="002D69EF">
        <w:rPr>
          <w:rFonts w:hint="eastAsia"/>
        </w:rPr>
        <w:t>风险提示：</w:t>
      </w:r>
      <w:r w:rsidRPr="002D69EF">
        <w:t>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2D69EF">
        <w:t>作出</w:t>
      </w:r>
      <w:proofErr w:type="gramEnd"/>
      <w:r w:rsidRPr="002D69EF">
        <w:t>调整。2、本报告中的资料、观点和预测等仅供参考，在任何时候均不构成对任何人的个人推荐。市场有风险，投资需谨慎。</w:t>
      </w:r>
    </w:p>
    <w:p w14:paraId="343837C9" w14:textId="77777777" w:rsidR="002D69EF" w:rsidRDefault="002D69EF" w:rsidP="0013128D"/>
    <w:sectPr w:rsidR="002D69E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35EAB83" w14:textId="77777777" w:rsidR="00732861" w:rsidRDefault="00732861" w:rsidP="002C4C07">
      <w:pPr>
        <w:spacing w:line="240" w:lineRule="auto"/>
      </w:pPr>
      <w:r>
        <w:separator/>
      </w:r>
    </w:p>
  </w:endnote>
  <w:endnote w:type="continuationSeparator" w:id="0">
    <w:p w14:paraId="369CC130" w14:textId="77777777" w:rsidR="00732861" w:rsidRDefault="00732861" w:rsidP="002C4C0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5A132BF" w14:textId="77777777" w:rsidR="00732861" w:rsidRDefault="00732861" w:rsidP="002C4C07">
      <w:pPr>
        <w:spacing w:line="240" w:lineRule="auto"/>
      </w:pPr>
      <w:r>
        <w:separator/>
      </w:r>
    </w:p>
  </w:footnote>
  <w:footnote w:type="continuationSeparator" w:id="0">
    <w:p w14:paraId="1BB0C417" w14:textId="77777777" w:rsidR="00732861" w:rsidRDefault="00732861" w:rsidP="002C4C07">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6C8A"/>
    <w:rsid w:val="0000012D"/>
    <w:rsid w:val="00004AAA"/>
    <w:rsid w:val="00006729"/>
    <w:rsid w:val="00035595"/>
    <w:rsid w:val="00070AA2"/>
    <w:rsid w:val="00087224"/>
    <w:rsid w:val="00120B66"/>
    <w:rsid w:val="0013128D"/>
    <w:rsid w:val="00170D56"/>
    <w:rsid w:val="001867FC"/>
    <w:rsid w:val="001B42AC"/>
    <w:rsid w:val="001D19B6"/>
    <w:rsid w:val="001D6061"/>
    <w:rsid w:val="001F2F6C"/>
    <w:rsid w:val="0020342A"/>
    <w:rsid w:val="002062DE"/>
    <w:rsid w:val="002129BA"/>
    <w:rsid w:val="002232B4"/>
    <w:rsid w:val="002A093A"/>
    <w:rsid w:val="002B15CF"/>
    <w:rsid w:val="002C4C07"/>
    <w:rsid w:val="002C7EF7"/>
    <w:rsid w:val="002D69EF"/>
    <w:rsid w:val="002D7112"/>
    <w:rsid w:val="002E17CD"/>
    <w:rsid w:val="002E2E9A"/>
    <w:rsid w:val="00314EC4"/>
    <w:rsid w:val="0034141F"/>
    <w:rsid w:val="00374124"/>
    <w:rsid w:val="00386DFB"/>
    <w:rsid w:val="003D637F"/>
    <w:rsid w:val="003F6050"/>
    <w:rsid w:val="00454A3A"/>
    <w:rsid w:val="004A3D6C"/>
    <w:rsid w:val="004E3614"/>
    <w:rsid w:val="00525A53"/>
    <w:rsid w:val="0057064F"/>
    <w:rsid w:val="005A2D48"/>
    <w:rsid w:val="005C4905"/>
    <w:rsid w:val="005C66C6"/>
    <w:rsid w:val="00620469"/>
    <w:rsid w:val="00663F40"/>
    <w:rsid w:val="00685DD2"/>
    <w:rsid w:val="006965D2"/>
    <w:rsid w:val="006B1D85"/>
    <w:rsid w:val="006C7CF6"/>
    <w:rsid w:val="006E639C"/>
    <w:rsid w:val="00732861"/>
    <w:rsid w:val="0073379B"/>
    <w:rsid w:val="007856BA"/>
    <w:rsid w:val="007927F6"/>
    <w:rsid w:val="007B2BEF"/>
    <w:rsid w:val="007D5907"/>
    <w:rsid w:val="007E42CD"/>
    <w:rsid w:val="007F6A29"/>
    <w:rsid w:val="00830122"/>
    <w:rsid w:val="008540B7"/>
    <w:rsid w:val="008732E7"/>
    <w:rsid w:val="008757E1"/>
    <w:rsid w:val="008916E0"/>
    <w:rsid w:val="00893C6A"/>
    <w:rsid w:val="008A74C1"/>
    <w:rsid w:val="008B1754"/>
    <w:rsid w:val="008B27E8"/>
    <w:rsid w:val="00904CA2"/>
    <w:rsid w:val="00907C93"/>
    <w:rsid w:val="00930F5D"/>
    <w:rsid w:val="00953D75"/>
    <w:rsid w:val="00987C63"/>
    <w:rsid w:val="009953B9"/>
    <w:rsid w:val="009A3A51"/>
    <w:rsid w:val="009D02A8"/>
    <w:rsid w:val="00A07990"/>
    <w:rsid w:val="00A24644"/>
    <w:rsid w:val="00A51293"/>
    <w:rsid w:val="00A52850"/>
    <w:rsid w:val="00A61347"/>
    <w:rsid w:val="00A72DA9"/>
    <w:rsid w:val="00A90927"/>
    <w:rsid w:val="00B236BA"/>
    <w:rsid w:val="00B82632"/>
    <w:rsid w:val="00B86B44"/>
    <w:rsid w:val="00B91093"/>
    <w:rsid w:val="00BA1740"/>
    <w:rsid w:val="00BA3587"/>
    <w:rsid w:val="00BA72C2"/>
    <w:rsid w:val="00BB0FF4"/>
    <w:rsid w:val="00BB3363"/>
    <w:rsid w:val="00BC61FC"/>
    <w:rsid w:val="00BD6BA1"/>
    <w:rsid w:val="00C1492E"/>
    <w:rsid w:val="00C24E54"/>
    <w:rsid w:val="00C53BED"/>
    <w:rsid w:val="00CD5494"/>
    <w:rsid w:val="00CD673E"/>
    <w:rsid w:val="00D055BF"/>
    <w:rsid w:val="00D458F1"/>
    <w:rsid w:val="00D46833"/>
    <w:rsid w:val="00D868FA"/>
    <w:rsid w:val="00DA0D09"/>
    <w:rsid w:val="00DD21CB"/>
    <w:rsid w:val="00DD2E6A"/>
    <w:rsid w:val="00DF6F9A"/>
    <w:rsid w:val="00E73F3E"/>
    <w:rsid w:val="00E86C8A"/>
    <w:rsid w:val="00E87750"/>
    <w:rsid w:val="00E9385A"/>
    <w:rsid w:val="00EF2A7A"/>
    <w:rsid w:val="00F13186"/>
    <w:rsid w:val="00F20633"/>
    <w:rsid w:val="00FC4D42"/>
    <w:rsid w:val="00FC5D34"/>
    <w:rsid w:val="00FF64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8C63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72C2"/>
    <w:pPr>
      <w:widowControl w:val="0"/>
      <w:spacing w:line="360" w:lineRule="auto"/>
      <w:jc w:val="both"/>
    </w:pPr>
    <w:rPr>
      <w:rFonts w:ascii="楷体" w:eastAsia="楷体" w:hAnsi="楷体"/>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C4C07"/>
    <w:pPr>
      <w:pBdr>
        <w:bottom w:val="single" w:sz="6" w:space="1" w:color="auto"/>
      </w:pBdr>
      <w:tabs>
        <w:tab w:val="center" w:pos="4153"/>
        <w:tab w:val="right" w:pos="8306"/>
      </w:tabs>
      <w:snapToGrid w:val="0"/>
      <w:spacing w:line="240" w:lineRule="auto"/>
      <w:jc w:val="center"/>
    </w:pPr>
    <w:rPr>
      <w:rFonts w:asciiTheme="minorHAnsi" w:eastAsiaTheme="minorEastAsia" w:hAnsiTheme="minorHAnsi"/>
      <w:sz w:val="18"/>
      <w:szCs w:val="18"/>
    </w:rPr>
  </w:style>
  <w:style w:type="character" w:customStyle="1" w:styleId="Char">
    <w:name w:val="页眉 Char"/>
    <w:basedOn w:val="a0"/>
    <w:link w:val="a3"/>
    <w:uiPriority w:val="99"/>
    <w:rsid w:val="002C4C07"/>
    <w:rPr>
      <w:sz w:val="18"/>
      <w:szCs w:val="18"/>
    </w:rPr>
  </w:style>
  <w:style w:type="paragraph" w:styleId="a4">
    <w:name w:val="footer"/>
    <w:basedOn w:val="a"/>
    <w:link w:val="Char0"/>
    <w:uiPriority w:val="99"/>
    <w:unhideWhenUsed/>
    <w:rsid w:val="002C4C07"/>
    <w:pPr>
      <w:tabs>
        <w:tab w:val="center" w:pos="4153"/>
        <w:tab w:val="right" w:pos="8306"/>
      </w:tabs>
      <w:snapToGrid w:val="0"/>
      <w:spacing w:line="240" w:lineRule="auto"/>
      <w:jc w:val="left"/>
    </w:pPr>
    <w:rPr>
      <w:rFonts w:asciiTheme="minorHAnsi" w:eastAsiaTheme="minorEastAsia" w:hAnsiTheme="minorHAnsi"/>
      <w:sz w:val="18"/>
      <w:szCs w:val="18"/>
    </w:rPr>
  </w:style>
  <w:style w:type="character" w:customStyle="1" w:styleId="Char0">
    <w:name w:val="页脚 Char"/>
    <w:basedOn w:val="a0"/>
    <w:link w:val="a4"/>
    <w:uiPriority w:val="99"/>
    <w:rsid w:val="002C4C07"/>
    <w:rPr>
      <w:sz w:val="18"/>
      <w:szCs w:val="18"/>
    </w:rPr>
  </w:style>
  <w:style w:type="paragraph" w:styleId="a5">
    <w:name w:val="Balloon Text"/>
    <w:basedOn w:val="a"/>
    <w:link w:val="Char1"/>
    <w:uiPriority w:val="99"/>
    <w:semiHidden/>
    <w:unhideWhenUsed/>
    <w:rsid w:val="002C4C07"/>
    <w:pPr>
      <w:spacing w:line="240" w:lineRule="auto"/>
    </w:pPr>
    <w:rPr>
      <w:sz w:val="18"/>
      <w:szCs w:val="18"/>
    </w:rPr>
  </w:style>
  <w:style w:type="character" w:customStyle="1" w:styleId="Char1">
    <w:name w:val="批注框文本 Char"/>
    <w:basedOn w:val="a0"/>
    <w:link w:val="a5"/>
    <w:uiPriority w:val="99"/>
    <w:semiHidden/>
    <w:rsid w:val="002C4C07"/>
    <w:rPr>
      <w:rFonts w:ascii="楷体" w:eastAsia="楷体" w:hAnsi="楷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72C2"/>
    <w:pPr>
      <w:widowControl w:val="0"/>
      <w:spacing w:line="360" w:lineRule="auto"/>
      <w:jc w:val="both"/>
    </w:pPr>
    <w:rPr>
      <w:rFonts w:ascii="楷体" w:eastAsia="楷体" w:hAnsi="楷体"/>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C4C07"/>
    <w:pPr>
      <w:pBdr>
        <w:bottom w:val="single" w:sz="6" w:space="1" w:color="auto"/>
      </w:pBdr>
      <w:tabs>
        <w:tab w:val="center" w:pos="4153"/>
        <w:tab w:val="right" w:pos="8306"/>
      </w:tabs>
      <w:snapToGrid w:val="0"/>
      <w:spacing w:line="240" w:lineRule="auto"/>
      <w:jc w:val="center"/>
    </w:pPr>
    <w:rPr>
      <w:rFonts w:asciiTheme="minorHAnsi" w:eastAsiaTheme="minorEastAsia" w:hAnsiTheme="minorHAnsi"/>
      <w:sz w:val="18"/>
      <w:szCs w:val="18"/>
    </w:rPr>
  </w:style>
  <w:style w:type="character" w:customStyle="1" w:styleId="Char">
    <w:name w:val="页眉 Char"/>
    <w:basedOn w:val="a0"/>
    <w:link w:val="a3"/>
    <w:uiPriority w:val="99"/>
    <w:rsid w:val="002C4C07"/>
    <w:rPr>
      <w:sz w:val="18"/>
      <w:szCs w:val="18"/>
    </w:rPr>
  </w:style>
  <w:style w:type="paragraph" w:styleId="a4">
    <w:name w:val="footer"/>
    <w:basedOn w:val="a"/>
    <w:link w:val="Char0"/>
    <w:uiPriority w:val="99"/>
    <w:unhideWhenUsed/>
    <w:rsid w:val="002C4C07"/>
    <w:pPr>
      <w:tabs>
        <w:tab w:val="center" w:pos="4153"/>
        <w:tab w:val="right" w:pos="8306"/>
      </w:tabs>
      <w:snapToGrid w:val="0"/>
      <w:spacing w:line="240" w:lineRule="auto"/>
      <w:jc w:val="left"/>
    </w:pPr>
    <w:rPr>
      <w:rFonts w:asciiTheme="minorHAnsi" w:eastAsiaTheme="minorEastAsia" w:hAnsiTheme="minorHAnsi"/>
      <w:sz w:val="18"/>
      <w:szCs w:val="18"/>
    </w:rPr>
  </w:style>
  <w:style w:type="character" w:customStyle="1" w:styleId="Char0">
    <w:name w:val="页脚 Char"/>
    <w:basedOn w:val="a0"/>
    <w:link w:val="a4"/>
    <w:uiPriority w:val="99"/>
    <w:rsid w:val="002C4C07"/>
    <w:rPr>
      <w:sz w:val="18"/>
      <w:szCs w:val="18"/>
    </w:rPr>
  </w:style>
  <w:style w:type="paragraph" w:styleId="a5">
    <w:name w:val="Balloon Text"/>
    <w:basedOn w:val="a"/>
    <w:link w:val="Char1"/>
    <w:uiPriority w:val="99"/>
    <w:semiHidden/>
    <w:unhideWhenUsed/>
    <w:rsid w:val="002C4C07"/>
    <w:pPr>
      <w:spacing w:line="240" w:lineRule="auto"/>
    </w:pPr>
    <w:rPr>
      <w:sz w:val="18"/>
      <w:szCs w:val="18"/>
    </w:rPr>
  </w:style>
  <w:style w:type="character" w:customStyle="1" w:styleId="Char1">
    <w:name w:val="批注框文本 Char"/>
    <w:basedOn w:val="a0"/>
    <w:link w:val="a5"/>
    <w:uiPriority w:val="99"/>
    <w:semiHidden/>
    <w:rsid w:val="002C4C07"/>
    <w:rPr>
      <w:rFonts w:ascii="楷体" w:eastAsia="楷体" w:hAnsi="楷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2</Pages>
  <Words>112</Words>
  <Characters>639</Characters>
  <Application>Microsoft Office Word</Application>
  <DocSecurity>0</DocSecurity>
  <Lines>5</Lines>
  <Paragraphs>1</Paragraphs>
  <ScaleCrop>false</ScaleCrop>
  <Company>微软中国</Company>
  <LinksUpToDate>false</LinksUpToDate>
  <CharactersWithSpaces>750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邱紫华</dc:creator>
  <cp:lastModifiedBy>Administrator</cp:lastModifiedBy>
  <cp:revision>3</cp:revision>
  <dcterms:created xsi:type="dcterms:W3CDTF">2021-01-25T03:18:00Z</dcterms:created>
  <dcterms:modified xsi:type="dcterms:W3CDTF">2021-01-25T05:55:00Z</dcterms:modified>
</cp:coreProperties>
</file>