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46ED023F" w:rsidR="002C4C07" w:rsidRPr="00EF6393" w:rsidRDefault="002C4C07" w:rsidP="002C4C07">
      <w:pPr>
        <w:jc w:val="center"/>
        <w:rPr>
          <w:b/>
        </w:rPr>
      </w:pPr>
      <w:r w:rsidRPr="00EF6393">
        <w:rPr>
          <w:rFonts w:hint="eastAsia"/>
          <w:b/>
        </w:rPr>
        <w:t>富荣量化周观察——</w:t>
      </w:r>
      <w:r w:rsidR="00EA7100">
        <w:rPr>
          <w:rFonts w:hint="eastAsia"/>
          <w:b/>
        </w:rPr>
        <w:t>中小市值异军突起</w:t>
      </w:r>
      <w:bookmarkStart w:id="0" w:name="_GoBack"/>
      <w:bookmarkEnd w:id="0"/>
    </w:p>
    <w:p w14:paraId="0876C22F" w14:textId="16F9F4DB" w:rsidR="00CA38CF" w:rsidRDefault="00CA38CF" w:rsidP="00CA38CF">
      <w:pPr>
        <w:ind w:firstLineChars="200" w:firstLine="480"/>
      </w:pPr>
    </w:p>
    <w:p w14:paraId="71ADFB3B" w14:textId="09200AED" w:rsidR="00F01DE0" w:rsidRDefault="007D7875" w:rsidP="002563D9">
      <w:pPr>
        <w:ind w:firstLineChars="200" w:firstLine="480"/>
      </w:pPr>
      <w:r>
        <w:rPr>
          <w:rFonts w:hint="eastAsia"/>
        </w:rPr>
        <w:t>春节前最后几个交易日市场加速上行，加之假期外盘强势表现（主要是港股）让A股市场的开年行情充满了想象。本周只有两个交易日2月1</w:t>
      </w:r>
      <w:r>
        <w:t>8</w:t>
      </w:r>
      <w:r>
        <w:rPr>
          <w:rFonts w:hint="eastAsia"/>
        </w:rPr>
        <w:t>日和2月1</w:t>
      </w:r>
      <w:r>
        <w:t>9</w:t>
      </w:r>
      <w:r>
        <w:rPr>
          <w:rFonts w:hint="eastAsia"/>
        </w:rPr>
        <w:t>日，指数的表现并非如市场所预期，各</w:t>
      </w:r>
      <w:r w:rsidR="00444648">
        <w:rPr>
          <w:rFonts w:hint="eastAsia"/>
        </w:rPr>
        <w:t>大</w:t>
      </w:r>
      <w:r>
        <w:rPr>
          <w:rFonts w:hint="eastAsia"/>
        </w:rPr>
        <w:t>宽基指数在开年的第一个交易日高开后迅速走低，</w:t>
      </w:r>
      <w:r w:rsidR="00444648">
        <w:rPr>
          <w:rFonts w:hint="eastAsia"/>
        </w:rPr>
        <w:t>最终两个交易日表现如下：上证指数收涨1</w:t>
      </w:r>
      <w:r w:rsidR="00444648">
        <w:t>.12</w:t>
      </w:r>
      <w:r w:rsidR="00444648">
        <w:rPr>
          <w:rFonts w:hint="eastAsia"/>
        </w:rPr>
        <w:t>%、深圳成指收跌0</w:t>
      </w:r>
      <w:r w:rsidR="00444648">
        <w:t>.87</w:t>
      </w:r>
      <w:r w:rsidR="00444648">
        <w:rPr>
          <w:rFonts w:hint="eastAsia"/>
        </w:rPr>
        <w:t>%、沪深3</w:t>
      </w:r>
      <w:r w:rsidR="00444648">
        <w:t>00</w:t>
      </w:r>
      <w:r w:rsidR="00444648">
        <w:rPr>
          <w:rFonts w:hint="eastAsia"/>
        </w:rPr>
        <w:t>指数</w:t>
      </w:r>
      <w:r w:rsidR="00A44F37">
        <w:rPr>
          <w:rFonts w:hint="eastAsia"/>
        </w:rPr>
        <w:t>下跌</w:t>
      </w:r>
      <w:r w:rsidR="00444648">
        <w:rPr>
          <w:rFonts w:hint="eastAsia"/>
        </w:rPr>
        <w:t>0</w:t>
      </w:r>
      <w:r w:rsidR="00444648">
        <w:t>.50</w:t>
      </w:r>
      <w:r w:rsidR="00444648">
        <w:rPr>
          <w:rFonts w:hint="eastAsia"/>
        </w:rPr>
        <w:t>%，创业板指表现最弱，最终收跌3</w:t>
      </w:r>
      <w:r w:rsidR="00444648">
        <w:t>.76</w:t>
      </w:r>
      <w:r w:rsidR="00444648">
        <w:rPr>
          <w:rFonts w:hint="eastAsia"/>
        </w:rPr>
        <w:t>%，</w:t>
      </w:r>
      <w:r w:rsidR="002563D9">
        <w:rPr>
          <w:rFonts w:hint="eastAsia"/>
        </w:rPr>
        <w:t>中证5</w:t>
      </w:r>
      <w:r w:rsidR="002563D9">
        <w:t>00</w:t>
      </w:r>
      <w:r w:rsidR="002563D9">
        <w:rPr>
          <w:rFonts w:hint="eastAsia"/>
        </w:rPr>
        <w:t>指数收涨2</w:t>
      </w:r>
      <w:r w:rsidR="002563D9">
        <w:t>.73</w:t>
      </w:r>
      <w:r w:rsidR="002563D9">
        <w:rPr>
          <w:rFonts w:hint="eastAsia"/>
        </w:rPr>
        <w:t>%。</w:t>
      </w:r>
    </w:p>
    <w:p w14:paraId="35CAE53B" w14:textId="3A8BFBD9" w:rsidR="007D7875" w:rsidRDefault="00EA7100" w:rsidP="002563D9">
      <w:pPr>
        <w:ind w:firstLineChars="200" w:firstLine="480"/>
      </w:pPr>
      <w:r>
        <w:rPr>
          <w:rFonts w:hint="eastAsia"/>
        </w:rPr>
        <w:t>从盘面来看，两个交易日表现突出的是传统周期板块，而去年涨势惊人的食品饮料、家用电器以及电子设备和医药生物则回撤明显</w:t>
      </w:r>
      <w:r w:rsidR="00D670C6">
        <w:rPr>
          <w:rFonts w:hint="eastAsia"/>
        </w:rPr>
        <w:t>，各行业和宽基指数表现如图1</w:t>
      </w:r>
      <w:r>
        <w:rPr>
          <w:rFonts w:hint="eastAsia"/>
        </w:rPr>
        <w:t>。去年市场风格是明显的大盘股风格，开年两个交易日则出乎市场预期迅速切换为中小市值股票。</w:t>
      </w:r>
    </w:p>
    <w:p w14:paraId="45D66686" w14:textId="6BFCA903" w:rsidR="00D670C6" w:rsidRDefault="00D670C6" w:rsidP="00D670C6">
      <w:pPr>
        <w:jc w:val="center"/>
      </w:pPr>
      <w:r>
        <w:rPr>
          <w:rFonts w:hint="eastAsia"/>
        </w:rPr>
        <w:t>图 1 各宽基指数和行业表现</w:t>
      </w:r>
    </w:p>
    <w:p w14:paraId="56ECD79E" w14:textId="170FFC41" w:rsidR="00D670C6" w:rsidRDefault="00D670C6" w:rsidP="00D670C6">
      <w:r>
        <w:rPr>
          <w:noProof/>
        </w:rPr>
        <w:drawing>
          <wp:inline distT="0" distB="0" distL="0" distR="0" wp14:anchorId="5B4CFF69" wp14:editId="0E862145">
            <wp:extent cx="5274310" cy="3955733"/>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3955733"/>
                    </a:xfrm>
                    <a:prstGeom prst="rect">
                      <a:avLst/>
                    </a:prstGeom>
                  </pic:spPr>
                </pic:pic>
              </a:graphicData>
            </a:graphic>
          </wp:inline>
        </w:drawing>
      </w:r>
    </w:p>
    <w:p w14:paraId="52892E3A" w14:textId="77777777" w:rsidR="00F01DE0" w:rsidRDefault="00F01DE0" w:rsidP="00F01DE0">
      <w:r>
        <w:rPr>
          <w:rFonts w:hint="eastAsia"/>
        </w:rPr>
        <w:t>数据来源：Wind、富荣基金量化组整理</w:t>
      </w:r>
    </w:p>
    <w:p w14:paraId="35A69404" w14:textId="77777777" w:rsidR="00F01DE0" w:rsidRPr="00F01DE0" w:rsidRDefault="00F01DE0" w:rsidP="00D670C6"/>
    <w:p w14:paraId="5C164B40" w14:textId="2D4FD90D" w:rsidR="00074AEA" w:rsidRPr="007528BE" w:rsidRDefault="009827E9" w:rsidP="00CA38CF">
      <w:pPr>
        <w:ind w:firstLineChars="200" w:firstLine="480"/>
      </w:pPr>
      <w:r>
        <w:rPr>
          <w:rFonts w:hint="eastAsia"/>
        </w:rPr>
        <w:lastRenderedPageBreak/>
        <w:t>从资金流动来看，</w:t>
      </w:r>
      <w:r w:rsidR="009D7F5D">
        <w:rPr>
          <w:rFonts w:hint="eastAsia"/>
        </w:rPr>
        <w:t>上周</w:t>
      </w:r>
      <w:r>
        <w:rPr>
          <w:rFonts w:hint="eastAsia"/>
        </w:rPr>
        <w:t>北向资金继续强势流入</w:t>
      </w:r>
      <w:r w:rsidR="00D670C6">
        <w:rPr>
          <w:rFonts w:hint="eastAsia"/>
        </w:rPr>
        <w:t>（图2）</w:t>
      </w:r>
      <w:r>
        <w:rPr>
          <w:rFonts w:hint="eastAsia"/>
        </w:rPr>
        <w:t>，其中沪股通流入</w:t>
      </w:r>
      <w:r w:rsidR="00D670C6">
        <w:rPr>
          <w:rFonts w:hint="eastAsia"/>
        </w:rPr>
        <w:t>44.72亿，深股通流入101.54亿，两市合计流入146.26亿。新增融资余额明显流出，市场在指数回撤下表现出谨慎情绪。</w:t>
      </w:r>
    </w:p>
    <w:p w14:paraId="15A2CD98" w14:textId="66DD695F" w:rsidR="002C4C07" w:rsidRDefault="00D670C6" w:rsidP="00D670C6">
      <w:pPr>
        <w:jc w:val="center"/>
      </w:pPr>
      <w:r>
        <w:rPr>
          <w:rFonts w:hint="eastAsia"/>
        </w:rPr>
        <w:t>图2 北上资金净流入</w:t>
      </w:r>
    </w:p>
    <w:p w14:paraId="454836E1" w14:textId="19C63A25" w:rsidR="00D670C6" w:rsidRDefault="00F964A1" w:rsidP="002C4C07">
      <w:r w:rsidRPr="00F964A1">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r>
        <w:rPr>
          <w:noProof/>
        </w:rPr>
        <w:drawing>
          <wp:inline distT="0" distB="0" distL="0" distR="0" wp14:anchorId="78C95A3E" wp14:editId="38AD74AB">
            <wp:extent cx="5274310" cy="1318578"/>
            <wp:effectExtent l="0" t="0" r="2540" b="0"/>
            <wp:docPr id="3" name="图片 3" descr="C:\Users\wangqs\Desktop\c0f6f52b878cc1183773c3372b380a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ngqs\Desktop\c0f6f52b878cc1183773c3372b380a1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318578"/>
                    </a:xfrm>
                    <a:prstGeom prst="rect">
                      <a:avLst/>
                    </a:prstGeom>
                    <a:noFill/>
                    <a:ln>
                      <a:noFill/>
                    </a:ln>
                  </pic:spPr>
                </pic:pic>
              </a:graphicData>
            </a:graphic>
          </wp:inline>
        </w:drawing>
      </w:r>
    </w:p>
    <w:p w14:paraId="7003C189" w14:textId="64B16944" w:rsidR="00F519B2" w:rsidRPr="00F519B2" w:rsidRDefault="00F519B2" w:rsidP="002C4C07">
      <w:r>
        <w:rPr>
          <w:rFonts w:hint="eastAsia"/>
        </w:rPr>
        <w:t>数据来源：Wind、富荣基金量化组整理</w:t>
      </w:r>
    </w:p>
    <w:p w14:paraId="65AABD40" w14:textId="54893120" w:rsidR="00D670C6" w:rsidRDefault="00D670C6" w:rsidP="00D670C6">
      <w:pPr>
        <w:ind w:firstLineChars="200" w:firstLine="480"/>
      </w:pPr>
      <w:r>
        <w:rPr>
          <w:rFonts w:hint="eastAsia"/>
        </w:rPr>
        <w:t>从波动率来看，假期后市场</w:t>
      </w:r>
      <w:r w:rsidR="009D7F5D">
        <w:rPr>
          <w:rFonts w:hint="eastAsia"/>
        </w:rPr>
        <w:t>未</w:t>
      </w:r>
      <w:r>
        <w:rPr>
          <w:rFonts w:hint="eastAsia"/>
        </w:rPr>
        <w:t>发生超预期</w:t>
      </w:r>
      <w:r w:rsidR="009D7F5D">
        <w:rPr>
          <w:rFonts w:hint="eastAsia"/>
        </w:rPr>
        <w:t>事件</w:t>
      </w:r>
      <w:r>
        <w:rPr>
          <w:rFonts w:hint="eastAsia"/>
        </w:rPr>
        <w:t>，上证50和沪深300波动率指数都出现小幅下跌，市场并未因指数回撤表现出恐慌，展望后续市场我们认为市场依</w:t>
      </w:r>
      <w:r w:rsidR="009D7F5D">
        <w:rPr>
          <w:rFonts w:hint="eastAsia"/>
        </w:rPr>
        <w:t>以</w:t>
      </w:r>
      <w:r>
        <w:rPr>
          <w:rFonts w:hint="eastAsia"/>
        </w:rPr>
        <w:t>震荡为主。</w:t>
      </w:r>
    </w:p>
    <w:p w14:paraId="718FE84F" w14:textId="735E990E" w:rsidR="00817D4B" w:rsidRDefault="00817D4B" w:rsidP="00B33F3B">
      <w:pPr>
        <w:ind w:firstLineChars="200" w:firstLine="480"/>
        <w:jc w:val="center"/>
      </w:pPr>
      <w:r>
        <w:rPr>
          <w:rFonts w:hint="eastAsia"/>
        </w:rPr>
        <w:t>图3 510300.SH波动率概况</w:t>
      </w:r>
    </w:p>
    <w:p w14:paraId="7B8AB334" w14:textId="7440E2BF" w:rsidR="00C73680" w:rsidRDefault="00C73680" w:rsidP="00C73680">
      <w:pPr>
        <w:ind w:firstLineChars="200" w:firstLine="480"/>
      </w:pPr>
      <w:r>
        <w:rPr>
          <w:noProof/>
        </w:rPr>
        <w:drawing>
          <wp:inline distT="0" distB="0" distL="0" distR="0" wp14:anchorId="674B5C58" wp14:editId="7EC71F3C">
            <wp:extent cx="5274310" cy="2637155"/>
            <wp:effectExtent l="0" t="0" r="2540" b="0"/>
            <wp:docPr id="4" name="图片 4" descr="C:\Users\wangqs\Desktop\10b101f14f532c875545a7509c7c45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angqs\Desktop\10b101f14f532c875545a7509c7c45b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2637155"/>
                    </a:xfrm>
                    <a:prstGeom prst="rect">
                      <a:avLst/>
                    </a:prstGeom>
                    <a:noFill/>
                    <a:ln>
                      <a:noFill/>
                    </a:ln>
                  </pic:spPr>
                </pic:pic>
              </a:graphicData>
            </a:graphic>
          </wp:inline>
        </w:drawing>
      </w:r>
    </w:p>
    <w:p w14:paraId="093394B2" w14:textId="39A2E0FB" w:rsidR="00B133E7" w:rsidRDefault="00B133E7" w:rsidP="00C73680">
      <w:pPr>
        <w:ind w:firstLineChars="200" w:firstLine="480"/>
      </w:pPr>
      <w:r>
        <w:rPr>
          <w:rFonts w:hint="eastAsia"/>
        </w:rPr>
        <w:t>数据来源：Wind、富荣基金量化组整理</w:t>
      </w:r>
    </w:p>
    <w:p w14:paraId="7BE5D648" w14:textId="76DEE869" w:rsidR="008540B7" w:rsidRDefault="008540B7" w:rsidP="002C4C07">
      <w:pPr>
        <w:jc w:val="center"/>
      </w:pPr>
    </w:p>
    <w:p w14:paraId="70EEC8FD" w14:textId="77777777" w:rsidR="009D7F5D" w:rsidRDefault="009D7F5D" w:rsidP="002C4C07">
      <w:pPr>
        <w:jc w:val="center"/>
      </w:pPr>
    </w:p>
    <w:p w14:paraId="13A184C7" w14:textId="5F9963F7" w:rsidR="009D7F5D" w:rsidRDefault="009D7F5D" w:rsidP="00EB6491">
      <w:pPr>
        <w:jc w:val="left"/>
      </w:pPr>
      <w:r w:rsidRPr="009D7F5D">
        <w:rPr>
          <w:rFonts w:hint="eastAsia"/>
        </w:rPr>
        <w:t>风险提示：</w:t>
      </w:r>
      <w:r w:rsidRPr="009D7F5D">
        <w:t>1、本报告中的信息均来源于我们认为可靠的已公开资料和合作客户的研究成果，但本公司及研究人员对这些信息的准确性和完整性不作任何保证，</w:t>
      </w:r>
      <w:r w:rsidRPr="009D7F5D">
        <w:lastRenderedPageBreak/>
        <w:t>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sectPr w:rsidR="009D7F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012874" w14:textId="77777777" w:rsidR="001F20DB" w:rsidRDefault="001F20DB" w:rsidP="002C4C07">
      <w:pPr>
        <w:spacing w:line="240" w:lineRule="auto"/>
      </w:pPr>
      <w:r>
        <w:separator/>
      </w:r>
    </w:p>
  </w:endnote>
  <w:endnote w:type="continuationSeparator" w:id="0">
    <w:p w14:paraId="67082EEC" w14:textId="77777777" w:rsidR="001F20DB" w:rsidRDefault="001F20DB"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2C9A56" w14:textId="77777777" w:rsidR="001F20DB" w:rsidRDefault="001F20DB" w:rsidP="002C4C07">
      <w:pPr>
        <w:spacing w:line="240" w:lineRule="auto"/>
      </w:pPr>
      <w:r>
        <w:separator/>
      </w:r>
    </w:p>
  </w:footnote>
  <w:footnote w:type="continuationSeparator" w:id="0">
    <w:p w14:paraId="7CEF78A7" w14:textId="77777777" w:rsidR="001F20DB" w:rsidRDefault="001F20DB"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60A51"/>
    <w:rsid w:val="00070AA2"/>
    <w:rsid w:val="00074AEA"/>
    <w:rsid w:val="00081770"/>
    <w:rsid w:val="00161CBB"/>
    <w:rsid w:val="0018534E"/>
    <w:rsid w:val="001867FC"/>
    <w:rsid w:val="001D19B6"/>
    <w:rsid w:val="001D6061"/>
    <w:rsid w:val="001F20DB"/>
    <w:rsid w:val="0020342A"/>
    <w:rsid w:val="002062DE"/>
    <w:rsid w:val="002129BA"/>
    <w:rsid w:val="002416ED"/>
    <w:rsid w:val="002563D9"/>
    <w:rsid w:val="002A093A"/>
    <w:rsid w:val="002B15CF"/>
    <w:rsid w:val="002C4C07"/>
    <w:rsid w:val="002C7EF7"/>
    <w:rsid w:val="002E17CD"/>
    <w:rsid w:val="00374124"/>
    <w:rsid w:val="00386DFB"/>
    <w:rsid w:val="003B1CAC"/>
    <w:rsid w:val="003D637F"/>
    <w:rsid w:val="003F6050"/>
    <w:rsid w:val="004157F5"/>
    <w:rsid w:val="00444648"/>
    <w:rsid w:val="00454A3A"/>
    <w:rsid w:val="00481DE9"/>
    <w:rsid w:val="004E3614"/>
    <w:rsid w:val="00525A53"/>
    <w:rsid w:val="00531B02"/>
    <w:rsid w:val="005A2D48"/>
    <w:rsid w:val="005C4905"/>
    <w:rsid w:val="006965D2"/>
    <w:rsid w:val="006A06A5"/>
    <w:rsid w:val="006B1D85"/>
    <w:rsid w:val="006C7CF6"/>
    <w:rsid w:val="006E639C"/>
    <w:rsid w:val="006E6B88"/>
    <w:rsid w:val="0073379B"/>
    <w:rsid w:val="00747B9D"/>
    <w:rsid w:val="007528BE"/>
    <w:rsid w:val="00756EC7"/>
    <w:rsid w:val="00776B6C"/>
    <w:rsid w:val="007C2251"/>
    <w:rsid w:val="007D5907"/>
    <w:rsid w:val="007D7875"/>
    <w:rsid w:val="007E075D"/>
    <w:rsid w:val="007F6A29"/>
    <w:rsid w:val="00817D4B"/>
    <w:rsid w:val="00830122"/>
    <w:rsid w:val="00830C71"/>
    <w:rsid w:val="00841A4C"/>
    <w:rsid w:val="008540B7"/>
    <w:rsid w:val="008916E0"/>
    <w:rsid w:val="00893C6A"/>
    <w:rsid w:val="008A74C1"/>
    <w:rsid w:val="008B1754"/>
    <w:rsid w:val="008B27E8"/>
    <w:rsid w:val="008B4D1A"/>
    <w:rsid w:val="008D03D4"/>
    <w:rsid w:val="008F60FD"/>
    <w:rsid w:val="00907C93"/>
    <w:rsid w:val="009827E9"/>
    <w:rsid w:val="00987C63"/>
    <w:rsid w:val="009953B9"/>
    <w:rsid w:val="009D02A8"/>
    <w:rsid w:val="009D7F5D"/>
    <w:rsid w:val="00A07990"/>
    <w:rsid w:val="00A44F37"/>
    <w:rsid w:val="00A51293"/>
    <w:rsid w:val="00A61347"/>
    <w:rsid w:val="00A842A3"/>
    <w:rsid w:val="00A90927"/>
    <w:rsid w:val="00B133E7"/>
    <w:rsid w:val="00B14C31"/>
    <w:rsid w:val="00B33F3B"/>
    <w:rsid w:val="00B82632"/>
    <w:rsid w:val="00B87681"/>
    <w:rsid w:val="00B91093"/>
    <w:rsid w:val="00BA3587"/>
    <w:rsid w:val="00BA72C2"/>
    <w:rsid w:val="00BC61FC"/>
    <w:rsid w:val="00BD6BA1"/>
    <w:rsid w:val="00C24E54"/>
    <w:rsid w:val="00C53CF8"/>
    <w:rsid w:val="00C73680"/>
    <w:rsid w:val="00CA38CF"/>
    <w:rsid w:val="00CD5494"/>
    <w:rsid w:val="00CD673E"/>
    <w:rsid w:val="00D055BF"/>
    <w:rsid w:val="00D058C0"/>
    <w:rsid w:val="00D46833"/>
    <w:rsid w:val="00D670C6"/>
    <w:rsid w:val="00DD21CB"/>
    <w:rsid w:val="00DD26E5"/>
    <w:rsid w:val="00DD2E6A"/>
    <w:rsid w:val="00DD6213"/>
    <w:rsid w:val="00DF6F9A"/>
    <w:rsid w:val="00E23413"/>
    <w:rsid w:val="00E619FD"/>
    <w:rsid w:val="00E86C8A"/>
    <w:rsid w:val="00E87750"/>
    <w:rsid w:val="00E97A5D"/>
    <w:rsid w:val="00EA7100"/>
    <w:rsid w:val="00EB6491"/>
    <w:rsid w:val="00EB7D3C"/>
    <w:rsid w:val="00EF2A7A"/>
    <w:rsid w:val="00F01DE0"/>
    <w:rsid w:val="00F1138A"/>
    <w:rsid w:val="00F13186"/>
    <w:rsid w:val="00F519B2"/>
    <w:rsid w:val="00F64709"/>
    <w:rsid w:val="00F66C4C"/>
    <w:rsid w:val="00F964A1"/>
    <w:rsid w:val="00FA2748"/>
    <w:rsid w:val="00FB18F7"/>
    <w:rsid w:val="00FC5D34"/>
    <w:rsid w:val="00FD6898"/>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119</Words>
  <Characters>683</Characters>
  <Application>Microsoft Office Word</Application>
  <DocSecurity>0</DocSecurity>
  <Lines>5</Lines>
  <Paragraphs>1</Paragraphs>
  <ScaleCrop>false</ScaleCrop>
  <Company>微软中国</Company>
  <LinksUpToDate>false</LinksUpToDate>
  <CharactersWithSpaces>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赵艺璇</cp:lastModifiedBy>
  <cp:revision>4</cp:revision>
  <dcterms:created xsi:type="dcterms:W3CDTF">2021-02-22T02:17:00Z</dcterms:created>
  <dcterms:modified xsi:type="dcterms:W3CDTF">2021-02-23T08:35:00Z</dcterms:modified>
</cp:coreProperties>
</file>