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45F5500D" w:rsidR="002C4C07" w:rsidRPr="00EF6393" w:rsidRDefault="002C4C07" w:rsidP="002C4C07">
      <w:pPr>
        <w:jc w:val="center"/>
        <w:rPr>
          <w:b/>
        </w:rPr>
      </w:pPr>
      <w:r w:rsidRPr="00EF6393">
        <w:rPr>
          <w:rFonts w:hint="eastAsia"/>
          <w:b/>
        </w:rPr>
        <w:t>富荣量化周观察——</w:t>
      </w:r>
      <w:r w:rsidR="00BE7A9B">
        <w:rPr>
          <w:rFonts w:hint="eastAsia"/>
          <w:b/>
        </w:rPr>
        <w:t>止跌反弹</w:t>
      </w:r>
    </w:p>
    <w:p w14:paraId="48D7DE4C" w14:textId="77777777" w:rsidR="00EF75F8" w:rsidRDefault="00EF75F8" w:rsidP="00CA38CF">
      <w:pPr>
        <w:ind w:firstLineChars="200" w:firstLine="480"/>
      </w:pPr>
    </w:p>
    <w:p w14:paraId="0876C22F" w14:textId="76D07E99" w:rsidR="00CA38CF" w:rsidRDefault="001B70C7" w:rsidP="00CA38CF">
      <w:pPr>
        <w:ind w:firstLineChars="200" w:firstLine="480"/>
      </w:pPr>
      <w:r>
        <w:rPr>
          <w:rFonts w:hint="eastAsia"/>
        </w:rPr>
        <w:t>上</w:t>
      </w:r>
      <w:r w:rsidR="00EF75F8">
        <w:rPr>
          <w:rFonts w:hint="eastAsia"/>
        </w:rPr>
        <w:t>周市场</w:t>
      </w:r>
      <w:r w:rsidR="00BE7A9B">
        <w:rPr>
          <w:rFonts w:hint="eastAsia"/>
        </w:rPr>
        <w:t>分为两个阶段，周三之前市场继续快速下跌，周三后市场进入止跌反弹阶段，全周各大宽基指数表现如下：</w:t>
      </w:r>
      <w:r w:rsidR="00810078">
        <w:rPr>
          <w:rFonts w:hint="eastAsia"/>
        </w:rPr>
        <w:t>上证指数下跌</w:t>
      </w:r>
      <w:r w:rsidR="00BE7A9B">
        <w:rPr>
          <w:rFonts w:hint="eastAsia"/>
        </w:rPr>
        <w:t>1.40</w:t>
      </w:r>
      <w:r w:rsidR="00810078">
        <w:rPr>
          <w:rFonts w:hint="eastAsia"/>
        </w:rPr>
        <w:t>%、上证</w:t>
      </w:r>
      <w:r w:rsidR="00BD5B9B">
        <w:rPr>
          <w:rFonts w:hint="eastAsia"/>
        </w:rPr>
        <w:t>50</w:t>
      </w:r>
      <w:r w:rsidR="00810078">
        <w:rPr>
          <w:rFonts w:hint="eastAsia"/>
        </w:rPr>
        <w:t>指数收跌</w:t>
      </w:r>
      <w:r w:rsidR="00BE7A9B">
        <w:rPr>
          <w:rFonts w:hint="eastAsia"/>
        </w:rPr>
        <w:t>1.52</w:t>
      </w:r>
      <w:r w:rsidR="00810078">
        <w:rPr>
          <w:rFonts w:hint="eastAsia"/>
        </w:rPr>
        <w:t>%、沪深3</w:t>
      </w:r>
      <w:r w:rsidR="00810078">
        <w:t>00</w:t>
      </w:r>
      <w:r w:rsidR="00810078">
        <w:rPr>
          <w:rFonts w:hint="eastAsia"/>
        </w:rPr>
        <w:t>指数收跌</w:t>
      </w:r>
      <w:r w:rsidR="00BE7A9B">
        <w:rPr>
          <w:rFonts w:hint="eastAsia"/>
        </w:rPr>
        <w:t>2.21</w:t>
      </w:r>
      <w:r w:rsidR="00810078">
        <w:rPr>
          <w:rFonts w:hint="eastAsia"/>
        </w:rPr>
        <w:t>%、中证5</w:t>
      </w:r>
      <w:r w:rsidR="00810078">
        <w:t>00</w:t>
      </w:r>
      <w:r w:rsidR="00810078">
        <w:rPr>
          <w:rFonts w:hint="eastAsia"/>
        </w:rPr>
        <w:t>指数下跌</w:t>
      </w:r>
      <w:r w:rsidR="00BE7A9B">
        <w:rPr>
          <w:rFonts w:hint="eastAsia"/>
        </w:rPr>
        <w:t>2.83</w:t>
      </w:r>
      <w:r w:rsidR="00810078">
        <w:rPr>
          <w:rFonts w:hint="eastAsia"/>
        </w:rPr>
        <w:t>%、创业板指数跌幅最大，最终收跌</w:t>
      </w:r>
      <w:r w:rsidR="00BE7A9B">
        <w:rPr>
          <w:rFonts w:hint="eastAsia"/>
        </w:rPr>
        <w:t>4.01</w:t>
      </w:r>
      <w:r w:rsidR="00810078">
        <w:rPr>
          <w:rFonts w:hint="eastAsia"/>
        </w:rPr>
        <w:t>%</w:t>
      </w:r>
      <w:r w:rsidR="00B5310C">
        <w:rPr>
          <w:rFonts w:hint="eastAsia"/>
        </w:rPr>
        <w:t>（图1）</w:t>
      </w:r>
      <w:r w:rsidR="00810078">
        <w:rPr>
          <w:rFonts w:hint="eastAsia"/>
        </w:rPr>
        <w:t>。</w:t>
      </w:r>
      <w:r>
        <w:rPr>
          <w:rFonts w:hint="eastAsia"/>
        </w:rPr>
        <w:t>行业方面，上周中信一级行业分类中</w:t>
      </w:r>
      <w:r w:rsidR="00D5035A" w:rsidRPr="00D5035A">
        <w:rPr>
          <w:rFonts w:hint="eastAsia"/>
        </w:rPr>
        <w:t>电力及公用事业、钢铁、</w:t>
      </w:r>
      <w:r w:rsidR="00D5035A">
        <w:t>煤炭行业</w:t>
      </w:r>
      <w:r w:rsidR="00D5035A" w:rsidRPr="00D5035A">
        <w:rPr>
          <w:rFonts w:hint="eastAsia"/>
        </w:rPr>
        <w:t>表现相对较好，涨跌幅分别为4.60%、4.50%、2.89%；国防军工、电子、</w:t>
      </w:r>
      <w:r w:rsidR="00D5035A">
        <w:t>计算机行业</w:t>
      </w:r>
      <w:r w:rsidR="00D5035A" w:rsidRPr="00D5035A">
        <w:rPr>
          <w:rFonts w:hint="eastAsia"/>
        </w:rPr>
        <w:t>表现相对较差，涨跌幅分别为-10.75%、-6.43%、-6.40%；电子行业一周成交额领跑其它行业。</w:t>
      </w:r>
      <w:r w:rsidR="00810078">
        <w:rPr>
          <w:rFonts w:hint="eastAsia"/>
        </w:rPr>
        <w:t>市场</w:t>
      </w:r>
      <w:r w:rsidR="00D5035A">
        <w:rPr>
          <w:rFonts w:hint="eastAsia"/>
        </w:rPr>
        <w:t>在周二快速探底后开始反弹，从各方面指标来看市场短期大概率会进入止跌反弹并开启震荡期。</w:t>
      </w:r>
    </w:p>
    <w:p w14:paraId="3C6C86F2" w14:textId="03320AAD" w:rsidR="001B6C0F" w:rsidRDefault="001B6C0F" w:rsidP="001B6C0F">
      <w:pPr>
        <w:ind w:firstLineChars="200" w:firstLine="480"/>
        <w:jc w:val="center"/>
      </w:pPr>
      <w:r>
        <w:rPr>
          <w:rFonts w:hint="eastAsia"/>
        </w:rPr>
        <w:t>图 1 各宽基指数和行业指数表现</w:t>
      </w:r>
    </w:p>
    <w:p w14:paraId="31D03EBA" w14:textId="247D8993" w:rsidR="001B6C0F" w:rsidRDefault="00D5035A" w:rsidP="001B6C0F">
      <w:r>
        <w:rPr>
          <w:noProof/>
        </w:rPr>
        <w:drawing>
          <wp:inline distT="0" distB="0" distL="0" distR="0" wp14:anchorId="454A1C94" wp14:editId="0BAF1B55">
            <wp:extent cx="5274310" cy="3955733"/>
            <wp:effectExtent l="0" t="0" r="2540" b="6985"/>
            <wp:docPr id="4" name="图片 4" descr="C:\Users\qiuzh\AppData\Roaming\Foxmail7\Temp-68392-20210315095820\fox(03-15-09-59-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68392-20210315095820\fox(03-15-09-59-10).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2D6C4C46" w14:textId="33BF6BFC" w:rsidR="00644D2B" w:rsidRDefault="00644D2B" w:rsidP="00644D2B">
      <w:pPr>
        <w:ind w:firstLineChars="200" w:firstLine="480"/>
      </w:pPr>
      <w:r w:rsidRPr="00644D2B">
        <w:rPr>
          <w:rFonts w:hint="eastAsia"/>
        </w:rPr>
        <w:t>数据来源：Wind；整理：富荣基金量化组</w:t>
      </w:r>
    </w:p>
    <w:p w14:paraId="6D857D06" w14:textId="7F809398" w:rsidR="00E94CFB" w:rsidRDefault="00E94CFB" w:rsidP="00CA38CF">
      <w:pPr>
        <w:ind w:firstLineChars="200" w:firstLine="480"/>
      </w:pPr>
      <w:r>
        <w:rPr>
          <w:rFonts w:hint="eastAsia"/>
        </w:rPr>
        <w:t>从</w:t>
      </w:r>
      <w:r w:rsidR="00B5310C">
        <w:rPr>
          <w:rFonts w:hint="eastAsia"/>
        </w:rPr>
        <w:t>资金流动来看（图2</w:t>
      </w:r>
      <w:r w:rsidR="00D967C2">
        <w:rPr>
          <w:rFonts w:hint="eastAsia"/>
        </w:rPr>
        <w:t>），</w:t>
      </w:r>
      <w:r w:rsidR="001B70C7">
        <w:rPr>
          <w:rFonts w:hint="eastAsia"/>
        </w:rPr>
        <w:t>上</w:t>
      </w:r>
      <w:r w:rsidR="00D967C2">
        <w:rPr>
          <w:rFonts w:hint="eastAsia"/>
        </w:rPr>
        <w:t>周北向资金合计流入66.14</w:t>
      </w:r>
      <w:r w:rsidR="00BD2246">
        <w:rPr>
          <w:rFonts w:hint="eastAsia"/>
        </w:rPr>
        <w:t>亿，其中沪股通流入</w:t>
      </w:r>
      <w:bookmarkStart w:id="0" w:name="_GoBack"/>
      <w:bookmarkEnd w:id="0"/>
      <w:r w:rsidR="00D967C2">
        <w:rPr>
          <w:rFonts w:hint="eastAsia"/>
        </w:rPr>
        <w:t>61.74</w:t>
      </w:r>
      <w:r w:rsidR="00B5310C">
        <w:rPr>
          <w:rFonts w:hint="eastAsia"/>
        </w:rPr>
        <w:t>亿，</w:t>
      </w:r>
      <w:r w:rsidR="00D967C2">
        <w:rPr>
          <w:rFonts w:hint="eastAsia"/>
        </w:rPr>
        <w:t>深股通流入4.40</w:t>
      </w:r>
      <w:r w:rsidR="001B6C0F">
        <w:rPr>
          <w:rFonts w:hint="eastAsia"/>
        </w:rPr>
        <w:t>亿。过去一周北向资金净流入的行业主要</w:t>
      </w:r>
      <w:r w:rsidR="00644D2B">
        <w:rPr>
          <w:rFonts w:hint="eastAsia"/>
        </w:rPr>
        <w:t>集中</w:t>
      </w:r>
      <w:r w:rsidR="001B6C0F">
        <w:rPr>
          <w:rFonts w:hint="eastAsia"/>
        </w:rPr>
        <w:t>在银行、</w:t>
      </w:r>
      <w:r w:rsidR="00D967C2">
        <w:rPr>
          <w:rFonts w:hint="eastAsia"/>
        </w:rPr>
        <w:t>电气设备</w:t>
      </w:r>
      <w:r w:rsidR="001B6C0F">
        <w:rPr>
          <w:rFonts w:hint="eastAsia"/>
        </w:rPr>
        <w:t>、</w:t>
      </w:r>
      <w:r w:rsidR="00D967C2">
        <w:rPr>
          <w:rFonts w:hint="eastAsia"/>
        </w:rPr>
        <w:t>非银金融以</w:t>
      </w:r>
      <w:r w:rsidR="001B6C0F">
        <w:rPr>
          <w:rFonts w:hint="eastAsia"/>
        </w:rPr>
        <w:t>及</w:t>
      </w:r>
      <w:r w:rsidR="00D967C2">
        <w:rPr>
          <w:rFonts w:hint="eastAsia"/>
        </w:rPr>
        <w:t>食品饮料</w:t>
      </w:r>
      <w:r w:rsidR="001B6C0F">
        <w:rPr>
          <w:rFonts w:hint="eastAsia"/>
        </w:rPr>
        <w:t>等</w:t>
      </w:r>
      <w:r w:rsidR="00644D2B">
        <w:rPr>
          <w:rFonts w:hint="eastAsia"/>
        </w:rPr>
        <w:t>估值</w:t>
      </w:r>
      <w:r w:rsidR="00D967C2">
        <w:rPr>
          <w:rFonts w:hint="eastAsia"/>
        </w:rPr>
        <w:t>低或跌幅较大</w:t>
      </w:r>
      <w:r w:rsidR="001B6C0F">
        <w:rPr>
          <w:rFonts w:hint="eastAsia"/>
        </w:rPr>
        <w:t>行业，主要净流出</w:t>
      </w:r>
      <w:r w:rsidR="001B6C0F">
        <w:rPr>
          <w:rFonts w:hint="eastAsia"/>
        </w:rPr>
        <w:lastRenderedPageBreak/>
        <w:t>的行业为电子、</w:t>
      </w:r>
      <w:r w:rsidR="00D967C2">
        <w:rPr>
          <w:rFonts w:hint="eastAsia"/>
        </w:rPr>
        <w:t>家用电器</w:t>
      </w:r>
      <w:r w:rsidR="001B6C0F">
        <w:rPr>
          <w:rFonts w:hint="eastAsia"/>
        </w:rPr>
        <w:t>、</w:t>
      </w:r>
      <w:r w:rsidR="00D967C2">
        <w:rPr>
          <w:rFonts w:hint="eastAsia"/>
        </w:rPr>
        <w:t>农林牧渔</w:t>
      </w:r>
      <w:r w:rsidR="001B6C0F">
        <w:rPr>
          <w:rFonts w:hint="eastAsia"/>
        </w:rPr>
        <w:t>以及</w:t>
      </w:r>
      <w:r w:rsidR="00D967C2">
        <w:rPr>
          <w:rFonts w:hint="eastAsia"/>
        </w:rPr>
        <w:t>计算机</w:t>
      </w:r>
      <w:r w:rsidR="001B6C0F">
        <w:rPr>
          <w:rFonts w:hint="eastAsia"/>
        </w:rPr>
        <w:t>等行业。从两融资金来看，</w:t>
      </w:r>
      <w:r w:rsidR="001B70C7">
        <w:rPr>
          <w:rFonts w:hint="eastAsia"/>
        </w:rPr>
        <w:t>上</w:t>
      </w:r>
      <w:r w:rsidR="001B6C0F">
        <w:rPr>
          <w:rFonts w:hint="eastAsia"/>
        </w:rPr>
        <w:t>周新增融资同样大幅度缩减，市场情绪</w:t>
      </w:r>
      <w:r w:rsidR="00D967C2">
        <w:rPr>
          <w:rFonts w:hint="eastAsia"/>
        </w:rPr>
        <w:t>依然比较谨慎</w:t>
      </w:r>
      <w:r w:rsidR="001B6C0F">
        <w:rPr>
          <w:rFonts w:hint="eastAsia"/>
        </w:rPr>
        <w:t>。</w:t>
      </w:r>
    </w:p>
    <w:p w14:paraId="3F330099" w14:textId="545DB310" w:rsidR="001B6C0F" w:rsidRDefault="001B6C0F" w:rsidP="001B6C0F">
      <w:pPr>
        <w:jc w:val="center"/>
      </w:pPr>
      <w:r>
        <w:rPr>
          <w:rFonts w:hint="eastAsia"/>
        </w:rPr>
        <w:t>图 2 北向资金与新增融资</w:t>
      </w:r>
    </w:p>
    <w:p w14:paraId="29AB442E" w14:textId="236916C9" w:rsidR="001B6C0F" w:rsidRDefault="00D5035A" w:rsidP="001B6C0F">
      <w:r>
        <w:rPr>
          <w:noProof/>
        </w:rPr>
        <w:drawing>
          <wp:inline distT="0" distB="0" distL="0" distR="0" wp14:anchorId="7D89A122" wp14:editId="7586F53C">
            <wp:extent cx="5257798" cy="1590675"/>
            <wp:effectExtent l="0" t="0" r="635" b="0"/>
            <wp:docPr id="5" name="图片 5" descr="C:\Users\qiuzh\AppData\Roaming\Foxmail7\Temp-68392-20210315095820\fox(03-15-10-07-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68392-20210315095820\fox(03-15-10-07-32)(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595670"/>
                    </a:xfrm>
                    <a:prstGeom prst="rect">
                      <a:avLst/>
                    </a:prstGeom>
                    <a:noFill/>
                    <a:ln>
                      <a:noFill/>
                    </a:ln>
                  </pic:spPr>
                </pic:pic>
              </a:graphicData>
            </a:graphic>
          </wp:inline>
        </w:drawing>
      </w:r>
    </w:p>
    <w:p w14:paraId="519E8202" w14:textId="184D072E" w:rsidR="00644D2B" w:rsidRPr="001B6C0F" w:rsidRDefault="00644D2B" w:rsidP="00644D2B">
      <w:pPr>
        <w:ind w:firstLineChars="200" w:firstLine="480"/>
      </w:pPr>
      <w:r w:rsidRPr="00644D2B">
        <w:rPr>
          <w:rFonts w:hint="eastAsia"/>
        </w:rPr>
        <w:t>数据来源：Wind；整理：富荣基金量化组</w:t>
      </w:r>
    </w:p>
    <w:p w14:paraId="5B03CD31" w14:textId="397B0568" w:rsidR="00B5310C" w:rsidRDefault="00644D2B" w:rsidP="00CA38CF">
      <w:pPr>
        <w:ind w:firstLineChars="200" w:firstLine="480"/>
      </w:pPr>
      <w:r>
        <w:rPr>
          <w:rFonts w:hint="eastAsia"/>
        </w:rPr>
        <w:t>从各类</w:t>
      </w:r>
      <w:r w:rsidR="001B6C0F">
        <w:rPr>
          <w:rFonts w:hint="eastAsia"/>
        </w:rPr>
        <w:t>因子的表现来看，</w:t>
      </w:r>
      <w:r w:rsidR="001B70C7">
        <w:rPr>
          <w:rFonts w:hint="eastAsia"/>
        </w:rPr>
        <w:t>上</w:t>
      </w:r>
      <w:r w:rsidR="001B6C0F">
        <w:rPr>
          <w:rFonts w:hint="eastAsia"/>
        </w:rPr>
        <w:t>周各类因子超额收益</w:t>
      </w:r>
      <w:r w:rsidR="00D967C2">
        <w:rPr>
          <w:rFonts w:hint="eastAsia"/>
        </w:rPr>
        <w:t>一般，只有</w:t>
      </w:r>
      <w:r w:rsidR="001B6C0F">
        <w:rPr>
          <w:rFonts w:hint="eastAsia"/>
        </w:rPr>
        <w:t>估值因子</w:t>
      </w:r>
      <w:r w:rsidR="00D967C2">
        <w:rPr>
          <w:rFonts w:hint="eastAsia"/>
        </w:rPr>
        <w:t>超额收益表现较好，市场延续了高估值切换到低估值</w:t>
      </w:r>
      <w:r w:rsidR="001B6C0F">
        <w:rPr>
          <w:rFonts w:hint="eastAsia"/>
        </w:rPr>
        <w:t>再平衡风格。</w:t>
      </w:r>
    </w:p>
    <w:p w14:paraId="3F633A1D" w14:textId="7C499D9A" w:rsidR="00B5310C" w:rsidRDefault="001B6C0F" w:rsidP="00CA38CF">
      <w:pPr>
        <w:ind w:firstLineChars="200" w:firstLine="480"/>
      </w:pPr>
      <w:r>
        <w:rPr>
          <w:rFonts w:hint="eastAsia"/>
        </w:rPr>
        <w:t>从市场波动率来看，</w:t>
      </w:r>
      <w:r w:rsidR="00B5310C">
        <w:rPr>
          <w:rFonts w:hint="eastAsia"/>
        </w:rPr>
        <w:t>市场</w:t>
      </w:r>
      <w:r w:rsidR="00D967C2">
        <w:rPr>
          <w:rFonts w:hint="eastAsia"/>
        </w:rPr>
        <w:t>止跌反弹</w:t>
      </w:r>
      <w:r>
        <w:rPr>
          <w:rFonts w:hint="eastAsia"/>
        </w:rPr>
        <w:t>波动率</w:t>
      </w:r>
      <w:r w:rsidR="00D967C2">
        <w:rPr>
          <w:rFonts w:hint="eastAsia"/>
        </w:rPr>
        <w:t>快速下行</w:t>
      </w:r>
      <w:r w:rsidR="007F0940">
        <w:rPr>
          <w:rFonts w:hint="eastAsia"/>
        </w:rPr>
        <w:t>，</w:t>
      </w:r>
      <w:r w:rsidR="00D967C2">
        <w:rPr>
          <w:rFonts w:hint="eastAsia"/>
        </w:rPr>
        <w:t>短期风险得到较大释放</w:t>
      </w:r>
      <w:r>
        <w:rPr>
          <w:rFonts w:hint="eastAsia"/>
        </w:rPr>
        <w:t>。</w:t>
      </w:r>
    </w:p>
    <w:p w14:paraId="07ED4670" w14:textId="5C148804" w:rsidR="001B6C0F" w:rsidRDefault="001B6C0F" w:rsidP="001B6C0F">
      <w:pPr>
        <w:jc w:val="center"/>
      </w:pPr>
      <w:r>
        <w:rPr>
          <w:rFonts w:hint="eastAsia"/>
        </w:rPr>
        <w:t>图 3 波动率指数</w:t>
      </w:r>
    </w:p>
    <w:p w14:paraId="1AB2D680" w14:textId="4B6F6B9E" w:rsidR="001B6C0F" w:rsidRPr="00B5310C" w:rsidRDefault="00D967C2" w:rsidP="001B6C0F">
      <w:r>
        <w:rPr>
          <w:noProof/>
        </w:rPr>
        <w:drawing>
          <wp:inline distT="0" distB="0" distL="0" distR="0" wp14:anchorId="0C8057C8" wp14:editId="16CDAE11">
            <wp:extent cx="5274310" cy="3420366"/>
            <wp:effectExtent l="0" t="0" r="254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420366"/>
                    </a:xfrm>
                    <a:prstGeom prst="rect">
                      <a:avLst/>
                    </a:prstGeom>
                  </pic:spPr>
                </pic:pic>
              </a:graphicData>
            </a:graphic>
          </wp:inline>
        </w:drawing>
      </w:r>
    </w:p>
    <w:p w14:paraId="15A2CD98" w14:textId="3E5024BA" w:rsidR="002C4C07" w:rsidRPr="001B6C0F" w:rsidRDefault="00644D2B" w:rsidP="00644D2B">
      <w:pPr>
        <w:ind w:firstLineChars="200" w:firstLine="480"/>
      </w:pPr>
      <w:r w:rsidRPr="00644D2B">
        <w:rPr>
          <w:rFonts w:hint="eastAsia"/>
        </w:rPr>
        <w:t>数据来源：富荣基金量化组</w:t>
      </w:r>
    </w:p>
    <w:p w14:paraId="7BE5D648" w14:textId="76DEE869" w:rsidR="008540B7" w:rsidRDefault="008540B7" w:rsidP="002C4C07">
      <w:pPr>
        <w:jc w:val="center"/>
      </w:pPr>
    </w:p>
    <w:p w14:paraId="278C9432" w14:textId="77777777" w:rsidR="00644D2B" w:rsidRDefault="00644D2B" w:rsidP="002C4C07">
      <w:pPr>
        <w:jc w:val="center"/>
      </w:pPr>
    </w:p>
    <w:p w14:paraId="571DFEA1" w14:textId="038BFEA3" w:rsidR="00644D2B" w:rsidRDefault="00644D2B" w:rsidP="00644D2B">
      <w:pPr>
        <w:ind w:firstLineChars="200" w:firstLine="480"/>
      </w:pPr>
      <w:r w:rsidRPr="00644D2B">
        <w:rPr>
          <w:rFonts w:hint="eastAsia"/>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sectPr w:rsidR="00644D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0BFCAB" w14:textId="77777777" w:rsidR="00F0093F" w:rsidRDefault="00F0093F" w:rsidP="002C4C07">
      <w:pPr>
        <w:spacing w:line="240" w:lineRule="auto"/>
      </w:pPr>
      <w:r>
        <w:separator/>
      </w:r>
    </w:p>
  </w:endnote>
  <w:endnote w:type="continuationSeparator" w:id="0">
    <w:p w14:paraId="7A4B40DE" w14:textId="77777777" w:rsidR="00F0093F" w:rsidRDefault="00F0093F"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38705" w14:textId="77777777" w:rsidR="00F0093F" w:rsidRDefault="00F0093F" w:rsidP="002C4C07">
      <w:pPr>
        <w:spacing w:line="240" w:lineRule="auto"/>
      </w:pPr>
      <w:r>
        <w:separator/>
      </w:r>
    </w:p>
  </w:footnote>
  <w:footnote w:type="continuationSeparator" w:id="0">
    <w:p w14:paraId="63DFCDD8" w14:textId="77777777" w:rsidR="00F0093F" w:rsidRDefault="00F0093F"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3027"/>
    <w:rsid w:val="00035595"/>
    <w:rsid w:val="00070AA2"/>
    <w:rsid w:val="00074AEA"/>
    <w:rsid w:val="00161CBB"/>
    <w:rsid w:val="0018534E"/>
    <w:rsid w:val="001867FC"/>
    <w:rsid w:val="001B6C0F"/>
    <w:rsid w:val="001B70C7"/>
    <w:rsid w:val="001D19B6"/>
    <w:rsid w:val="001D6061"/>
    <w:rsid w:val="0020342A"/>
    <w:rsid w:val="002062DE"/>
    <w:rsid w:val="002129BA"/>
    <w:rsid w:val="002416ED"/>
    <w:rsid w:val="002563D9"/>
    <w:rsid w:val="002A093A"/>
    <w:rsid w:val="002B15CF"/>
    <w:rsid w:val="002C4C07"/>
    <w:rsid w:val="002C7EF7"/>
    <w:rsid w:val="002E17CD"/>
    <w:rsid w:val="00374124"/>
    <w:rsid w:val="00386DFB"/>
    <w:rsid w:val="003B1CAC"/>
    <w:rsid w:val="003B3331"/>
    <w:rsid w:val="003D637F"/>
    <w:rsid w:val="003F6050"/>
    <w:rsid w:val="004157F5"/>
    <w:rsid w:val="00444648"/>
    <w:rsid w:val="0045162B"/>
    <w:rsid w:val="00454A3A"/>
    <w:rsid w:val="004E3614"/>
    <w:rsid w:val="00525A53"/>
    <w:rsid w:val="00531B02"/>
    <w:rsid w:val="005A2D48"/>
    <w:rsid w:val="005C4905"/>
    <w:rsid w:val="00644D2B"/>
    <w:rsid w:val="006965D2"/>
    <w:rsid w:val="006B1D85"/>
    <w:rsid w:val="006C7CF6"/>
    <w:rsid w:val="006E639C"/>
    <w:rsid w:val="0073379B"/>
    <w:rsid w:val="00747B9D"/>
    <w:rsid w:val="007528BE"/>
    <w:rsid w:val="00756EC7"/>
    <w:rsid w:val="007D5907"/>
    <w:rsid w:val="007D7875"/>
    <w:rsid w:val="007F0940"/>
    <w:rsid w:val="007F6A29"/>
    <w:rsid w:val="00810078"/>
    <w:rsid w:val="00830122"/>
    <w:rsid w:val="00830C71"/>
    <w:rsid w:val="008540B7"/>
    <w:rsid w:val="008916E0"/>
    <w:rsid w:val="00893C6A"/>
    <w:rsid w:val="008A74C1"/>
    <w:rsid w:val="008B1754"/>
    <w:rsid w:val="008B27E8"/>
    <w:rsid w:val="008B4D1A"/>
    <w:rsid w:val="008D03D4"/>
    <w:rsid w:val="008F60FD"/>
    <w:rsid w:val="00907C93"/>
    <w:rsid w:val="00987C63"/>
    <w:rsid w:val="009953B9"/>
    <w:rsid w:val="009D02A8"/>
    <w:rsid w:val="00A07990"/>
    <w:rsid w:val="00A51293"/>
    <w:rsid w:val="00A61347"/>
    <w:rsid w:val="00A842A3"/>
    <w:rsid w:val="00A90927"/>
    <w:rsid w:val="00B14C31"/>
    <w:rsid w:val="00B5310C"/>
    <w:rsid w:val="00B82632"/>
    <w:rsid w:val="00B87681"/>
    <w:rsid w:val="00B91093"/>
    <w:rsid w:val="00BA3587"/>
    <w:rsid w:val="00BA72C2"/>
    <w:rsid w:val="00BC61FC"/>
    <w:rsid w:val="00BD2246"/>
    <w:rsid w:val="00BD5B9B"/>
    <w:rsid w:val="00BD6BA1"/>
    <w:rsid w:val="00BE7A9B"/>
    <w:rsid w:val="00C24E54"/>
    <w:rsid w:val="00C53CF8"/>
    <w:rsid w:val="00CA38CF"/>
    <w:rsid w:val="00CD5494"/>
    <w:rsid w:val="00CD673E"/>
    <w:rsid w:val="00D055BF"/>
    <w:rsid w:val="00D058C0"/>
    <w:rsid w:val="00D46833"/>
    <w:rsid w:val="00D5035A"/>
    <w:rsid w:val="00D967C2"/>
    <w:rsid w:val="00DD21CB"/>
    <w:rsid w:val="00DD26E5"/>
    <w:rsid w:val="00DD2E6A"/>
    <w:rsid w:val="00DD6213"/>
    <w:rsid w:val="00DE52B5"/>
    <w:rsid w:val="00DF6F9A"/>
    <w:rsid w:val="00E23413"/>
    <w:rsid w:val="00E41CAC"/>
    <w:rsid w:val="00E619FD"/>
    <w:rsid w:val="00E86C8A"/>
    <w:rsid w:val="00E87750"/>
    <w:rsid w:val="00E94CFB"/>
    <w:rsid w:val="00EA7100"/>
    <w:rsid w:val="00EB7D3C"/>
    <w:rsid w:val="00EF2A7A"/>
    <w:rsid w:val="00EF75F8"/>
    <w:rsid w:val="00F0093F"/>
    <w:rsid w:val="00F1138A"/>
    <w:rsid w:val="00F13186"/>
    <w:rsid w:val="00F64709"/>
    <w:rsid w:val="00F86178"/>
    <w:rsid w:val="00FA2748"/>
    <w:rsid w:val="00FB18F7"/>
    <w:rsid w:val="00FC5D34"/>
    <w:rsid w:val="00FD6898"/>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129</Words>
  <Characters>740</Characters>
  <Application>Microsoft Office Word</Application>
  <DocSecurity>0</DocSecurity>
  <Lines>6</Lines>
  <Paragraphs>1</Paragraphs>
  <ScaleCrop>false</ScaleCrop>
  <Company>微软中国</Company>
  <LinksUpToDate>false</LinksUpToDate>
  <CharactersWithSpaces>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2021-03-15T02:41:00Z</dcterms:created>
  <dcterms:modified xsi:type="dcterms:W3CDTF">2021-03-15T09:41:00Z</dcterms:modified>
</cp:coreProperties>
</file>