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theme/themeOverride1.xml" ContentType="application/vnd.openxmlformats-officedocument.themeOverride+xml"/>
  <Override PartName="/word/drawings/drawing1.xml" ContentType="application/vnd.openxmlformats-officedocument.drawingml.chartshapes+xml"/>
  <Override PartName="/word/charts/chart4.xml" ContentType="application/vnd.openxmlformats-officedocument.drawingml.chart+xml"/>
  <Override PartName="/word/theme/themeOverride2.xml" ContentType="application/vnd.openxmlformats-officedocument.themeOverride+xml"/>
  <Override PartName="/word/drawings/drawing2.xml" ContentType="application/vnd.openxmlformats-officedocument.drawingml.chartshapes+xml"/>
  <Override PartName="/word/charts/chart5.xml" ContentType="application/vnd.openxmlformats-officedocument.drawingml.chart+xml"/>
  <Override PartName="/word/theme/themeOverride3.xml" ContentType="application/vnd.openxmlformats-officedocument.themeOverride+xml"/>
  <Override PartName="/word/drawings/drawing3.xml" ContentType="application/vnd.openxmlformats-officedocument.drawingml.chartshapes+xml"/>
  <Override PartName="/word/charts/chart6.xml" ContentType="application/vnd.openxmlformats-officedocument.drawingml.chart+xml"/>
  <Override PartName="/word/theme/themeOverride4.xml" ContentType="application/vnd.openxmlformats-officedocument.themeOverride+xml"/>
  <Override PartName="/word/drawings/drawing4.xml" ContentType="application/vnd.openxmlformats-officedocument.drawingml.chartshapes+xml"/>
  <Override PartName="/word/charts/chart7.xml" ContentType="application/vnd.openxmlformats-officedocument.drawingml.chart+xml"/>
  <Override PartName="/word/theme/themeOverride5.xml" ContentType="application/vnd.openxmlformats-officedocument.themeOverride+xml"/>
  <Override PartName="/word/drawings/drawing5.xml" ContentType="application/vnd.openxmlformats-officedocument.drawingml.chartshapes+xml"/>
  <Override PartName="/word/charts/chart8.xml" ContentType="application/vnd.openxmlformats-officedocument.drawingml.chart+xml"/>
  <Override PartName="/word/theme/themeOverride6.xml" ContentType="application/vnd.openxmlformats-officedocument.themeOverride+xml"/>
  <Override PartName="/word/charts/chart9.xml" ContentType="application/vnd.openxmlformats-officedocument.drawingml.chart+xml"/>
  <Override PartName="/word/theme/themeOverride7.xml" ContentType="application/vnd.openxmlformats-officedocument.themeOverride+xml"/>
  <Override PartName="/word/charts/chart10.xml" ContentType="application/vnd.openxmlformats-officedocument.drawingml.chart+xml"/>
  <Override PartName="/word/theme/themeOverride8.xml" ContentType="application/vnd.openxmlformats-officedocument.themeOverride+xml"/>
  <Override PartName="/word/drawings/drawing6.xml" ContentType="application/vnd.openxmlformats-officedocument.drawingml.chartshapes+xml"/>
  <Override PartName="/word/charts/chart11.xml" ContentType="application/vnd.openxmlformats-officedocument.drawingml.chart+xml"/>
  <Override PartName="/word/drawings/drawing7.xml" ContentType="application/vnd.openxmlformats-officedocument.drawingml.chartshap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FFFF"/>
  <w:body>
    <w:p w14:paraId="7AE04533" w14:textId="77777777" w:rsidR="00960960" w:rsidRDefault="001357FD" w:rsidP="009A2BA0">
      <w:pPr>
        <w:spacing w:beforeLines="100" w:before="312"/>
        <w:jc w:val="center"/>
        <w:rPr>
          <w:rFonts w:ascii="楷体" w:eastAsia="楷体" w:hAnsi="楷体"/>
          <w:b/>
          <w:sz w:val="44"/>
          <w:szCs w:val="44"/>
        </w:rPr>
      </w:pPr>
      <w:r w:rsidRPr="00BB4A92">
        <w:rPr>
          <w:rFonts w:ascii="楷体" w:eastAsia="楷体" w:hAnsi="楷体" w:hint="eastAsia"/>
          <w:b/>
          <w:sz w:val="44"/>
          <w:szCs w:val="44"/>
        </w:rPr>
        <w:t>富</w:t>
      </w:r>
      <w:proofErr w:type="gramStart"/>
      <w:r w:rsidRPr="00BB4A92">
        <w:rPr>
          <w:rFonts w:ascii="楷体" w:eastAsia="楷体" w:hAnsi="楷体" w:hint="eastAsia"/>
          <w:b/>
          <w:sz w:val="44"/>
          <w:szCs w:val="44"/>
        </w:rPr>
        <w:t>荣基金</w:t>
      </w:r>
      <w:proofErr w:type="gramEnd"/>
      <w:r w:rsidR="00960960" w:rsidRPr="00BB4A92">
        <w:rPr>
          <w:rFonts w:ascii="楷体" w:eastAsia="楷体" w:hAnsi="楷体" w:hint="eastAsia"/>
          <w:b/>
          <w:sz w:val="44"/>
          <w:szCs w:val="44"/>
        </w:rPr>
        <w:t>固定收益</w:t>
      </w:r>
      <w:r w:rsidR="00F24889" w:rsidRPr="00BB4A92">
        <w:rPr>
          <w:rFonts w:ascii="楷体" w:eastAsia="楷体" w:hAnsi="楷体" w:hint="eastAsia"/>
          <w:b/>
          <w:sz w:val="44"/>
          <w:szCs w:val="44"/>
        </w:rPr>
        <w:t>周报</w:t>
      </w:r>
    </w:p>
    <w:p w14:paraId="08CBB8BB" w14:textId="0A6DD3EE" w:rsidR="00832986" w:rsidRPr="00541553" w:rsidRDefault="00832986" w:rsidP="00E543BE">
      <w:pPr>
        <w:widowControl/>
        <w:jc w:val="center"/>
        <w:rPr>
          <w:rFonts w:ascii="楷体" w:eastAsia="楷体" w:hAnsi="楷体"/>
          <w:sz w:val="28"/>
          <w:szCs w:val="28"/>
        </w:rPr>
      </w:pPr>
      <w:r w:rsidRPr="00541553">
        <w:rPr>
          <w:rFonts w:ascii="楷体" w:eastAsia="楷体" w:hAnsi="楷体" w:hint="eastAsia"/>
          <w:sz w:val="28"/>
          <w:szCs w:val="28"/>
        </w:rPr>
        <w:t>——</w:t>
      </w:r>
      <w:bookmarkStart w:id="0" w:name="_GoBack"/>
      <w:r w:rsidR="000E3145">
        <w:rPr>
          <w:rFonts w:ascii="楷体" w:eastAsia="楷体" w:hAnsi="楷体" w:hint="eastAsia"/>
          <w:sz w:val="28"/>
          <w:szCs w:val="28"/>
        </w:rPr>
        <w:t>政策保持中性</w:t>
      </w:r>
      <w:r w:rsidR="00CD02EA">
        <w:rPr>
          <w:rFonts w:ascii="楷体" w:eastAsia="楷体" w:hAnsi="楷体" w:hint="eastAsia"/>
          <w:sz w:val="28"/>
          <w:szCs w:val="28"/>
        </w:rPr>
        <w:t>，</w:t>
      </w:r>
      <w:r w:rsidR="000E3145">
        <w:rPr>
          <w:rFonts w:ascii="楷体" w:eastAsia="楷体" w:hAnsi="楷体" w:hint="eastAsia"/>
          <w:sz w:val="28"/>
          <w:szCs w:val="28"/>
        </w:rPr>
        <w:t>债市持续震荡</w:t>
      </w:r>
      <w:bookmarkEnd w:id="0"/>
      <w:r w:rsidR="007F77B5" w:rsidRPr="00541553">
        <w:rPr>
          <w:rFonts w:ascii="楷体" w:eastAsia="楷体" w:hAnsi="楷体"/>
          <w:sz w:val="28"/>
          <w:szCs w:val="28"/>
        </w:rPr>
        <w:t xml:space="preserve"> </w:t>
      </w:r>
    </w:p>
    <w:p w14:paraId="0A7A9383" w14:textId="431BD5EF" w:rsidR="00FF57FB" w:rsidRPr="00FA6C01" w:rsidRDefault="00DD41CD" w:rsidP="009A2BA0">
      <w:pPr>
        <w:tabs>
          <w:tab w:val="center" w:pos="4873"/>
          <w:tab w:val="left" w:pos="8920"/>
        </w:tabs>
        <w:spacing w:afterLines="50" w:after="156"/>
        <w:jc w:val="center"/>
        <w:rPr>
          <w:rFonts w:ascii="楷体" w:eastAsia="楷体" w:hAnsi="楷体"/>
          <w:sz w:val="28"/>
          <w:szCs w:val="28"/>
        </w:rPr>
      </w:pPr>
      <w:r>
        <w:rPr>
          <w:rFonts w:ascii="楷体" w:eastAsia="楷体" w:hAnsi="楷体"/>
          <w:sz w:val="28"/>
          <w:szCs w:val="28"/>
        </w:rPr>
        <w:t>2020</w:t>
      </w:r>
      <w:r w:rsidR="009C30E2" w:rsidRPr="00FA6C01">
        <w:rPr>
          <w:rFonts w:ascii="楷体" w:eastAsia="楷体" w:hAnsi="楷体"/>
          <w:sz w:val="28"/>
          <w:szCs w:val="28"/>
        </w:rPr>
        <w:t>年</w:t>
      </w:r>
      <w:r w:rsidR="006E4B59">
        <w:rPr>
          <w:rFonts w:ascii="楷体" w:eastAsia="楷体" w:hAnsi="楷体" w:hint="eastAsia"/>
          <w:sz w:val="28"/>
          <w:szCs w:val="28"/>
        </w:rPr>
        <w:t>3</w:t>
      </w:r>
      <w:r w:rsidR="009C30E2" w:rsidRPr="00FA6C01">
        <w:rPr>
          <w:rFonts w:ascii="楷体" w:eastAsia="楷体" w:hAnsi="楷体"/>
          <w:sz w:val="28"/>
          <w:szCs w:val="28"/>
        </w:rPr>
        <w:t>月</w:t>
      </w:r>
      <w:r w:rsidR="000E3145">
        <w:rPr>
          <w:rFonts w:ascii="楷体" w:eastAsia="楷体" w:hAnsi="楷体"/>
          <w:sz w:val="28"/>
          <w:szCs w:val="28"/>
        </w:rPr>
        <w:t>19</w:t>
      </w:r>
      <w:r w:rsidR="00F82A54">
        <w:rPr>
          <w:rFonts w:ascii="楷体" w:eastAsia="楷体" w:hAnsi="楷体" w:hint="eastAsia"/>
          <w:sz w:val="28"/>
          <w:szCs w:val="28"/>
        </w:rPr>
        <w:t>日</w:t>
      </w:r>
    </w:p>
    <w:p w14:paraId="1B2C4A22" w14:textId="0BA85F85" w:rsidR="005E5CB1" w:rsidRPr="0027094F" w:rsidRDefault="005E5CB1" w:rsidP="005E5CB1">
      <w:pPr>
        <w:pStyle w:val="Header1"/>
        <w:spacing w:before="240"/>
        <w:rPr>
          <w:rFonts w:ascii="华文楷体" w:hAnsi="华文楷体"/>
          <w:b w:val="0"/>
          <w:smallCaps w:val="0"/>
          <w:color w:val="auto"/>
          <w:sz w:val="24"/>
          <w:szCs w:val="24"/>
        </w:rPr>
      </w:pPr>
      <w:r>
        <w:rPr>
          <w:rFonts w:hint="eastAsia"/>
          <w:color w:val="C45911" w:themeColor="accent2" w:themeShade="BF"/>
        </w:rPr>
        <w:t>一</w:t>
      </w:r>
      <w:r w:rsidRPr="004C5268">
        <w:rPr>
          <w:rFonts w:hint="eastAsia"/>
          <w:color w:val="C45911" w:themeColor="accent2" w:themeShade="BF"/>
        </w:rPr>
        <w:t>、</w:t>
      </w:r>
      <w:r w:rsidR="008F4A92">
        <w:rPr>
          <w:rFonts w:hint="eastAsia"/>
          <w:color w:val="C45911" w:themeColor="accent2" w:themeShade="BF"/>
        </w:rPr>
        <w:t>本周关注：</w:t>
      </w:r>
      <w:r w:rsidR="004242D8">
        <w:rPr>
          <w:color w:val="C45911" w:themeColor="accent2" w:themeShade="BF"/>
        </w:rPr>
        <w:t xml:space="preserve"> </w:t>
      </w:r>
    </w:p>
    <w:p w14:paraId="08341563" w14:textId="6D644F6F" w:rsidR="00F01277" w:rsidRDefault="00FE2B4C" w:rsidP="0047533E">
      <w:pPr>
        <w:pStyle w:val="Header1"/>
        <w:spacing w:before="240"/>
        <w:ind w:firstLine="480"/>
        <w:rPr>
          <w:rFonts w:ascii="华文楷体" w:hAnsi="华文楷体"/>
          <w:b w:val="0"/>
          <w:smallCaps w:val="0"/>
          <w:color w:val="auto"/>
          <w:sz w:val="24"/>
          <w:szCs w:val="24"/>
        </w:rPr>
      </w:pPr>
      <w:r w:rsidRPr="00FE2B4C">
        <w:rPr>
          <w:rFonts w:ascii="华文楷体" w:hAnsi="华文楷体" w:hint="eastAsia"/>
          <w:b w:val="0"/>
          <w:smallCaps w:val="0"/>
          <w:color w:val="auto"/>
          <w:sz w:val="24"/>
          <w:szCs w:val="24"/>
        </w:rPr>
        <w:t>在3月5号</w:t>
      </w:r>
      <w:proofErr w:type="gramStart"/>
      <w:r w:rsidRPr="00FE2B4C">
        <w:rPr>
          <w:rFonts w:ascii="华文楷体" w:hAnsi="华文楷体" w:hint="eastAsia"/>
          <w:b w:val="0"/>
          <w:smallCaps w:val="0"/>
          <w:color w:val="auto"/>
          <w:sz w:val="24"/>
          <w:szCs w:val="24"/>
        </w:rPr>
        <w:t>两会部长</w:t>
      </w:r>
      <w:proofErr w:type="gramEnd"/>
      <w:r w:rsidRPr="00FE2B4C">
        <w:rPr>
          <w:rFonts w:ascii="华文楷体" w:hAnsi="华文楷体" w:hint="eastAsia"/>
          <w:b w:val="0"/>
          <w:smallCaps w:val="0"/>
          <w:color w:val="auto"/>
          <w:sz w:val="24"/>
          <w:szCs w:val="24"/>
        </w:rPr>
        <w:t>通道上，财政部长曾提及今年要“保持政府部门宏观杠杆率基本稳定”，本次国务院常务会议表述为“政府杠杆率要有所降低</w:t>
      </w:r>
      <w:r>
        <w:rPr>
          <w:rFonts w:ascii="华文楷体" w:hAnsi="华文楷体" w:hint="eastAsia"/>
          <w:b w:val="0"/>
          <w:smallCaps w:val="0"/>
          <w:color w:val="auto"/>
          <w:sz w:val="24"/>
          <w:szCs w:val="24"/>
        </w:rPr>
        <w:t>”，今年宏观杠杆率和地方政府隐性债务问题重视</w:t>
      </w:r>
      <w:r w:rsidR="006125F5">
        <w:rPr>
          <w:rFonts w:ascii="华文楷体" w:hAnsi="华文楷体" w:hint="eastAsia"/>
          <w:b w:val="0"/>
          <w:smallCaps w:val="0"/>
          <w:color w:val="auto"/>
          <w:sz w:val="24"/>
          <w:szCs w:val="24"/>
        </w:rPr>
        <w:t>程</w:t>
      </w:r>
      <w:r>
        <w:rPr>
          <w:rFonts w:ascii="华文楷体" w:hAnsi="华文楷体" w:hint="eastAsia"/>
          <w:b w:val="0"/>
          <w:smallCaps w:val="0"/>
          <w:color w:val="auto"/>
          <w:sz w:val="24"/>
          <w:szCs w:val="24"/>
        </w:rPr>
        <w:t>度有所增加。</w:t>
      </w:r>
    </w:p>
    <w:p w14:paraId="466B7AFA" w14:textId="390D8C19" w:rsidR="00FE2B4C" w:rsidRDefault="00A805AE" w:rsidP="0047533E">
      <w:pPr>
        <w:pStyle w:val="Header1"/>
        <w:spacing w:before="240"/>
        <w:ind w:firstLine="480"/>
        <w:rPr>
          <w:rFonts w:ascii="华文楷体" w:hAnsi="华文楷体"/>
          <w:b w:val="0"/>
          <w:smallCaps w:val="0"/>
          <w:color w:val="auto"/>
          <w:sz w:val="24"/>
          <w:szCs w:val="24"/>
        </w:rPr>
      </w:pPr>
      <w:r>
        <w:rPr>
          <w:noProof/>
        </w:rPr>
        <w:drawing>
          <wp:anchor distT="0" distB="0" distL="114300" distR="114300" simplePos="0" relativeHeight="251659264" behindDoc="0" locked="0" layoutInCell="1" allowOverlap="1" wp14:anchorId="213D9828" wp14:editId="26D90FFB">
            <wp:simplePos x="0" y="0"/>
            <wp:positionH relativeFrom="page">
              <wp:posOffset>4019550</wp:posOffset>
            </wp:positionH>
            <wp:positionV relativeFrom="paragraph">
              <wp:posOffset>755015</wp:posOffset>
            </wp:positionV>
            <wp:extent cx="3352800" cy="2228850"/>
            <wp:effectExtent l="0" t="0" r="0" b="0"/>
            <wp:wrapTopAndBottom/>
            <wp:docPr id="21" name="图表 2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86275459-0640-4DA1-BA44-F0B445A2D02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1EE8F1C0" wp14:editId="57C46E54">
            <wp:simplePos x="0" y="0"/>
            <wp:positionH relativeFrom="column">
              <wp:posOffset>-10160</wp:posOffset>
            </wp:positionH>
            <wp:positionV relativeFrom="paragraph">
              <wp:posOffset>697865</wp:posOffset>
            </wp:positionV>
            <wp:extent cx="3228975" cy="2286000"/>
            <wp:effectExtent l="0" t="0" r="0" b="0"/>
            <wp:wrapTopAndBottom/>
            <wp:docPr id="20" name="图表 20">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D431CFA4-D0A7-4422-84EC-8BB2A32287BB}"/>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margin">
              <wp14:pctWidth>0</wp14:pctWidth>
            </wp14:sizeRelH>
          </wp:anchor>
        </w:drawing>
      </w:r>
      <w:r w:rsidR="00FE2B4C" w:rsidRPr="00FE2B4C">
        <w:rPr>
          <w:rFonts w:ascii="华文楷体" w:hAnsi="华文楷体" w:hint="eastAsia"/>
          <w:b w:val="0"/>
          <w:smallCaps w:val="0"/>
          <w:color w:val="auto"/>
          <w:sz w:val="24"/>
          <w:szCs w:val="24"/>
        </w:rPr>
        <w:t>按照今年财政预算，名义广义赤字限额为7.22</w:t>
      </w:r>
      <w:proofErr w:type="gramStart"/>
      <w:r w:rsidR="00FE2B4C" w:rsidRPr="00FE2B4C">
        <w:rPr>
          <w:rFonts w:ascii="华文楷体" w:hAnsi="华文楷体" w:hint="eastAsia"/>
          <w:b w:val="0"/>
          <w:smallCaps w:val="0"/>
          <w:color w:val="auto"/>
          <w:sz w:val="24"/>
          <w:szCs w:val="24"/>
        </w:rPr>
        <w:t>万亿</w:t>
      </w:r>
      <w:proofErr w:type="gramEnd"/>
      <w:r w:rsidR="00FE2B4C" w:rsidRPr="00FE2B4C">
        <w:rPr>
          <w:rFonts w:ascii="华文楷体" w:hAnsi="华文楷体" w:hint="eastAsia"/>
          <w:b w:val="0"/>
          <w:smallCaps w:val="0"/>
          <w:color w:val="auto"/>
          <w:sz w:val="24"/>
          <w:szCs w:val="24"/>
        </w:rPr>
        <w:t>元</w:t>
      </w:r>
      <w:r w:rsidR="00FE2B4C">
        <w:rPr>
          <w:rFonts w:ascii="华文楷体" w:hAnsi="华文楷体" w:hint="eastAsia"/>
          <w:b w:val="0"/>
          <w:smallCaps w:val="0"/>
          <w:color w:val="auto"/>
          <w:sz w:val="24"/>
          <w:szCs w:val="24"/>
        </w:rPr>
        <w:t>，其中</w:t>
      </w:r>
      <w:r w:rsidR="00FE2B4C" w:rsidRPr="00FE2B4C">
        <w:rPr>
          <w:rFonts w:ascii="华文楷体" w:hAnsi="华文楷体" w:hint="eastAsia"/>
          <w:b w:val="0"/>
          <w:smallCaps w:val="0"/>
          <w:color w:val="auto"/>
          <w:sz w:val="24"/>
          <w:szCs w:val="24"/>
        </w:rPr>
        <w:t>狭义赤字额3.57</w:t>
      </w:r>
      <w:proofErr w:type="gramStart"/>
      <w:r w:rsidR="00FE2B4C" w:rsidRPr="00FE2B4C">
        <w:rPr>
          <w:rFonts w:ascii="华文楷体" w:hAnsi="华文楷体" w:hint="eastAsia"/>
          <w:b w:val="0"/>
          <w:smallCaps w:val="0"/>
          <w:color w:val="auto"/>
          <w:sz w:val="24"/>
          <w:szCs w:val="24"/>
        </w:rPr>
        <w:t>万亿</w:t>
      </w:r>
      <w:proofErr w:type="gramEnd"/>
      <w:r w:rsidR="00FE2B4C" w:rsidRPr="00FE2B4C">
        <w:rPr>
          <w:rFonts w:ascii="华文楷体" w:hAnsi="华文楷体" w:hint="eastAsia"/>
          <w:b w:val="0"/>
          <w:smallCaps w:val="0"/>
          <w:color w:val="auto"/>
          <w:sz w:val="24"/>
          <w:szCs w:val="24"/>
        </w:rPr>
        <w:t>元</w:t>
      </w:r>
      <w:r w:rsidR="00FE2B4C">
        <w:rPr>
          <w:rFonts w:ascii="华文楷体" w:hAnsi="华文楷体" w:hint="eastAsia"/>
          <w:b w:val="0"/>
          <w:smallCaps w:val="0"/>
          <w:color w:val="auto"/>
          <w:sz w:val="24"/>
          <w:szCs w:val="24"/>
        </w:rPr>
        <w:t>，</w:t>
      </w:r>
      <w:r w:rsidR="00FE2B4C" w:rsidRPr="00FE2B4C">
        <w:rPr>
          <w:rFonts w:ascii="华文楷体" w:hAnsi="华文楷体" w:hint="eastAsia"/>
          <w:b w:val="0"/>
          <w:smallCaps w:val="0"/>
          <w:color w:val="auto"/>
          <w:sz w:val="24"/>
          <w:szCs w:val="24"/>
        </w:rPr>
        <w:t>专项债3.65</w:t>
      </w:r>
      <w:proofErr w:type="gramStart"/>
      <w:r w:rsidR="00FE2B4C" w:rsidRPr="00FE2B4C">
        <w:rPr>
          <w:rFonts w:ascii="华文楷体" w:hAnsi="华文楷体" w:hint="eastAsia"/>
          <w:b w:val="0"/>
          <w:smallCaps w:val="0"/>
          <w:color w:val="auto"/>
          <w:sz w:val="24"/>
          <w:szCs w:val="24"/>
        </w:rPr>
        <w:t>万亿</w:t>
      </w:r>
      <w:proofErr w:type="gramEnd"/>
      <w:r w:rsidR="00FE2B4C" w:rsidRPr="00FE2B4C">
        <w:rPr>
          <w:rFonts w:ascii="华文楷体" w:hAnsi="华文楷体" w:hint="eastAsia"/>
          <w:b w:val="0"/>
          <w:smallCaps w:val="0"/>
          <w:color w:val="auto"/>
          <w:sz w:val="24"/>
          <w:szCs w:val="24"/>
        </w:rPr>
        <w:t>元。2020年末，中央+地方显性债务余额约46.6</w:t>
      </w:r>
      <w:proofErr w:type="gramStart"/>
      <w:r w:rsidR="00FE2B4C" w:rsidRPr="00FE2B4C">
        <w:rPr>
          <w:rFonts w:ascii="华文楷体" w:hAnsi="华文楷体" w:hint="eastAsia"/>
          <w:b w:val="0"/>
          <w:smallCaps w:val="0"/>
          <w:color w:val="auto"/>
          <w:sz w:val="24"/>
          <w:szCs w:val="24"/>
        </w:rPr>
        <w:t>万亿</w:t>
      </w:r>
      <w:proofErr w:type="gramEnd"/>
      <w:r w:rsidR="00FE2B4C" w:rsidRPr="00FE2B4C">
        <w:rPr>
          <w:rFonts w:ascii="华文楷体" w:hAnsi="华文楷体" w:hint="eastAsia"/>
          <w:b w:val="0"/>
          <w:smallCaps w:val="0"/>
          <w:color w:val="auto"/>
          <w:sz w:val="24"/>
          <w:szCs w:val="24"/>
        </w:rPr>
        <w:t>元</w:t>
      </w:r>
      <w:r w:rsidR="00FE2B4C">
        <w:rPr>
          <w:rFonts w:ascii="华文楷体" w:hAnsi="华文楷体" w:hint="eastAsia"/>
          <w:b w:val="0"/>
          <w:smallCaps w:val="0"/>
          <w:color w:val="auto"/>
          <w:sz w:val="24"/>
          <w:szCs w:val="24"/>
        </w:rPr>
        <w:t>，</w:t>
      </w:r>
      <w:r w:rsidR="00FE2B4C" w:rsidRPr="00FE2B4C">
        <w:rPr>
          <w:rFonts w:ascii="华文楷体" w:hAnsi="华文楷体" w:hint="eastAsia"/>
          <w:b w:val="0"/>
          <w:smallCaps w:val="0"/>
          <w:color w:val="auto"/>
          <w:sz w:val="24"/>
          <w:szCs w:val="24"/>
        </w:rPr>
        <w:t>杠杆率约45.6%。</w:t>
      </w:r>
    </w:p>
    <w:p w14:paraId="19C9011A" w14:textId="50F7C367" w:rsidR="00A805AE" w:rsidRPr="00A805AE" w:rsidRDefault="00A805AE" w:rsidP="00A805AE">
      <w:pPr>
        <w:pStyle w:val="Header1"/>
        <w:spacing w:before="240"/>
        <w:ind w:firstLine="480"/>
        <w:rPr>
          <w:rFonts w:ascii="华文楷体" w:hAnsi="华文楷体" w:hint="eastAsia"/>
          <w:b w:val="0"/>
          <w:smallCaps w:val="0"/>
          <w:color w:val="auto"/>
          <w:sz w:val="24"/>
          <w:szCs w:val="24"/>
        </w:rPr>
      </w:pPr>
      <w:r w:rsidRPr="00A805AE">
        <w:rPr>
          <w:rFonts w:ascii="华文楷体" w:hAnsi="华文楷体" w:hint="eastAsia"/>
          <w:b w:val="0"/>
          <w:smallCaps w:val="0"/>
          <w:color w:val="auto"/>
          <w:sz w:val="24"/>
          <w:szCs w:val="24"/>
        </w:rPr>
        <w:t>资料来源：万得，富荣基金</w:t>
      </w:r>
    </w:p>
    <w:p w14:paraId="302BEFA7" w14:textId="12BC5ED7" w:rsidR="00FE2B4C" w:rsidRDefault="00FE2B4C" w:rsidP="00B559CF">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从历史发行情况来预测今年大体节奏，预计二、三季度将迎来</w:t>
      </w:r>
      <w:r w:rsidR="00B559CF">
        <w:rPr>
          <w:rFonts w:ascii="华文楷体" w:hAnsi="华文楷体" w:hint="eastAsia"/>
          <w:b w:val="0"/>
          <w:smallCaps w:val="0"/>
          <w:color w:val="auto"/>
          <w:sz w:val="24"/>
          <w:szCs w:val="24"/>
        </w:rPr>
        <w:t>债券发行活跃期，净融资压力主要集中在</w:t>
      </w:r>
      <w:r w:rsidR="00A805AE">
        <w:rPr>
          <w:rFonts w:ascii="华文楷体" w:hAnsi="华文楷体" w:hint="eastAsia"/>
          <w:b w:val="0"/>
          <w:smallCaps w:val="0"/>
          <w:color w:val="auto"/>
          <w:sz w:val="24"/>
          <w:szCs w:val="24"/>
        </w:rPr>
        <w:t>二——三</w:t>
      </w:r>
      <w:r w:rsidR="00B559CF">
        <w:rPr>
          <w:rFonts w:ascii="华文楷体" w:hAnsi="华文楷体" w:hint="eastAsia"/>
          <w:b w:val="0"/>
          <w:smallCaps w:val="0"/>
          <w:color w:val="auto"/>
          <w:sz w:val="24"/>
          <w:szCs w:val="24"/>
        </w:rPr>
        <w:t>季度为主。对市场影响方面，</w:t>
      </w:r>
      <w:proofErr w:type="gramStart"/>
      <w:r w:rsidR="00B559CF">
        <w:rPr>
          <w:rFonts w:ascii="华文楷体" w:hAnsi="华文楷体" w:hint="eastAsia"/>
          <w:b w:val="0"/>
          <w:smallCaps w:val="0"/>
          <w:color w:val="auto"/>
          <w:sz w:val="24"/>
          <w:szCs w:val="24"/>
        </w:rPr>
        <w:t>2</w:t>
      </w:r>
      <w:r w:rsidR="00B559CF">
        <w:rPr>
          <w:rFonts w:ascii="华文楷体" w:hAnsi="华文楷体"/>
          <w:b w:val="0"/>
          <w:smallCaps w:val="0"/>
          <w:color w:val="auto"/>
          <w:sz w:val="24"/>
          <w:szCs w:val="24"/>
        </w:rPr>
        <w:t>020</w:t>
      </w:r>
      <w:r w:rsidR="00B559CF">
        <w:rPr>
          <w:rFonts w:ascii="华文楷体" w:hAnsi="华文楷体" w:hint="eastAsia"/>
          <w:b w:val="0"/>
          <w:smallCaps w:val="0"/>
          <w:color w:val="auto"/>
          <w:sz w:val="24"/>
          <w:szCs w:val="24"/>
        </w:rPr>
        <w:t>年末社融存量</w:t>
      </w:r>
      <w:proofErr w:type="gramEnd"/>
      <w:r w:rsidR="00B559CF">
        <w:rPr>
          <w:rFonts w:ascii="华文楷体" w:hAnsi="华文楷体" w:hint="eastAsia"/>
          <w:b w:val="0"/>
          <w:smallCaps w:val="0"/>
          <w:color w:val="auto"/>
          <w:sz w:val="24"/>
          <w:szCs w:val="24"/>
        </w:rPr>
        <w:t>约2</w:t>
      </w:r>
      <w:r w:rsidR="00B559CF">
        <w:rPr>
          <w:rFonts w:ascii="华文楷体" w:hAnsi="华文楷体"/>
          <w:b w:val="0"/>
          <w:smallCaps w:val="0"/>
          <w:color w:val="auto"/>
          <w:sz w:val="24"/>
          <w:szCs w:val="24"/>
        </w:rPr>
        <w:t>85</w:t>
      </w:r>
      <w:proofErr w:type="gramStart"/>
      <w:r w:rsidR="00B559CF">
        <w:rPr>
          <w:rFonts w:ascii="华文楷体" w:hAnsi="华文楷体" w:hint="eastAsia"/>
          <w:b w:val="0"/>
          <w:smallCaps w:val="0"/>
          <w:color w:val="auto"/>
          <w:sz w:val="24"/>
          <w:szCs w:val="24"/>
        </w:rPr>
        <w:t>万亿</w:t>
      </w:r>
      <w:proofErr w:type="gramEnd"/>
      <w:r w:rsidR="00B559CF">
        <w:rPr>
          <w:rFonts w:ascii="华文楷体" w:hAnsi="华文楷体" w:hint="eastAsia"/>
          <w:b w:val="0"/>
          <w:smallCaps w:val="0"/>
          <w:color w:val="auto"/>
          <w:sz w:val="24"/>
          <w:szCs w:val="24"/>
        </w:rPr>
        <w:t>，如果整体杠杆率有所降低，将对政府债券增量产生一定制约，政府债券增量减少将</w:t>
      </w:r>
      <w:r w:rsidR="00A805AE">
        <w:rPr>
          <w:rFonts w:ascii="华文楷体" w:hAnsi="华文楷体" w:hint="eastAsia"/>
          <w:b w:val="0"/>
          <w:smallCaps w:val="0"/>
          <w:color w:val="auto"/>
          <w:sz w:val="24"/>
          <w:szCs w:val="24"/>
        </w:rPr>
        <w:t>可能</w:t>
      </w:r>
      <w:r w:rsidR="00B559CF">
        <w:rPr>
          <w:rFonts w:ascii="华文楷体" w:hAnsi="华文楷体" w:hint="eastAsia"/>
          <w:b w:val="0"/>
          <w:smallCaps w:val="0"/>
          <w:color w:val="auto"/>
          <w:sz w:val="24"/>
          <w:szCs w:val="24"/>
        </w:rPr>
        <w:t>对</w:t>
      </w:r>
      <w:proofErr w:type="gramStart"/>
      <w:r w:rsidR="00B559CF">
        <w:rPr>
          <w:rFonts w:ascii="华文楷体" w:hAnsi="华文楷体"/>
          <w:b w:val="0"/>
          <w:smallCaps w:val="0"/>
          <w:color w:val="auto"/>
          <w:sz w:val="24"/>
          <w:szCs w:val="24"/>
        </w:rPr>
        <w:t>2021</w:t>
      </w:r>
      <w:r w:rsidR="00B559CF">
        <w:rPr>
          <w:rFonts w:ascii="华文楷体" w:hAnsi="华文楷体" w:hint="eastAsia"/>
          <w:b w:val="0"/>
          <w:smallCaps w:val="0"/>
          <w:color w:val="auto"/>
          <w:sz w:val="24"/>
          <w:szCs w:val="24"/>
        </w:rPr>
        <w:t>年社融增速</w:t>
      </w:r>
      <w:proofErr w:type="gramEnd"/>
      <w:r w:rsidR="00B559CF">
        <w:rPr>
          <w:rFonts w:ascii="华文楷体" w:hAnsi="华文楷体" w:hint="eastAsia"/>
          <w:b w:val="0"/>
          <w:smallCaps w:val="0"/>
          <w:color w:val="auto"/>
          <w:sz w:val="24"/>
          <w:szCs w:val="24"/>
        </w:rPr>
        <w:t>边际形成负向影响，</w:t>
      </w:r>
      <w:proofErr w:type="gramStart"/>
      <w:r w:rsidR="00B559CF">
        <w:rPr>
          <w:rFonts w:ascii="华文楷体" w:hAnsi="华文楷体" w:hint="eastAsia"/>
          <w:b w:val="0"/>
          <w:smallCaps w:val="0"/>
          <w:color w:val="auto"/>
          <w:sz w:val="24"/>
          <w:szCs w:val="24"/>
        </w:rPr>
        <w:t>今年社融增速</w:t>
      </w:r>
      <w:proofErr w:type="gramEnd"/>
      <w:r w:rsidR="00B559CF">
        <w:rPr>
          <w:rFonts w:ascii="华文楷体" w:hAnsi="华文楷体" w:hint="eastAsia"/>
          <w:b w:val="0"/>
          <w:smallCaps w:val="0"/>
          <w:color w:val="auto"/>
          <w:sz w:val="24"/>
          <w:szCs w:val="24"/>
        </w:rPr>
        <w:t>和广义流动性扩张情况预计将略弱于2</w:t>
      </w:r>
      <w:r w:rsidR="00B559CF">
        <w:rPr>
          <w:rFonts w:ascii="华文楷体" w:hAnsi="华文楷体"/>
          <w:b w:val="0"/>
          <w:smallCaps w:val="0"/>
          <w:color w:val="auto"/>
          <w:sz w:val="24"/>
          <w:szCs w:val="24"/>
        </w:rPr>
        <w:t>020</w:t>
      </w:r>
      <w:r w:rsidR="00B559CF">
        <w:rPr>
          <w:rFonts w:ascii="华文楷体" w:hAnsi="华文楷体" w:hint="eastAsia"/>
          <w:b w:val="0"/>
          <w:smallCaps w:val="0"/>
          <w:color w:val="auto"/>
          <w:sz w:val="24"/>
          <w:szCs w:val="24"/>
        </w:rPr>
        <w:t>年度。</w:t>
      </w:r>
    </w:p>
    <w:p w14:paraId="2BC5100B" w14:textId="59205988" w:rsidR="00B559CF" w:rsidRDefault="006125F5" w:rsidP="00B559CF">
      <w:pPr>
        <w:pStyle w:val="Header1"/>
        <w:spacing w:before="240"/>
        <w:ind w:firstLine="480"/>
        <w:rPr>
          <w:rFonts w:ascii="华文楷体" w:hAnsi="华文楷体"/>
          <w:b w:val="0"/>
          <w:smallCaps w:val="0"/>
          <w:color w:val="auto"/>
          <w:sz w:val="24"/>
          <w:szCs w:val="24"/>
        </w:rPr>
      </w:pPr>
      <w:r w:rsidRPr="006125F5">
        <w:rPr>
          <w:rFonts w:ascii="华文楷体" w:hAnsi="华文楷体" w:hint="eastAsia"/>
          <w:b w:val="0"/>
          <w:smallCaps w:val="0"/>
          <w:color w:val="auto"/>
          <w:sz w:val="24"/>
          <w:szCs w:val="24"/>
        </w:rPr>
        <w:t>从2020年四季度的</w:t>
      </w:r>
      <w:r>
        <w:rPr>
          <w:rFonts w:ascii="华文楷体" w:hAnsi="华文楷体" w:hint="eastAsia"/>
          <w:b w:val="0"/>
          <w:smallCaps w:val="0"/>
          <w:color w:val="auto"/>
          <w:sz w:val="24"/>
          <w:szCs w:val="24"/>
        </w:rPr>
        <w:t>情况</w:t>
      </w:r>
      <w:r w:rsidRPr="006125F5">
        <w:rPr>
          <w:rFonts w:ascii="华文楷体" w:hAnsi="华文楷体" w:hint="eastAsia"/>
          <w:b w:val="0"/>
          <w:smallCaps w:val="0"/>
          <w:color w:val="auto"/>
          <w:sz w:val="24"/>
          <w:szCs w:val="24"/>
        </w:rPr>
        <w:t>来看，企业部门杠杆率随名义增长好转、盈利回升已经开始下降，上升的主要是政府部门和居民部门</w:t>
      </w:r>
      <w:r>
        <w:rPr>
          <w:rFonts w:ascii="华文楷体" w:hAnsi="华文楷体" w:hint="eastAsia"/>
          <w:b w:val="0"/>
          <w:smallCaps w:val="0"/>
          <w:color w:val="auto"/>
          <w:sz w:val="24"/>
          <w:szCs w:val="24"/>
        </w:rPr>
        <w:t>，居民部门杠杆主要在房地产，这也是今年地产调控一直关注度较高的原因之一。</w:t>
      </w:r>
    </w:p>
    <w:p w14:paraId="49178F0C" w14:textId="5F8F0F08" w:rsidR="006125F5" w:rsidRDefault="006125F5" w:rsidP="00B559CF">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t>政府部门杠杆情况，</w:t>
      </w:r>
      <w:r w:rsidRPr="006125F5">
        <w:rPr>
          <w:rFonts w:ascii="华文楷体" w:hAnsi="华文楷体" w:hint="eastAsia"/>
          <w:b w:val="0"/>
          <w:smallCaps w:val="0"/>
          <w:color w:val="auto"/>
          <w:sz w:val="24"/>
          <w:szCs w:val="24"/>
        </w:rPr>
        <w:t>在今年3.57</w:t>
      </w:r>
      <w:proofErr w:type="gramStart"/>
      <w:r w:rsidRPr="006125F5">
        <w:rPr>
          <w:rFonts w:ascii="华文楷体" w:hAnsi="华文楷体" w:hint="eastAsia"/>
          <w:b w:val="0"/>
          <w:smallCaps w:val="0"/>
          <w:color w:val="auto"/>
          <w:sz w:val="24"/>
          <w:szCs w:val="24"/>
        </w:rPr>
        <w:t>万亿</w:t>
      </w:r>
      <w:proofErr w:type="gramEnd"/>
      <w:r w:rsidRPr="006125F5">
        <w:rPr>
          <w:rFonts w:ascii="华文楷体" w:hAnsi="华文楷体" w:hint="eastAsia"/>
          <w:b w:val="0"/>
          <w:smallCaps w:val="0"/>
          <w:color w:val="auto"/>
          <w:sz w:val="24"/>
          <w:szCs w:val="24"/>
        </w:rPr>
        <w:t>元的财政赤字、3.65</w:t>
      </w:r>
      <w:proofErr w:type="gramStart"/>
      <w:r w:rsidRPr="006125F5">
        <w:rPr>
          <w:rFonts w:ascii="华文楷体" w:hAnsi="华文楷体" w:hint="eastAsia"/>
          <w:b w:val="0"/>
          <w:smallCaps w:val="0"/>
          <w:color w:val="auto"/>
          <w:sz w:val="24"/>
          <w:szCs w:val="24"/>
        </w:rPr>
        <w:t>万亿</w:t>
      </w:r>
      <w:proofErr w:type="gramEnd"/>
      <w:r w:rsidRPr="006125F5">
        <w:rPr>
          <w:rFonts w:ascii="华文楷体" w:hAnsi="华文楷体" w:hint="eastAsia"/>
          <w:b w:val="0"/>
          <w:smallCaps w:val="0"/>
          <w:color w:val="auto"/>
          <w:sz w:val="24"/>
          <w:szCs w:val="24"/>
        </w:rPr>
        <w:t>元专项</w:t>
      </w:r>
      <w:proofErr w:type="gramStart"/>
      <w:r w:rsidRPr="006125F5">
        <w:rPr>
          <w:rFonts w:ascii="华文楷体" w:hAnsi="华文楷体" w:hint="eastAsia"/>
          <w:b w:val="0"/>
          <w:smallCaps w:val="0"/>
          <w:color w:val="auto"/>
          <w:sz w:val="24"/>
          <w:szCs w:val="24"/>
        </w:rPr>
        <w:t>债全部</w:t>
      </w:r>
      <w:proofErr w:type="gramEnd"/>
      <w:r w:rsidRPr="006125F5">
        <w:rPr>
          <w:rFonts w:ascii="华文楷体" w:hAnsi="华文楷体" w:hint="eastAsia"/>
          <w:b w:val="0"/>
          <w:smallCaps w:val="0"/>
          <w:color w:val="auto"/>
          <w:sz w:val="24"/>
          <w:szCs w:val="24"/>
        </w:rPr>
        <w:t>发行的情况下，中央政府和地方政府债务余额增速将分别增长14%和17%，大概率会高于名义GDP增速。在名义GDP 10%-11.5%之间的假设之下，政府部门显性杠杆率</w:t>
      </w:r>
      <w:r>
        <w:rPr>
          <w:rFonts w:ascii="华文楷体" w:hAnsi="华文楷体" w:hint="eastAsia"/>
          <w:b w:val="0"/>
          <w:smallCaps w:val="0"/>
          <w:color w:val="auto"/>
          <w:sz w:val="24"/>
          <w:szCs w:val="24"/>
        </w:rPr>
        <w:t>大概率还是可能</w:t>
      </w:r>
      <w:r w:rsidRPr="006125F5">
        <w:rPr>
          <w:rFonts w:ascii="华文楷体" w:hAnsi="华文楷体" w:hint="eastAsia"/>
          <w:b w:val="0"/>
          <w:smallCaps w:val="0"/>
          <w:color w:val="auto"/>
          <w:sz w:val="24"/>
          <w:szCs w:val="24"/>
        </w:rPr>
        <w:t>较2020年末继续提升</w:t>
      </w:r>
      <w:r>
        <w:rPr>
          <w:rFonts w:ascii="华文楷体" w:hAnsi="华文楷体"/>
          <w:b w:val="0"/>
          <w:smallCaps w:val="0"/>
          <w:color w:val="auto"/>
          <w:sz w:val="24"/>
          <w:szCs w:val="24"/>
        </w:rPr>
        <w:t>1.5</w:t>
      </w:r>
      <w:r>
        <w:rPr>
          <w:rFonts w:ascii="华文楷体" w:hAnsi="华文楷体" w:hint="eastAsia"/>
          <w:b w:val="0"/>
          <w:smallCaps w:val="0"/>
          <w:color w:val="auto"/>
          <w:sz w:val="24"/>
          <w:szCs w:val="24"/>
        </w:rPr>
        <w:t>-</w:t>
      </w:r>
      <w:r>
        <w:rPr>
          <w:rFonts w:ascii="华文楷体" w:hAnsi="华文楷体"/>
          <w:b w:val="0"/>
          <w:smallCaps w:val="0"/>
          <w:color w:val="auto"/>
          <w:sz w:val="24"/>
          <w:szCs w:val="24"/>
        </w:rPr>
        <w:t>2.5</w:t>
      </w:r>
      <w:r w:rsidRPr="006125F5">
        <w:rPr>
          <w:rFonts w:ascii="华文楷体" w:hAnsi="华文楷体" w:hint="eastAsia"/>
          <w:b w:val="0"/>
          <w:smallCaps w:val="0"/>
          <w:color w:val="auto"/>
          <w:sz w:val="24"/>
          <w:szCs w:val="24"/>
        </w:rPr>
        <w:t>个</w:t>
      </w:r>
      <w:r>
        <w:rPr>
          <w:rFonts w:ascii="华文楷体" w:hAnsi="华文楷体" w:hint="eastAsia"/>
          <w:b w:val="0"/>
          <w:smallCaps w:val="0"/>
          <w:color w:val="auto"/>
          <w:sz w:val="24"/>
          <w:szCs w:val="24"/>
        </w:rPr>
        <w:t>百分</w:t>
      </w:r>
      <w:r w:rsidRPr="006125F5">
        <w:rPr>
          <w:rFonts w:ascii="华文楷体" w:hAnsi="华文楷体" w:hint="eastAsia"/>
          <w:b w:val="0"/>
          <w:smallCaps w:val="0"/>
          <w:color w:val="auto"/>
          <w:sz w:val="24"/>
          <w:szCs w:val="24"/>
        </w:rPr>
        <w:t>点</w:t>
      </w:r>
      <w:r>
        <w:rPr>
          <w:rFonts w:ascii="华文楷体" w:hAnsi="华文楷体" w:hint="eastAsia"/>
          <w:b w:val="0"/>
          <w:smallCaps w:val="0"/>
          <w:color w:val="auto"/>
          <w:sz w:val="24"/>
          <w:szCs w:val="24"/>
        </w:rPr>
        <w:t>，略有增加。</w:t>
      </w:r>
    </w:p>
    <w:p w14:paraId="008F037C" w14:textId="71F38081" w:rsidR="006125F5" w:rsidRDefault="006125F5" w:rsidP="00B559CF">
      <w:pPr>
        <w:pStyle w:val="Header1"/>
        <w:spacing w:before="240"/>
        <w:ind w:firstLine="480"/>
        <w:rPr>
          <w:rFonts w:ascii="华文楷体" w:hAnsi="华文楷体"/>
          <w:b w:val="0"/>
          <w:smallCaps w:val="0"/>
          <w:color w:val="auto"/>
          <w:sz w:val="24"/>
          <w:szCs w:val="24"/>
        </w:rPr>
      </w:pPr>
      <w:r>
        <w:rPr>
          <w:rFonts w:ascii="华文楷体" w:hAnsi="华文楷体" w:hint="eastAsia"/>
          <w:b w:val="0"/>
          <w:smallCaps w:val="0"/>
          <w:color w:val="auto"/>
          <w:sz w:val="24"/>
          <w:szCs w:val="24"/>
        </w:rPr>
        <w:lastRenderedPageBreak/>
        <w:t>后续政府杠杆率有所控制更多倾向于杠杆上行速度要有所控制，并关注地方政府隐形债务问题风险隐患，防范化解地方政府隐性债务风险工作。</w:t>
      </w:r>
    </w:p>
    <w:p w14:paraId="601CE608" w14:textId="3F292F9A" w:rsidR="00B559CF" w:rsidRPr="00B559CF" w:rsidRDefault="006125F5" w:rsidP="006125F5">
      <w:pPr>
        <w:pStyle w:val="Header1"/>
        <w:spacing w:before="240"/>
        <w:rPr>
          <w:rFonts w:ascii="华文楷体" w:hAnsi="华文楷体"/>
          <w:b w:val="0"/>
          <w:smallCaps w:val="0"/>
          <w:color w:val="auto"/>
          <w:sz w:val="24"/>
          <w:szCs w:val="24"/>
        </w:rPr>
      </w:pPr>
      <w:r>
        <w:rPr>
          <w:rFonts w:ascii="华文楷体" w:hAnsi="华文楷体" w:hint="eastAsia"/>
          <w:b w:val="0"/>
          <w:smallCaps w:val="0"/>
          <w:color w:val="auto"/>
          <w:sz w:val="24"/>
          <w:szCs w:val="24"/>
        </w:rPr>
        <w:t xml:space="preserve"> </w:t>
      </w:r>
      <w:r>
        <w:rPr>
          <w:rFonts w:ascii="华文楷体" w:hAnsi="华文楷体"/>
          <w:b w:val="0"/>
          <w:smallCaps w:val="0"/>
          <w:color w:val="auto"/>
          <w:sz w:val="24"/>
          <w:szCs w:val="24"/>
        </w:rPr>
        <w:t xml:space="preserve">   </w:t>
      </w:r>
      <w:r>
        <w:rPr>
          <w:rFonts w:ascii="华文楷体" w:hAnsi="华文楷体" w:hint="eastAsia"/>
          <w:b w:val="0"/>
          <w:smallCaps w:val="0"/>
          <w:color w:val="auto"/>
          <w:sz w:val="24"/>
          <w:szCs w:val="24"/>
        </w:rPr>
        <w:t>从市场角度，更多关注债券供给投放的节奏，当前政策大方向仍保持在逆周期调节，更注重质量的改善，货币政策预计仍维持中性，结构性地对普惠、小微等支持政策估计延续，但是总量上的宽松政策预计很难见到，金融和财政政策持续关注防风险，当前仍在风险排查梳理阶段，政策仍具有一定相机抉择的空间。</w:t>
      </w:r>
      <w:r w:rsidR="00F756A1">
        <w:rPr>
          <w:rFonts w:ascii="华文楷体" w:hAnsi="华文楷体" w:hint="eastAsia"/>
          <w:b w:val="0"/>
          <w:smallCaps w:val="0"/>
          <w:color w:val="auto"/>
          <w:sz w:val="24"/>
          <w:szCs w:val="24"/>
        </w:rPr>
        <w:t>市场策略上相对中性，更倾向于中低杠杆，中</w:t>
      </w:r>
      <w:proofErr w:type="gramStart"/>
      <w:r w:rsidR="00F756A1">
        <w:rPr>
          <w:rFonts w:ascii="华文楷体" w:hAnsi="华文楷体" w:hint="eastAsia"/>
          <w:b w:val="0"/>
          <w:smallCaps w:val="0"/>
          <w:color w:val="auto"/>
          <w:sz w:val="24"/>
          <w:szCs w:val="24"/>
        </w:rPr>
        <w:t>高久期</w:t>
      </w:r>
      <w:proofErr w:type="gramEnd"/>
      <w:r w:rsidR="00F756A1">
        <w:rPr>
          <w:rFonts w:ascii="华文楷体" w:hAnsi="华文楷体" w:hint="eastAsia"/>
          <w:b w:val="0"/>
          <w:smallCaps w:val="0"/>
          <w:color w:val="auto"/>
          <w:sz w:val="24"/>
          <w:szCs w:val="24"/>
        </w:rPr>
        <w:t>，高评级信用资质品种为主，考虑到当前信用溢价保护也并不充分，</w:t>
      </w:r>
      <w:r w:rsidR="00B11EFE">
        <w:rPr>
          <w:rFonts w:ascii="华文楷体" w:hAnsi="华文楷体" w:hint="eastAsia"/>
          <w:b w:val="0"/>
          <w:smallCaps w:val="0"/>
          <w:color w:val="auto"/>
          <w:sz w:val="24"/>
          <w:szCs w:val="24"/>
        </w:rPr>
        <w:t>信用下沉</w:t>
      </w:r>
      <w:r w:rsidR="007453B0">
        <w:rPr>
          <w:rFonts w:ascii="华文楷体" w:hAnsi="华文楷体" w:hint="eastAsia"/>
          <w:b w:val="0"/>
          <w:smallCaps w:val="0"/>
          <w:color w:val="auto"/>
          <w:sz w:val="24"/>
          <w:szCs w:val="24"/>
        </w:rPr>
        <w:t>策略</w:t>
      </w:r>
      <w:r w:rsidR="00B11EFE">
        <w:rPr>
          <w:rFonts w:ascii="华文楷体" w:hAnsi="华文楷体" w:hint="eastAsia"/>
          <w:b w:val="0"/>
          <w:smallCaps w:val="0"/>
          <w:color w:val="auto"/>
          <w:sz w:val="24"/>
          <w:szCs w:val="24"/>
        </w:rPr>
        <w:t>性价比相对略低</w:t>
      </w:r>
      <w:r w:rsidR="00F756A1">
        <w:rPr>
          <w:rFonts w:ascii="华文楷体" w:hAnsi="华文楷体" w:hint="eastAsia"/>
          <w:b w:val="0"/>
          <w:smallCaps w:val="0"/>
          <w:color w:val="auto"/>
          <w:sz w:val="24"/>
          <w:szCs w:val="24"/>
        </w:rPr>
        <w:t>。</w:t>
      </w:r>
    </w:p>
    <w:p w14:paraId="7EEDEF05" w14:textId="03ED7DEC" w:rsidR="00E0626C" w:rsidRDefault="005E5CB1" w:rsidP="009A2BA0">
      <w:pPr>
        <w:pStyle w:val="Header1"/>
        <w:spacing w:before="240"/>
        <w:rPr>
          <w:color w:val="C45911" w:themeColor="accent2" w:themeShade="BF"/>
        </w:rPr>
      </w:pPr>
      <w:r>
        <w:rPr>
          <w:rFonts w:hint="eastAsia"/>
          <w:color w:val="C45911" w:themeColor="accent2" w:themeShade="BF"/>
        </w:rPr>
        <w:t>二</w:t>
      </w:r>
      <w:r w:rsidR="00E0626C" w:rsidRPr="004C5268">
        <w:rPr>
          <w:rFonts w:hint="eastAsia"/>
          <w:color w:val="C45911" w:themeColor="accent2" w:themeShade="BF"/>
        </w:rPr>
        <w:t>、</w:t>
      </w:r>
      <w:r w:rsidR="00E0626C">
        <w:rPr>
          <w:rFonts w:hint="eastAsia"/>
          <w:color w:val="C45911" w:themeColor="accent2" w:themeShade="BF"/>
        </w:rPr>
        <w:t>上周市场回顾</w:t>
      </w:r>
    </w:p>
    <w:p w14:paraId="08F77D38" w14:textId="58EA1DC1" w:rsidR="00E0626C" w:rsidRPr="00945073" w:rsidRDefault="00E0626C" w:rsidP="009A2BA0">
      <w:pPr>
        <w:pStyle w:val="Header2"/>
        <w:rPr>
          <w:rFonts w:eastAsia="PMingLiU"/>
          <w:sz w:val="28"/>
          <w:szCs w:val="21"/>
          <w:lang w:eastAsia="zh-CN"/>
        </w:rPr>
      </w:pPr>
      <w:r>
        <w:rPr>
          <w:rFonts w:hint="eastAsia"/>
          <w:sz w:val="28"/>
          <w:szCs w:val="21"/>
          <w:lang w:eastAsia="zh-CN"/>
        </w:rPr>
        <w:t>1</w:t>
      </w:r>
      <w:r>
        <w:rPr>
          <w:rFonts w:hint="eastAsia"/>
          <w:sz w:val="28"/>
          <w:szCs w:val="21"/>
          <w:lang w:eastAsia="zh-CN"/>
        </w:rPr>
        <w:t>、</w:t>
      </w:r>
      <w:r>
        <w:rPr>
          <w:rFonts w:hint="eastAsia"/>
          <w:sz w:val="28"/>
          <w:szCs w:val="21"/>
        </w:rPr>
        <w:t>资金面</w:t>
      </w:r>
    </w:p>
    <w:p w14:paraId="5B44DCF6" w14:textId="191BB523" w:rsidR="00EA1459" w:rsidRPr="00EA1459" w:rsidRDefault="00EC3415" w:rsidP="00EC3415">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央行</w:t>
      </w:r>
      <w:r w:rsidR="00DE5926">
        <w:rPr>
          <w:rFonts w:ascii="华文楷体" w:hAnsi="华文楷体" w:hint="eastAsia"/>
          <w:sz w:val="24"/>
          <w:szCs w:val="24"/>
          <w:lang w:eastAsia="zh-CN"/>
        </w:rPr>
        <w:t>公开市场操作</w:t>
      </w:r>
      <w:proofErr w:type="gramStart"/>
      <w:r w:rsidR="000E3145">
        <w:rPr>
          <w:rFonts w:ascii="华文楷体" w:hAnsi="华文楷体" w:hint="eastAsia"/>
          <w:sz w:val="24"/>
          <w:szCs w:val="24"/>
          <w:lang w:eastAsia="zh-CN"/>
        </w:rPr>
        <w:t>维持</w:t>
      </w:r>
      <w:r w:rsidR="002D361C">
        <w:rPr>
          <w:rFonts w:ascii="华文楷体" w:hAnsi="华文楷体" w:hint="eastAsia"/>
          <w:sz w:val="24"/>
          <w:szCs w:val="24"/>
          <w:lang w:eastAsia="zh-CN"/>
        </w:rPr>
        <w:t>零</w:t>
      </w:r>
      <w:r w:rsidR="000E3145">
        <w:rPr>
          <w:rFonts w:ascii="华文楷体" w:hAnsi="华文楷体" w:hint="eastAsia"/>
          <w:sz w:val="24"/>
          <w:szCs w:val="24"/>
          <w:lang w:eastAsia="zh-CN"/>
        </w:rPr>
        <w:t>净</w:t>
      </w:r>
      <w:r w:rsidR="002D361C">
        <w:rPr>
          <w:rFonts w:ascii="华文楷体" w:hAnsi="华文楷体" w:hint="eastAsia"/>
          <w:sz w:val="24"/>
          <w:szCs w:val="24"/>
          <w:lang w:eastAsia="zh-CN"/>
        </w:rPr>
        <w:t>投放</w:t>
      </w:r>
      <w:proofErr w:type="gramEnd"/>
      <w:r w:rsidR="006E4B59">
        <w:rPr>
          <w:rFonts w:ascii="华文楷体" w:hAnsi="华文楷体" w:hint="eastAsia"/>
          <w:sz w:val="24"/>
          <w:szCs w:val="24"/>
          <w:lang w:eastAsia="zh-CN"/>
        </w:rPr>
        <w:t>，</w:t>
      </w:r>
      <w:r w:rsidR="003E35B0">
        <w:rPr>
          <w:rFonts w:ascii="华文楷体" w:hAnsi="华文楷体" w:hint="eastAsia"/>
          <w:sz w:val="24"/>
          <w:szCs w:val="24"/>
          <w:lang w:eastAsia="zh-CN"/>
        </w:rPr>
        <w:t>资金面</w:t>
      </w:r>
      <w:r w:rsidR="000E3145">
        <w:rPr>
          <w:rFonts w:ascii="华文楷体" w:hAnsi="华文楷体" w:hint="eastAsia"/>
          <w:sz w:val="24"/>
          <w:szCs w:val="24"/>
          <w:lang w:eastAsia="zh-CN"/>
        </w:rPr>
        <w:t>持续相对</w:t>
      </w:r>
      <w:r w:rsidR="003E35B0">
        <w:rPr>
          <w:rFonts w:ascii="华文楷体" w:hAnsi="华文楷体" w:hint="eastAsia"/>
          <w:sz w:val="24"/>
          <w:szCs w:val="24"/>
          <w:lang w:eastAsia="zh-CN"/>
        </w:rPr>
        <w:t>平稳</w:t>
      </w:r>
      <w:r w:rsidR="002D361C">
        <w:rPr>
          <w:rFonts w:ascii="华文楷体" w:hAnsi="华文楷体" w:hint="eastAsia"/>
          <w:sz w:val="24"/>
          <w:szCs w:val="24"/>
          <w:lang w:eastAsia="zh-CN"/>
        </w:rPr>
        <w:t>，</w:t>
      </w:r>
      <w:r w:rsidR="000E3145">
        <w:rPr>
          <w:rFonts w:ascii="华文楷体" w:hAnsi="华文楷体" w:hint="eastAsia"/>
          <w:sz w:val="24"/>
          <w:szCs w:val="24"/>
          <w:lang w:eastAsia="zh-CN"/>
        </w:rPr>
        <w:t>月中的M</w:t>
      </w:r>
      <w:r w:rsidR="000E3145">
        <w:rPr>
          <w:rFonts w:ascii="华文楷体" w:hAnsi="华文楷体"/>
          <w:sz w:val="24"/>
          <w:szCs w:val="24"/>
          <w:lang w:eastAsia="zh-CN"/>
        </w:rPr>
        <w:t>LF</w:t>
      </w:r>
      <w:r w:rsidR="000E3145">
        <w:rPr>
          <w:rFonts w:ascii="华文楷体" w:hAnsi="华文楷体" w:hint="eastAsia"/>
          <w:sz w:val="24"/>
          <w:szCs w:val="24"/>
          <w:lang w:eastAsia="zh-CN"/>
        </w:rPr>
        <w:t>等量续作</w:t>
      </w:r>
      <w:r w:rsidR="00B81E73">
        <w:rPr>
          <w:rFonts w:ascii="华文楷体" w:hAnsi="华文楷体" w:hint="eastAsia"/>
          <w:sz w:val="24"/>
          <w:szCs w:val="24"/>
          <w:lang w:eastAsia="zh-CN"/>
        </w:rPr>
        <w:t>。</w:t>
      </w:r>
      <w:r w:rsidR="00FF2720">
        <w:rPr>
          <w:rFonts w:ascii="华文楷体" w:hAnsi="华文楷体" w:hint="eastAsia"/>
          <w:sz w:val="24"/>
          <w:szCs w:val="24"/>
          <w:lang w:eastAsia="zh-CN"/>
        </w:rPr>
        <w:t>上周最后一个交易日</w:t>
      </w:r>
      <w:r>
        <w:rPr>
          <w:rFonts w:ascii="华文楷体" w:hAnsi="华文楷体" w:hint="eastAsia"/>
          <w:sz w:val="24"/>
          <w:szCs w:val="24"/>
          <w:lang w:eastAsia="zh-CN"/>
        </w:rPr>
        <w:t>隔夜</w:t>
      </w:r>
      <w:r w:rsidR="00D9413F">
        <w:rPr>
          <w:rFonts w:ascii="华文楷体" w:hAnsi="华文楷体" w:hint="eastAsia"/>
          <w:sz w:val="24"/>
          <w:szCs w:val="24"/>
          <w:lang w:eastAsia="zh-CN"/>
        </w:rPr>
        <w:t>较</w:t>
      </w:r>
      <w:r w:rsidR="00FF2720">
        <w:rPr>
          <w:rFonts w:ascii="华文楷体" w:hAnsi="华文楷体" w:hint="eastAsia"/>
          <w:sz w:val="24"/>
          <w:szCs w:val="24"/>
          <w:lang w:eastAsia="zh-CN"/>
        </w:rPr>
        <w:t>前一</w:t>
      </w:r>
      <w:r w:rsidR="00D9413F">
        <w:rPr>
          <w:rFonts w:ascii="华文楷体" w:hAnsi="华文楷体" w:hint="eastAsia"/>
          <w:sz w:val="24"/>
          <w:szCs w:val="24"/>
          <w:lang w:eastAsia="zh-CN"/>
        </w:rPr>
        <w:t>周</w:t>
      </w:r>
      <w:r w:rsidR="002D361C">
        <w:rPr>
          <w:rFonts w:ascii="华文楷体" w:hAnsi="华文楷体" w:hint="eastAsia"/>
          <w:sz w:val="24"/>
          <w:szCs w:val="24"/>
          <w:lang w:eastAsia="zh-CN"/>
        </w:rPr>
        <w:t>上行</w:t>
      </w:r>
      <w:r w:rsidR="00DA0B17">
        <w:rPr>
          <w:rFonts w:ascii="华文楷体" w:hAnsi="华文楷体"/>
          <w:sz w:val="24"/>
          <w:szCs w:val="24"/>
          <w:lang w:eastAsia="zh-CN"/>
        </w:rPr>
        <w:t>33</w:t>
      </w:r>
      <w:r w:rsidR="002D361C">
        <w:rPr>
          <w:rFonts w:ascii="华文楷体" w:hAnsi="华文楷体" w:hint="eastAsia"/>
          <w:sz w:val="24"/>
          <w:szCs w:val="24"/>
          <w:lang w:eastAsia="zh-CN"/>
        </w:rPr>
        <w:t>BP至</w:t>
      </w:r>
      <w:r w:rsidR="00DA0B17">
        <w:rPr>
          <w:rFonts w:ascii="华文楷体" w:hAnsi="华文楷体"/>
          <w:sz w:val="24"/>
          <w:szCs w:val="24"/>
          <w:lang w:eastAsia="zh-CN"/>
        </w:rPr>
        <w:t>2.16</w:t>
      </w:r>
      <w:r w:rsidR="00D9413F">
        <w:rPr>
          <w:rFonts w:ascii="华文楷体" w:hAnsi="华文楷体" w:hint="eastAsia"/>
          <w:sz w:val="24"/>
          <w:szCs w:val="24"/>
          <w:lang w:eastAsia="zh-CN"/>
        </w:rPr>
        <w:t>%，</w:t>
      </w:r>
      <w:r>
        <w:rPr>
          <w:rFonts w:ascii="华文楷体" w:hAnsi="华文楷体" w:hint="eastAsia"/>
          <w:sz w:val="24"/>
          <w:szCs w:val="24"/>
          <w:lang w:eastAsia="zh-CN"/>
        </w:rPr>
        <w:t>7天</w:t>
      </w:r>
      <w:r w:rsidR="002D361C">
        <w:rPr>
          <w:rFonts w:ascii="华文楷体" w:hAnsi="华文楷体" w:hint="eastAsia"/>
          <w:sz w:val="24"/>
          <w:szCs w:val="24"/>
          <w:lang w:eastAsia="zh-CN"/>
        </w:rPr>
        <w:t>上</w:t>
      </w:r>
      <w:r w:rsidR="009C77AF">
        <w:rPr>
          <w:rFonts w:ascii="华文楷体" w:hAnsi="华文楷体" w:hint="eastAsia"/>
          <w:sz w:val="24"/>
          <w:szCs w:val="24"/>
          <w:lang w:eastAsia="zh-CN"/>
        </w:rPr>
        <w:t>行</w:t>
      </w:r>
      <w:r w:rsidR="00DA0B17">
        <w:rPr>
          <w:rFonts w:ascii="华文楷体" w:hAnsi="华文楷体"/>
          <w:sz w:val="24"/>
          <w:szCs w:val="24"/>
          <w:lang w:eastAsia="zh-CN"/>
        </w:rPr>
        <w:t>13</w:t>
      </w:r>
      <w:r w:rsidR="00D9413F">
        <w:rPr>
          <w:rFonts w:ascii="华文楷体" w:hAnsi="华文楷体" w:hint="eastAsia"/>
          <w:sz w:val="24"/>
          <w:szCs w:val="24"/>
          <w:lang w:eastAsia="zh-CN"/>
        </w:rPr>
        <w:t>BP至</w:t>
      </w:r>
      <w:r w:rsidR="00DA0B17">
        <w:rPr>
          <w:rFonts w:ascii="华文楷体" w:hAnsi="华文楷体"/>
          <w:sz w:val="24"/>
          <w:szCs w:val="24"/>
          <w:lang w:eastAsia="zh-CN"/>
        </w:rPr>
        <w:t>2.19</w:t>
      </w:r>
      <w:r>
        <w:rPr>
          <w:rFonts w:ascii="华文楷体" w:hAnsi="华文楷体" w:hint="eastAsia"/>
          <w:sz w:val="24"/>
          <w:szCs w:val="24"/>
          <w:lang w:eastAsia="zh-CN"/>
        </w:rPr>
        <w:t>%</w:t>
      </w:r>
      <w:r w:rsidR="007F77B5">
        <w:rPr>
          <w:rFonts w:ascii="华文楷体" w:hAnsi="华文楷体" w:hint="eastAsia"/>
          <w:sz w:val="24"/>
          <w:szCs w:val="24"/>
          <w:lang w:eastAsia="zh-CN"/>
        </w:rPr>
        <w:t>，</w:t>
      </w:r>
      <w:r w:rsidR="009C77AF">
        <w:rPr>
          <w:rFonts w:ascii="华文楷体" w:hAnsi="华文楷体" w:hint="eastAsia"/>
          <w:sz w:val="24"/>
          <w:szCs w:val="24"/>
          <w:lang w:eastAsia="zh-CN"/>
        </w:rPr>
        <w:t>开盘利率</w:t>
      </w:r>
      <w:r w:rsidR="00DA0B17">
        <w:rPr>
          <w:rFonts w:ascii="华文楷体" w:hAnsi="华文楷体" w:hint="eastAsia"/>
          <w:sz w:val="24"/>
          <w:szCs w:val="24"/>
          <w:lang w:eastAsia="zh-CN"/>
        </w:rPr>
        <w:t>未变化</w:t>
      </w:r>
      <w:r w:rsidR="002D361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60E58867" w14:textId="77777777" w:rsidTr="005671F6">
        <w:trPr>
          <w:jc w:val="center"/>
        </w:trPr>
        <w:tc>
          <w:tcPr>
            <w:tcW w:w="4939" w:type="dxa"/>
            <w:vAlign w:val="center"/>
          </w:tcPr>
          <w:p w14:paraId="17724E9F" w14:textId="1A5A88F2" w:rsidR="00E0626C" w:rsidRPr="006A5F34" w:rsidRDefault="00E0626C" w:rsidP="009A2BA0">
            <w:pPr>
              <w:pStyle w:val="ChartHeading"/>
              <w:jc w:val="both"/>
            </w:pPr>
            <w:bookmarkStart w:id="1" w:name="_Hlk12804578"/>
            <w:r w:rsidRPr="006A5F34">
              <w:rPr>
                <w:rFonts w:hint="eastAsia"/>
              </w:rPr>
              <w:t>图表</w:t>
            </w:r>
            <w:r w:rsidRPr="006A5F34">
              <w:t xml:space="preserve">. </w:t>
            </w:r>
            <w:r>
              <w:rPr>
                <w:rFonts w:hint="eastAsia"/>
              </w:rPr>
              <w:t>央行公开市场</w:t>
            </w:r>
            <w:r w:rsidR="00065B19">
              <w:rPr>
                <w:rFonts w:hint="eastAsia"/>
              </w:rPr>
              <w:t>逆回购</w:t>
            </w:r>
            <w:r>
              <w:rPr>
                <w:rFonts w:hint="eastAsia"/>
              </w:rPr>
              <w:t>操作</w:t>
            </w:r>
          </w:p>
        </w:tc>
        <w:tc>
          <w:tcPr>
            <w:tcW w:w="4938" w:type="dxa"/>
            <w:vAlign w:val="center"/>
          </w:tcPr>
          <w:p w14:paraId="173ED7B2" w14:textId="65A78209" w:rsidR="00E0626C" w:rsidRPr="006A5F34" w:rsidRDefault="00E0626C" w:rsidP="009A2BA0">
            <w:pPr>
              <w:pStyle w:val="ChartHeading"/>
              <w:jc w:val="both"/>
            </w:pPr>
            <w:r w:rsidRPr="006A5F34">
              <w:rPr>
                <w:rFonts w:hint="eastAsia"/>
              </w:rPr>
              <w:t>图表</w:t>
            </w:r>
            <w:r w:rsidRPr="006A5F34">
              <w:t xml:space="preserve">. </w:t>
            </w:r>
            <w:r>
              <w:rPr>
                <w:rFonts w:hint="eastAsia"/>
              </w:rPr>
              <w:t>DR</w:t>
            </w:r>
            <w:r>
              <w:t>007</w:t>
            </w:r>
            <w:r>
              <w:rPr>
                <w:rFonts w:hint="eastAsia"/>
              </w:rPr>
              <w:t>与</w:t>
            </w:r>
            <w:r>
              <w:rPr>
                <w:rFonts w:hint="eastAsia"/>
              </w:rPr>
              <w:t>R</w:t>
            </w:r>
            <w:r>
              <w:t>007</w:t>
            </w:r>
            <w:r>
              <w:rPr>
                <w:rFonts w:hint="eastAsia"/>
              </w:rPr>
              <w:t>走势</w:t>
            </w:r>
          </w:p>
        </w:tc>
      </w:tr>
      <w:tr w:rsidR="00E0626C" w:rsidRPr="006A5F34" w14:paraId="794C3731" w14:textId="77777777" w:rsidTr="000E3145">
        <w:tblPrEx>
          <w:tblCellMar>
            <w:left w:w="108" w:type="dxa"/>
            <w:right w:w="108" w:type="dxa"/>
          </w:tblCellMar>
        </w:tblPrEx>
        <w:trPr>
          <w:jc w:val="center"/>
        </w:trPr>
        <w:tc>
          <w:tcPr>
            <w:tcW w:w="4939" w:type="dxa"/>
            <w:vAlign w:val="center"/>
          </w:tcPr>
          <w:p w14:paraId="60AEAEDC" w14:textId="0043ED5E" w:rsidR="00E0626C" w:rsidRPr="003C6AC1" w:rsidRDefault="000E3145" w:rsidP="009A2BA0">
            <w:pPr>
              <w:jc w:val="center"/>
              <w:rPr>
                <w:noProof/>
                <w:sz w:val="20"/>
              </w:rPr>
            </w:pPr>
            <w:r>
              <w:rPr>
                <w:noProof/>
              </w:rPr>
              <w:drawing>
                <wp:inline distT="0" distB="0" distL="0" distR="0" wp14:anchorId="48F5D8E2" wp14:editId="647961FA">
                  <wp:extent cx="2999105" cy="1755941"/>
                  <wp:effectExtent l="0" t="0" r="0" b="0"/>
                  <wp:docPr id="1" name="图表 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0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tc>
        <w:tc>
          <w:tcPr>
            <w:tcW w:w="4938" w:type="dxa"/>
            <w:vAlign w:val="center"/>
          </w:tcPr>
          <w:p w14:paraId="287706CA" w14:textId="79479020" w:rsidR="00E0626C" w:rsidRPr="00F62F43" w:rsidRDefault="000E3145" w:rsidP="009A2BA0">
            <w:pPr>
              <w:jc w:val="center"/>
              <w:rPr>
                <w:noProof/>
                <w:sz w:val="16"/>
                <w:szCs w:val="18"/>
              </w:rPr>
            </w:pPr>
            <w:r>
              <w:rPr>
                <w:noProof/>
              </w:rPr>
              <w:drawing>
                <wp:inline distT="0" distB="0" distL="0" distR="0" wp14:anchorId="49712186" wp14:editId="29A90169">
                  <wp:extent cx="3077155" cy="1767205"/>
                  <wp:effectExtent l="0" t="0" r="0" b="4445"/>
                  <wp:docPr id="6" name="图表 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1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tc>
      </w:tr>
      <w:tr w:rsidR="00E0626C" w:rsidRPr="006A5F34" w14:paraId="59562A2C" w14:textId="77777777" w:rsidTr="005671F6">
        <w:trPr>
          <w:trHeight w:val="64"/>
          <w:jc w:val="center"/>
        </w:trPr>
        <w:tc>
          <w:tcPr>
            <w:tcW w:w="4939" w:type="dxa"/>
            <w:vAlign w:val="center"/>
          </w:tcPr>
          <w:p w14:paraId="7BEE3B66"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7D69A7C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bookmarkEnd w:id="1"/>
    </w:tbl>
    <w:p w14:paraId="599CD2B1" w14:textId="77777777" w:rsidR="00E0626C" w:rsidRPr="004003D2" w:rsidRDefault="00E0626C" w:rsidP="009A2BA0">
      <w:pPr>
        <w:pStyle w:val="Body-text"/>
        <w:spacing w:after="0"/>
        <w:rPr>
          <w:lang w:eastAsia="zh-CN"/>
        </w:rPr>
      </w:pPr>
    </w:p>
    <w:p w14:paraId="704BC20A" w14:textId="65C0D621" w:rsidR="00E0626C" w:rsidRPr="00C73E5D" w:rsidRDefault="00E0626C" w:rsidP="009A2BA0">
      <w:pPr>
        <w:pStyle w:val="Header2"/>
        <w:rPr>
          <w:rFonts w:eastAsia="PMingLiU"/>
          <w:sz w:val="28"/>
          <w:szCs w:val="21"/>
        </w:rPr>
      </w:pPr>
      <w:r>
        <w:rPr>
          <w:sz w:val="28"/>
          <w:szCs w:val="21"/>
          <w:lang w:eastAsia="zh-CN"/>
        </w:rPr>
        <w:t>2</w:t>
      </w:r>
      <w:r>
        <w:rPr>
          <w:rFonts w:hint="eastAsia"/>
          <w:sz w:val="28"/>
          <w:szCs w:val="21"/>
          <w:lang w:eastAsia="zh-CN"/>
        </w:rPr>
        <w:t>、</w:t>
      </w:r>
      <w:r>
        <w:rPr>
          <w:rFonts w:hint="eastAsia"/>
          <w:sz w:val="28"/>
          <w:szCs w:val="21"/>
        </w:rPr>
        <w:t>利率债</w:t>
      </w:r>
    </w:p>
    <w:p w14:paraId="33F356F9" w14:textId="5EF54B94" w:rsidR="00A917BC" w:rsidRPr="00A917BC" w:rsidRDefault="00F45C6B" w:rsidP="00A917BC">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国债品种超短期限适度</w:t>
      </w:r>
      <w:r w:rsidR="00DA0B17">
        <w:rPr>
          <w:rFonts w:ascii="华文楷体" w:hAnsi="华文楷体" w:hint="eastAsia"/>
          <w:sz w:val="24"/>
          <w:szCs w:val="24"/>
          <w:lang w:eastAsia="zh-CN"/>
        </w:rPr>
        <w:t>调整</w:t>
      </w:r>
      <w:r>
        <w:rPr>
          <w:rFonts w:ascii="华文楷体" w:hAnsi="华文楷体" w:hint="eastAsia"/>
          <w:sz w:val="24"/>
          <w:szCs w:val="24"/>
          <w:lang w:eastAsia="zh-CN"/>
        </w:rPr>
        <w:t>，中长期</w:t>
      </w:r>
      <w:proofErr w:type="gramStart"/>
      <w:r>
        <w:rPr>
          <w:rFonts w:ascii="华文楷体" w:hAnsi="华文楷体" w:hint="eastAsia"/>
          <w:sz w:val="24"/>
          <w:szCs w:val="24"/>
          <w:lang w:eastAsia="zh-CN"/>
        </w:rPr>
        <w:t>限相对</w:t>
      </w:r>
      <w:proofErr w:type="gramEnd"/>
      <w:r>
        <w:rPr>
          <w:rFonts w:ascii="华文楷体" w:hAnsi="华文楷体" w:hint="eastAsia"/>
          <w:sz w:val="24"/>
          <w:szCs w:val="24"/>
          <w:lang w:eastAsia="zh-CN"/>
        </w:rPr>
        <w:t>稳定震荡走势为主</w:t>
      </w:r>
      <w:r w:rsidR="00012CA5">
        <w:rPr>
          <w:rFonts w:ascii="华文楷体" w:hAnsi="华文楷体" w:hint="eastAsia"/>
          <w:sz w:val="24"/>
          <w:szCs w:val="24"/>
          <w:lang w:eastAsia="zh-CN"/>
        </w:rPr>
        <w:t>小幅下行，尤其是中长期</w:t>
      </w:r>
      <w:proofErr w:type="gramStart"/>
      <w:r w:rsidR="00012CA5">
        <w:rPr>
          <w:rFonts w:ascii="华文楷体" w:hAnsi="华文楷体" w:hint="eastAsia"/>
          <w:sz w:val="24"/>
          <w:szCs w:val="24"/>
          <w:lang w:eastAsia="zh-CN"/>
        </w:rPr>
        <w:t>限品种</w:t>
      </w:r>
      <w:proofErr w:type="gramEnd"/>
      <w:r w:rsidR="00012CA5">
        <w:rPr>
          <w:rFonts w:ascii="华文楷体" w:hAnsi="华文楷体" w:hint="eastAsia"/>
          <w:sz w:val="24"/>
          <w:szCs w:val="24"/>
          <w:lang w:eastAsia="zh-CN"/>
        </w:rPr>
        <w:t>近一周表现相对较好，本周国债表现略好于证金债</w:t>
      </w:r>
      <w:r w:rsidR="0016431D">
        <w:rPr>
          <w:rFonts w:ascii="华文楷体" w:hAnsi="华文楷体" w:hint="eastAsia"/>
          <w:sz w:val="24"/>
          <w:szCs w:val="24"/>
          <w:lang w:eastAsia="zh-CN"/>
        </w:rPr>
        <w:t>。市场表现情况</w:t>
      </w:r>
      <w:r w:rsidR="00F62F43">
        <w:rPr>
          <w:rFonts w:ascii="华文楷体" w:hAnsi="华文楷体" w:hint="eastAsia"/>
          <w:sz w:val="24"/>
          <w:szCs w:val="24"/>
          <w:lang w:eastAsia="zh-CN"/>
        </w:rPr>
        <w:t>，</w:t>
      </w:r>
      <w:r w:rsidR="00A327C0">
        <w:rPr>
          <w:rFonts w:ascii="华文楷体" w:hAnsi="华文楷体" w:hint="eastAsia"/>
          <w:sz w:val="24"/>
          <w:szCs w:val="24"/>
          <w:lang w:eastAsia="zh-CN"/>
        </w:rPr>
        <w:t>国债10</w:t>
      </w:r>
      <w:r w:rsidR="00A805AE">
        <w:rPr>
          <w:rFonts w:ascii="华文楷体" w:hAnsi="华文楷体" w:hint="eastAsia"/>
          <w:sz w:val="24"/>
          <w:szCs w:val="24"/>
          <w:lang w:eastAsia="zh-CN"/>
        </w:rPr>
        <w:t>Y</w:t>
      </w:r>
      <w:r w:rsidR="00A327C0">
        <w:rPr>
          <w:rFonts w:ascii="华文楷体" w:hAnsi="华文楷体" w:hint="eastAsia"/>
          <w:sz w:val="24"/>
          <w:szCs w:val="24"/>
          <w:lang w:eastAsia="zh-CN"/>
        </w:rPr>
        <w:t>和1Y期限利差</w:t>
      </w:r>
      <w:r w:rsidR="00F62F43">
        <w:rPr>
          <w:rFonts w:ascii="华文楷体" w:hAnsi="华文楷体" w:hint="eastAsia"/>
          <w:sz w:val="24"/>
          <w:szCs w:val="24"/>
          <w:lang w:eastAsia="zh-CN"/>
        </w:rPr>
        <w:t>在</w:t>
      </w:r>
      <w:r w:rsidR="00B20149">
        <w:rPr>
          <w:rFonts w:ascii="华文楷体" w:hAnsi="华文楷体"/>
          <w:sz w:val="24"/>
          <w:szCs w:val="24"/>
          <w:lang w:eastAsia="zh-CN"/>
        </w:rPr>
        <w:t>60</w:t>
      </w:r>
      <w:r w:rsidR="002F2A1A">
        <w:rPr>
          <w:rFonts w:ascii="华文楷体" w:hAnsi="华文楷体" w:hint="eastAsia"/>
          <w:sz w:val="24"/>
          <w:szCs w:val="24"/>
          <w:lang w:eastAsia="zh-CN"/>
        </w:rPr>
        <w:t>BP</w:t>
      </w:r>
      <w:r w:rsidR="00F62F43">
        <w:rPr>
          <w:rFonts w:ascii="华文楷体" w:hAnsi="华文楷体" w:hint="eastAsia"/>
          <w:sz w:val="24"/>
          <w:szCs w:val="24"/>
          <w:lang w:eastAsia="zh-CN"/>
        </w:rPr>
        <w:t>，</w:t>
      </w:r>
      <w:proofErr w:type="gramStart"/>
      <w:r w:rsidR="00F62F43">
        <w:rPr>
          <w:rFonts w:ascii="华文楷体" w:hAnsi="华文楷体" w:hint="eastAsia"/>
          <w:sz w:val="24"/>
          <w:szCs w:val="24"/>
          <w:lang w:eastAsia="zh-CN"/>
        </w:rPr>
        <w:t>国开债</w:t>
      </w:r>
      <w:proofErr w:type="gramEnd"/>
      <w:r w:rsidR="00F62F43">
        <w:rPr>
          <w:rFonts w:ascii="华文楷体" w:hAnsi="华文楷体" w:hint="eastAsia"/>
          <w:sz w:val="24"/>
          <w:szCs w:val="24"/>
          <w:lang w:eastAsia="zh-CN"/>
        </w:rPr>
        <w:t>10Y与1Y利差在</w:t>
      </w:r>
      <w:r w:rsidR="00B20149">
        <w:rPr>
          <w:rFonts w:ascii="华文楷体" w:hAnsi="华文楷体"/>
          <w:sz w:val="24"/>
          <w:szCs w:val="24"/>
          <w:lang w:eastAsia="zh-CN"/>
        </w:rPr>
        <w:t>87</w:t>
      </w:r>
      <w:r w:rsidR="00F62F43">
        <w:rPr>
          <w:rFonts w:ascii="华文楷体" w:hAnsi="华文楷体" w:hint="eastAsia"/>
          <w:sz w:val="24"/>
          <w:szCs w:val="24"/>
          <w:lang w:eastAsia="zh-CN"/>
        </w:rPr>
        <w:t>BP</w:t>
      </w:r>
      <w:r w:rsidR="006C1830">
        <w:rPr>
          <w:rFonts w:ascii="华文楷体" w:hAnsi="华文楷体"/>
          <w:sz w:val="24"/>
          <w:szCs w:val="24"/>
          <w:lang w:eastAsia="zh-CN"/>
        </w:rPr>
        <w:t>。</w:t>
      </w:r>
      <w:r w:rsidR="0092340D">
        <w:rPr>
          <w:rFonts w:ascii="华文楷体" w:hAnsi="华文楷体" w:hint="eastAsia"/>
          <w:sz w:val="24"/>
          <w:szCs w:val="24"/>
          <w:lang w:eastAsia="zh-CN"/>
        </w:rPr>
        <w:t>最终，</w:t>
      </w:r>
      <w:r w:rsidR="00202D86">
        <w:rPr>
          <w:rFonts w:ascii="华文楷体" w:hAnsi="华文楷体" w:hint="eastAsia"/>
          <w:sz w:val="24"/>
          <w:szCs w:val="24"/>
          <w:lang w:eastAsia="zh-CN"/>
        </w:rPr>
        <w:t>1</w:t>
      </w:r>
      <w:r w:rsidR="00202D86">
        <w:rPr>
          <w:rFonts w:ascii="华文楷体" w:hAnsi="华文楷体"/>
          <w:sz w:val="24"/>
          <w:szCs w:val="24"/>
          <w:lang w:eastAsia="zh-CN"/>
        </w:rPr>
        <w:t>0</w:t>
      </w:r>
      <w:r w:rsidR="00202D86">
        <w:rPr>
          <w:rFonts w:ascii="华文楷体" w:hAnsi="华文楷体" w:hint="eastAsia"/>
          <w:sz w:val="24"/>
          <w:szCs w:val="24"/>
          <w:lang w:eastAsia="zh-CN"/>
        </w:rPr>
        <w:t>Y国债</w:t>
      </w:r>
      <w:r w:rsidR="00B20149">
        <w:rPr>
          <w:rFonts w:ascii="华文楷体" w:hAnsi="华文楷体" w:hint="eastAsia"/>
          <w:sz w:val="24"/>
          <w:szCs w:val="24"/>
          <w:lang w:eastAsia="zh-CN"/>
        </w:rPr>
        <w:t>下行2</w:t>
      </w:r>
      <w:r w:rsidR="00B20149">
        <w:rPr>
          <w:rFonts w:ascii="华文楷体" w:hAnsi="华文楷体"/>
          <w:sz w:val="24"/>
          <w:szCs w:val="24"/>
          <w:lang w:eastAsia="zh-CN"/>
        </w:rPr>
        <w:t>.5</w:t>
      </w:r>
      <w:r w:rsidR="00087119">
        <w:rPr>
          <w:rFonts w:ascii="华文楷体" w:hAnsi="华文楷体"/>
          <w:sz w:val="24"/>
          <w:szCs w:val="24"/>
          <w:lang w:eastAsia="zh-CN"/>
        </w:rPr>
        <w:t>B</w:t>
      </w:r>
      <w:r w:rsidR="0092340D">
        <w:rPr>
          <w:rFonts w:ascii="华文楷体" w:hAnsi="华文楷体" w:hint="eastAsia"/>
          <w:sz w:val="24"/>
          <w:szCs w:val="24"/>
          <w:lang w:eastAsia="zh-CN"/>
        </w:rPr>
        <w:t>P，10Y</w:t>
      </w:r>
      <w:proofErr w:type="gramStart"/>
      <w:r w:rsidR="00202D86">
        <w:rPr>
          <w:rFonts w:ascii="华文楷体" w:hAnsi="华文楷体" w:hint="eastAsia"/>
          <w:sz w:val="24"/>
          <w:szCs w:val="24"/>
          <w:lang w:eastAsia="zh-CN"/>
        </w:rPr>
        <w:t>国开</w:t>
      </w:r>
      <w:r w:rsidR="004F02B1">
        <w:rPr>
          <w:rFonts w:ascii="华文楷体" w:hAnsi="华文楷体" w:hint="eastAsia"/>
          <w:sz w:val="24"/>
          <w:szCs w:val="24"/>
          <w:lang w:eastAsia="zh-CN"/>
        </w:rPr>
        <w:t>债</w:t>
      </w:r>
      <w:r w:rsidR="006E4B59">
        <w:rPr>
          <w:rFonts w:ascii="华文楷体" w:hAnsi="华文楷体" w:hint="eastAsia"/>
          <w:sz w:val="24"/>
          <w:szCs w:val="24"/>
          <w:lang w:eastAsia="zh-CN"/>
        </w:rPr>
        <w:t>下行</w:t>
      </w:r>
      <w:proofErr w:type="gramEnd"/>
      <w:r w:rsidR="00B20149">
        <w:rPr>
          <w:rFonts w:ascii="华文楷体" w:hAnsi="华文楷体"/>
          <w:sz w:val="24"/>
          <w:szCs w:val="24"/>
          <w:lang w:eastAsia="zh-CN"/>
        </w:rPr>
        <w:t>2.2</w:t>
      </w:r>
      <w:r w:rsidR="00202D86">
        <w:rPr>
          <w:rFonts w:ascii="华文楷体" w:hAnsi="华文楷体" w:hint="eastAsia"/>
          <w:sz w:val="24"/>
          <w:szCs w:val="24"/>
          <w:lang w:eastAsia="zh-CN"/>
        </w:rPr>
        <w:t>BP</w:t>
      </w:r>
      <w:r w:rsidR="0092340D">
        <w:rPr>
          <w:rFonts w:ascii="华文楷体" w:hAnsi="华文楷体" w:hint="eastAsia"/>
          <w:sz w:val="24"/>
          <w:szCs w:val="24"/>
          <w:lang w:eastAsia="zh-CN"/>
        </w:rPr>
        <w:t>，</w:t>
      </w:r>
      <w:r w:rsidR="003848B1">
        <w:rPr>
          <w:rFonts w:ascii="华文楷体" w:hAnsi="华文楷体" w:hint="eastAsia"/>
          <w:sz w:val="24"/>
          <w:szCs w:val="24"/>
          <w:lang w:eastAsia="zh-CN"/>
        </w:rPr>
        <w:t>10Y</w:t>
      </w:r>
      <w:proofErr w:type="gramStart"/>
      <w:r w:rsidR="003848B1">
        <w:rPr>
          <w:rFonts w:ascii="华文楷体" w:hAnsi="华文楷体" w:hint="eastAsia"/>
          <w:sz w:val="24"/>
          <w:szCs w:val="24"/>
          <w:lang w:eastAsia="zh-CN"/>
        </w:rPr>
        <w:t>期限国开债</w:t>
      </w:r>
      <w:proofErr w:type="gramEnd"/>
      <w:r w:rsidR="003848B1">
        <w:rPr>
          <w:rFonts w:ascii="华文楷体" w:hAnsi="华文楷体" w:hint="eastAsia"/>
          <w:sz w:val="24"/>
          <w:szCs w:val="24"/>
          <w:lang w:eastAsia="zh-CN"/>
        </w:rPr>
        <w:t>和国债利</w:t>
      </w:r>
      <w:proofErr w:type="gramStart"/>
      <w:r w:rsidR="003848B1">
        <w:rPr>
          <w:rFonts w:ascii="华文楷体" w:hAnsi="华文楷体" w:hint="eastAsia"/>
          <w:sz w:val="24"/>
          <w:szCs w:val="24"/>
          <w:lang w:eastAsia="zh-CN"/>
        </w:rPr>
        <w:t>差</w:t>
      </w:r>
      <w:r w:rsidR="00B20149">
        <w:rPr>
          <w:rFonts w:ascii="华文楷体" w:hAnsi="华文楷体" w:hint="eastAsia"/>
          <w:sz w:val="24"/>
          <w:szCs w:val="24"/>
          <w:lang w:eastAsia="zh-CN"/>
        </w:rPr>
        <w:t>维持</w:t>
      </w:r>
      <w:proofErr w:type="gramEnd"/>
      <w:r w:rsidR="00B20149">
        <w:rPr>
          <w:rFonts w:ascii="华文楷体" w:hAnsi="华文楷体" w:hint="eastAsia"/>
          <w:sz w:val="24"/>
          <w:szCs w:val="24"/>
          <w:lang w:eastAsia="zh-CN"/>
        </w:rPr>
        <w:t>在</w:t>
      </w:r>
      <w:r w:rsidR="00B20149">
        <w:rPr>
          <w:rFonts w:ascii="华文楷体" w:hAnsi="华文楷体"/>
          <w:sz w:val="24"/>
          <w:szCs w:val="24"/>
          <w:lang w:eastAsia="zh-CN"/>
        </w:rPr>
        <w:t>40</w:t>
      </w:r>
      <w:r w:rsidR="00176815">
        <w:rPr>
          <w:rFonts w:ascii="华文楷体" w:hAnsi="华文楷体"/>
          <w:sz w:val="24"/>
          <w:szCs w:val="24"/>
          <w:lang w:eastAsia="zh-CN"/>
        </w:rPr>
        <w:t>B</w:t>
      </w:r>
      <w:r w:rsidR="003848B1">
        <w:rPr>
          <w:rFonts w:ascii="华文楷体" w:hAnsi="华文楷体" w:hint="eastAsia"/>
          <w:sz w:val="24"/>
          <w:szCs w:val="24"/>
          <w:lang w:eastAsia="zh-CN"/>
        </w:rPr>
        <w:t>P</w:t>
      </w:r>
      <w:r w:rsidR="00A917BC">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26C17AB1" w14:textId="77777777" w:rsidTr="00202D86">
        <w:trPr>
          <w:jc w:val="center"/>
        </w:trPr>
        <w:tc>
          <w:tcPr>
            <w:tcW w:w="4939" w:type="dxa"/>
            <w:vAlign w:val="center"/>
          </w:tcPr>
          <w:p w14:paraId="6C73AA55" w14:textId="11937E54" w:rsidR="00E0626C" w:rsidRPr="006A5F34" w:rsidRDefault="00E0626C" w:rsidP="00BA168E">
            <w:pPr>
              <w:pStyle w:val="ChartHeading"/>
              <w:jc w:val="both"/>
            </w:pPr>
            <w:r w:rsidRPr="006A5F34">
              <w:rPr>
                <w:rFonts w:hint="eastAsia"/>
              </w:rPr>
              <w:t>图表</w:t>
            </w:r>
            <w:r w:rsidRPr="006A5F34">
              <w:t xml:space="preserve">. </w:t>
            </w:r>
            <w:r>
              <w:rPr>
                <w:rFonts w:hint="eastAsia"/>
              </w:rPr>
              <w:t>国债收益率曲线和变化</w:t>
            </w:r>
          </w:p>
        </w:tc>
        <w:tc>
          <w:tcPr>
            <w:tcW w:w="4938" w:type="dxa"/>
            <w:vAlign w:val="center"/>
          </w:tcPr>
          <w:p w14:paraId="2C5A7EDC" w14:textId="7D7F9BC1" w:rsidR="00E0626C" w:rsidRPr="006A5F34" w:rsidRDefault="00E0626C" w:rsidP="009A2BA0">
            <w:pPr>
              <w:pStyle w:val="ChartHeading"/>
              <w:jc w:val="both"/>
            </w:pPr>
            <w:r w:rsidRPr="006A5F34">
              <w:rPr>
                <w:rFonts w:hint="eastAsia"/>
              </w:rPr>
              <w:t>图表</w:t>
            </w:r>
            <w:r w:rsidRPr="006A5F34">
              <w:t xml:space="preserve">. </w:t>
            </w:r>
            <w:proofErr w:type="gramStart"/>
            <w:r>
              <w:rPr>
                <w:rFonts w:hint="eastAsia"/>
              </w:rPr>
              <w:t>国开债收益率曲线</w:t>
            </w:r>
            <w:proofErr w:type="gramEnd"/>
            <w:r>
              <w:rPr>
                <w:rFonts w:hint="eastAsia"/>
              </w:rPr>
              <w:t>和变化</w:t>
            </w:r>
          </w:p>
        </w:tc>
      </w:tr>
      <w:tr w:rsidR="00E0626C" w:rsidRPr="006A5F34" w14:paraId="1094FBBD" w14:textId="77777777" w:rsidTr="00DA0B17">
        <w:tblPrEx>
          <w:tblCellMar>
            <w:left w:w="108" w:type="dxa"/>
            <w:right w:w="108" w:type="dxa"/>
          </w:tblCellMar>
        </w:tblPrEx>
        <w:trPr>
          <w:jc w:val="center"/>
        </w:trPr>
        <w:tc>
          <w:tcPr>
            <w:tcW w:w="4939" w:type="dxa"/>
            <w:vAlign w:val="center"/>
          </w:tcPr>
          <w:p w14:paraId="678C97B0" w14:textId="1602537E" w:rsidR="00E0626C" w:rsidRPr="007E0340" w:rsidRDefault="00DA0B17" w:rsidP="002104B2">
            <w:pPr>
              <w:rPr>
                <w:noProof/>
              </w:rPr>
            </w:pPr>
            <w:r>
              <w:rPr>
                <w:noProof/>
              </w:rPr>
              <w:drawing>
                <wp:inline distT="0" distB="0" distL="0" distR="0" wp14:anchorId="7249B32E" wp14:editId="0CE7C39F">
                  <wp:extent cx="2999105" cy="1723141"/>
                  <wp:effectExtent l="0" t="0" r="0" b="0"/>
                  <wp:docPr id="8" name="图表 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200-000006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tc>
        <w:tc>
          <w:tcPr>
            <w:tcW w:w="4938" w:type="dxa"/>
            <w:vAlign w:val="center"/>
          </w:tcPr>
          <w:p w14:paraId="17A42E68" w14:textId="3ADADC9D" w:rsidR="00E0626C" w:rsidRPr="007E0340" w:rsidRDefault="00DA0B17" w:rsidP="009A2BA0">
            <w:pPr>
              <w:jc w:val="center"/>
              <w:rPr>
                <w:noProof/>
                <w:szCs w:val="18"/>
              </w:rPr>
            </w:pPr>
            <w:r>
              <w:rPr>
                <w:noProof/>
              </w:rPr>
              <w:drawing>
                <wp:inline distT="0" distB="0" distL="0" distR="0" wp14:anchorId="794E396D" wp14:editId="7EE59CF2">
                  <wp:extent cx="2998470" cy="1717040"/>
                  <wp:effectExtent l="0" t="0" r="0" b="0"/>
                  <wp:docPr id="11" name="图表 11">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3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tc>
      </w:tr>
      <w:tr w:rsidR="00E0626C" w:rsidRPr="006A5F34" w14:paraId="70E50E5B" w14:textId="77777777" w:rsidTr="00202D86">
        <w:trPr>
          <w:trHeight w:val="64"/>
          <w:jc w:val="center"/>
        </w:trPr>
        <w:tc>
          <w:tcPr>
            <w:tcW w:w="4939" w:type="dxa"/>
            <w:vAlign w:val="center"/>
          </w:tcPr>
          <w:p w14:paraId="3E8A3EBA" w14:textId="77777777" w:rsidR="00E0626C" w:rsidRPr="006A5F34" w:rsidRDefault="00E0626C" w:rsidP="009A2BA0">
            <w:pPr>
              <w:pStyle w:val="Source"/>
              <w:jc w:val="both"/>
              <w:rPr>
                <w:kern w:val="0"/>
              </w:rPr>
            </w:pPr>
            <w:r w:rsidRPr="006A5F34">
              <w:rPr>
                <w:rFonts w:hint="eastAsia"/>
                <w:kern w:val="0"/>
              </w:rPr>
              <w:lastRenderedPageBreak/>
              <w:t>资料来源：万得</w:t>
            </w:r>
            <w:r>
              <w:rPr>
                <w:rFonts w:hint="eastAsia"/>
                <w:kern w:val="0"/>
              </w:rPr>
              <w:t>，富</w:t>
            </w:r>
            <w:proofErr w:type="gramStart"/>
            <w:r>
              <w:rPr>
                <w:rFonts w:hint="eastAsia"/>
                <w:kern w:val="0"/>
              </w:rPr>
              <w:t>荣基金</w:t>
            </w:r>
            <w:proofErr w:type="gramEnd"/>
          </w:p>
        </w:tc>
        <w:tc>
          <w:tcPr>
            <w:tcW w:w="4938" w:type="dxa"/>
            <w:vAlign w:val="center"/>
          </w:tcPr>
          <w:p w14:paraId="589540D5"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1E64B73D" w14:textId="1D9B94CF" w:rsidR="00E0626C" w:rsidRDefault="00E0626C" w:rsidP="009A2BA0">
      <w:pPr>
        <w:pStyle w:val="Body-text"/>
        <w:spacing w:after="0"/>
        <w:rPr>
          <w:lang w:eastAsia="zh-CN"/>
        </w:rPr>
      </w:pPr>
    </w:p>
    <w:p w14:paraId="18D67482" w14:textId="3EDA3EA7" w:rsidR="00E0626C" w:rsidRPr="00C73E5D" w:rsidRDefault="00E0626C" w:rsidP="009A2BA0">
      <w:pPr>
        <w:pStyle w:val="Header2"/>
        <w:rPr>
          <w:rFonts w:eastAsia="PMingLiU"/>
          <w:sz w:val="28"/>
          <w:szCs w:val="21"/>
        </w:rPr>
      </w:pPr>
      <w:r>
        <w:rPr>
          <w:sz w:val="28"/>
          <w:szCs w:val="21"/>
          <w:lang w:eastAsia="zh-CN"/>
        </w:rPr>
        <w:t>3</w:t>
      </w:r>
      <w:r>
        <w:rPr>
          <w:rFonts w:hint="eastAsia"/>
          <w:sz w:val="28"/>
          <w:szCs w:val="21"/>
          <w:lang w:eastAsia="zh-CN"/>
        </w:rPr>
        <w:t>、</w:t>
      </w:r>
      <w:r>
        <w:rPr>
          <w:rFonts w:hint="eastAsia"/>
          <w:sz w:val="28"/>
          <w:szCs w:val="21"/>
        </w:rPr>
        <w:t>信用债</w:t>
      </w:r>
    </w:p>
    <w:p w14:paraId="33FDD8BC" w14:textId="3DA4D584" w:rsidR="00D97370" w:rsidRPr="00D97370" w:rsidRDefault="00305223" w:rsidP="00DA6CA4">
      <w:pPr>
        <w:pStyle w:val="Body-text"/>
        <w:spacing w:after="240"/>
        <w:ind w:firstLineChars="200" w:firstLine="480"/>
        <w:rPr>
          <w:rFonts w:ascii="华文楷体" w:hAnsi="华文楷体"/>
          <w:sz w:val="24"/>
          <w:szCs w:val="24"/>
          <w:lang w:eastAsia="zh-CN"/>
        </w:rPr>
      </w:pPr>
      <w:r w:rsidRPr="00305223">
        <w:rPr>
          <w:rFonts w:ascii="华文楷体" w:hAnsi="华文楷体" w:hint="eastAsia"/>
          <w:sz w:val="24"/>
          <w:szCs w:val="24"/>
          <w:lang w:eastAsia="zh-CN"/>
        </w:rPr>
        <w:t>信用债</w:t>
      </w:r>
      <w:r w:rsidR="003F59A9">
        <w:rPr>
          <w:rFonts w:ascii="华文楷体" w:hAnsi="华文楷体" w:hint="eastAsia"/>
          <w:sz w:val="24"/>
          <w:szCs w:val="24"/>
          <w:lang w:eastAsia="zh-CN"/>
        </w:rPr>
        <w:t>方面，</w:t>
      </w:r>
      <w:r w:rsidR="00A55DFD" w:rsidRPr="00A55DFD">
        <w:rPr>
          <w:rFonts w:ascii="华文楷体" w:hAnsi="华文楷体" w:hint="eastAsia"/>
          <w:sz w:val="24"/>
          <w:szCs w:val="24"/>
          <w:lang w:eastAsia="zh-CN"/>
        </w:rPr>
        <w:t>主要期限品种震荡为主，其中1Y期限品种适度下行2-3BP；3Y中票下行0-3BP；3Y企业债上行0-1BP，5年企业债下行2-3BP，7年企业债下行1-3BP；</w:t>
      </w:r>
      <w:proofErr w:type="gramStart"/>
      <w:r w:rsidR="00A55DFD" w:rsidRPr="00A55DFD">
        <w:rPr>
          <w:rFonts w:ascii="华文楷体" w:hAnsi="华文楷体" w:hint="eastAsia"/>
          <w:sz w:val="24"/>
          <w:szCs w:val="24"/>
          <w:lang w:eastAsia="zh-CN"/>
        </w:rPr>
        <w:t>城投债品种</w:t>
      </w:r>
      <w:proofErr w:type="gramEnd"/>
      <w:r w:rsidR="00A55DFD" w:rsidRPr="00A55DFD">
        <w:rPr>
          <w:rFonts w:ascii="华文楷体" w:hAnsi="华文楷体" w:hint="eastAsia"/>
          <w:sz w:val="24"/>
          <w:szCs w:val="24"/>
          <w:lang w:eastAsia="zh-CN"/>
        </w:rPr>
        <w:t>适度调整，除AA+5年期限品种上行4.7BP幅度相对明显，其他期限</w:t>
      </w:r>
      <w:proofErr w:type="gramStart"/>
      <w:r w:rsidR="00A55DFD" w:rsidRPr="00A55DFD">
        <w:rPr>
          <w:rFonts w:ascii="华文楷体" w:hAnsi="华文楷体" w:hint="eastAsia"/>
          <w:sz w:val="24"/>
          <w:szCs w:val="24"/>
          <w:lang w:eastAsia="zh-CN"/>
        </w:rPr>
        <w:t>城投债品种</w:t>
      </w:r>
      <w:proofErr w:type="gramEnd"/>
      <w:r w:rsidR="00A55DFD" w:rsidRPr="00A55DFD">
        <w:rPr>
          <w:rFonts w:ascii="华文楷体" w:hAnsi="华文楷体" w:hint="eastAsia"/>
          <w:sz w:val="24"/>
          <w:szCs w:val="24"/>
          <w:lang w:eastAsia="zh-CN"/>
        </w:rPr>
        <w:t>小幅震荡为主。</w:t>
      </w:r>
      <w:r w:rsidR="00DA6CA4">
        <w:rPr>
          <w:rFonts w:ascii="华文楷体" w:hAnsi="华文楷体" w:hint="eastAsia"/>
          <w:sz w:val="24"/>
          <w:szCs w:val="24"/>
          <w:lang w:eastAsia="zh-CN"/>
        </w:rPr>
        <w:t>具体来看</w:t>
      </w:r>
      <w:r w:rsidR="00602D14">
        <w:rPr>
          <w:rFonts w:ascii="华文楷体" w:hAnsi="华文楷体" w:hint="eastAsia"/>
          <w:sz w:val="24"/>
          <w:szCs w:val="24"/>
          <w:lang w:eastAsia="zh-CN"/>
        </w:rPr>
        <w:t>收益率分位数，</w:t>
      </w:r>
      <w:r w:rsidR="00305C7B">
        <w:rPr>
          <w:rFonts w:ascii="华文楷体" w:hAnsi="华文楷体" w:hint="eastAsia"/>
          <w:sz w:val="24"/>
          <w:szCs w:val="24"/>
          <w:lang w:eastAsia="zh-CN"/>
        </w:rPr>
        <w:t>1Y品种</w:t>
      </w:r>
      <w:r w:rsidR="009929B6">
        <w:rPr>
          <w:rFonts w:ascii="华文楷体" w:hAnsi="华文楷体" w:hint="eastAsia"/>
          <w:sz w:val="24"/>
          <w:szCs w:val="24"/>
          <w:lang w:eastAsia="zh-CN"/>
        </w:rPr>
        <w:t>收益率分位数</w:t>
      </w:r>
      <w:r w:rsidR="00DA6CA4">
        <w:rPr>
          <w:rFonts w:ascii="华文楷体" w:hAnsi="华文楷体" w:hint="eastAsia"/>
          <w:sz w:val="24"/>
          <w:szCs w:val="24"/>
          <w:lang w:eastAsia="zh-CN"/>
        </w:rPr>
        <w:t>在</w:t>
      </w:r>
      <w:r w:rsidR="00A55DFD">
        <w:rPr>
          <w:rFonts w:ascii="华文楷体" w:hAnsi="华文楷体"/>
          <w:sz w:val="24"/>
          <w:szCs w:val="24"/>
          <w:lang w:eastAsia="zh-CN"/>
        </w:rPr>
        <w:t>25</w:t>
      </w:r>
      <w:r w:rsidR="00A55DFD">
        <w:rPr>
          <w:rFonts w:ascii="华文楷体" w:hAnsi="华文楷体" w:hint="eastAsia"/>
          <w:sz w:val="24"/>
          <w:szCs w:val="24"/>
          <w:lang w:eastAsia="zh-CN"/>
        </w:rPr>
        <w:t>-</w:t>
      </w:r>
      <w:r w:rsidR="00A55DFD">
        <w:rPr>
          <w:rFonts w:ascii="华文楷体" w:hAnsi="华文楷体"/>
          <w:sz w:val="24"/>
          <w:szCs w:val="24"/>
          <w:lang w:eastAsia="zh-CN"/>
        </w:rPr>
        <w:t>28</w:t>
      </w:r>
      <w:r w:rsidR="00DA6CA4">
        <w:rPr>
          <w:rFonts w:ascii="华文楷体" w:hAnsi="华文楷体" w:hint="eastAsia"/>
          <w:sz w:val="24"/>
          <w:szCs w:val="24"/>
          <w:lang w:eastAsia="zh-CN"/>
        </w:rPr>
        <w:t>%</w:t>
      </w:r>
      <w:r w:rsidR="009111E9">
        <w:rPr>
          <w:rFonts w:ascii="华文楷体" w:hAnsi="华文楷体" w:hint="eastAsia"/>
          <w:sz w:val="24"/>
          <w:szCs w:val="24"/>
          <w:lang w:eastAsia="zh-CN"/>
        </w:rPr>
        <w:t>以内</w:t>
      </w:r>
      <w:r w:rsidR="009929B6">
        <w:rPr>
          <w:rFonts w:ascii="华文楷体" w:hAnsi="华文楷体" w:hint="eastAsia"/>
          <w:sz w:val="24"/>
          <w:szCs w:val="24"/>
          <w:lang w:eastAsia="zh-CN"/>
        </w:rPr>
        <w:t>；</w:t>
      </w:r>
      <w:r w:rsidR="00305C7B">
        <w:rPr>
          <w:rFonts w:ascii="华文楷体" w:hAnsi="华文楷体" w:hint="eastAsia"/>
          <w:sz w:val="24"/>
          <w:szCs w:val="24"/>
          <w:lang w:eastAsia="zh-CN"/>
        </w:rPr>
        <w:t>3Y品种</w:t>
      </w:r>
      <w:r w:rsidR="009929B6">
        <w:rPr>
          <w:rFonts w:ascii="华文楷体" w:hAnsi="华文楷体" w:hint="eastAsia"/>
          <w:sz w:val="24"/>
          <w:szCs w:val="24"/>
          <w:lang w:eastAsia="zh-CN"/>
        </w:rPr>
        <w:t>收益率分位数在</w:t>
      </w:r>
      <w:r w:rsidR="00EF3B44">
        <w:rPr>
          <w:rFonts w:ascii="华文楷体" w:hAnsi="华文楷体"/>
          <w:sz w:val="24"/>
          <w:szCs w:val="24"/>
          <w:lang w:eastAsia="zh-CN"/>
        </w:rPr>
        <w:t>2</w:t>
      </w:r>
      <w:r w:rsidR="009111E9">
        <w:rPr>
          <w:rFonts w:ascii="华文楷体" w:hAnsi="华文楷体"/>
          <w:sz w:val="24"/>
          <w:szCs w:val="24"/>
          <w:lang w:eastAsia="zh-CN"/>
        </w:rPr>
        <w:t>0</w:t>
      </w:r>
      <w:r w:rsidR="00EF3B44">
        <w:rPr>
          <w:rFonts w:ascii="华文楷体" w:hAnsi="华文楷体" w:hint="eastAsia"/>
          <w:sz w:val="24"/>
          <w:szCs w:val="24"/>
          <w:lang w:eastAsia="zh-CN"/>
        </w:rPr>
        <w:t>-</w:t>
      </w:r>
      <w:r w:rsidR="00EF3B44">
        <w:rPr>
          <w:rFonts w:ascii="华文楷体" w:hAnsi="华文楷体"/>
          <w:sz w:val="24"/>
          <w:szCs w:val="24"/>
          <w:lang w:eastAsia="zh-CN"/>
        </w:rPr>
        <w:t>3</w:t>
      </w:r>
      <w:r w:rsidR="0077705A">
        <w:rPr>
          <w:rFonts w:ascii="华文楷体" w:hAnsi="华文楷体" w:hint="eastAsia"/>
          <w:sz w:val="24"/>
          <w:szCs w:val="24"/>
          <w:lang w:eastAsia="zh-CN"/>
        </w:rPr>
        <w:t>0</w:t>
      </w:r>
      <w:r w:rsidR="009929B6">
        <w:rPr>
          <w:rFonts w:ascii="华文楷体" w:hAnsi="华文楷体" w:hint="eastAsia"/>
          <w:sz w:val="24"/>
          <w:szCs w:val="24"/>
          <w:lang w:eastAsia="zh-CN"/>
        </w:rPr>
        <w:t>%</w:t>
      </w:r>
      <w:r w:rsidR="00DA6CA4">
        <w:rPr>
          <w:rFonts w:ascii="华文楷体" w:hAnsi="华文楷体" w:hint="eastAsia"/>
          <w:sz w:val="24"/>
          <w:szCs w:val="24"/>
          <w:lang w:eastAsia="zh-CN"/>
        </w:rPr>
        <w:t>区间</w:t>
      </w:r>
      <w:r w:rsidR="009929B6">
        <w:rPr>
          <w:rFonts w:ascii="华文楷体" w:hAnsi="华文楷体" w:hint="eastAsia"/>
          <w:sz w:val="24"/>
          <w:szCs w:val="24"/>
          <w:lang w:eastAsia="zh-CN"/>
        </w:rPr>
        <w:t>。5</w:t>
      </w:r>
      <w:r w:rsidR="009929B6">
        <w:rPr>
          <w:rFonts w:ascii="华文楷体" w:hAnsi="华文楷体"/>
          <w:sz w:val="24"/>
          <w:szCs w:val="24"/>
          <w:lang w:eastAsia="zh-CN"/>
        </w:rPr>
        <w:t>Y</w:t>
      </w:r>
      <w:r w:rsidR="009929B6">
        <w:rPr>
          <w:rFonts w:ascii="华文楷体" w:hAnsi="华文楷体" w:hint="eastAsia"/>
          <w:sz w:val="24"/>
          <w:szCs w:val="24"/>
          <w:lang w:eastAsia="zh-CN"/>
        </w:rPr>
        <w:t>及7</w:t>
      </w:r>
      <w:r w:rsidR="009929B6">
        <w:rPr>
          <w:rFonts w:ascii="华文楷体" w:hAnsi="华文楷体"/>
          <w:sz w:val="24"/>
          <w:szCs w:val="24"/>
          <w:lang w:eastAsia="zh-CN"/>
        </w:rPr>
        <w:t>Y</w:t>
      </w:r>
      <w:r w:rsidR="009929B6">
        <w:rPr>
          <w:rFonts w:ascii="华文楷体" w:hAnsi="华文楷体" w:hint="eastAsia"/>
          <w:sz w:val="24"/>
          <w:szCs w:val="24"/>
          <w:lang w:eastAsia="zh-CN"/>
        </w:rPr>
        <w:t>等</w:t>
      </w:r>
      <w:r w:rsidR="00B344C0">
        <w:rPr>
          <w:rFonts w:ascii="华文楷体" w:hAnsi="华文楷体" w:hint="eastAsia"/>
          <w:sz w:val="24"/>
          <w:szCs w:val="24"/>
          <w:lang w:eastAsia="zh-CN"/>
        </w:rPr>
        <w:t>中长期</w:t>
      </w:r>
      <w:proofErr w:type="gramStart"/>
      <w:r w:rsidR="00B344C0">
        <w:rPr>
          <w:rFonts w:ascii="华文楷体" w:hAnsi="华文楷体" w:hint="eastAsia"/>
          <w:sz w:val="24"/>
          <w:szCs w:val="24"/>
          <w:lang w:eastAsia="zh-CN"/>
        </w:rPr>
        <w:t>限品种</w:t>
      </w:r>
      <w:proofErr w:type="gramEnd"/>
      <w:r w:rsidR="00B344C0">
        <w:rPr>
          <w:rFonts w:ascii="华文楷体" w:hAnsi="华文楷体" w:hint="eastAsia"/>
          <w:sz w:val="24"/>
          <w:szCs w:val="24"/>
          <w:lang w:eastAsia="zh-CN"/>
        </w:rPr>
        <w:t>处于</w:t>
      </w:r>
      <w:r w:rsidR="0077705A">
        <w:rPr>
          <w:rFonts w:ascii="华文楷体" w:hAnsi="华文楷体" w:hint="eastAsia"/>
          <w:sz w:val="24"/>
          <w:szCs w:val="24"/>
          <w:lang w:eastAsia="zh-CN"/>
        </w:rPr>
        <w:t>8</w:t>
      </w:r>
      <w:r w:rsidR="004F1AB3">
        <w:rPr>
          <w:rFonts w:ascii="华文楷体" w:hAnsi="华文楷体" w:hint="eastAsia"/>
          <w:sz w:val="24"/>
          <w:szCs w:val="24"/>
          <w:lang w:eastAsia="zh-CN"/>
        </w:rPr>
        <w:t>-2</w:t>
      </w:r>
      <w:r w:rsidR="009111E9">
        <w:rPr>
          <w:rFonts w:ascii="华文楷体" w:hAnsi="华文楷体"/>
          <w:sz w:val="24"/>
          <w:szCs w:val="24"/>
          <w:lang w:eastAsia="zh-CN"/>
        </w:rPr>
        <w:t>5</w:t>
      </w:r>
      <w:r w:rsidR="00B344C0">
        <w:rPr>
          <w:rFonts w:ascii="华文楷体" w:hAnsi="华文楷体" w:hint="eastAsia"/>
          <w:sz w:val="24"/>
          <w:szCs w:val="24"/>
          <w:lang w:eastAsia="zh-CN"/>
        </w:rPr>
        <w:t>%</w:t>
      </w:r>
      <w:r w:rsidR="004F1AB3">
        <w:rPr>
          <w:rFonts w:ascii="华文楷体" w:hAnsi="华文楷体" w:hint="eastAsia"/>
          <w:sz w:val="24"/>
          <w:szCs w:val="24"/>
          <w:lang w:eastAsia="zh-CN"/>
        </w:rPr>
        <w:t>分位数</w:t>
      </w:r>
      <w:r w:rsidR="00A55DFD">
        <w:rPr>
          <w:rFonts w:ascii="华文楷体" w:hAnsi="华文楷体" w:hint="eastAsia"/>
          <w:sz w:val="24"/>
          <w:szCs w:val="24"/>
          <w:lang w:eastAsia="zh-CN"/>
        </w:rPr>
        <w:t>，城</w:t>
      </w:r>
      <w:proofErr w:type="gramStart"/>
      <w:r w:rsidR="00A55DFD">
        <w:rPr>
          <w:rFonts w:ascii="华文楷体" w:hAnsi="华文楷体" w:hint="eastAsia"/>
          <w:sz w:val="24"/>
          <w:szCs w:val="24"/>
          <w:lang w:eastAsia="zh-CN"/>
        </w:rPr>
        <w:t>投债整体</w:t>
      </w:r>
      <w:proofErr w:type="gramEnd"/>
      <w:r w:rsidR="00A55DFD">
        <w:rPr>
          <w:rFonts w:ascii="华文楷体" w:hAnsi="华文楷体" w:hint="eastAsia"/>
          <w:sz w:val="24"/>
          <w:szCs w:val="24"/>
          <w:lang w:eastAsia="zh-CN"/>
        </w:rPr>
        <w:t>水平还是处于相对低位。</w:t>
      </w:r>
    </w:p>
    <w:tbl>
      <w:tblPr>
        <w:tblW w:w="9713" w:type="dxa"/>
        <w:jc w:val="center"/>
        <w:tblCellMar>
          <w:left w:w="0" w:type="dxa"/>
          <w:right w:w="0" w:type="dxa"/>
        </w:tblCellMar>
        <w:tblLook w:val="01E0" w:firstRow="1" w:lastRow="1" w:firstColumn="1" w:lastColumn="1" w:noHBand="0" w:noVBand="0"/>
      </w:tblPr>
      <w:tblGrid>
        <w:gridCol w:w="9864"/>
      </w:tblGrid>
      <w:tr w:rsidR="00E0626C" w:rsidRPr="00F966B6" w14:paraId="5602CC82" w14:textId="77777777" w:rsidTr="00220902">
        <w:trPr>
          <w:trHeight w:val="360"/>
          <w:jc w:val="center"/>
        </w:trPr>
        <w:tc>
          <w:tcPr>
            <w:tcW w:w="9713" w:type="dxa"/>
            <w:vAlign w:val="center"/>
          </w:tcPr>
          <w:p w14:paraId="1C0DBC70" w14:textId="4A8BBE5E" w:rsidR="00E0626C" w:rsidRPr="006A5F34" w:rsidRDefault="00E0626C" w:rsidP="009A2BA0">
            <w:pPr>
              <w:pStyle w:val="ChartHeading"/>
              <w:jc w:val="both"/>
            </w:pPr>
            <w:r w:rsidRPr="006A5F34">
              <w:rPr>
                <w:rFonts w:hint="eastAsia"/>
              </w:rPr>
              <w:t>图表</w:t>
            </w:r>
            <w:r w:rsidRPr="006A5F34">
              <w:t xml:space="preserve">. </w:t>
            </w:r>
            <w:r w:rsidR="00F966B6">
              <w:rPr>
                <w:rFonts w:hint="eastAsia"/>
              </w:rPr>
              <w:t>信用债收益率、利差变化情况</w:t>
            </w:r>
          </w:p>
        </w:tc>
      </w:tr>
      <w:tr w:rsidR="00E0626C" w:rsidRPr="006A5F34" w14:paraId="1114B583" w14:textId="77777777" w:rsidTr="00220902">
        <w:tblPrEx>
          <w:tblCellMar>
            <w:left w:w="108" w:type="dxa"/>
            <w:right w:w="108" w:type="dxa"/>
          </w:tblCellMar>
        </w:tblPrEx>
        <w:trPr>
          <w:trHeight w:val="4663"/>
          <w:jc w:val="center"/>
        </w:trPr>
        <w:tc>
          <w:tcPr>
            <w:tcW w:w="9713" w:type="dxa"/>
            <w:vAlign w:val="center"/>
          </w:tcPr>
          <w:tbl>
            <w:tblPr>
              <w:tblW w:w="9874" w:type="dxa"/>
              <w:tblLook w:val="04A0" w:firstRow="1" w:lastRow="0" w:firstColumn="1" w:lastColumn="0" w:noHBand="0" w:noVBand="1"/>
            </w:tblPr>
            <w:tblGrid>
              <w:gridCol w:w="1332"/>
              <w:gridCol w:w="898"/>
              <w:gridCol w:w="899"/>
              <w:gridCol w:w="899"/>
              <w:gridCol w:w="898"/>
              <w:gridCol w:w="1120"/>
              <w:gridCol w:w="898"/>
              <w:gridCol w:w="898"/>
              <w:gridCol w:w="898"/>
              <w:gridCol w:w="898"/>
            </w:tblGrid>
            <w:tr w:rsidR="00A55DFD" w:rsidRPr="00A55DFD" w14:paraId="7ACA345A" w14:textId="77777777" w:rsidTr="00A55DFD">
              <w:trPr>
                <w:trHeight w:val="317"/>
              </w:trPr>
              <w:tc>
                <w:tcPr>
                  <w:tcW w:w="1366" w:type="dxa"/>
                  <w:tcBorders>
                    <w:top w:val="nil"/>
                    <w:left w:val="nil"/>
                    <w:bottom w:val="single" w:sz="12" w:space="0" w:color="FFFFFF"/>
                    <w:right w:val="single" w:sz="8" w:space="0" w:color="FFFFFF"/>
                  </w:tcBorders>
                  <w:shd w:val="clear" w:color="000000" w:fill="F79646"/>
                  <w:noWrap/>
                  <w:vAlign w:val="center"/>
                  <w:hideMark/>
                </w:tcPr>
                <w:p w14:paraId="6BD7DF7E"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收益率(%)</w:t>
                  </w:r>
                </w:p>
              </w:tc>
              <w:tc>
                <w:tcPr>
                  <w:tcW w:w="919" w:type="dxa"/>
                  <w:tcBorders>
                    <w:top w:val="nil"/>
                    <w:left w:val="nil"/>
                    <w:bottom w:val="single" w:sz="12" w:space="0" w:color="FFFFFF"/>
                    <w:right w:val="single" w:sz="8" w:space="0" w:color="FFFFFF"/>
                  </w:tcBorders>
                  <w:shd w:val="clear" w:color="000000" w:fill="F79646"/>
                  <w:noWrap/>
                  <w:vAlign w:val="center"/>
                  <w:hideMark/>
                </w:tcPr>
                <w:p w14:paraId="53A5D71D"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C3A5492"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4CB2123"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7FC2E2C0"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7281D1F0"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795FDD7E"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DC12DF8"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70D8565"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CC348BC"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r>
            <w:tr w:rsidR="00A55DFD" w:rsidRPr="00A55DFD" w14:paraId="5E5A915F" w14:textId="77777777" w:rsidTr="00A55DFD">
              <w:trPr>
                <w:trHeight w:val="328"/>
              </w:trPr>
              <w:tc>
                <w:tcPr>
                  <w:tcW w:w="1366" w:type="dxa"/>
                  <w:tcBorders>
                    <w:top w:val="nil"/>
                    <w:left w:val="nil"/>
                    <w:bottom w:val="single" w:sz="8" w:space="0" w:color="FFFFFF"/>
                    <w:right w:val="single" w:sz="8" w:space="0" w:color="FFFFFF"/>
                  </w:tcBorders>
                  <w:shd w:val="clear" w:color="000000" w:fill="FCD5B4"/>
                  <w:noWrap/>
                  <w:vAlign w:val="center"/>
                  <w:hideMark/>
                </w:tcPr>
                <w:p w14:paraId="3A475BA7"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5E93F25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3.18 </w:t>
                  </w:r>
                </w:p>
              </w:tc>
              <w:tc>
                <w:tcPr>
                  <w:tcW w:w="920" w:type="dxa"/>
                  <w:tcBorders>
                    <w:top w:val="nil"/>
                    <w:left w:val="nil"/>
                    <w:bottom w:val="single" w:sz="8" w:space="0" w:color="FFFFFF"/>
                    <w:right w:val="single" w:sz="8" w:space="0" w:color="FFFFFF"/>
                  </w:tcBorders>
                  <w:shd w:val="clear" w:color="000000" w:fill="FCD5B4"/>
                  <w:noWrap/>
                  <w:vAlign w:val="center"/>
                  <w:hideMark/>
                </w:tcPr>
                <w:p w14:paraId="6CC55AF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3.40 </w:t>
                  </w:r>
                </w:p>
              </w:tc>
              <w:tc>
                <w:tcPr>
                  <w:tcW w:w="920" w:type="dxa"/>
                  <w:tcBorders>
                    <w:top w:val="nil"/>
                    <w:left w:val="nil"/>
                    <w:bottom w:val="single" w:sz="8" w:space="0" w:color="FFFFFF"/>
                    <w:right w:val="single" w:sz="8" w:space="0" w:color="FFFFFF"/>
                  </w:tcBorders>
                  <w:shd w:val="clear" w:color="000000" w:fill="FCD5B4"/>
                  <w:noWrap/>
                  <w:vAlign w:val="center"/>
                  <w:hideMark/>
                </w:tcPr>
                <w:p w14:paraId="6A404BC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3.78 </w:t>
                  </w:r>
                </w:p>
              </w:tc>
              <w:tc>
                <w:tcPr>
                  <w:tcW w:w="920" w:type="dxa"/>
                  <w:tcBorders>
                    <w:top w:val="nil"/>
                    <w:left w:val="nil"/>
                    <w:bottom w:val="single" w:sz="8" w:space="0" w:color="FFFFFF"/>
                    <w:right w:val="single" w:sz="8" w:space="0" w:color="FFFFFF"/>
                  </w:tcBorders>
                  <w:shd w:val="clear" w:color="000000" w:fill="FCD5B4"/>
                  <w:noWrap/>
                  <w:vAlign w:val="center"/>
                  <w:hideMark/>
                </w:tcPr>
                <w:p w14:paraId="3FA860E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5.95 </w:t>
                  </w:r>
                </w:p>
              </w:tc>
              <w:tc>
                <w:tcPr>
                  <w:tcW w:w="1149" w:type="dxa"/>
                  <w:tcBorders>
                    <w:top w:val="nil"/>
                    <w:left w:val="nil"/>
                    <w:bottom w:val="single" w:sz="8" w:space="0" w:color="FFFFFF"/>
                    <w:right w:val="single" w:sz="8" w:space="0" w:color="FFFFFF"/>
                  </w:tcBorders>
                  <w:shd w:val="clear" w:color="000000" w:fill="FCD5B4"/>
                  <w:noWrap/>
                  <w:vAlign w:val="center"/>
                  <w:hideMark/>
                </w:tcPr>
                <w:p w14:paraId="399AFDB9"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0A0480B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0.58 </w:t>
                  </w:r>
                </w:p>
              </w:tc>
              <w:tc>
                <w:tcPr>
                  <w:tcW w:w="920" w:type="dxa"/>
                  <w:tcBorders>
                    <w:top w:val="nil"/>
                    <w:left w:val="nil"/>
                    <w:bottom w:val="single" w:sz="8" w:space="0" w:color="FFFFFF"/>
                    <w:right w:val="single" w:sz="8" w:space="0" w:color="FFFFFF"/>
                  </w:tcBorders>
                  <w:shd w:val="clear" w:color="000000" w:fill="FCD5B4"/>
                  <w:noWrap/>
                  <w:vAlign w:val="center"/>
                  <w:hideMark/>
                </w:tcPr>
                <w:p w14:paraId="69C9E20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0.80 </w:t>
                  </w:r>
                </w:p>
              </w:tc>
              <w:tc>
                <w:tcPr>
                  <w:tcW w:w="920" w:type="dxa"/>
                  <w:tcBorders>
                    <w:top w:val="nil"/>
                    <w:left w:val="nil"/>
                    <w:bottom w:val="single" w:sz="8" w:space="0" w:color="FFFFFF"/>
                    <w:right w:val="single" w:sz="8" w:space="0" w:color="FFFFFF"/>
                  </w:tcBorders>
                  <w:shd w:val="clear" w:color="000000" w:fill="FCD5B4"/>
                  <w:noWrap/>
                  <w:vAlign w:val="center"/>
                  <w:hideMark/>
                </w:tcPr>
                <w:p w14:paraId="00F0738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1.18 </w:t>
                  </w:r>
                </w:p>
              </w:tc>
              <w:tc>
                <w:tcPr>
                  <w:tcW w:w="920" w:type="dxa"/>
                  <w:tcBorders>
                    <w:top w:val="nil"/>
                    <w:left w:val="nil"/>
                    <w:bottom w:val="single" w:sz="8" w:space="0" w:color="FFFFFF"/>
                    <w:right w:val="single" w:sz="8" w:space="0" w:color="FFFFFF"/>
                  </w:tcBorders>
                  <w:shd w:val="clear" w:color="000000" w:fill="FCD5B4"/>
                  <w:noWrap/>
                  <w:vAlign w:val="center"/>
                  <w:hideMark/>
                </w:tcPr>
                <w:p w14:paraId="238C746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3.35 </w:t>
                  </w:r>
                </w:p>
              </w:tc>
            </w:tr>
            <w:tr w:rsidR="00A55DFD" w:rsidRPr="00A55DFD" w14:paraId="395A2222"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5387DBD0"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1E08AB1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3.70 </w:t>
                  </w:r>
                </w:p>
              </w:tc>
              <w:tc>
                <w:tcPr>
                  <w:tcW w:w="920" w:type="dxa"/>
                  <w:tcBorders>
                    <w:top w:val="nil"/>
                    <w:left w:val="nil"/>
                    <w:bottom w:val="single" w:sz="8" w:space="0" w:color="FFFFFF"/>
                    <w:right w:val="single" w:sz="8" w:space="0" w:color="FFFFFF"/>
                  </w:tcBorders>
                  <w:shd w:val="clear" w:color="000000" w:fill="FDE9D9"/>
                  <w:noWrap/>
                  <w:vAlign w:val="center"/>
                  <w:hideMark/>
                </w:tcPr>
                <w:p w14:paraId="4D98FDE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3.94 </w:t>
                  </w:r>
                </w:p>
              </w:tc>
              <w:tc>
                <w:tcPr>
                  <w:tcW w:w="920" w:type="dxa"/>
                  <w:tcBorders>
                    <w:top w:val="nil"/>
                    <w:left w:val="nil"/>
                    <w:bottom w:val="single" w:sz="8" w:space="0" w:color="FFFFFF"/>
                    <w:right w:val="single" w:sz="8" w:space="0" w:color="FFFFFF"/>
                  </w:tcBorders>
                  <w:shd w:val="clear" w:color="000000" w:fill="FDE9D9"/>
                  <w:noWrap/>
                  <w:vAlign w:val="center"/>
                  <w:hideMark/>
                </w:tcPr>
                <w:p w14:paraId="0151719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4.41 </w:t>
                  </w:r>
                </w:p>
              </w:tc>
              <w:tc>
                <w:tcPr>
                  <w:tcW w:w="920" w:type="dxa"/>
                  <w:tcBorders>
                    <w:top w:val="nil"/>
                    <w:left w:val="nil"/>
                    <w:bottom w:val="single" w:sz="8" w:space="0" w:color="FFFFFF"/>
                    <w:right w:val="single" w:sz="8" w:space="0" w:color="FFFFFF"/>
                  </w:tcBorders>
                  <w:shd w:val="clear" w:color="000000" w:fill="FDE9D9"/>
                  <w:noWrap/>
                  <w:vAlign w:val="center"/>
                  <w:hideMark/>
                </w:tcPr>
                <w:p w14:paraId="2C80870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6.58 </w:t>
                  </w:r>
                </w:p>
              </w:tc>
              <w:tc>
                <w:tcPr>
                  <w:tcW w:w="1149" w:type="dxa"/>
                  <w:tcBorders>
                    <w:top w:val="nil"/>
                    <w:left w:val="nil"/>
                    <w:bottom w:val="single" w:sz="8" w:space="0" w:color="FFFFFF"/>
                    <w:right w:val="single" w:sz="8" w:space="0" w:color="FFFFFF"/>
                  </w:tcBorders>
                  <w:shd w:val="clear" w:color="000000" w:fill="FDE9D9"/>
                  <w:noWrap/>
                  <w:vAlign w:val="center"/>
                  <w:hideMark/>
                </w:tcPr>
                <w:p w14:paraId="59C9D098"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2E54388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0.80 </w:t>
                  </w:r>
                </w:p>
              </w:tc>
              <w:tc>
                <w:tcPr>
                  <w:tcW w:w="920" w:type="dxa"/>
                  <w:tcBorders>
                    <w:top w:val="nil"/>
                    <w:left w:val="nil"/>
                    <w:bottom w:val="single" w:sz="8" w:space="0" w:color="FFFFFF"/>
                    <w:right w:val="single" w:sz="8" w:space="0" w:color="FFFFFF"/>
                  </w:tcBorders>
                  <w:shd w:val="clear" w:color="000000" w:fill="FDE9D9"/>
                  <w:noWrap/>
                  <w:vAlign w:val="center"/>
                  <w:hideMark/>
                </w:tcPr>
                <w:p w14:paraId="7008E14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1.04 </w:t>
                  </w:r>
                </w:p>
              </w:tc>
              <w:tc>
                <w:tcPr>
                  <w:tcW w:w="920" w:type="dxa"/>
                  <w:tcBorders>
                    <w:top w:val="nil"/>
                    <w:left w:val="nil"/>
                    <w:bottom w:val="single" w:sz="8" w:space="0" w:color="FFFFFF"/>
                    <w:right w:val="single" w:sz="8" w:space="0" w:color="FFFFFF"/>
                  </w:tcBorders>
                  <w:shd w:val="clear" w:color="000000" w:fill="FDE9D9"/>
                  <w:noWrap/>
                  <w:vAlign w:val="center"/>
                  <w:hideMark/>
                </w:tcPr>
                <w:p w14:paraId="1FB7BCB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1.51 </w:t>
                  </w:r>
                </w:p>
              </w:tc>
              <w:tc>
                <w:tcPr>
                  <w:tcW w:w="920" w:type="dxa"/>
                  <w:tcBorders>
                    <w:top w:val="nil"/>
                    <w:left w:val="nil"/>
                    <w:bottom w:val="single" w:sz="8" w:space="0" w:color="FFFFFF"/>
                    <w:right w:val="single" w:sz="8" w:space="0" w:color="FFFFFF"/>
                  </w:tcBorders>
                  <w:shd w:val="clear" w:color="000000" w:fill="FDE9D9"/>
                  <w:noWrap/>
                  <w:vAlign w:val="center"/>
                  <w:hideMark/>
                </w:tcPr>
                <w:p w14:paraId="66CF4A1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3.68 </w:t>
                  </w:r>
                </w:p>
              </w:tc>
            </w:tr>
            <w:tr w:rsidR="00A55DFD" w:rsidRPr="00A55DFD" w14:paraId="7EC602C5"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51DC3AA8"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08C323B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3.86 </w:t>
                  </w:r>
                </w:p>
              </w:tc>
              <w:tc>
                <w:tcPr>
                  <w:tcW w:w="920" w:type="dxa"/>
                  <w:tcBorders>
                    <w:top w:val="nil"/>
                    <w:left w:val="nil"/>
                    <w:bottom w:val="single" w:sz="8" w:space="0" w:color="FFFFFF"/>
                    <w:right w:val="single" w:sz="8" w:space="0" w:color="FFFFFF"/>
                  </w:tcBorders>
                  <w:shd w:val="clear" w:color="000000" w:fill="FCD5B4"/>
                  <w:noWrap/>
                  <w:vAlign w:val="center"/>
                  <w:hideMark/>
                </w:tcPr>
                <w:p w14:paraId="413EC1E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4.19 </w:t>
                  </w:r>
                </w:p>
              </w:tc>
              <w:tc>
                <w:tcPr>
                  <w:tcW w:w="920" w:type="dxa"/>
                  <w:tcBorders>
                    <w:top w:val="nil"/>
                    <w:left w:val="nil"/>
                    <w:bottom w:val="single" w:sz="8" w:space="0" w:color="FFFFFF"/>
                    <w:right w:val="single" w:sz="8" w:space="0" w:color="FFFFFF"/>
                  </w:tcBorders>
                  <w:shd w:val="clear" w:color="000000" w:fill="FCD5B4"/>
                  <w:noWrap/>
                  <w:vAlign w:val="center"/>
                  <w:hideMark/>
                </w:tcPr>
                <w:p w14:paraId="1FA2B11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4.67 </w:t>
                  </w:r>
                </w:p>
              </w:tc>
              <w:tc>
                <w:tcPr>
                  <w:tcW w:w="920" w:type="dxa"/>
                  <w:tcBorders>
                    <w:top w:val="nil"/>
                    <w:left w:val="nil"/>
                    <w:bottom w:val="single" w:sz="8" w:space="0" w:color="FFFFFF"/>
                    <w:right w:val="single" w:sz="8" w:space="0" w:color="FFFFFF"/>
                  </w:tcBorders>
                  <w:shd w:val="clear" w:color="000000" w:fill="FCD5B4"/>
                  <w:noWrap/>
                  <w:vAlign w:val="center"/>
                  <w:hideMark/>
                </w:tcPr>
                <w:p w14:paraId="3F715D5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6.84 </w:t>
                  </w:r>
                </w:p>
              </w:tc>
              <w:tc>
                <w:tcPr>
                  <w:tcW w:w="1149" w:type="dxa"/>
                  <w:tcBorders>
                    <w:top w:val="nil"/>
                    <w:left w:val="nil"/>
                    <w:bottom w:val="single" w:sz="8" w:space="0" w:color="FFFFFF"/>
                    <w:right w:val="single" w:sz="8" w:space="0" w:color="FFFFFF"/>
                  </w:tcBorders>
                  <w:shd w:val="clear" w:color="000000" w:fill="FCD5B4"/>
                  <w:noWrap/>
                  <w:vAlign w:val="center"/>
                  <w:hideMark/>
                </w:tcPr>
                <w:p w14:paraId="7B175242"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48BBA4E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0.76 </w:t>
                  </w:r>
                </w:p>
              </w:tc>
              <w:tc>
                <w:tcPr>
                  <w:tcW w:w="920" w:type="dxa"/>
                  <w:tcBorders>
                    <w:top w:val="nil"/>
                    <w:left w:val="nil"/>
                    <w:bottom w:val="single" w:sz="8" w:space="0" w:color="FFFFFF"/>
                    <w:right w:val="single" w:sz="8" w:space="0" w:color="FFFFFF"/>
                  </w:tcBorders>
                  <w:shd w:val="clear" w:color="000000" w:fill="FCD5B4"/>
                  <w:noWrap/>
                  <w:vAlign w:val="center"/>
                  <w:hideMark/>
                </w:tcPr>
                <w:p w14:paraId="61B17C7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1.09 </w:t>
                  </w:r>
                </w:p>
              </w:tc>
              <w:tc>
                <w:tcPr>
                  <w:tcW w:w="920" w:type="dxa"/>
                  <w:tcBorders>
                    <w:top w:val="nil"/>
                    <w:left w:val="nil"/>
                    <w:bottom w:val="single" w:sz="8" w:space="0" w:color="FFFFFF"/>
                    <w:right w:val="single" w:sz="8" w:space="0" w:color="FFFFFF"/>
                  </w:tcBorders>
                  <w:shd w:val="clear" w:color="000000" w:fill="FCD5B4"/>
                  <w:noWrap/>
                  <w:vAlign w:val="center"/>
                  <w:hideMark/>
                </w:tcPr>
                <w:p w14:paraId="7101DA6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1.57 </w:t>
                  </w:r>
                </w:p>
              </w:tc>
              <w:tc>
                <w:tcPr>
                  <w:tcW w:w="920" w:type="dxa"/>
                  <w:tcBorders>
                    <w:top w:val="nil"/>
                    <w:left w:val="nil"/>
                    <w:bottom w:val="single" w:sz="8" w:space="0" w:color="FFFFFF"/>
                    <w:right w:val="single" w:sz="8" w:space="0" w:color="FFFFFF"/>
                  </w:tcBorders>
                  <w:shd w:val="clear" w:color="000000" w:fill="FCD5B4"/>
                  <w:noWrap/>
                  <w:vAlign w:val="center"/>
                  <w:hideMark/>
                </w:tcPr>
                <w:p w14:paraId="6F25233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3.74 </w:t>
                  </w:r>
                </w:p>
              </w:tc>
            </w:tr>
            <w:tr w:rsidR="00A55DFD" w:rsidRPr="00A55DFD" w14:paraId="6C81C893"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0D654C83"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0234E45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3.67 </w:t>
                  </w:r>
                </w:p>
              </w:tc>
              <w:tc>
                <w:tcPr>
                  <w:tcW w:w="920" w:type="dxa"/>
                  <w:tcBorders>
                    <w:top w:val="nil"/>
                    <w:left w:val="nil"/>
                    <w:bottom w:val="single" w:sz="8" w:space="0" w:color="FFFFFF"/>
                    <w:right w:val="single" w:sz="8" w:space="0" w:color="FFFFFF"/>
                  </w:tcBorders>
                  <w:shd w:val="clear" w:color="000000" w:fill="FDE9D9"/>
                  <w:noWrap/>
                  <w:vAlign w:val="center"/>
                  <w:hideMark/>
                </w:tcPr>
                <w:p w14:paraId="422840D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3.94 </w:t>
                  </w:r>
                </w:p>
              </w:tc>
              <w:tc>
                <w:tcPr>
                  <w:tcW w:w="920" w:type="dxa"/>
                  <w:tcBorders>
                    <w:top w:val="nil"/>
                    <w:left w:val="nil"/>
                    <w:bottom w:val="single" w:sz="8" w:space="0" w:color="FFFFFF"/>
                    <w:right w:val="single" w:sz="8" w:space="0" w:color="FFFFFF"/>
                  </w:tcBorders>
                  <w:shd w:val="clear" w:color="000000" w:fill="FDE9D9"/>
                  <w:noWrap/>
                  <w:vAlign w:val="center"/>
                  <w:hideMark/>
                </w:tcPr>
                <w:p w14:paraId="1D4C0ED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4.36 </w:t>
                  </w:r>
                </w:p>
              </w:tc>
              <w:tc>
                <w:tcPr>
                  <w:tcW w:w="920" w:type="dxa"/>
                  <w:tcBorders>
                    <w:top w:val="nil"/>
                    <w:left w:val="nil"/>
                    <w:bottom w:val="single" w:sz="8" w:space="0" w:color="FFFFFF"/>
                    <w:right w:val="single" w:sz="8" w:space="0" w:color="FFFFFF"/>
                  </w:tcBorders>
                  <w:shd w:val="clear" w:color="000000" w:fill="FDE9D9"/>
                  <w:noWrap/>
                  <w:vAlign w:val="center"/>
                  <w:hideMark/>
                </w:tcPr>
                <w:p w14:paraId="09E10D7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6.58 </w:t>
                  </w:r>
                </w:p>
              </w:tc>
              <w:tc>
                <w:tcPr>
                  <w:tcW w:w="1149" w:type="dxa"/>
                  <w:tcBorders>
                    <w:top w:val="nil"/>
                    <w:left w:val="nil"/>
                    <w:bottom w:val="single" w:sz="8" w:space="0" w:color="FFFFFF"/>
                    <w:right w:val="single" w:sz="8" w:space="0" w:color="FFFFFF"/>
                  </w:tcBorders>
                  <w:shd w:val="clear" w:color="000000" w:fill="FDE9D9"/>
                  <w:noWrap/>
                  <w:vAlign w:val="center"/>
                  <w:hideMark/>
                </w:tcPr>
                <w:p w14:paraId="19CE6826"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1E7E2C1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0.77 </w:t>
                  </w:r>
                </w:p>
              </w:tc>
              <w:tc>
                <w:tcPr>
                  <w:tcW w:w="920" w:type="dxa"/>
                  <w:tcBorders>
                    <w:top w:val="nil"/>
                    <w:left w:val="nil"/>
                    <w:bottom w:val="single" w:sz="8" w:space="0" w:color="FFFFFF"/>
                    <w:right w:val="single" w:sz="8" w:space="0" w:color="FFFFFF"/>
                  </w:tcBorders>
                  <w:shd w:val="clear" w:color="000000" w:fill="FDE9D9"/>
                  <w:noWrap/>
                  <w:vAlign w:val="center"/>
                  <w:hideMark/>
                </w:tcPr>
                <w:p w14:paraId="696DF6E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1.04 </w:t>
                  </w:r>
                </w:p>
              </w:tc>
              <w:tc>
                <w:tcPr>
                  <w:tcW w:w="920" w:type="dxa"/>
                  <w:tcBorders>
                    <w:top w:val="nil"/>
                    <w:left w:val="nil"/>
                    <w:bottom w:val="single" w:sz="8" w:space="0" w:color="FFFFFF"/>
                    <w:right w:val="single" w:sz="8" w:space="0" w:color="FFFFFF"/>
                  </w:tcBorders>
                  <w:shd w:val="clear" w:color="000000" w:fill="FDE9D9"/>
                  <w:noWrap/>
                  <w:vAlign w:val="center"/>
                  <w:hideMark/>
                </w:tcPr>
                <w:p w14:paraId="3AA5A42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1.46 </w:t>
                  </w:r>
                </w:p>
              </w:tc>
              <w:tc>
                <w:tcPr>
                  <w:tcW w:w="920" w:type="dxa"/>
                  <w:tcBorders>
                    <w:top w:val="nil"/>
                    <w:left w:val="nil"/>
                    <w:bottom w:val="single" w:sz="8" w:space="0" w:color="FFFFFF"/>
                    <w:right w:val="single" w:sz="8" w:space="0" w:color="FFFFFF"/>
                  </w:tcBorders>
                  <w:shd w:val="clear" w:color="000000" w:fill="FDE9D9"/>
                  <w:noWrap/>
                  <w:vAlign w:val="center"/>
                  <w:hideMark/>
                </w:tcPr>
                <w:p w14:paraId="7F975AC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3.68 </w:t>
                  </w:r>
                </w:p>
              </w:tc>
            </w:tr>
            <w:tr w:rsidR="00A55DFD" w:rsidRPr="00A55DFD" w14:paraId="7096F47A"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49F8923C"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600ED1C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3.81 </w:t>
                  </w:r>
                </w:p>
              </w:tc>
              <w:tc>
                <w:tcPr>
                  <w:tcW w:w="920" w:type="dxa"/>
                  <w:tcBorders>
                    <w:top w:val="nil"/>
                    <w:left w:val="nil"/>
                    <w:bottom w:val="single" w:sz="8" w:space="0" w:color="FFFFFF"/>
                    <w:right w:val="single" w:sz="8" w:space="0" w:color="FFFFFF"/>
                  </w:tcBorders>
                  <w:shd w:val="clear" w:color="000000" w:fill="FCD5B4"/>
                  <w:noWrap/>
                  <w:vAlign w:val="center"/>
                  <w:hideMark/>
                </w:tcPr>
                <w:p w14:paraId="3391974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4.08 </w:t>
                  </w:r>
                </w:p>
              </w:tc>
              <w:tc>
                <w:tcPr>
                  <w:tcW w:w="920" w:type="dxa"/>
                  <w:tcBorders>
                    <w:top w:val="nil"/>
                    <w:left w:val="nil"/>
                    <w:bottom w:val="single" w:sz="8" w:space="0" w:color="FFFFFF"/>
                    <w:right w:val="single" w:sz="8" w:space="0" w:color="FFFFFF"/>
                  </w:tcBorders>
                  <w:shd w:val="clear" w:color="000000" w:fill="FCD5B4"/>
                  <w:noWrap/>
                  <w:vAlign w:val="center"/>
                  <w:hideMark/>
                </w:tcPr>
                <w:p w14:paraId="73665C0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4.52 </w:t>
                  </w:r>
                </w:p>
              </w:tc>
              <w:tc>
                <w:tcPr>
                  <w:tcW w:w="920" w:type="dxa"/>
                  <w:tcBorders>
                    <w:top w:val="nil"/>
                    <w:left w:val="nil"/>
                    <w:bottom w:val="single" w:sz="8" w:space="0" w:color="FFFFFF"/>
                    <w:right w:val="single" w:sz="8" w:space="0" w:color="FFFFFF"/>
                  </w:tcBorders>
                  <w:shd w:val="clear" w:color="000000" w:fill="FCD5B4"/>
                  <w:noWrap/>
                  <w:vAlign w:val="center"/>
                  <w:hideMark/>
                </w:tcPr>
                <w:p w14:paraId="38E590C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6.74 </w:t>
                  </w:r>
                </w:p>
              </w:tc>
              <w:tc>
                <w:tcPr>
                  <w:tcW w:w="1149" w:type="dxa"/>
                  <w:tcBorders>
                    <w:top w:val="nil"/>
                    <w:left w:val="nil"/>
                    <w:bottom w:val="single" w:sz="8" w:space="0" w:color="FFFFFF"/>
                    <w:right w:val="single" w:sz="8" w:space="0" w:color="FFFFFF"/>
                  </w:tcBorders>
                  <w:shd w:val="clear" w:color="000000" w:fill="FCD5B4"/>
                  <w:noWrap/>
                  <w:vAlign w:val="center"/>
                  <w:hideMark/>
                </w:tcPr>
                <w:p w14:paraId="59F0BF8B"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03F124B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0.70 </w:t>
                  </w:r>
                </w:p>
              </w:tc>
              <w:tc>
                <w:tcPr>
                  <w:tcW w:w="920" w:type="dxa"/>
                  <w:tcBorders>
                    <w:top w:val="nil"/>
                    <w:left w:val="nil"/>
                    <w:bottom w:val="single" w:sz="8" w:space="0" w:color="FFFFFF"/>
                    <w:right w:val="single" w:sz="8" w:space="0" w:color="FFFFFF"/>
                  </w:tcBorders>
                  <w:shd w:val="clear" w:color="000000" w:fill="FCD5B4"/>
                  <w:noWrap/>
                  <w:vAlign w:val="center"/>
                  <w:hideMark/>
                </w:tcPr>
                <w:p w14:paraId="551B606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0.97 </w:t>
                  </w:r>
                </w:p>
              </w:tc>
              <w:tc>
                <w:tcPr>
                  <w:tcW w:w="920" w:type="dxa"/>
                  <w:tcBorders>
                    <w:top w:val="nil"/>
                    <w:left w:val="nil"/>
                    <w:bottom w:val="single" w:sz="8" w:space="0" w:color="FFFFFF"/>
                    <w:right w:val="single" w:sz="8" w:space="0" w:color="FFFFFF"/>
                  </w:tcBorders>
                  <w:shd w:val="clear" w:color="000000" w:fill="FCD5B4"/>
                  <w:noWrap/>
                  <w:vAlign w:val="center"/>
                  <w:hideMark/>
                </w:tcPr>
                <w:p w14:paraId="164EC91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1.41 </w:t>
                  </w:r>
                </w:p>
              </w:tc>
              <w:tc>
                <w:tcPr>
                  <w:tcW w:w="920" w:type="dxa"/>
                  <w:tcBorders>
                    <w:top w:val="nil"/>
                    <w:left w:val="nil"/>
                    <w:bottom w:val="single" w:sz="8" w:space="0" w:color="FFFFFF"/>
                    <w:right w:val="single" w:sz="8" w:space="0" w:color="FFFFFF"/>
                  </w:tcBorders>
                  <w:shd w:val="clear" w:color="000000" w:fill="FCD5B4"/>
                  <w:noWrap/>
                  <w:vAlign w:val="center"/>
                  <w:hideMark/>
                </w:tcPr>
                <w:p w14:paraId="6784E6C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3.63 </w:t>
                  </w:r>
                </w:p>
              </w:tc>
            </w:tr>
            <w:tr w:rsidR="00A55DFD" w:rsidRPr="00A55DFD" w14:paraId="5837778C"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6A2DDA63"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7C2001B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72EEF66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4.22 </w:t>
                  </w:r>
                </w:p>
              </w:tc>
              <w:tc>
                <w:tcPr>
                  <w:tcW w:w="920" w:type="dxa"/>
                  <w:tcBorders>
                    <w:top w:val="nil"/>
                    <w:left w:val="nil"/>
                    <w:bottom w:val="single" w:sz="8" w:space="0" w:color="FFFFFF"/>
                    <w:right w:val="single" w:sz="8" w:space="0" w:color="FFFFFF"/>
                  </w:tcBorders>
                  <w:shd w:val="clear" w:color="000000" w:fill="FDE9D9"/>
                  <w:noWrap/>
                  <w:vAlign w:val="center"/>
                  <w:hideMark/>
                </w:tcPr>
                <w:p w14:paraId="5470230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4.69 </w:t>
                  </w:r>
                </w:p>
              </w:tc>
              <w:tc>
                <w:tcPr>
                  <w:tcW w:w="920" w:type="dxa"/>
                  <w:tcBorders>
                    <w:top w:val="nil"/>
                    <w:left w:val="nil"/>
                    <w:bottom w:val="single" w:sz="8" w:space="0" w:color="FFFFFF"/>
                    <w:right w:val="single" w:sz="8" w:space="0" w:color="FFFFFF"/>
                  </w:tcBorders>
                  <w:shd w:val="clear" w:color="000000" w:fill="FDE9D9"/>
                  <w:noWrap/>
                  <w:vAlign w:val="center"/>
                  <w:hideMark/>
                </w:tcPr>
                <w:p w14:paraId="6CFD0B1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6.91 </w:t>
                  </w:r>
                </w:p>
              </w:tc>
              <w:tc>
                <w:tcPr>
                  <w:tcW w:w="1149" w:type="dxa"/>
                  <w:tcBorders>
                    <w:top w:val="nil"/>
                    <w:left w:val="nil"/>
                    <w:bottom w:val="single" w:sz="8" w:space="0" w:color="FFFFFF"/>
                    <w:right w:val="single" w:sz="8" w:space="0" w:color="FFFFFF"/>
                  </w:tcBorders>
                  <w:shd w:val="clear" w:color="000000" w:fill="FDE9D9"/>
                  <w:noWrap/>
                  <w:vAlign w:val="center"/>
                  <w:hideMark/>
                </w:tcPr>
                <w:p w14:paraId="429ECCF1"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612908E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0.69 </w:t>
                  </w:r>
                </w:p>
              </w:tc>
              <w:tc>
                <w:tcPr>
                  <w:tcW w:w="920" w:type="dxa"/>
                  <w:tcBorders>
                    <w:top w:val="nil"/>
                    <w:left w:val="nil"/>
                    <w:bottom w:val="single" w:sz="8" w:space="0" w:color="FFFFFF"/>
                    <w:right w:val="single" w:sz="8" w:space="0" w:color="FFFFFF"/>
                  </w:tcBorders>
                  <w:shd w:val="clear" w:color="000000" w:fill="FDE9D9"/>
                  <w:noWrap/>
                  <w:vAlign w:val="center"/>
                  <w:hideMark/>
                </w:tcPr>
                <w:p w14:paraId="7E47471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0.96 </w:t>
                  </w:r>
                </w:p>
              </w:tc>
              <w:tc>
                <w:tcPr>
                  <w:tcW w:w="920" w:type="dxa"/>
                  <w:tcBorders>
                    <w:top w:val="nil"/>
                    <w:left w:val="nil"/>
                    <w:bottom w:val="single" w:sz="8" w:space="0" w:color="FFFFFF"/>
                    <w:right w:val="single" w:sz="8" w:space="0" w:color="FFFFFF"/>
                  </w:tcBorders>
                  <w:shd w:val="clear" w:color="000000" w:fill="FDE9D9"/>
                  <w:noWrap/>
                  <w:vAlign w:val="center"/>
                  <w:hideMark/>
                </w:tcPr>
                <w:p w14:paraId="0F7FB1B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1.43 </w:t>
                  </w:r>
                </w:p>
              </w:tc>
              <w:tc>
                <w:tcPr>
                  <w:tcW w:w="920" w:type="dxa"/>
                  <w:tcBorders>
                    <w:top w:val="nil"/>
                    <w:left w:val="nil"/>
                    <w:bottom w:val="single" w:sz="8" w:space="0" w:color="FFFFFF"/>
                    <w:right w:val="single" w:sz="8" w:space="0" w:color="FFFFFF"/>
                  </w:tcBorders>
                  <w:shd w:val="clear" w:color="000000" w:fill="FDE9D9"/>
                  <w:noWrap/>
                  <w:vAlign w:val="center"/>
                  <w:hideMark/>
                </w:tcPr>
                <w:p w14:paraId="30D0E03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3.65 </w:t>
                  </w:r>
                </w:p>
              </w:tc>
            </w:tr>
            <w:tr w:rsidR="00A55DFD" w:rsidRPr="00A55DFD" w14:paraId="11D69636"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62F22B92"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7F7E679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3.71 </w:t>
                  </w:r>
                </w:p>
              </w:tc>
              <w:tc>
                <w:tcPr>
                  <w:tcW w:w="920" w:type="dxa"/>
                  <w:tcBorders>
                    <w:top w:val="nil"/>
                    <w:left w:val="nil"/>
                    <w:bottom w:val="single" w:sz="8" w:space="0" w:color="FFFFFF"/>
                    <w:right w:val="single" w:sz="8" w:space="0" w:color="FFFFFF"/>
                  </w:tcBorders>
                  <w:shd w:val="clear" w:color="000000" w:fill="FCD5B4"/>
                  <w:noWrap/>
                  <w:vAlign w:val="center"/>
                  <w:hideMark/>
                </w:tcPr>
                <w:p w14:paraId="2F58E6B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3.91 </w:t>
                  </w:r>
                </w:p>
              </w:tc>
              <w:tc>
                <w:tcPr>
                  <w:tcW w:w="920" w:type="dxa"/>
                  <w:tcBorders>
                    <w:top w:val="nil"/>
                    <w:left w:val="nil"/>
                    <w:bottom w:val="single" w:sz="8" w:space="0" w:color="FFFFFF"/>
                    <w:right w:val="single" w:sz="8" w:space="0" w:color="FFFFFF"/>
                  </w:tcBorders>
                  <w:shd w:val="clear" w:color="000000" w:fill="FCD5B4"/>
                  <w:noWrap/>
                  <w:vAlign w:val="center"/>
                  <w:hideMark/>
                </w:tcPr>
                <w:p w14:paraId="0098ED9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4.15 </w:t>
                  </w:r>
                </w:p>
              </w:tc>
              <w:tc>
                <w:tcPr>
                  <w:tcW w:w="920" w:type="dxa"/>
                  <w:tcBorders>
                    <w:top w:val="nil"/>
                    <w:left w:val="nil"/>
                    <w:bottom w:val="single" w:sz="8" w:space="0" w:color="FFFFFF"/>
                    <w:right w:val="single" w:sz="8" w:space="0" w:color="FFFFFF"/>
                  </w:tcBorders>
                  <w:shd w:val="clear" w:color="000000" w:fill="FCD5B4"/>
                  <w:noWrap/>
                  <w:vAlign w:val="center"/>
                  <w:hideMark/>
                </w:tcPr>
                <w:p w14:paraId="05DFF9F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6.47 </w:t>
                  </w:r>
                </w:p>
              </w:tc>
              <w:tc>
                <w:tcPr>
                  <w:tcW w:w="1149" w:type="dxa"/>
                  <w:tcBorders>
                    <w:top w:val="nil"/>
                    <w:left w:val="nil"/>
                    <w:bottom w:val="single" w:sz="8" w:space="0" w:color="FFFFFF"/>
                    <w:right w:val="single" w:sz="8" w:space="0" w:color="FFFFFF"/>
                  </w:tcBorders>
                  <w:shd w:val="clear" w:color="000000" w:fill="FCD5B4"/>
                  <w:noWrap/>
                  <w:vAlign w:val="center"/>
                  <w:hideMark/>
                </w:tcPr>
                <w:p w14:paraId="7C8594CE"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2BAA95E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0.81 </w:t>
                  </w:r>
                </w:p>
              </w:tc>
              <w:tc>
                <w:tcPr>
                  <w:tcW w:w="920" w:type="dxa"/>
                  <w:tcBorders>
                    <w:top w:val="nil"/>
                    <w:left w:val="nil"/>
                    <w:bottom w:val="single" w:sz="8" w:space="0" w:color="FFFFFF"/>
                    <w:right w:val="single" w:sz="8" w:space="0" w:color="FFFFFF"/>
                  </w:tcBorders>
                  <w:shd w:val="clear" w:color="000000" w:fill="FCD5B4"/>
                  <w:noWrap/>
                  <w:vAlign w:val="center"/>
                  <w:hideMark/>
                </w:tcPr>
                <w:p w14:paraId="4A44E10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1.01 </w:t>
                  </w:r>
                </w:p>
              </w:tc>
              <w:tc>
                <w:tcPr>
                  <w:tcW w:w="920" w:type="dxa"/>
                  <w:tcBorders>
                    <w:top w:val="nil"/>
                    <w:left w:val="nil"/>
                    <w:bottom w:val="single" w:sz="8" w:space="0" w:color="FFFFFF"/>
                    <w:right w:val="single" w:sz="8" w:space="0" w:color="FFFFFF"/>
                  </w:tcBorders>
                  <w:shd w:val="clear" w:color="000000" w:fill="FCD5B4"/>
                  <w:noWrap/>
                  <w:vAlign w:val="center"/>
                  <w:hideMark/>
                </w:tcPr>
                <w:p w14:paraId="4F79D941"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1.24 </w:t>
                  </w:r>
                </w:p>
              </w:tc>
              <w:tc>
                <w:tcPr>
                  <w:tcW w:w="920" w:type="dxa"/>
                  <w:tcBorders>
                    <w:top w:val="nil"/>
                    <w:left w:val="nil"/>
                    <w:bottom w:val="single" w:sz="8" w:space="0" w:color="FFFFFF"/>
                    <w:right w:val="single" w:sz="8" w:space="0" w:color="FFFFFF"/>
                  </w:tcBorders>
                  <w:shd w:val="clear" w:color="000000" w:fill="FCD5B4"/>
                  <w:noWrap/>
                  <w:vAlign w:val="center"/>
                  <w:hideMark/>
                </w:tcPr>
                <w:p w14:paraId="10907B4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3.56 </w:t>
                  </w:r>
                </w:p>
              </w:tc>
            </w:tr>
            <w:tr w:rsidR="00A55DFD" w:rsidRPr="00A55DFD" w14:paraId="49D6E2AB"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704D3E4D"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5E5C020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3.95 </w:t>
                  </w:r>
                </w:p>
              </w:tc>
              <w:tc>
                <w:tcPr>
                  <w:tcW w:w="920" w:type="dxa"/>
                  <w:tcBorders>
                    <w:top w:val="nil"/>
                    <w:left w:val="nil"/>
                    <w:bottom w:val="single" w:sz="8" w:space="0" w:color="FFFFFF"/>
                    <w:right w:val="single" w:sz="8" w:space="0" w:color="FFFFFF"/>
                  </w:tcBorders>
                  <w:shd w:val="clear" w:color="000000" w:fill="FDE9D9"/>
                  <w:noWrap/>
                  <w:vAlign w:val="center"/>
                  <w:hideMark/>
                </w:tcPr>
                <w:p w14:paraId="0AC6189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4.29 </w:t>
                  </w:r>
                </w:p>
              </w:tc>
              <w:tc>
                <w:tcPr>
                  <w:tcW w:w="920" w:type="dxa"/>
                  <w:tcBorders>
                    <w:top w:val="nil"/>
                    <w:left w:val="nil"/>
                    <w:bottom w:val="single" w:sz="8" w:space="0" w:color="FFFFFF"/>
                    <w:right w:val="single" w:sz="8" w:space="0" w:color="FFFFFF"/>
                  </w:tcBorders>
                  <w:shd w:val="clear" w:color="000000" w:fill="FDE9D9"/>
                  <w:noWrap/>
                  <w:vAlign w:val="center"/>
                  <w:hideMark/>
                </w:tcPr>
                <w:p w14:paraId="6CAB0B9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4.65 </w:t>
                  </w:r>
                </w:p>
              </w:tc>
              <w:tc>
                <w:tcPr>
                  <w:tcW w:w="920" w:type="dxa"/>
                  <w:tcBorders>
                    <w:top w:val="nil"/>
                    <w:left w:val="nil"/>
                    <w:bottom w:val="single" w:sz="8" w:space="0" w:color="FFFFFF"/>
                    <w:right w:val="single" w:sz="8" w:space="0" w:color="FFFFFF"/>
                  </w:tcBorders>
                  <w:shd w:val="clear" w:color="000000" w:fill="FDE9D9"/>
                  <w:noWrap/>
                  <w:vAlign w:val="center"/>
                  <w:hideMark/>
                </w:tcPr>
                <w:p w14:paraId="78E951E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7.21 </w:t>
                  </w:r>
                </w:p>
              </w:tc>
              <w:tc>
                <w:tcPr>
                  <w:tcW w:w="1149" w:type="dxa"/>
                  <w:tcBorders>
                    <w:top w:val="nil"/>
                    <w:left w:val="nil"/>
                    <w:bottom w:val="single" w:sz="8" w:space="0" w:color="FFFFFF"/>
                    <w:right w:val="single" w:sz="8" w:space="0" w:color="FFFFFF"/>
                  </w:tcBorders>
                  <w:shd w:val="clear" w:color="000000" w:fill="FDE9D9"/>
                  <w:noWrap/>
                  <w:vAlign w:val="center"/>
                  <w:hideMark/>
                </w:tcPr>
                <w:p w14:paraId="29F93E2E"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59D3240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0.84 </w:t>
                  </w:r>
                </w:p>
              </w:tc>
              <w:tc>
                <w:tcPr>
                  <w:tcW w:w="920" w:type="dxa"/>
                  <w:tcBorders>
                    <w:top w:val="nil"/>
                    <w:left w:val="nil"/>
                    <w:bottom w:val="single" w:sz="8" w:space="0" w:color="FFFFFF"/>
                    <w:right w:val="single" w:sz="8" w:space="0" w:color="FFFFFF"/>
                  </w:tcBorders>
                  <w:shd w:val="clear" w:color="000000" w:fill="FDE9D9"/>
                  <w:noWrap/>
                  <w:vAlign w:val="center"/>
                  <w:hideMark/>
                </w:tcPr>
                <w:p w14:paraId="141A1F0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1.18 </w:t>
                  </w:r>
                </w:p>
              </w:tc>
              <w:tc>
                <w:tcPr>
                  <w:tcW w:w="920" w:type="dxa"/>
                  <w:tcBorders>
                    <w:top w:val="nil"/>
                    <w:left w:val="nil"/>
                    <w:bottom w:val="single" w:sz="8" w:space="0" w:color="FFFFFF"/>
                    <w:right w:val="single" w:sz="8" w:space="0" w:color="FFFFFF"/>
                  </w:tcBorders>
                  <w:shd w:val="clear" w:color="000000" w:fill="FDE9D9"/>
                  <w:noWrap/>
                  <w:vAlign w:val="center"/>
                  <w:hideMark/>
                </w:tcPr>
                <w:p w14:paraId="4924F40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1.55 </w:t>
                  </w:r>
                </w:p>
              </w:tc>
              <w:tc>
                <w:tcPr>
                  <w:tcW w:w="920" w:type="dxa"/>
                  <w:tcBorders>
                    <w:top w:val="nil"/>
                    <w:left w:val="nil"/>
                    <w:bottom w:val="single" w:sz="8" w:space="0" w:color="FFFFFF"/>
                    <w:right w:val="single" w:sz="8" w:space="0" w:color="FFFFFF"/>
                  </w:tcBorders>
                  <w:shd w:val="clear" w:color="000000" w:fill="FDE9D9"/>
                  <w:noWrap/>
                  <w:vAlign w:val="center"/>
                  <w:hideMark/>
                </w:tcPr>
                <w:p w14:paraId="29B2C25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4.11 </w:t>
                  </w:r>
                </w:p>
              </w:tc>
            </w:tr>
            <w:tr w:rsidR="00A55DFD" w:rsidRPr="00A55DFD" w14:paraId="154EC84D" w14:textId="77777777" w:rsidTr="00A55DFD">
              <w:trPr>
                <w:trHeight w:val="317"/>
              </w:trPr>
              <w:tc>
                <w:tcPr>
                  <w:tcW w:w="1366" w:type="dxa"/>
                  <w:tcBorders>
                    <w:top w:val="nil"/>
                    <w:left w:val="nil"/>
                    <w:bottom w:val="nil"/>
                    <w:right w:val="nil"/>
                  </w:tcBorders>
                  <w:shd w:val="clear" w:color="000000" w:fill="FCD5B4"/>
                  <w:noWrap/>
                  <w:vAlign w:val="center"/>
                  <w:hideMark/>
                </w:tcPr>
                <w:p w14:paraId="53C28A25"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693A86F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4.09 </w:t>
                  </w:r>
                </w:p>
              </w:tc>
              <w:tc>
                <w:tcPr>
                  <w:tcW w:w="920" w:type="dxa"/>
                  <w:tcBorders>
                    <w:top w:val="nil"/>
                    <w:left w:val="nil"/>
                    <w:bottom w:val="single" w:sz="8" w:space="0" w:color="FFFFFF"/>
                    <w:right w:val="single" w:sz="8" w:space="0" w:color="FFFFFF"/>
                  </w:tcBorders>
                  <w:shd w:val="clear" w:color="000000" w:fill="FCD5B4"/>
                  <w:noWrap/>
                  <w:vAlign w:val="center"/>
                  <w:hideMark/>
                </w:tcPr>
                <w:p w14:paraId="0559275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4.46 </w:t>
                  </w:r>
                </w:p>
              </w:tc>
              <w:tc>
                <w:tcPr>
                  <w:tcW w:w="920" w:type="dxa"/>
                  <w:tcBorders>
                    <w:top w:val="nil"/>
                    <w:left w:val="nil"/>
                    <w:bottom w:val="single" w:sz="8" w:space="0" w:color="FFFFFF"/>
                    <w:right w:val="single" w:sz="8" w:space="0" w:color="FFFFFF"/>
                  </w:tcBorders>
                  <w:shd w:val="clear" w:color="000000" w:fill="FCD5B4"/>
                  <w:noWrap/>
                  <w:vAlign w:val="center"/>
                  <w:hideMark/>
                </w:tcPr>
                <w:p w14:paraId="484744D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4.83 </w:t>
                  </w:r>
                </w:p>
              </w:tc>
              <w:tc>
                <w:tcPr>
                  <w:tcW w:w="920" w:type="dxa"/>
                  <w:tcBorders>
                    <w:top w:val="nil"/>
                    <w:left w:val="nil"/>
                    <w:bottom w:val="single" w:sz="8" w:space="0" w:color="FFFFFF"/>
                    <w:right w:val="single" w:sz="8" w:space="0" w:color="FFFFFF"/>
                  </w:tcBorders>
                  <w:shd w:val="clear" w:color="000000" w:fill="FCD5B4"/>
                  <w:noWrap/>
                  <w:vAlign w:val="center"/>
                  <w:hideMark/>
                </w:tcPr>
                <w:p w14:paraId="7128DF31"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7.47 </w:t>
                  </w:r>
                </w:p>
              </w:tc>
              <w:tc>
                <w:tcPr>
                  <w:tcW w:w="1149" w:type="dxa"/>
                  <w:tcBorders>
                    <w:top w:val="nil"/>
                    <w:left w:val="nil"/>
                    <w:bottom w:val="nil"/>
                    <w:right w:val="nil"/>
                  </w:tcBorders>
                  <w:shd w:val="clear" w:color="000000" w:fill="FCD5B4"/>
                  <w:noWrap/>
                  <w:vAlign w:val="center"/>
                  <w:hideMark/>
                </w:tcPr>
                <w:p w14:paraId="48075B01"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5D3B071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0.83 </w:t>
                  </w:r>
                </w:p>
              </w:tc>
              <w:tc>
                <w:tcPr>
                  <w:tcW w:w="920" w:type="dxa"/>
                  <w:tcBorders>
                    <w:top w:val="nil"/>
                    <w:left w:val="nil"/>
                    <w:bottom w:val="single" w:sz="8" w:space="0" w:color="FFFFFF"/>
                    <w:right w:val="single" w:sz="8" w:space="0" w:color="FFFFFF"/>
                  </w:tcBorders>
                  <w:shd w:val="clear" w:color="000000" w:fill="FCD5B4"/>
                  <w:noWrap/>
                  <w:vAlign w:val="center"/>
                  <w:hideMark/>
                </w:tcPr>
                <w:p w14:paraId="3C8C9D8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1.20 </w:t>
                  </w:r>
                </w:p>
              </w:tc>
              <w:tc>
                <w:tcPr>
                  <w:tcW w:w="920" w:type="dxa"/>
                  <w:tcBorders>
                    <w:top w:val="nil"/>
                    <w:left w:val="nil"/>
                    <w:bottom w:val="single" w:sz="8" w:space="0" w:color="FFFFFF"/>
                    <w:right w:val="single" w:sz="8" w:space="0" w:color="FFFFFF"/>
                  </w:tcBorders>
                  <w:shd w:val="clear" w:color="000000" w:fill="FCD5B4"/>
                  <w:noWrap/>
                  <w:vAlign w:val="center"/>
                  <w:hideMark/>
                </w:tcPr>
                <w:p w14:paraId="7984348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1.57 </w:t>
                  </w:r>
                </w:p>
              </w:tc>
              <w:tc>
                <w:tcPr>
                  <w:tcW w:w="920" w:type="dxa"/>
                  <w:tcBorders>
                    <w:top w:val="nil"/>
                    <w:left w:val="nil"/>
                    <w:bottom w:val="single" w:sz="8" w:space="0" w:color="FFFFFF"/>
                    <w:right w:val="single" w:sz="8" w:space="0" w:color="FFFFFF"/>
                  </w:tcBorders>
                  <w:shd w:val="clear" w:color="000000" w:fill="FCD5B4"/>
                  <w:noWrap/>
                  <w:vAlign w:val="center"/>
                  <w:hideMark/>
                </w:tcPr>
                <w:p w14:paraId="5FDF51B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4.21 </w:t>
                  </w:r>
                </w:p>
              </w:tc>
            </w:tr>
            <w:tr w:rsidR="00A55DFD" w:rsidRPr="00A55DFD" w14:paraId="68646531" w14:textId="77777777" w:rsidTr="00A55DFD">
              <w:trPr>
                <w:trHeight w:val="164"/>
              </w:trPr>
              <w:tc>
                <w:tcPr>
                  <w:tcW w:w="1366" w:type="dxa"/>
                  <w:tcBorders>
                    <w:top w:val="nil"/>
                    <w:left w:val="nil"/>
                    <w:bottom w:val="nil"/>
                    <w:right w:val="nil"/>
                  </w:tcBorders>
                  <w:shd w:val="clear" w:color="auto" w:fill="auto"/>
                  <w:noWrap/>
                  <w:vAlign w:val="center"/>
                  <w:hideMark/>
                </w:tcPr>
                <w:p w14:paraId="0A66FE41" w14:textId="77777777" w:rsidR="00A55DFD" w:rsidRPr="00A55DFD" w:rsidRDefault="00A55DFD" w:rsidP="00A55DFD">
                  <w:pPr>
                    <w:widowControl/>
                    <w:jc w:val="center"/>
                    <w:rPr>
                      <w:rFonts w:eastAsia="等线" w:cs="Calibri"/>
                      <w:color w:val="000000"/>
                      <w:kern w:val="0"/>
                      <w:szCs w:val="21"/>
                    </w:rPr>
                  </w:pPr>
                </w:p>
              </w:tc>
              <w:tc>
                <w:tcPr>
                  <w:tcW w:w="919" w:type="dxa"/>
                  <w:tcBorders>
                    <w:top w:val="nil"/>
                    <w:left w:val="nil"/>
                    <w:bottom w:val="nil"/>
                    <w:right w:val="nil"/>
                  </w:tcBorders>
                  <w:shd w:val="clear" w:color="auto" w:fill="auto"/>
                  <w:noWrap/>
                  <w:vAlign w:val="center"/>
                  <w:hideMark/>
                </w:tcPr>
                <w:p w14:paraId="2C34B3A5"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CDC84F9"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2E641F7"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467D5DCC" w14:textId="77777777" w:rsidR="00A55DFD" w:rsidRPr="00A55DFD" w:rsidRDefault="00A55DFD" w:rsidP="00A55DFD">
                  <w:pPr>
                    <w:widowControl/>
                    <w:jc w:val="center"/>
                    <w:rPr>
                      <w:rFonts w:ascii="Times New Roman" w:eastAsia="Times New Roman" w:hAnsi="Times New Roman"/>
                      <w:kern w:val="0"/>
                      <w:sz w:val="20"/>
                      <w:szCs w:val="20"/>
                    </w:rPr>
                  </w:pPr>
                </w:p>
              </w:tc>
              <w:tc>
                <w:tcPr>
                  <w:tcW w:w="1149" w:type="dxa"/>
                  <w:tcBorders>
                    <w:top w:val="nil"/>
                    <w:left w:val="nil"/>
                    <w:bottom w:val="nil"/>
                    <w:right w:val="nil"/>
                  </w:tcBorders>
                  <w:shd w:val="clear" w:color="auto" w:fill="auto"/>
                  <w:noWrap/>
                  <w:vAlign w:val="center"/>
                  <w:hideMark/>
                </w:tcPr>
                <w:p w14:paraId="5284365F"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526BD7E"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A406297"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3131034"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D614A19" w14:textId="77777777" w:rsidR="00A55DFD" w:rsidRPr="00A55DFD" w:rsidRDefault="00A55DFD" w:rsidP="00A55DFD">
                  <w:pPr>
                    <w:widowControl/>
                    <w:jc w:val="center"/>
                    <w:rPr>
                      <w:rFonts w:ascii="Times New Roman" w:eastAsia="Times New Roman" w:hAnsi="Times New Roman"/>
                      <w:kern w:val="0"/>
                      <w:sz w:val="20"/>
                      <w:szCs w:val="20"/>
                    </w:rPr>
                  </w:pPr>
                </w:p>
              </w:tc>
            </w:tr>
            <w:tr w:rsidR="00A55DFD" w:rsidRPr="00A55DFD" w14:paraId="43D845EF" w14:textId="77777777" w:rsidTr="00A55DFD">
              <w:trPr>
                <w:trHeight w:val="317"/>
              </w:trPr>
              <w:tc>
                <w:tcPr>
                  <w:tcW w:w="1366" w:type="dxa"/>
                  <w:tcBorders>
                    <w:top w:val="nil"/>
                    <w:left w:val="nil"/>
                    <w:bottom w:val="single" w:sz="12" w:space="0" w:color="FFFFFF"/>
                    <w:right w:val="single" w:sz="8" w:space="0" w:color="FFFFFF"/>
                  </w:tcBorders>
                  <w:shd w:val="clear" w:color="000000" w:fill="F79646"/>
                  <w:noWrap/>
                  <w:vAlign w:val="center"/>
                  <w:hideMark/>
                </w:tcPr>
                <w:p w14:paraId="6E8AFDE9" w14:textId="77777777" w:rsidR="00A55DFD" w:rsidRPr="00A55DFD" w:rsidRDefault="00A55DFD" w:rsidP="00A55DFD">
                  <w:pPr>
                    <w:widowControl/>
                    <w:jc w:val="center"/>
                    <w:rPr>
                      <w:rFonts w:ascii="楷体" w:eastAsia="楷体" w:hAnsi="楷体" w:cs="宋体"/>
                      <w:b/>
                      <w:bCs/>
                      <w:color w:val="FFFFFF"/>
                      <w:kern w:val="0"/>
                      <w:sz w:val="20"/>
                      <w:szCs w:val="20"/>
                    </w:rPr>
                  </w:pPr>
                  <w:proofErr w:type="gramStart"/>
                  <w:r w:rsidRPr="00A55DFD">
                    <w:rPr>
                      <w:rFonts w:ascii="楷体" w:eastAsia="楷体" w:hAnsi="楷体" w:cs="宋体" w:hint="eastAsia"/>
                      <w:b/>
                      <w:bCs/>
                      <w:color w:val="FFFFFF"/>
                      <w:kern w:val="0"/>
                      <w:sz w:val="20"/>
                      <w:szCs w:val="20"/>
                    </w:rPr>
                    <w:t>周变化</w:t>
                  </w:r>
                  <w:proofErr w:type="gramEnd"/>
                  <w:r w:rsidRPr="00A55DFD">
                    <w:rPr>
                      <w:rFonts w:ascii="楷体" w:eastAsia="楷体" w:hAnsi="楷体" w:cs="宋体" w:hint="eastAsia"/>
                      <w:b/>
                      <w:bCs/>
                      <w:color w:val="FFFFFF"/>
                      <w:kern w:val="0"/>
                      <w:sz w:val="20"/>
                      <w:szCs w:val="20"/>
                    </w:rPr>
                    <w:t>(BP)</w:t>
                  </w:r>
                </w:p>
              </w:tc>
              <w:tc>
                <w:tcPr>
                  <w:tcW w:w="919" w:type="dxa"/>
                  <w:tcBorders>
                    <w:top w:val="nil"/>
                    <w:left w:val="nil"/>
                    <w:bottom w:val="single" w:sz="12" w:space="0" w:color="FFFFFF"/>
                    <w:right w:val="single" w:sz="8" w:space="0" w:color="FFFFFF"/>
                  </w:tcBorders>
                  <w:shd w:val="clear" w:color="000000" w:fill="F79646"/>
                  <w:noWrap/>
                  <w:vAlign w:val="center"/>
                  <w:hideMark/>
                </w:tcPr>
                <w:p w14:paraId="653BD02C"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2AE23FE"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DA7925A"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0A660B0"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59D7F92E"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4D7F5139"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85BC6AF"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3E1EC48"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6D3275A6"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r>
            <w:tr w:rsidR="00A55DFD" w:rsidRPr="00A55DFD" w14:paraId="17FBE565" w14:textId="77777777" w:rsidTr="00A55DFD">
              <w:trPr>
                <w:trHeight w:val="328"/>
              </w:trPr>
              <w:tc>
                <w:tcPr>
                  <w:tcW w:w="1366" w:type="dxa"/>
                  <w:tcBorders>
                    <w:top w:val="nil"/>
                    <w:left w:val="nil"/>
                    <w:bottom w:val="single" w:sz="8" w:space="0" w:color="FFFFFF"/>
                    <w:right w:val="single" w:sz="8" w:space="0" w:color="FFFFFF"/>
                  </w:tcBorders>
                  <w:shd w:val="clear" w:color="000000" w:fill="FCD5B4"/>
                  <w:noWrap/>
                  <w:vAlign w:val="center"/>
                  <w:hideMark/>
                </w:tcPr>
                <w:p w14:paraId="5AFFB990"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1F7EBE0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-9.1 </w:t>
                  </w:r>
                </w:p>
              </w:tc>
              <w:tc>
                <w:tcPr>
                  <w:tcW w:w="920" w:type="dxa"/>
                  <w:tcBorders>
                    <w:top w:val="nil"/>
                    <w:left w:val="nil"/>
                    <w:bottom w:val="single" w:sz="8" w:space="0" w:color="FFFFFF"/>
                    <w:right w:val="single" w:sz="8" w:space="0" w:color="FFFFFF"/>
                  </w:tcBorders>
                  <w:shd w:val="clear" w:color="000000" w:fill="FCD5B4"/>
                  <w:noWrap/>
                  <w:vAlign w:val="center"/>
                  <w:hideMark/>
                </w:tcPr>
                <w:p w14:paraId="5C4DD26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-7.1 </w:t>
                  </w:r>
                </w:p>
              </w:tc>
              <w:tc>
                <w:tcPr>
                  <w:tcW w:w="920" w:type="dxa"/>
                  <w:tcBorders>
                    <w:top w:val="nil"/>
                    <w:left w:val="nil"/>
                    <w:bottom w:val="single" w:sz="8" w:space="0" w:color="FFFFFF"/>
                    <w:right w:val="single" w:sz="8" w:space="0" w:color="FFFFFF"/>
                  </w:tcBorders>
                  <w:shd w:val="clear" w:color="000000" w:fill="FCD5B4"/>
                  <w:noWrap/>
                  <w:vAlign w:val="center"/>
                  <w:hideMark/>
                </w:tcPr>
                <w:p w14:paraId="308DF03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50465C2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-6.1 </w:t>
                  </w:r>
                </w:p>
              </w:tc>
              <w:tc>
                <w:tcPr>
                  <w:tcW w:w="1149" w:type="dxa"/>
                  <w:tcBorders>
                    <w:top w:val="nil"/>
                    <w:left w:val="nil"/>
                    <w:bottom w:val="single" w:sz="8" w:space="0" w:color="FFFFFF"/>
                    <w:right w:val="single" w:sz="8" w:space="0" w:color="FFFFFF"/>
                  </w:tcBorders>
                  <w:shd w:val="clear" w:color="000000" w:fill="FCD5B4"/>
                  <w:noWrap/>
                  <w:vAlign w:val="center"/>
                  <w:hideMark/>
                </w:tcPr>
                <w:p w14:paraId="364A3802"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5853778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-6.9 </w:t>
                  </w:r>
                </w:p>
              </w:tc>
              <w:tc>
                <w:tcPr>
                  <w:tcW w:w="920" w:type="dxa"/>
                  <w:tcBorders>
                    <w:top w:val="nil"/>
                    <w:left w:val="nil"/>
                    <w:bottom w:val="single" w:sz="8" w:space="0" w:color="FFFFFF"/>
                    <w:right w:val="single" w:sz="8" w:space="0" w:color="FFFFFF"/>
                  </w:tcBorders>
                  <w:shd w:val="clear" w:color="000000" w:fill="FCD5B4"/>
                  <w:noWrap/>
                  <w:vAlign w:val="center"/>
                  <w:hideMark/>
                </w:tcPr>
                <w:p w14:paraId="151D1E8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-4.9 </w:t>
                  </w:r>
                </w:p>
              </w:tc>
              <w:tc>
                <w:tcPr>
                  <w:tcW w:w="920" w:type="dxa"/>
                  <w:tcBorders>
                    <w:top w:val="nil"/>
                    <w:left w:val="nil"/>
                    <w:bottom w:val="single" w:sz="8" w:space="0" w:color="FFFFFF"/>
                    <w:right w:val="single" w:sz="8" w:space="0" w:color="FFFFFF"/>
                  </w:tcBorders>
                  <w:shd w:val="clear" w:color="000000" w:fill="FCD5B4"/>
                  <w:noWrap/>
                  <w:vAlign w:val="center"/>
                  <w:hideMark/>
                </w:tcPr>
                <w:p w14:paraId="1928180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322D896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-3.9 </w:t>
                  </w:r>
                </w:p>
              </w:tc>
            </w:tr>
            <w:tr w:rsidR="00A55DFD" w:rsidRPr="00A55DFD" w14:paraId="554AEFA2"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359C0C0A"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3E86A5E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-2.7 </w:t>
                  </w:r>
                </w:p>
              </w:tc>
              <w:tc>
                <w:tcPr>
                  <w:tcW w:w="920" w:type="dxa"/>
                  <w:tcBorders>
                    <w:top w:val="nil"/>
                    <w:left w:val="nil"/>
                    <w:bottom w:val="single" w:sz="8" w:space="0" w:color="FFFFFF"/>
                    <w:right w:val="single" w:sz="8" w:space="0" w:color="FFFFFF"/>
                  </w:tcBorders>
                  <w:shd w:val="clear" w:color="000000" w:fill="FDE9D9"/>
                  <w:noWrap/>
                  <w:vAlign w:val="center"/>
                  <w:hideMark/>
                </w:tcPr>
                <w:p w14:paraId="4E96CF8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-3.7 </w:t>
                  </w:r>
                </w:p>
              </w:tc>
              <w:tc>
                <w:tcPr>
                  <w:tcW w:w="920" w:type="dxa"/>
                  <w:tcBorders>
                    <w:top w:val="nil"/>
                    <w:left w:val="nil"/>
                    <w:bottom w:val="single" w:sz="8" w:space="0" w:color="FFFFFF"/>
                    <w:right w:val="single" w:sz="8" w:space="0" w:color="FFFFFF"/>
                  </w:tcBorders>
                  <w:shd w:val="clear" w:color="000000" w:fill="FDE9D9"/>
                  <w:noWrap/>
                  <w:vAlign w:val="center"/>
                  <w:hideMark/>
                </w:tcPr>
                <w:p w14:paraId="0AA454A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-1.7 </w:t>
                  </w:r>
                </w:p>
              </w:tc>
              <w:tc>
                <w:tcPr>
                  <w:tcW w:w="920" w:type="dxa"/>
                  <w:tcBorders>
                    <w:top w:val="nil"/>
                    <w:left w:val="nil"/>
                    <w:bottom w:val="single" w:sz="8" w:space="0" w:color="FFFFFF"/>
                    <w:right w:val="single" w:sz="8" w:space="0" w:color="FFFFFF"/>
                  </w:tcBorders>
                  <w:shd w:val="clear" w:color="000000" w:fill="FDE9D9"/>
                  <w:noWrap/>
                  <w:vAlign w:val="center"/>
                  <w:hideMark/>
                </w:tcPr>
                <w:p w14:paraId="5D4F24C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-1.7 </w:t>
                  </w:r>
                </w:p>
              </w:tc>
              <w:tc>
                <w:tcPr>
                  <w:tcW w:w="1149" w:type="dxa"/>
                  <w:tcBorders>
                    <w:top w:val="nil"/>
                    <w:left w:val="nil"/>
                    <w:bottom w:val="single" w:sz="8" w:space="0" w:color="FFFFFF"/>
                    <w:right w:val="single" w:sz="8" w:space="0" w:color="FFFFFF"/>
                  </w:tcBorders>
                  <w:shd w:val="clear" w:color="000000" w:fill="FDE9D9"/>
                  <w:noWrap/>
                  <w:vAlign w:val="center"/>
                  <w:hideMark/>
                </w:tcPr>
                <w:p w14:paraId="404328BB"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6B7E757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-5.1 </w:t>
                  </w:r>
                </w:p>
              </w:tc>
              <w:tc>
                <w:tcPr>
                  <w:tcW w:w="920" w:type="dxa"/>
                  <w:tcBorders>
                    <w:top w:val="nil"/>
                    <w:left w:val="nil"/>
                    <w:bottom w:val="single" w:sz="8" w:space="0" w:color="FFFFFF"/>
                    <w:right w:val="single" w:sz="8" w:space="0" w:color="FFFFFF"/>
                  </w:tcBorders>
                  <w:shd w:val="clear" w:color="000000" w:fill="FDE9D9"/>
                  <w:noWrap/>
                  <w:vAlign w:val="center"/>
                  <w:hideMark/>
                </w:tcPr>
                <w:p w14:paraId="6D6DF0E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-6.1 </w:t>
                  </w:r>
                </w:p>
              </w:tc>
              <w:tc>
                <w:tcPr>
                  <w:tcW w:w="920" w:type="dxa"/>
                  <w:tcBorders>
                    <w:top w:val="nil"/>
                    <w:left w:val="nil"/>
                    <w:bottom w:val="single" w:sz="8" w:space="0" w:color="FFFFFF"/>
                    <w:right w:val="single" w:sz="8" w:space="0" w:color="FFFFFF"/>
                  </w:tcBorders>
                  <w:shd w:val="clear" w:color="000000" w:fill="FDE9D9"/>
                  <w:noWrap/>
                  <w:vAlign w:val="center"/>
                  <w:hideMark/>
                </w:tcPr>
                <w:p w14:paraId="2DC0E76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-4.1 </w:t>
                  </w:r>
                </w:p>
              </w:tc>
              <w:tc>
                <w:tcPr>
                  <w:tcW w:w="920" w:type="dxa"/>
                  <w:tcBorders>
                    <w:top w:val="nil"/>
                    <w:left w:val="nil"/>
                    <w:bottom w:val="single" w:sz="8" w:space="0" w:color="FFFFFF"/>
                    <w:right w:val="single" w:sz="8" w:space="0" w:color="FFFFFF"/>
                  </w:tcBorders>
                  <w:shd w:val="clear" w:color="000000" w:fill="FDE9D9"/>
                  <w:noWrap/>
                  <w:vAlign w:val="center"/>
                  <w:hideMark/>
                </w:tcPr>
                <w:p w14:paraId="5C7A278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-4.1 </w:t>
                  </w:r>
                </w:p>
              </w:tc>
            </w:tr>
            <w:tr w:rsidR="00A55DFD" w:rsidRPr="00A55DFD" w14:paraId="6D831FDA"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36D7FD48"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171C8E6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-1.0 </w:t>
                  </w:r>
                </w:p>
              </w:tc>
              <w:tc>
                <w:tcPr>
                  <w:tcW w:w="920" w:type="dxa"/>
                  <w:tcBorders>
                    <w:top w:val="nil"/>
                    <w:left w:val="nil"/>
                    <w:bottom w:val="single" w:sz="8" w:space="0" w:color="FFFFFF"/>
                    <w:right w:val="single" w:sz="8" w:space="0" w:color="FFFFFF"/>
                  </w:tcBorders>
                  <w:shd w:val="clear" w:color="000000" w:fill="FCD5B4"/>
                  <w:noWrap/>
                  <w:vAlign w:val="center"/>
                  <w:hideMark/>
                </w:tcPr>
                <w:p w14:paraId="3D9081D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-6.0 </w:t>
                  </w:r>
                </w:p>
              </w:tc>
              <w:tc>
                <w:tcPr>
                  <w:tcW w:w="920" w:type="dxa"/>
                  <w:tcBorders>
                    <w:top w:val="nil"/>
                    <w:left w:val="nil"/>
                    <w:bottom w:val="single" w:sz="8" w:space="0" w:color="FFFFFF"/>
                    <w:right w:val="single" w:sz="8" w:space="0" w:color="FFFFFF"/>
                  </w:tcBorders>
                  <w:shd w:val="clear" w:color="000000" w:fill="FCD5B4"/>
                  <w:noWrap/>
                  <w:vAlign w:val="center"/>
                  <w:hideMark/>
                </w:tcPr>
                <w:p w14:paraId="6BD2600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-7.0 </w:t>
                  </w:r>
                </w:p>
              </w:tc>
              <w:tc>
                <w:tcPr>
                  <w:tcW w:w="920" w:type="dxa"/>
                  <w:tcBorders>
                    <w:top w:val="nil"/>
                    <w:left w:val="nil"/>
                    <w:bottom w:val="single" w:sz="8" w:space="0" w:color="FFFFFF"/>
                    <w:right w:val="single" w:sz="8" w:space="0" w:color="FFFFFF"/>
                  </w:tcBorders>
                  <w:shd w:val="clear" w:color="000000" w:fill="FCD5B4"/>
                  <w:noWrap/>
                  <w:vAlign w:val="center"/>
                  <w:hideMark/>
                </w:tcPr>
                <w:p w14:paraId="00BA287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-7.0 </w:t>
                  </w:r>
                </w:p>
              </w:tc>
              <w:tc>
                <w:tcPr>
                  <w:tcW w:w="1149" w:type="dxa"/>
                  <w:tcBorders>
                    <w:top w:val="nil"/>
                    <w:left w:val="nil"/>
                    <w:bottom w:val="single" w:sz="8" w:space="0" w:color="FFFFFF"/>
                    <w:right w:val="single" w:sz="8" w:space="0" w:color="FFFFFF"/>
                  </w:tcBorders>
                  <w:shd w:val="clear" w:color="000000" w:fill="FCD5B4"/>
                  <w:noWrap/>
                  <w:vAlign w:val="center"/>
                  <w:hideMark/>
                </w:tcPr>
                <w:p w14:paraId="00ADFFF9"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2E41982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-3.7 </w:t>
                  </w:r>
                </w:p>
              </w:tc>
              <w:tc>
                <w:tcPr>
                  <w:tcW w:w="920" w:type="dxa"/>
                  <w:tcBorders>
                    <w:top w:val="nil"/>
                    <w:left w:val="nil"/>
                    <w:bottom w:val="single" w:sz="8" w:space="0" w:color="FFFFFF"/>
                    <w:right w:val="single" w:sz="8" w:space="0" w:color="FFFFFF"/>
                  </w:tcBorders>
                  <w:shd w:val="clear" w:color="000000" w:fill="FCD5B4"/>
                  <w:noWrap/>
                  <w:vAlign w:val="center"/>
                  <w:hideMark/>
                </w:tcPr>
                <w:p w14:paraId="2577B57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-8.7 </w:t>
                  </w:r>
                </w:p>
              </w:tc>
              <w:tc>
                <w:tcPr>
                  <w:tcW w:w="920" w:type="dxa"/>
                  <w:tcBorders>
                    <w:top w:val="nil"/>
                    <w:left w:val="nil"/>
                    <w:bottom w:val="single" w:sz="8" w:space="0" w:color="FFFFFF"/>
                    <w:right w:val="single" w:sz="8" w:space="0" w:color="FFFFFF"/>
                  </w:tcBorders>
                  <w:shd w:val="clear" w:color="000000" w:fill="FCD5B4"/>
                  <w:noWrap/>
                  <w:vAlign w:val="center"/>
                  <w:hideMark/>
                </w:tcPr>
                <w:p w14:paraId="7C79BA3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-9.7 </w:t>
                  </w:r>
                </w:p>
              </w:tc>
              <w:tc>
                <w:tcPr>
                  <w:tcW w:w="920" w:type="dxa"/>
                  <w:tcBorders>
                    <w:top w:val="nil"/>
                    <w:left w:val="nil"/>
                    <w:bottom w:val="single" w:sz="8" w:space="0" w:color="FFFFFF"/>
                    <w:right w:val="single" w:sz="8" w:space="0" w:color="FFFFFF"/>
                  </w:tcBorders>
                  <w:shd w:val="clear" w:color="000000" w:fill="FCD5B4"/>
                  <w:noWrap/>
                  <w:vAlign w:val="center"/>
                  <w:hideMark/>
                </w:tcPr>
                <w:p w14:paraId="64E9843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-9.7 </w:t>
                  </w:r>
                </w:p>
              </w:tc>
            </w:tr>
            <w:tr w:rsidR="00A55DFD" w:rsidRPr="00A55DFD" w14:paraId="62E0F366"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5A69EC86"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2CA3B41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-5.8 </w:t>
                  </w:r>
                </w:p>
              </w:tc>
              <w:tc>
                <w:tcPr>
                  <w:tcW w:w="920" w:type="dxa"/>
                  <w:tcBorders>
                    <w:top w:val="nil"/>
                    <w:left w:val="nil"/>
                    <w:bottom w:val="single" w:sz="8" w:space="0" w:color="FFFFFF"/>
                    <w:right w:val="single" w:sz="8" w:space="0" w:color="FFFFFF"/>
                  </w:tcBorders>
                  <w:shd w:val="clear" w:color="000000" w:fill="FDE9D9"/>
                  <w:noWrap/>
                  <w:vAlign w:val="center"/>
                  <w:hideMark/>
                </w:tcPr>
                <w:p w14:paraId="1F41717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2CA9924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-2.8 </w:t>
                  </w:r>
                </w:p>
              </w:tc>
              <w:tc>
                <w:tcPr>
                  <w:tcW w:w="920" w:type="dxa"/>
                  <w:tcBorders>
                    <w:top w:val="nil"/>
                    <w:left w:val="nil"/>
                    <w:bottom w:val="single" w:sz="8" w:space="0" w:color="FFFFFF"/>
                    <w:right w:val="single" w:sz="8" w:space="0" w:color="FFFFFF"/>
                  </w:tcBorders>
                  <w:shd w:val="clear" w:color="000000" w:fill="FDE9D9"/>
                  <w:noWrap/>
                  <w:vAlign w:val="center"/>
                  <w:hideMark/>
                </w:tcPr>
                <w:p w14:paraId="005E922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-2.8 </w:t>
                  </w:r>
                </w:p>
              </w:tc>
              <w:tc>
                <w:tcPr>
                  <w:tcW w:w="1149" w:type="dxa"/>
                  <w:tcBorders>
                    <w:top w:val="nil"/>
                    <w:left w:val="nil"/>
                    <w:bottom w:val="single" w:sz="8" w:space="0" w:color="FFFFFF"/>
                    <w:right w:val="single" w:sz="8" w:space="0" w:color="FFFFFF"/>
                  </w:tcBorders>
                  <w:shd w:val="clear" w:color="000000" w:fill="FDE9D9"/>
                  <w:noWrap/>
                  <w:vAlign w:val="center"/>
                  <w:hideMark/>
                </w:tcPr>
                <w:p w14:paraId="4719B783"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40A1F22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-8.2 </w:t>
                  </w:r>
                </w:p>
              </w:tc>
              <w:tc>
                <w:tcPr>
                  <w:tcW w:w="920" w:type="dxa"/>
                  <w:tcBorders>
                    <w:top w:val="nil"/>
                    <w:left w:val="nil"/>
                    <w:bottom w:val="single" w:sz="8" w:space="0" w:color="FFFFFF"/>
                    <w:right w:val="single" w:sz="8" w:space="0" w:color="FFFFFF"/>
                  </w:tcBorders>
                  <w:shd w:val="clear" w:color="000000" w:fill="FDE9D9"/>
                  <w:noWrap/>
                  <w:vAlign w:val="center"/>
                  <w:hideMark/>
                </w:tcPr>
                <w:p w14:paraId="1FD3E16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-1.2 </w:t>
                  </w:r>
                </w:p>
              </w:tc>
              <w:tc>
                <w:tcPr>
                  <w:tcW w:w="920" w:type="dxa"/>
                  <w:tcBorders>
                    <w:top w:val="nil"/>
                    <w:left w:val="nil"/>
                    <w:bottom w:val="single" w:sz="8" w:space="0" w:color="FFFFFF"/>
                    <w:right w:val="single" w:sz="8" w:space="0" w:color="FFFFFF"/>
                  </w:tcBorders>
                  <w:shd w:val="clear" w:color="000000" w:fill="FDE9D9"/>
                  <w:noWrap/>
                  <w:vAlign w:val="center"/>
                  <w:hideMark/>
                </w:tcPr>
                <w:p w14:paraId="1E7A92A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-5.2 </w:t>
                  </w:r>
                </w:p>
              </w:tc>
              <w:tc>
                <w:tcPr>
                  <w:tcW w:w="920" w:type="dxa"/>
                  <w:tcBorders>
                    <w:top w:val="nil"/>
                    <w:left w:val="nil"/>
                    <w:bottom w:val="single" w:sz="8" w:space="0" w:color="FFFFFF"/>
                    <w:right w:val="single" w:sz="8" w:space="0" w:color="FFFFFF"/>
                  </w:tcBorders>
                  <w:shd w:val="clear" w:color="000000" w:fill="FDE9D9"/>
                  <w:noWrap/>
                  <w:vAlign w:val="center"/>
                  <w:hideMark/>
                </w:tcPr>
                <w:p w14:paraId="5F588B3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-5.2 </w:t>
                  </w:r>
                </w:p>
              </w:tc>
            </w:tr>
            <w:tr w:rsidR="00A55DFD" w:rsidRPr="00A55DFD" w14:paraId="4D370CBD"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6AE68205"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2816DE3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-4.3 </w:t>
                  </w:r>
                </w:p>
              </w:tc>
              <w:tc>
                <w:tcPr>
                  <w:tcW w:w="920" w:type="dxa"/>
                  <w:tcBorders>
                    <w:top w:val="nil"/>
                    <w:left w:val="nil"/>
                    <w:bottom w:val="single" w:sz="8" w:space="0" w:color="FFFFFF"/>
                    <w:right w:val="single" w:sz="8" w:space="0" w:color="FFFFFF"/>
                  </w:tcBorders>
                  <w:shd w:val="clear" w:color="000000" w:fill="FCD5B4"/>
                  <w:noWrap/>
                  <w:vAlign w:val="center"/>
                  <w:hideMark/>
                </w:tcPr>
                <w:p w14:paraId="1057F37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-1.3 </w:t>
                  </w:r>
                </w:p>
              </w:tc>
              <w:tc>
                <w:tcPr>
                  <w:tcW w:w="920" w:type="dxa"/>
                  <w:tcBorders>
                    <w:top w:val="nil"/>
                    <w:left w:val="nil"/>
                    <w:bottom w:val="single" w:sz="8" w:space="0" w:color="FFFFFF"/>
                    <w:right w:val="single" w:sz="8" w:space="0" w:color="FFFFFF"/>
                  </w:tcBorders>
                  <w:shd w:val="clear" w:color="000000" w:fill="FCD5B4"/>
                  <w:noWrap/>
                  <w:vAlign w:val="center"/>
                  <w:hideMark/>
                </w:tcPr>
                <w:p w14:paraId="1924165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-4.3 </w:t>
                  </w:r>
                </w:p>
              </w:tc>
              <w:tc>
                <w:tcPr>
                  <w:tcW w:w="920" w:type="dxa"/>
                  <w:tcBorders>
                    <w:top w:val="nil"/>
                    <w:left w:val="nil"/>
                    <w:bottom w:val="single" w:sz="8" w:space="0" w:color="FFFFFF"/>
                    <w:right w:val="single" w:sz="8" w:space="0" w:color="FFFFFF"/>
                  </w:tcBorders>
                  <w:shd w:val="clear" w:color="000000" w:fill="FCD5B4"/>
                  <w:noWrap/>
                  <w:vAlign w:val="center"/>
                  <w:hideMark/>
                </w:tcPr>
                <w:p w14:paraId="187ACA7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-4.3 </w:t>
                  </w:r>
                </w:p>
              </w:tc>
              <w:tc>
                <w:tcPr>
                  <w:tcW w:w="1149" w:type="dxa"/>
                  <w:tcBorders>
                    <w:top w:val="nil"/>
                    <w:left w:val="nil"/>
                    <w:bottom w:val="single" w:sz="8" w:space="0" w:color="FFFFFF"/>
                    <w:right w:val="single" w:sz="8" w:space="0" w:color="FFFFFF"/>
                  </w:tcBorders>
                  <w:shd w:val="clear" w:color="000000" w:fill="FCD5B4"/>
                  <w:noWrap/>
                  <w:vAlign w:val="center"/>
                  <w:hideMark/>
                </w:tcPr>
                <w:p w14:paraId="39B651E2"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2270215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-7.0 </w:t>
                  </w:r>
                </w:p>
              </w:tc>
              <w:tc>
                <w:tcPr>
                  <w:tcW w:w="920" w:type="dxa"/>
                  <w:tcBorders>
                    <w:top w:val="nil"/>
                    <w:left w:val="nil"/>
                    <w:bottom w:val="single" w:sz="8" w:space="0" w:color="FFFFFF"/>
                    <w:right w:val="single" w:sz="8" w:space="0" w:color="FFFFFF"/>
                  </w:tcBorders>
                  <w:shd w:val="clear" w:color="000000" w:fill="FCD5B4"/>
                  <w:noWrap/>
                  <w:vAlign w:val="center"/>
                  <w:hideMark/>
                </w:tcPr>
                <w:p w14:paraId="42BC096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-4.0 </w:t>
                  </w:r>
                </w:p>
              </w:tc>
              <w:tc>
                <w:tcPr>
                  <w:tcW w:w="920" w:type="dxa"/>
                  <w:tcBorders>
                    <w:top w:val="nil"/>
                    <w:left w:val="nil"/>
                    <w:bottom w:val="single" w:sz="8" w:space="0" w:color="FFFFFF"/>
                    <w:right w:val="single" w:sz="8" w:space="0" w:color="FFFFFF"/>
                  </w:tcBorders>
                  <w:shd w:val="clear" w:color="000000" w:fill="FCD5B4"/>
                  <w:noWrap/>
                  <w:vAlign w:val="center"/>
                  <w:hideMark/>
                </w:tcPr>
                <w:p w14:paraId="42C2A05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-7.0 </w:t>
                  </w:r>
                </w:p>
              </w:tc>
              <w:tc>
                <w:tcPr>
                  <w:tcW w:w="920" w:type="dxa"/>
                  <w:tcBorders>
                    <w:top w:val="nil"/>
                    <w:left w:val="nil"/>
                    <w:bottom w:val="single" w:sz="8" w:space="0" w:color="FFFFFF"/>
                    <w:right w:val="single" w:sz="8" w:space="0" w:color="FFFFFF"/>
                  </w:tcBorders>
                  <w:shd w:val="clear" w:color="000000" w:fill="FCD5B4"/>
                  <w:noWrap/>
                  <w:vAlign w:val="center"/>
                  <w:hideMark/>
                </w:tcPr>
                <w:p w14:paraId="3F8E329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-7.0 </w:t>
                  </w:r>
                </w:p>
              </w:tc>
            </w:tr>
            <w:tr w:rsidR="00A55DFD" w:rsidRPr="00A55DFD" w14:paraId="13FC87A9"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53F0989C"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501B6C5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-1.1 </w:t>
                  </w:r>
                </w:p>
              </w:tc>
              <w:tc>
                <w:tcPr>
                  <w:tcW w:w="920" w:type="dxa"/>
                  <w:tcBorders>
                    <w:top w:val="nil"/>
                    <w:left w:val="nil"/>
                    <w:bottom w:val="single" w:sz="8" w:space="0" w:color="FFFFFF"/>
                    <w:right w:val="single" w:sz="8" w:space="0" w:color="FFFFFF"/>
                  </w:tcBorders>
                  <w:shd w:val="clear" w:color="000000" w:fill="FDE9D9"/>
                  <w:noWrap/>
                  <w:vAlign w:val="center"/>
                  <w:hideMark/>
                </w:tcPr>
                <w:p w14:paraId="471927D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1.9 </w:t>
                  </w:r>
                </w:p>
              </w:tc>
              <w:tc>
                <w:tcPr>
                  <w:tcW w:w="920" w:type="dxa"/>
                  <w:tcBorders>
                    <w:top w:val="nil"/>
                    <w:left w:val="nil"/>
                    <w:bottom w:val="single" w:sz="8" w:space="0" w:color="FFFFFF"/>
                    <w:right w:val="single" w:sz="8" w:space="0" w:color="FFFFFF"/>
                  </w:tcBorders>
                  <w:shd w:val="clear" w:color="000000" w:fill="FDE9D9"/>
                  <w:noWrap/>
                  <w:vAlign w:val="center"/>
                  <w:hideMark/>
                </w:tcPr>
                <w:p w14:paraId="2B1B41B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-2.1 </w:t>
                  </w:r>
                </w:p>
              </w:tc>
              <w:tc>
                <w:tcPr>
                  <w:tcW w:w="920" w:type="dxa"/>
                  <w:tcBorders>
                    <w:top w:val="nil"/>
                    <w:left w:val="nil"/>
                    <w:bottom w:val="single" w:sz="8" w:space="0" w:color="FFFFFF"/>
                    <w:right w:val="single" w:sz="8" w:space="0" w:color="FFFFFF"/>
                  </w:tcBorders>
                  <w:shd w:val="clear" w:color="000000" w:fill="FDE9D9"/>
                  <w:noWrap/>
                  <w:vAlign w:val="center"/>
                  <w:hideMark/>
                </w:tcPr>
                <w:p w14:paraId="4FB41F8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-2.1 </w:t>
                  </w:r>
                </w:p>
              </w:tc>
              <w:tc>
                <w:tcPr>
                  <w:tcW w:w="1149" w:type="dxa"/>
                  <w:tcBorders>
                    <w:top w:val="nil"/>
                    <w:left w:val="nil"/>
                    <w:bottom w:val="single" w:sz="8" w:space="0" w:color="FFFFFF"/>
                    <w:right w:val="single" w:sz="8" w:space="0" w:color="FFFFFF"/>
                  </w:tcBorders>
                  <w:shd w:val="clear" w:color="000000" w:fill="FDE9D9"/>
                  <w:noWrap/>
                  <w:vAlign w:val="center"/>
                  <w:hideMark/>
                </w:tcPr>
                <w:p w14:paraId="4C2A8464"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1625BDF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-4.5 </w:t>
                  </w:r>
                </w:p>
              </w:tc>
              <w:tc>
                <w:tcPr>
                  <w:tcW w:w="920" w:type="dxa"/>
                  <w:tcBorders>
                    <w:top w:val="nil"/>
                    <w:left w:val="nil"/>
                    <w:bottom w:val="single" w:sz="8" w:space="0" w:color="FFFFFF"/>
                    <w:right w:val="single" w:sz="8" w:space="0" w:color="FFFFFF"/>
                  </w:tcBorders>
                  <w:shd w:val="clear" w:color="000000" w:fill="FDE9D9"/>
                  <w:noWrap/>
                  <w:vAlign w:val="center"/>
                  <w:hideMark/>
                </w:tcPr>
                <w:p w14:paraId="40F51A6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-1.5 </w:t>
                  </w:r>
                </w:p>
              </w:tc>
              <w:tc>
                <w:tcPr>
                  <w:tcW w:w="920" w:type="dxa"/>
                  <w:tcBorders>
                    <w:top w:val="nil"/>
                    <w:left w:val="nil"/>
                    <w:bottom w:val="single" w:sz="8" w:space="0" w:color="FFFFFF"/>
                    <w:right w:val="single" w:sz="8" w:space="0" w:color="FFFFFF"/>
                  </w:tcBorders>
                  <w:shd w:val="clear" w:color="000000" w:fill="FDE9D9"/>
                  <w:noWrap/>
                  <w:vAlign w:val="center"/>
                  <w:hideMark/>
                </w:tcPr>
                <w:p w14:paraId="16019B7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-5.5 </w:t>
                  </w:r>
                </w:p>
              </w:tc>
              <w:tc>
                <w:tcPr>
                  <w:tcW w:w="920" w:type="dxa"/>
                  <w:tcBorders>
                    <w:top w:val="nil"/>
                    <w:left w:val="nil"/>
                    <w:bottom w:val="single" w:sz="8" w:space="0" w:color="FFFFFF"/>
                    <w:right w:val="single" w:sz="8" w:space="0" w:color="FFFFFF"/>
                  </w:tcBorders>
                  <w:shd w:val="clear" w:color="000000" w:fill="FDE9D9"/>
                  <w:noWrap/>
                  <w:vAlign w:val="center"/>
                  <w:hideMark/>
                </w:tcPr>
                <w:p w14:paraId="56B5B56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-5.5 </w:t>
                  </w:r>
                </w:p>
              </w:tc>
            </w:tr>
            <w:tr w:rsidR="00A55DFD" w:rsidRPr="00A55DFD" w14:paraId="2A7624C7"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59ED1910"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77E75D4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01F1ED7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-5.9 </w:t>
                  </w:r>
                </w:p>
              </w:tc>
              <w:tc>
                <w:tcPr>
                  <w:tcW w:w="920" w:type="dxa"/>
                  <w:tcBorders>
                    <w:top w:val="nil"/>
                    <w:left w:val="nil"/>
                    <w:bottom w:val="single" w:sz="8" w:space="0" w:color="FFFFFF"/>
                    <w:right w:val="single" w:sz="8" w:space="0" w:color="FFFFFF"/>
                  </w:tcBorders>
                  <w:shd w:val="clear" w:color="000000" w:fill="FCD5B4"/>
                  <w:noWrap/>
                  <w:vAlign w:val="center"/>
                  <w:hideMark/>
                </w:tcPr>
                <w:p w14:paraId="392FE07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-3.9 </w:t>
                  </w:r>
                </w:p>
              </w:tc>
              <w:tc>
                <w:tcPr>
                  <w:tcW w:w="920" w:type="dxa"/>
                  <w:tcBorders>
                    <w:top w:val="nil"/>
                    <w:left w:val="nil"/>
                    <w:bottom w:val="single" w:sz="8" w:space="0" w:color="FFFFFF"/>
                    <w:right w:val="single" w:sz="8" w:space="0" w:color="FFFFFF"/>
                  </w:tcBorders>
                  <w:shd w:val="clear" w:color="000000" w:fill="FCD5B4"/>
                  <w:noWrap/>
                  <w:vAlign w:val="center"/>
                  <w:hideMark/>
                </w:tcPr>
                <w:p w14:paraId="7CC4420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1.1 </w:t>
                  </w:r>
                </w:p>
              </w:tc>
              <w:tc>
                <w:tcPr>
                  <w:tcW w:w="1149" w:type="dxa"/>
                  <w:tcBorders>
                    <w:top w:val="nil"/>
                    <w:left w:val="nil"/>
                    <w:bottom w:val="single" w:sz="8" w:space="0" w:color="FFFFFF"/>
                    <w:right w:val="single" w:sz="8" w:space="0" w:color="FFFFFF"/>
                  </w:tcBorders>
                  <w:shd w:val="clear" w:color="000000" w:fill="FCD5B4"/>
                  <w:noWrap/>
                  <w:vAlign w:val="center"/>
                  <w:hideMark/>
                </w:tcPr>
                <w:p w14:paraId="1026DC5E"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3DE0CE8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-6.3 </w:t>
                  </w:r>
                </w:p>
              </w:tc>
              <w:tc>
                <w:tcPr>
                  <w:tcW w:w="920" w:type="dxa"/>
                  <w:tcBorders>
                    <w:top w:val="nil"/>
                    <w:left w:val="nil"/>
                    <w:bottom w:val="single" w:sz="8" w:space="0" w:color="FFFFFF"/>
                    <w:right w:val="single" w:sz="8" w:space="0" w:color="FFFFFF"/>
                  </w:tcBorders>
                  <w:shd w:val="clear" w:color="000000" w:fill="FCD5B4"/>
                  <w:noWrap/>
                  <w:vAlign w:val="center"/>
                  <w:hideMark/>
                </w:tcPr>
                <w:p w14:paraId="745EE1D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-8.3 </w:t>
                  </w:r>
                </w:p>
              </w:tc>
              <w:tc>
                <w:tcPr>
                  <w:tcW w:w="920" w:type="dxa"/>
                  <w:tcBorders>
                    <w:top w:val="nil"/>
                    <w:left w:val="nil"/>
                    <w:bottom w:val="single" w:sz="8" w:space="0" w:color="FFFFFF"/>
                    <w:right w:val="single" w:sz="8" w:space="0" w:color="FFFFFF"/>
                  </w:tcBorders>
                  <w:shd w:val="clear" w:color="000000" w:fill="FCD5B4"/>
                  <w:noWrap/>
                  <w:vAlign w:val="center"/>
                  <w:hideMark/>
                </w:tcPr>
                <w:p w14:paraId="770B9B3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-6.3 </w:t>
                  </w:r>
                </w:p>
              </w:tc>
              <w:tc>
                <w:tcPr>
                  <w:tcW w:w="920" w:type="dxa"/>
                  <w:tcBorders>
                    <w:top w:val="nil"/>
                    <w:left w:val="nil"/>
                    <w:bottom w:val="single" w:sz="8" w:space="0" w:color="FFFFFF"/>
                    <w:right w:val="single" w:sz="8" w:space="0" w:color="FFFFFF"/>
                  </w:tcBorders>
                  <w:shd w:val="clear" w:color="000000" w:fill="FCD5B4"/>
                  <w:noWrap/>
                  <w:vAlign w:val="center"/>
                  <w:hideMark/>
                </w:tcPr>
                <w:p w14:paraId="134DCB1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-1.3 </w:t>
                  </w:r>
                </w:p>
              </w:tc>
            </w:tr>
            <w:tr w:rsidR="00A55DFD" w:rsidRPr="00A55DFD" w14:paraId="611F87A2"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116DA8D5"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36F2B23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2.3 </w:t>
                  </w:r>
                </w:p>
              </w:tc>
              <w:tc>
                <w:tcPr>
                  <w:tcW w:w="920" w:type="dxa"/>
                  <w:tcBorders>
                    <w:top w:val="nil"/>
                    <w:left w:val="nil"/>
                    <w:bottom w:val="single" w:sz="8" w:space="0" w:color="FFFFFF"/>
                    <w:right w:val="single" w:sz="8" w:space="0" w:color="FFFFFF"/>
                  </w:tcBorders>
                  <w:shd w:val="clear" w:color="000000" w:fill="FDE9D9"/>
                  <w:noWrap/>
                  <w:vAlign w:val="center"/>
                  <w:hideMark/>
                </w:tcPr>
                <w:p w14:paraId="17ACDD9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5DBD1D3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1.3 </w:t>
                  </w:r>
                </w:p>
              </w:tc>
              <w:tc>
                <w:tcPr>
                  <w:tcW w:w="920" w:type="dxa"/>
                  <w:tcBorders>
                    <w:top w:val="nil"/>
                    <w:left w:val="nil"/>
                    <w:bottom w:val="single" w:sz="8" w:space="0" w:color="FFFFFF"/>
                    <w:right w:val="single" w:sz="8" w:space="0" w:color="FFFFFF"/>
                  </w:tcBorders>
                  <w:shd w:val="clear" w:color="000000" w:fill="FDE9D9"/>
                  <w:noWrap/>
                  <w:vAlign w:val="center"/>
                  <w:hideMark/>
                </w:tcPr>
                <w:p w14:paraId="3B1634B3"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6.3 </w:t>
                  </w:r>
                </w:p>
              </w:tc>
              <w:tc>
                <w:tcPr>
                  <w:tcW w:w="1149" w:type="dxa"/>
                  <w:tcBorders>
                    <w:top w:val="nil"/>
                    <w:left w:val="nil"/>
                    <w:bottom w:val="single" w:sz="8" w:space="0" w:color="FFFFFF"/>
                    <w:right w:val="single" w:sz="8" w:space="0" w:color="FFFFFF"/>
                  </w:tcBorders>
                  <w:shd w:val="clear" w:color="000000" w:fill="FDE9D9"/>
                  <w:noWrap/>
                  <w:vAlign w:val="center"/>
                  <w:hideMark/>
                </w:tcPr>
                <w:p w14:paraId="5DF08494"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6F1AFB8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-0.3 </w:t>
                  </w:r>
                </w:p>
              </w:tc>
              <w:tc>
                <w:tcPr>
                  <w:tcW w:w="920" w:type="dxa"/>
                  <w:tcBorders>
                    <w:top w:val="nil"/>
                    <w:left w:val="nil"/>
                    <w:bottom w:val="single" w:sz="8" w:space="0" w:color="FFFFFF"/>
                    <w:right w:val="single" w:sz="8" w:space="0" w:color="FFFFFF"/>
                  </w:tcBorders>
                  <w:shd w:val="clear" w:color="000000" w:fill="FDE9D9"/>
                  <w:noWrap/>
                  <w:vAlign w:val="center"/>
                  <w:hideMark/>
                </w:tcPr>
                <w:p w14:paraId="79305B1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-2.3 </w:t>
                  </w:r>
                </w:p>
              </w:tc>
              <w:tc>
                <w:tcPr>
                  <w:tcW w:w="920" w:type="dxa"/>
                  <w:tcBorders>
                    <w:top w:val="nil"/>
                    <w:left w:val="nil"/>
                    <w:bottom w:val="single" w:sz="8" w:space="0" w:color="FFFFFF"/>
                    <w:right w:val="single" w:sz="8" w:space="0" w:color="FFFFFF"/>
                  </w:tcBorders>
                  <w:shd w:val="clear" w:color="000000" w:fill="FDE9D9"/>
                  <w:noWrap/>
                  <w:vAlign w:val="center"/>
                  <w:hideMark/>
                </w:tcPr>
                <w:p w14:paraId="4F241EC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-1.3 </w:t>
                  </w:r>
                </w:p>
              </w:tc>
              <w:tc>
                <w:tcPr>
                  <w:tcW w:w="920" w:type="dxa"/>
                  <w:tcBorders>
                    <w:top w:val="nil"/>
                    <w:left w:val="nil"/>
                    <w:bottom w:val="single" w:sz="8" w:space="0" w:color="FFFFFF"/>
                    <w:right w:val="single" w:sz="8" w:space="0" w:color="FFFFFF"/>
                  </w:tcBorders>
                  <w:shd w:val="clear" w:color="000000" w:fill="FDE9D9"/>
                  <w:noWrap/>
                  <w:vAlign w:val="center"/>
                  <w:hideMark/>
                </w:tcPr>
                <w:p w14:paraId="37BCCD5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3.7 </w:t>
                  </w:r>
                </w:p>
              </w:tc>
            </w:tr>
            <w:tr w:rsidR="00A55DFD" w:rsidRPr="00A55DFD" w14:paraId="506C7A62" w14:textId="77777777" w:rsidTr="00A55DFD">
              <w:trPr>
                <w:trHeight w:val="317"/>
              </w:trPr>
              <w:tc>
                <w:tcPr>
                  <w:tcW w:w="1366" w:type="dxa"/>
                  <w:tcBorders>
                    <w:top w:val="nil"/>
                    <w:left w:val="nil"/>
                    <w:bottom w:val="nil"/>
                    <w:right w:val="nil"/>
                  </w:tcBorders>
                  <w:shd w:val="clear" w:color="000000" w:fill="FCD5B4"/>
                  <w:noWrap/>
                  <w:vAlign w:val="center"/>
                  <w:hideMark/>
                </w:tcPr>
                <w:p w14:paraId="11A32EB1"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3C42F1C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-1.1 </w:t>
                  </w:r>
                </w:p>
              </w:tc>
              <w:tc>
                <w:tcPr>
                  <w:tcW w:w="920" w:type="dxa"/>
                  <w:tcBorders>
                    <w:top w:val="nil"/>
                    <w:left w:val="nil"/>
                    <w:bottom w:val="single" w:sz="8" w:space="0" w:color="FFFFFF"/>
                    <w:right w:val="single" w:sz="8" w:space="0" w:color="FFFFFF"/>
                  </w:tcBorders>
                  <w:shd w:val="clear" w:color="000000" w:fill="FCD5B4"/>
                  <w:noWrap/>
                  <w:vAlign w:val="center"/>
                  <w:hideMark/>
                </w:tcPr>
                <w:p w14:paraId="6F43137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-0.1 </w:t>
                  </w:r>
                </w:p>
              </w:tc>
              <w:tc>
                <w:tcPr>
                  <w:tcW w:w="920" w:type="dxa"/>
                  <w:tcBorders>
                    <w:top w:val="nil"/>
                    <w:left w:val="nil"/>
                    <w:bottom w:val="single" w:sz="8" w:space="0" w:color="FFFFFF"/>
                    <w:right w:val="single" w:sz="8" w:space="0" w:color="FFFFFF"/>
                  </w:tcBorders>
                  <w:shd w:val="clear" w:color="000000" w:fill="FCD5B4"/>
                  <w:noWrap/>
                  <w:vAlign w:val="center"/>
                  <w:hideMark/>
                </w:tcPr>
                <w:p w14:paraId="7B4EE62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0.9 </w:t>
                  </w:r>
                </w:p>
              </w:tc>
              <w:tc>
                <w:tcPr>
                  <w:tcW w:w="920" w:type="dxa"/>
                  <w:tcBorders>
                    <w:top w:val="nil"/>
                    <w:left w:val="nil"/>
                    <w:bottom w:val="single" w:sz="8" w:space="0" w:color="FFFFFF"/>
                    <w:right w:val="single" w:sz="8" w:space="0" w:color="FFFFFF"/>
                  </w:tcBorders>
                  <w:shd w:val="clear" w:color="000000" w:fill="FCD5B4"/>
                  <w:noWrap/>
                  <w:vAlign w:val="center"/>
                  <w:hideMark/>
                </w:tcPr>
                <w:p w14:paraId="1CE0D7F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 xml:space="preserve">2.9 </w:t>
                  </w:r>
                </w:p>
              </w:tc>
              <w:tc>
                <w:tcPr>
                  <w:tcW w:w="1149" w:type="dxa"/>
                  <w:tcBorders>
                    <w:top w:val="nil"/>
                    <w:left w:val="nil"/>
                    <w:bottom w:val="nil"/>
                    <w:right w:val="nil"/>
                  </w:tcBorders>
                  <w:shd w:val="clear" w:color="000000" w:fill="FCD5B4"/>
                  <w:noWrap/>
                  <w:vAlign w:val="center"/>
                  <w:hideMark/>
                </w:tcPr>
                <w:p w14:paraId="78C9D833"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7278029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-4.5 </w:t>
                  </w:r>
                </w:p>
              </w:tc>
              <w:tc>
                <w:tcPr>
                  <w:tcW w:w="920" w:type="dxa"/>
                  <w:tcBorders>
                    <w:top w:val="nil"/>
                    <w:left w:val="nil"/>
                    <w:bottom w:val="single" w:sz="8" w:space="0" w:color="FFFFFF"/>
                    <w:right w:val="single" w:sz="8" w:space="0" w:color="FFFFFF"/>
                  </w:tcBorders>
                  <w:shd w:val="clear" w:color="000000" w:fill="FCD5B4"/>
                  <w:noWrap/>
                  <w:vAlign w:val="center"/>
                  <w:hideMark/>
                </w:tcPr>
                <w:p w14:paraId="0107D0E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-3.5 </w:t>
                  </w:r>
                </w:p>
              </w:tc>
              <w:tc>
                <w:tcPr>
                  <w:tcW w:w="920" w:type="dxa"/>
                  <w:tcBorders>
                    <w:top w:val="nil"/>
                    <w:left w:val="nil"/>
                    <w:bottom w:val="single" w:sz="8" w:space="0" w:color="FFFFFF"/>
                    <w:right w:val="single" w:sz="8" w:space="0" w:color="FFFFFF"/>
                  </w:tcBorders>
                  <w:shd w:val="clear" w:color="000000" w:fill="FCD5B4"/>
                  <w:noWrap/>
                  <w:vAlign w:val="center"/>
                  <w:hideMark/>
                </w:tcPr>
                <w:p w14:paraId="23E58EA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-2.5 </w:t>
                  </w:r>
                </w:p>
              </w:tc>
              <w:tc>
                <w:tcPr>
                  <w:tcW w:w="920" w:type="dxa"/>
                  <w:tcBorders>
                    <w:top w:val="nil"/>
                    <w:left w:val="nil"/>
                    <w:bottom w:val="single" w:sz="8" w:space="0" w:color="FFFFFF"/>
                    <w:right w:val="single" w:sz="8" w:space="0" w:color="FFFFFF"/>
                  </w:tcBorders>
                  <w:shd w:val="clear" w:color="000000" w:fill="FCD5B4"/>
                  <w:noWrap/>
                  <w:vAlign w:val="center"/>
                  <w:hideMark/>
                </w:tcPr>
                <w:p w14:paraId="389F402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FF0000"/>
                      <w:kern w:val="0"/>
                      <w:szCs w:val="21"/>
                    </w:rPr>
                    <w:t xml:space="preserve">-0.5 </w:t>
                  </w:r>
                </w:p>
              </w:tc>
            </w:tr>
            <w:tr w:rsidR="00A55DFD" w:rsidRPr="00A55DFD" w14:paraId="04CE218D" w14:textId="77777777" w:rsidTr="00A55DFD">
              <w:trPr>
                <w:trHeight w:val="164"/>
              </w:trPr>
              <w:tc>
                <w:tcPr>
                  <w:tcW w:w="1366" w:type="dxa"/>
                  <w:tcBorders>
                    <w:top w:val="nil"/>
                    <w:left w:val="nil"/>
                    <w:bottom w:val="nil"/>
                    <w:right w:val="nil"/>
                  </w:tcBorders>
                  <w:shd w:val="clear" w:color="auto" w:fill="auto"/>
                  <w:noWrap/>
                  <w:vAlign w:val="center"/>
                  <w:hideMark/>
                </w:tcPr>
                <w:p w14:paraId="6C9FE6E7" w14:textId="77777777" w:rsidR="00A55DFD" w:rsidRPr="00A55DFD" w:rsidRDefault="00A55DFD" w:rsidP="00A55DFD">
                  <w:pPr>
                    <w:widowControl/>
                    <w:jc w:val="center"/>
                    <w:rPr>
                      <w:rFonts w:eastAsia="等线" w:cs="Calibri"/>
                      <w:color w:val="000000"/>
                      <w:kern w:val="0"/>
                      <w:szCs w:val="21"/>
                    </w:rPr>
                  </w:pPr>
                </w:p>
              </w:tc>
              <w:tc>
                <w:tcPr>
                  <w:tcW w:w="919" w:type="dxa"/>
                  <w:tcBorders>
                    <w:top w:val="nil"/>
                    <w:left w:val="nil"/>
                    <w:bottom w:val="nil"/>
                    <w:right w:val="nil"/>
                  </w:tcBorders>
                  <w:shd w:val="clear" w:color="auto" w:fill="auto"/>
                  <w:noWrap/>
                  <w:vAlign w:val="center"/>
                  <w:hideMark/>
                </w:tcPr>
                <w:p w14:paraId="4D6A1BEF"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ABE8EF1"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B7E9BB3"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43280E73" w14:textId="77777777" w:rsidR="00A55DFD" w:rsidRPr="00A55DFD" w:rsidRDefault="00A55DFD" w:rsidP="00A55DFD">
                  <w:pPr>
                    <w:widowControl/>
                    <w:jc w:val="center"/>
                    <w:rPr>
                      <w:rFonts w:ascii="Times New Roman" w:eastAsia="Times New Roman" w:hAnsi="Times New Roman"/>
                      <w:kern w:val="0"/>
                      <w:sz w:val="20"/>
                      <w:szCs w:val="20"/>
                    </w:rPr>
                  </w:pPr>
                </w:p>
              </w:tc>
              <w:tc>
                <w:tcPr>
                  <w:tcW w:w="1149" w:type="dxa"/>
                  <w:tcBorders>
                    <w:top w:val="nil"/>
                    <w:left w:val="nil"/>
                    <w:bottom w:val="nil"/>
                    <w:right w:val="nil"/>
                  </w:tcBorders>
                  <w:shd w:val="clear" w:color="auto" w:fill="auto"/>
                  <w:noWrap/>
                  <w:vAlign w:val="center"/>
                  <w:hideMark/>
                </w:tcPr>
                <w:p w14:paraId="72BF2552"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2A07A8EF"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02E8B344"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3431F465" w14:textId="77777777" w:rsidR="00A55DFD" w:rsidRPr="00A55DFD" w:rsidRDefault="00A55DFD" w:rsidP="00A55DFD">
                  <w:pPr>
                    <w:widowControl/>
                    <w:jc w:val="center"/>
                    <w:rPr>
                      <w:rFonts w:ascii="Times New Roman" w:eastAsia="Times New Roman" w:hAnsi="Times New Roman"/>
                      <w:kern w:val="0"/>
                      <w:sz w:val="20"/>
                      <w:szCs w:val="20"/>
                    </w:rPr>
                  </w:pPr>
                </w:p>
              </w:tc>
              <w:tc>
                <w:tcPr>
                  <w:tcW w:w="920" w:type="dxa"/>
                  <w:tcBorders>
                    <w:top w:val="nil"/>
                    <w:left w:val="nil"/>
                    <w:bottom w:val="nil"/>
                    <w:right w:val="nil"/>
                  </w:tcBorders>
                  <w:shd w:val="clear" w:color="auto" w:fill="auto"/>
                  <w:noWrap/>
                  <w:vAlign w:val="center"/>
                  <w:hideMark/>
                </w:tcPr>
                <w:p w14:paraId="7B79A57A" w14:textId="77777777" w:rsidR="00A55DFD" w:rsidRPr="00A55DFD" w:rsidRDefault="00A55DFD" w:rsidP="00A55DFD">
                  <w:pPr>
                    <w:widowControl/>
                    <w:jc w:val="center"/>
                    <w:rPr>
                      <w:rFonts w:ascii="Times New Roman" w:eastAsia="Times New Roman" w:hAnsi="Times New Roman"/>
                      <w:kern w:val="0"/>
                      <w:sz w:val="20"/>
                      <w:szCs w:val="20"/>
                    </w:rPr>
                  </w:pPr>
                </w:p>
              </w:tc>
            </w:tr>
            <w:tr w:rsidR="00A55DFD" w:rsidRPr="00A55DFD" w14:paraId="421934CB" w14:textId="77777777" w:rsidTr="00A55DFD">
              <w:trPr>
                <w:trHeight w:val="317"/>
              </w:trPr>
              <w:tc>
                <w:tcPr>
                  <w:tcW w:w="1366" w:type="dxa"/>
                  <w:tcBorders>
                    <w:top w:val="nil"/>
                    <w:left w:val="nil"/>
                    <w:bottom w:val="single" w:sz="12" w:space="0" w:color="FFFFFF"/>
                    <w:right w:val="single" w:sz="8" w:space="0" w:color="FFFFFF"/>
                  </w:tcBorders>
                  <w:shd w:val="clear" w:color="000000" w:fill="F79646"/>
                  <w:noWrap/>
                  <w:vAlign w:val="center"/>
                  <w:hideMark/>
                </w:tcPr>
                <w:p w14:paraId="72E9C4CF"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收益率分位</w:t>
                  </w:r>
                </w:p>
              </w:tc>
              <w:tc>
                <w:tcPr>
                  <w:tcW w:w="919" w:type="dxa"/>
                  <w:tcBorders>
                    <w:top w:val="nil"/>
                    <w:left w:val="nil"/>
                    <w:bottom w:val="single" w:sz="12" w:space="0" w:color="FFFFFF"/>
                    <w:right w:val="single" w:sz="8" w:space="0" w:color="FFFFFF"/>
                  </w:tcBorders>
                  <w:shd w:val="clear" w:color="000000" w:fill="F79646"/>
                  <w:noWrap/>
                  <w:vAlign w:val="center"/>
                  <w:hideMark/>
                </w:tcPr>
                <w:p w14:paraId="0D3027F2"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0B793460"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3DB08F6"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4F3A726"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1149" w:type="dxa"/>
                  <w:tcBorders>
                    <w:top w:val="nil"/>
                    <w:left w:val="nil"/>
                    <w:bottom w:val="single" w:sz="12" w:space="0" w:color="FFFFFF"/>
                    <w:right w:val="single" w:sz="8" w:space="0" w:color="FFFFFF"/>
                  </w:tcBorders>
                  <w:shd w:val="clear" w:color="000000" w:fill="F79646"/>
                  <w:noWrap/>
                  <w:vAlign w:val="center"/>
                  <w:hideMark/>
                </w:tcPr>
                <w:p w14:paraId="52603837"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息差</w:t>
                  </w:r>
                </w:p>
              </w:tc>
              <w:tc>
                <w:tcPr>
                  <w:tcW w:w="920" w:type="dxa"/>
                  <w:tcBorders>
                    <w:top w:val="nil"/>
                    <w:left w:val="nil"/>
                    <w:bottom w:val="single" w:sz="12" w:space="0" w:color="FFFFFF"/>
                    <w:right w:val="single" w:sz="8" w:space="0" w:color="FFFFFF"/>
                  </w:tcBorders>
                  <w:shd w:val="clear" w:color="000000" w:fill="F79646"/>
                  <w:noWrap/>
                  <w:vAlign w:val="center"/>
                  <w:hideMark/>
                </w:tcPr>
                <w:p w14:paraId="505986E6"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AAA</w:t>
                  </w:r>
                </w:p>
              </w:tc>
              <w:tc>
                <w:tcPr>
                  <w:tcW w:w="920" w:type="dxa"/>
                  <w:tcBorders>
                    <w:top w:val="nil"/>
                    <w:left w:val="nil"/>
                    <w:bottom w:val="single" w:sz="12" w:space="0" w:color="FFFFFF"/>
                    <w:right w:val="single" w:sz="8" w:space="0" w:color="FFFFFF"/>
                  </w:tcBorders>
                  <w:shd w:val="clear" w:color="000000" w:fill="F79646"/>
                  <w:noWrap/>
                  <w:vAlign w:val="center"/>
                  <w:hideMark/>
                </w:tcPr>
                <w:p w14:paraId="1598F522"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2800C915"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c>
                <w:tcPr>
                  <w:tcW w:w="920" w:type="dxa"/>
                  <w:tcBorders>
                    <w:top w:val="nil"/>
                    <w:left w:val="nil"/>
                    <w:bottom w:val="single" w:sz="12" w:space="0" w:color="FFFFFF"/>
                    <w:right w:val="single" w:sz="8" w:space="0" w:color="FFFFFF"/>
                  </w:tcBorders>
                  <w:shd w:val="clear" w:color="000000" w:fill="F79646"/>
                  <w:noWrap/>
                  <w:vAlign w:val="center"/>
                  <w:hideMark/>
                </w:tcPr>
                <w:p w14:paraId="412EF927" w14:textId="77777777" w:rsidR="00A55DFD" w:rsidRPr="00A55DFD" w:rsidRDefault="00A55DFD" w:rsidP="00A55DFD">
                  <w:pPr>
                    <w:widowControl/>
                    <w:jc w:val="center"/>
                    <w:rPr>
                      <w:rFonts w:ascii="楷体" w:eastAsia="楷体" w:hAnsi="楷体" w:cs="宋体"/>
                      <w:b/>
                      <w:bCs/>
                      <w:color w:val="FFFFFF"/>
                      <w:kern w:val="0"/>
                      <w:sz w:val="20"/>
                      <w:szCs w:val="20"/>
                    </w:rPr>
                  </w:pPr>
                  <w:r w:rsidRPr="00A55DFD">
                    <w:rPr>
                      <w:rFonts w:ascii="楷体" w:eastAsia="楷体" w:hAnsi="楷体" w:cs="宋体" w:hint="eastAsia"/>
                      <w:b/>
                      <w:bCs/>
                      <w:color w:val="FFFFFF"/>
                      <w:kern w:val="0"/>
                      <w:sz w:val="20"/>
                      <w:szCs w:val="20"/>
                    </w:rPr>
                    <w:t>AA-</w:t>
                  </w:r>
                </w:p>
              </w:tc>
            </w:tr>
            <w:tr w:rsidR="00A55DFD" w:rsidRPr="00A55DFD" w14:paraId="0336EF05" w14:textId="77777777" w:rsidTr="00A55DFD">
              <w:trPr>
                <w:trHeight w:val="328"/>
              </w:trPr>
              <w:tc>
                <w:tcPr>
                  <w:tcW w:w="1366" w:type="dxa"/>
                  <w:tcBorders>
                    <w:top w:val="nil"/>
                    <w:left w:val="nil"/>
                    <w:bottom w:val="single" w:sz="8" w:space="0" w:color="FFFFFF"/>
                    <w:right w:val="single" w:sz="8" w:space="0" w:color="FFFFFF"/>
                  </w:tcBorders>
                  <w:shd w:val="clear" w:color="000000" w:fill="FCD5B4"/>
                  <w:noWrap/>
                  <w:vAlign w:val="center"/>
                  <w:hideMark/>
                </w:tcPr>
                <w:p w14:paraId="5C0B319A"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CP</w:t>
                  </w:r>
                </w:p>
              </w:tc>
              <w:tc>
                <w:tcPr>
                  <w:tcW w:w="919" w:type="dxa"/>
                  <w:tcBorders>
                    <w:top w:val="nil"/>
                    <w:left w:val="nil"/>
                    <w:bottom w:val="single" w:sz="8" w:space="0" w:color="FFFFFF"/>
                    <w:right w:val="single" w:sz="8" w:space="0" w:color="FFFFFF"/>
                  </w:tcBorders>
                  <w:shd w:val="clear" w:color="000000" w:fill="FCD5B4"/>
                  <w:noWrap/>
                  <w:vAlign w:val="center"/>
                  <w:hideMark/>
                </w:tcPr>
                <w:p w14:paraId="347AC35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34%</w:t>
                  </w:r>
                </w:p>
              </w:tc>
              <w:tc>
                <w:tcPr>
                  <w:tcW w:w="920" w:type="dxa"/>
                  <w:tcBorders>
                    <w:top w:val="nil"/>
                    <w:left w:val="nil"/>
                    <w:bottom w:val="single" w:sz="8" w:space="0" w:color="FFFFFF"/>
                    <w:right w:val="single" w:sz="8" w:space="0" w:color="FFFFFF"/>
                  </w:tcBorders>
                  <w:shd w:val="clear" w:color="000000" w:fill="FCD5B4"/>
                  <w:noWrap/>
                  <w:vAlign w:val="center"/>
                  <w:hideMark/>
                </w:tcPr>
                <w:p w14:paraId="64A433F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35%</w:t>
                  </w:r>
                </w:p>
              </w:tc>
              <w:tc>
                <w:tcPr>
                  <w:tcW w:w="920" w:type="dxa"/>
                  <w:tcBorders>
                    <w:top w:val="nil"/>
                    <w:left w:val="nil"/>
                    <w:bottom w:val="single" w:sz="8" w:space="0" w:color="FFFFFF"/>
                    <w:right w:val="single" w:sz="8" w:space="0" w:color="FFFFFF"/>
                  </w:tcBorders>
                  <w:shd w:val="clear" w:color="000000" w:fill="FCD5B4"/>
                  <w:noWrap/>
                  <w:vAlign w:val="center"/>
                  <w:hideMark/>
                </w:tcPr>
                <w:p w14:paraId="0A69C13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38%</w:t>
                  </w:r>
                </w:p>
              </w:tc>
              <w:tc>
                <w:tcPr>
                  <w:tcW w:w="920" w:type="dxa"/>
                  <w:tcBorders>
                    <w:top w:val="nil"/>
                    <w:left w:val="nil"/>
                    <w:bottom w:val="single" w:sz="8" w:space="0" w:color="FFFFFF"/>
                    <w:right w:val="single" w:sz="8" w:space="0" w:color="FFFFFF"/>
                  </w:tcBorders>
                  <w:shd w:val="clear" w:color="000000" w:fill="FCD5B4"/>
                  <w:noWrap/>
                  <w:vAlign w:val="center"/>
                  <w:hideMark/>
                </w:tcPr>
                <w:p w14:paraId="1626A0A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69%</w:t>
                  </w:r>
                </w:p>
              </w:tc>
              <w:tc>
                <w:tcPr>
                  <w:tcW w:w="1149" w:type="dxa"/>
                  <w:tcBorders>
                    <w:top w:val="nil"/>
                    <w:left w:val="nil"/>
                    <w:bottom w:val="single" w:sz="8" w:space="0" w:color="FFFFFF"/>
                    <w:right w:val="single" w:sz="8" w:space="0" w:color="FFFFFF"/>
                  </w:tcBorders>
                  <w:shd w:val="clear" w:color="000000" w:fill="FCD5B4"/>
                  <w:noWrap/>
                  <w:vAlign w:val="center"/>
                  <w:hideMark/>
                </w:tcPr>
                <w:p w14:paraId="62ED93DC"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CP</w:t>
                  </w:r>
                </w:p>
              </w:tc>
              <w:tc>
                <w:tcPr>
                  <w:tcW w:w="920" w:type="dxa"/>
                  <w:tcBorders>
                    <w:top w:val="nil"/>
                    <w:left w:val="nil"/>
                    <w:bottom w:val="single" w:sz="8" w:space="0" w:color="FFFFFF"/>
                    <w:right w:val="single" w:sz="8" w:space="0" w:color="FFFFFF"/>
                  </w:tcBorders>
                  <w:shd w:val="clear" w:color="000000" w:fill="FCD5B4"/>
                  <w:noWrap/>
                  <w:vAlign w:val="center"/>
                  <w:hideMark/>
                </w:tcPr>
                <w:p w14:paraId="4F4E486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093D277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0A20882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FC7CE"/>
                  <w:noWrap/>
                  <w:vAlign w:val="center"/>
                  <w:hideMark/>
                </w:tcPr>
                <w:p w14:paraId="1D1329CA" w14:textId="77777777" w:rsidR="00A55DFD" w:rsidRPr="00A55DFD" w:rsidRDefault="00A55DFD" w:rsidP="00A55DFD">
                  <w:pPr>
                    <w:widowControl/>
                    <w:jc w:val="center"/>
                    <w:rPr>
                      <w:rFonts w:eastAsia="等线" w:cs="Calibri"/>
                      <w:color w:val="9C0006"/>
                      <w:kern w:val="0"/>
                      <w:szCs w:val="21"/>
                    </w:rPr>
                  </w:pPr>
                  <w:r w:rsidRPr="00A55DFD">
                    <w:rPr>
                      <w:rFonts w:eastAsia="等线" w:cs="Calibri"/>
                      <w:color w:val="9C0006"/>
                      <w:kern w:val="0"/>
                      <w:szCs w:val="21"/>
                    </w:rPr>
                    <w:t>83%</w:t>
                  </w:r>
                </w:p>
              </w:tc>
            </w:tr>
            <w:tr w:rsidR="00A55DFD" w:rsidRPr="00A55DFD" w14:paraId="67F1EF88"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6D7C54FA"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MTN3Y</w:t>
                  </w:r>
                </w:p>
              </w:tc>
              <w:tc>
                <w:tcPr>
                  <w:tcW w:w="919" w:type="dxa"/>
                  <w:tcBorders>
                    <w:top w:val="nil"/>
                    <w:left w:val="nil"/>
                    <w:bottom w:val="single" w:sz="8" w:space="0" w:color="FFFFFF"/>
                    <w:right w:val="single" w:sz="8" w:space="0" w:color="FFFFFF"/>
                  </w:tcBorders>
                  <w:shd w:val="clear" w:color="000000" w:fill="FDE9D9"/>
                  <w:noWrap/>
                  <w:vAlign w:val="center"/>
                  <w:hideMark/>
                </w:tcPr>
                <w:p w14:paraId="55D4E39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33%</w:t>
                  </w:r>
                </w:p>
              </w:tc>
              <w:tc>
                <w:tcPr>
                  <w:tcW w:w="920" w:type="dxa"/>
                  <w:tcBorders>
                    <w:top w:val="nil"/>
                    <w:left w:val="nil"/>
                    <w:bottom w:val="single" w:sz="8" w:space="0" w:color="FFFFFF"/>
                    <w:right w:val="single" w:sz="8" w:space="0" w:color="FFFFFF"/>
                  </w:tcBorders>
                  <w:shd w:val="clear" w:color="000000" w:fill="FDE9D9"/>
                  <w:noWrap/>
                  <w:vAlign w:val="center"/>
                  <w:hideMark/>
                </w:tcPr>
                <w:p w14:paraId="632B466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32%</w:t>
                  </w:r>
                </w:p>
              </w:tc>
              <w:tc>
                <w:tcPr>
                  <w:tcW w:w="920" w:type="dxa"/>
                  <w:tcBorders>
                    <w:top w:val="nil"/>
                    <w:left w:val="nil"/>
                    <w:bottom w:val="single" w:sz="8" w:space="0" w:color="FFFFFF"/>
                    <w:right w:val="single" w:sz="8" w:space="0" w:color="FFFFFF"/>
                  </w:tcBorders>
                  <w:shd w:val="clear" w:color="000000" w:fill="FDE9D9"/>
                  <w:noWrap/>
                  <w:vAlign w:val="center"/>
                  <w:hideMark/>
                </w:tcPr>
                <w:p w14:paraId="0E38F2F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37%</w:t>
                  </w:r>
                </w:p>
              </w:tc>
              <w:tc>
                <w:tcPr>
                  <w:tcW w:w="920" w:type="dxa"/>
                  <w:tcBorders>
                    <w:top w:val="nil"/>
                    <w:left w:val="nil"/>
                    <w:bottom w:val="single" w:sz="8" w:space="0" w:color="FFFFFF"/>
                    <w:right w:val="single" w:sz="8" w:space="0" w:color="FFFFFF"/>
                  </w:tcBorders>
                  <w:shd w:val="clear" w:color="000000" w:fill="FDE9D9"/>
                  <w:noWrap/>
                  <w:vAlign w:val="center"/>
                  <w:hideMark/>
                </w:tcPr>
                <w:p w14:paraId="39CE299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72%</w:t>
                  </w:r>
                </w:p>
              </w:tc>
              <w:tc>
                <w:tcPr>
                  <w:tcW w:w="1149" w:type="dxa"/>
                  <w:tcBorders>
                    <w:top w:val="nil"/>
                    <w:left w:val="nil"/>
                    <w:bottom w:val="single" w:sz="8" w:space="0" w:color="FFFFFF"/>
                    <w:right w:val="single" w:sz="8" w:space="0" w:color="FFFFFF"/>
                  </w:tcBorders>
                  <w:shd w:val="clear" w:color="000000" w:fill="FDE9D9"/>
                  <w:noWrap/>
                  <w:vAlign w:val="center"/>
                  <w:hideMark/>
                </w:tcPr>
                <w:p w14:paraId="351DD48E"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MTN3Y</w:t>
                  </w:r>
                </w:p>
              </w:tc>
              <w:tc>
                <w:tcPr>
                  <w:tcW w:w="920" w:type="dxa"/>
                  <w:tcBorders>
                    <w:top w:val="nil"/>
                    <w:left w:val="nil"/>
                    <w:bottom w:val="single" w:sz="8" w:space="0" w:color="FFFFFF"/>
                    <w:right w:val="single" w:sz="8" w:space="0" w:color="FFFFFF"/>
                  </w:tcBorders>
                  <w:shd w:val="clear" w:color="000000" w:fill="FDE9D9"/>
                  <w:noWrap/>
                  <w:vAlign w:val="center"/>
                  <w:hideMark/>
                </w:tcPr>
                <w:p w14:paraId="5470117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DE9D9"/>
                  <w:noWrap/>
                  <w:vAlign w:val="center"/>
                  <w:hideMark/>
                </w:tcPr>
                <w:p w14:paraId="6A5BFAA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20%</w:t>
                  </w:r>
                </w:p>
              </w:tc>
              <w:tc>
                <w:tcPr>
                  <w:tcW w:w="920" w:type="dxa"/>
                  <w:tcBorders>
                    <w:top w:val="nil"/>
                    <w:left w:val="nil"/>
                    <w:bottom w:val="single" w:sz="8" w:space="0" w:color="FFFFFF"/>
                    <w:right w:val="single" w:sz="8" w:space="0" w:color="FFFFFF"/>
                  </w:tcBorders>
                  <w:shd w:val="clear" w:color="000000" w:fill="FDE9D9"/>
                  <w:noWrap/>
                  <w:vAlign w:val="center"/>
                  <w:hideMark/>
                </w:tcPr>
                <w:p w14:paraId="65AC618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28%</w:t>
                  </w:r>
                </w:p>
              </w:tc>
              <w:tc>
                <w:tcPr>
                  <w:tcW w:w="920" w:type="dxa"/>
                  <w:tcBorders>
                    <w:top w:val="nil"/>
                    <w:left w:val="nil"/>
                    <w:bottom w:val="single" w:sz="8" w:space="0" w:color="FFFFFF"/>
                    <w:right w:val="single" w:sz="8" w:space="0" w:color="FFFFFF"/>
                  </w:tcBorders>
                  <w:shd w:val="clear" w:color="000000" w:fill="FFC7CE"/>
                  <w:noWrap/>
                  <w:vAlign w:val="center"/>
                  <w:hideMark/>
                </w:tcPr>
                <w:p w14:paraId="2126C8CC" w14:textId="77777777" w:rsidR="00A55DFD" w:rsidRPr="00A55DFD" w:rsidRDefault="00A55DFD" w:rsidP="00A55DFD">
                  <w:pPr>
                    <w:widowControl/>
                    <w:jc w:val="center"/>
                    <w:rPr>
                      <w:rFonts w:eastAsia="等线" w:cs="Calibri"/>
                      <w:color w:val="9C0006"/>
                      <w:kern w:val="0"/>
                      <w:szCs w:val="21"/>
                    </w:rPr>
                  </w:pPr>
                  <w:r w:rsidRPr="00A55DFD">
                    <w:rPr>
                      <w:rFonts w:eastAsia="等线" w:cs="Calibri"/>
                      <w:color w:val="9C0006"/>
                      <w:kern w:val="0"/>
                      <w:szCs w:val="21"/>
                    </w:rPr>
                    <w:t>87%</w:t>
                  </w:r>
                </w:p>
              </w:tc>
            </w:tr>
            <w:tr w:rsidR="00A55DFD" w:rsidRPr="00A55DFD" w14:paraId="584EEF4B"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477F21CD"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MTN5Y</w:t>
                  </w:r>
                </w:p>
              </w:tc>
              <w:tc>
                <w:tcPr>
                  <w:tcW w:w="919" w:type="dxa"/>
                  <w:tcBorders>
                    <w:top w:val="nil"/>
                    <w:left w:val="nil"/>
                    <w:bottom w:val="single" w:sz="8" w:space="0" w:color="FFFFFF"/>
                    <w:right w:val="single" w:sz="8" w:space="0" w:color="FFFFFF"/>
                  </w:tcBorders>
                  <w:shd w:val="clear" w:color="000000" w:fill="FCD5B4"/>
                  <w:noWrap/>
                  <w:vAlign w:val="center"/>
                  <w:hideMark/>
                </w:tcPr>
                <w:p w14:paraId="734096C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0FE634C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CD5B4"/>
                  <w:noWrap/>
                  <w:vAlign w:val="center"/>
                  <w:hideMark/>
                </w:tcPr>
                <w:p w14:paraId="0D847FE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26%</w:t>
                  </w:r>
                </w:p>
              </w:tc>
              <w:tc>
                <w:tcPr>
                  <w:tcW w:w="920" w:type="dxa"/>
                  <w:tcBorders>
                    <w:top w:val="nil"/>
                    <w:left w:val="nil"/>
                    <w:bottom w:val="single" w:sz="8" w:space="0" w:color="FFFFFF"/>
                    <w:right w:val="single" w:sz="8" w:space="0" w:color="FFFFFF"/>
                  </w:tcBorders>
                  <w:shd w:val="clear" w:color="000000" w:fill="FCD5B4"/>
                  <w:noWrap/>
                  <w:vAlign w:val="center"/>
                  <w:hideMark/>
                </w:tcPr>
                <w:p w14:paraId="2F2B9C2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64%</w:t>
                  </w:r>
                </w:p>
              </w:tc>
              <w:tc>
                <w:tcPr>
                  <w:tcW w:w="1149" w:type="dxa"/>
                  <w:tcBorders>
                    <w:top w:val="nil"/>
                    <w:left w:val="nil"/>
                    <w:bottom w:val="single" w:sz="8" w:space="0" w:color="FFFFFF"/>
                    <w:right w:val="single" w:sz="8" w:space="0" w:color="FFFFFF"/>
                  </w:tcBorders>
                  <w:shd w:val="clear" w:color="000000" w:fill="FCD5B4"/>
                  <w:noWrap/>
                  <w:vAlign w:val="center"/>
                  <w:hideMark/>
                </w:tcPr>
                <w:p w14:paraId="371373B1"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MTN5Y</w:t>
                  </w:r>
                </w:p>
              </w:tc>
              <w:tc>
                <w:tcPr>
                  <w:tcW w:w="920" w:type="dxa"/>
                  <w:tcBorders>
                    <w:top w:val="nil"/>
                    <w:left w:val="nil"/>
                    <w:bottom w:val="single" w:sz="8" w:space="0" w:color="FFFFFF"/>
                    <w:right w:val="single" w:sz="8" w:space="0" w:color="FFFFFF"/>
                  </w:tcBorders>
                  <w:shd w:val="clear" w:color="000000" w:fill="FCD5B4"/>
                  <w:noWrap/>
                  <w:vAlign w:val="center"/>
                  <w:hideMark/>
                </w:tcPr>
                <w:p w14:paraId="004A251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7%</w:t>
                  </w:r>
                </w:p>
              </w:tc>
              <w:tc>
                <w:tcPr>
                  <w:tcW w:w="920" w:type="dxa"/>
                  <w:tcBorders>
                    <w:top w:val="nil"/>
                    <w:left w:val="nil"/>
                    <w:bottom w:val="single" w:sz="8" w:space="0" w:color="FFFFFF"/>
                    <w:right w:val="single" w:sz="8" w:space="0" w:color="FFFFFF"/>
                  </w:tcBorders>
                  <w:shd w:val="clear" w:color="000000" w:fill="FCD5B4"/>
                  <w:noWrap/>
                  <w:vAlign w:val="center"/>
                  <w:hideMark/>
                </w:tcPr>
                <w:p w14:paraId="377EC53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10%</w:t>
                  </w:r>
                </w:p>
              </w:tc>
              <w:tc>
                <w:tcPr>
                  <w:tcW w:w="920" w:type="dxa"/>
                  <w:tcBorders>
                    <w:top w:val="nil"/>
                    <w:left w:val="nil"/>
                    <w:bottom w:val="single" w:sz="8" w:space="0" w:color="FFFFFF"/>
                    <w:right w:val="single" w:sz="8" w:space="0" w:color="FFFFFF"/>
                  </w:tcBorders>
                  <w:shd w:val="clear" w:color="000000" w:fill="FCD5B4"/>
                  <w:noWrap/>
                  <w:vAlign w:val="center"/>
                  <w:hideMark/>
                </w:tcPr>
                <w:p w14:paraId="1561B11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13%</w:t>
                  </w:r>
                </w:p>
              </w:tc>
              <w:tc>
                <w:tcPr>
                  <w:tcW w:w="920" w:type="dxa"/>
                  <w:tcBorders>
                    <w:top w:val="nil"/>
                    <w:left w:val="nil"/>
                    <w:bottom w:val="single" w:sz="8" w:space="0" w:color="FFFFFF"/>
                    <w:right w:val="single" w:sz="8" w:space="0" w:color="FFFFFF"/>
                  </w:tcBorders>
                  <w:shd w:val="clear" w:color="000000" w:fill="FCD5B4"/>
                  <w:noWrap/>
                  <w:vAlign w:val="center"/>
                  <w:hideMark/>
                </w:tcPr>
                <w:p w14:paraId="5FD3B837"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67%</w:t>
                  </w:r>
                </w:p>
              </w:tc>
            </w:tr>
            <w:tr w:rsidR="00A55DFD" w:rsidRPr="00A55DFD" w14:paraId="54EB37DE"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673EFDDD"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企业债3Y</w:t>
                  </w:r>
                </w:p>
              </w:tc>
              <w:tc>
                <w:tcPr>
                  <w:tcW w:w="919" w:type="dxa"/>
                  <w:tcBorders>
                    <w:top w:val="nil"/>
                    <w:left w:val="nil"/>
                    <w:bottom w:val="single" w:sz="8" w:space="0" w:color="FFFFFF"/>
                    <w:right w:val="single" w:sz="8" w:space="0" w:color="FFFFFF"/>
                  </w:tcBorders>
                  <w:shd w:val="clear" w:color="000000" w:fill="FDE9D9"/>
                  <w:noWrap/>
                  <w:vAlign w:val="center"/>
                  <w:hideMark/>
                </w:tcPr>
                <w:p w14:paraId="769DFD8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33%</w:t>
                  </w:r>
                </w:p>
              </w:tc>
              <w:tc>
                <w:tcPr>
                  <w:tcW w:w="920" w:type="dxa"/>
                  <w:tcBorders>
                    <w:top w:val="nil"/>
                    <w:left w:val="nil"/>
                    <w:bottom w:val="single" w:sz="8" w:space="0" w:color="FFFFFF"/>
                    <w:right w:val="single" w:sz="8" w:space="0" w:color="FFFFFF"/>
                  </w:tcBorders>
                  <w:shd w:val="clear" w:color="000000" w:fill="FDE9D9"/>
                  <w:noWrap/>
                  <w:vAlign w:val="center"/>
                  <w:hideMark/>
                </w:tcPr>
                <w:p w14:paraId="2613C94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33%</w:t>
                  </w:r>
                </w:p>
              </w:tc>
              <w:tc>
                <w:tcPr>
                  <w:tcW w:w="920" w:type="dxa"/>
                  <w:tcBorders>
                    <w:top w:val="nil"/>
                    <w:left w:val="nil"/>
                    <w:bottom w:val="single" w:sz="8" w:space="0" w:color="FFFFFF"/>
                    <w:right w:val="single" w:sz="8" w:space="0" w:color="FFFFFF"/>
                  </w:tcBorders>
                  <w:shd w:val="clear" w:color="000000" w:fill="FDE9D9"/>
                  <w:noWrap/>
                  <w:vAlign w:val="center"/>
                  <w:hideMark/>
                </w:tcPr>
                <w:p w14:paraId="601DB3A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34%</w:t>
                  </w:r>
                </w:p>
              </w:tc>
              <w:tc>
                <w:tcPr>
                  <w:tcW w:w="920" w:type="dxa"/>
                  <w:tcBorders>
                    <w:top w:val="nil"/>
                    <w:left w:val="nil"/>
                    <w:bottom w:val="single" w:sz="8" w:space="0" w:color="FFFFFF"/>
                    <w:right w:val="single" w:sz="8" w:space="0" w:color="FFFFFF"/>
                  </w:tcBorders>
                  <w:shd w:val="clear" w:color="000000" w:fill="FDE9D9"/>
                  <w:noWrap/>
                  <w:vAlign w:val="center"/>
                  <w:hideMark/>
                </w:tcPr>
                <w:p w14:paraId="6E813DF1"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69%</w:t>
                  </w:r>
                </w:p>
              </w:tc>
              <w:tc>
                <w:tcPr>
                  <w:tcW w:w="1149" w:type="dxa"/>
                  <w:tcBorders>
                    <w:top w:val="nil"/>
                    <w:left w:val="nil"/>
                    <w:bottom w:val="single" w:sz="8" w:space="0" w:color="FFFFFF"/>
                    <w:right w:val="single" w:sz="8" w:space="0" w:color="FFFFFF"/>
                  </w:tcBorders>
                  <w:shd w:val="clear" w:color="000000" w:fill="FDE9D9"/>
                  <w:noWrap/>
                  <w:vAlign w:val="center"/>
                  <w:hideMark/>
                </w:tcPr>
                <w:p w14:paraId="6F323C8F"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企业债3Y</w:t>
                  </w:r>
                </w:p>
              </w:tc>
              <w:tc>
                <w:tcPr>
                  <w:tcW w:w="920" w:type="dxa"/>
                  <w:tcBorders>
                    <w:top w:val="nil"/>
                    <w:left w:val="nil"/>
                    <w:bottom w:val="single" w:sz="8" w:space="0" w:color="FFFFFF"/>
                    <w:right w:val="single" w:sz="8" w:space="0" w:color="FFFFFF"/>
                  </w:tcBorders>
                  <w:shd w:val="clear" w:color="000000" w:fill="FDE9D9"/>
                  <w:noWrap/>
                  <w:vAlign w:val="center"/>
                  <w:hideMark/>
                </w:tcPr>
                <w:p w14:paraId="754A3D7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DE9D9"/>
                  <w:noWrap/>
                  <w:vAlign w:val="center"/>
                  <w:hideMark/>
                </w:tcPr>
                <w:p w14:paraId="3C24363A"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DE9D9"/>
                  <w:noWrap/>
                  <w:vAlign w:val="center"/>
                  <w:hideMark/>
                </w:tcPr>
                <w:p w14:paraId="544113A1"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25%</w:t>
                  </w:r>
                </w:p>
              </w:tc>
              <w:tc>
                <w:tcPr>
                  <w:tcW w:w="920" w:type="dxa"/>
                  <w:tcBorders>
                    <w:top w:val="nil"/>
                    <w:left w:val="nil"/>
                    <w:bottom w:val="single" w:sz="8" w:space="0" w:color="FFFFFF"/>
                    <w:right w:val="single" w:sz="8" w:space="0" w:color="FFFFFF"/>
                  </w:tcBorders>
                  <w:shd w:val="clear" w:color="000000" w:fill="FFC7CE"/>
                  <w:noWrap/>
                  <w:vAlign w:val="center"/>
                  <w:hideMark/>
                </w:tcPr>
                <w:p w14:paraId="5F9AE90B" w14:textId="77777777" w:rsidR="00A55DFD" w:rsidRPr="00A55DFD" w:rsidRDefault="00A55DFD" w:rsidP="00A55DFD">
                  <w:pPr>
                    <w:widowControl/>
                    <w:jc w:val="center"/>
                    <w:rPr>
                      <w:rFonts w:eastAsia="等线" w:cs="Calibri"/>
                      <w:color w:val="9C0006"/>
                      <w:kern w:val="0"/>
                      <w:szCs w:val="21"/>
                    </w:rPr>
                  </w:pPr>
                  <w:r w:rsidRPr="00A55DFD">
                    <w:rPr>
                      <w:rFonts w:eastAsia="等线" w:cs="Calibri"/>
                      <w:color w:val="9C0006"/>
                      <w:kern w:val="0"/>
                      <w:szCs w:val="21"/>
                    </w:rPr>
                    <w:t>84%</w:t>
                  </w:r>
                </w:p>
              </w:tc>
            </w:tr>
            <w:tr w:rsidR="00A55DFD" w:rsidRPr="00A55DFD" w14:paraId="0B87D6DF"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5ECB1690"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企业债5Y</w:t>
                  </w:r>
                </w:p>
              </w:tc>
              <w:tc>
                <w:tcPr>
                  <w:tcW w:w="919" w:type="dxa"/>
                  <w:tcBorders>
                    <w:top w:val="nil"/>
                    <w:left w:val="nil"/>
                    <w:bottom w:val="single" w:sz="8" w:space="0" w:color="FFFFFF"/>
                    <w:right w:val="single" w:sz="8" w:space="0" w:color="FFFFFF"/>
                  </w:tcBorders>
                  <w:shd w:val="clear" w:color="000000" w:fill="FCD5B4"/>
                  <w:noWrap/>
                  <w:vAlign w:val="center"/>
                  <w:hideMark/>
                </w:tcPr>
                <w:p w14:paraId="302D8721"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CD5B4"/>
                  <w:noWrap/>
                  <w:vAlign w:val="center"/>
                  <w:hideMark/>
                </w:tcPr>
                <w:p w14:paraId="5DA5B748"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39752B22"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5F04995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52%</w:t>
                  </w:r>
                </w:p>
              </w:tc>
              <w:tc>
                <w:tcPr>
                  <w:tcW w:w="1149" w:type="dxa"/>
                  <w:tcBorders>
                    <w:top w:val="nil"/>
                    <w:left w:val="nil"/>
                    <w:bottom w:val="single" w:sz="8" w:space="0" w:color="FFFFFF"/>
                    <w:right w:val="single" w:sz="8" w:space="0" w:color="FFFFFF"/>
                  </w:tcBorders>
                  <w:shd w:val="clear" w:color="000000" w:fill="FCD5B4"/>
                  <w:noWrap/>
                  <w:vAlign w:val="center"/>
                  <w:hideMark/>
                </w:tcPr>
                <w:p w14:paraId="4E7C2860"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企业债5Y</w:t>
                  </w:r>
                </w:p>
              </w:tc>
              <w:tc>
                <w:tcPr>
                  <w:tcW w:w="920" w:type="dxa"/>
                  <w:tcBorders>
                    <w:top w:val="nil"/>
                    <w:left w:val="nil"/>
                    <w:bottom w:val="single" w:sz="8" w:space="0" w:color="FFFFFF"/>
                    <w:right w:val="single" w:sz="8" w:space="0" w:color="FFFFFF"/>
                  </w:tcBorders>
                  <w:shd w:val="clear" w:color="000000" w:fill="FCD5B4"/>
                  <w:noWrap/>
                  <w:vAlign w:val="center"/>
                  <w:hideMark/>
                </w:tcPr>
                <w:p w14:paraId="0C25CF6F"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21937FA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329541E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CD5B4"/>
                  <w:noWrap/>
                  <w:vAlign w:val="center"/>
                  <w:hideMark/>
                </w:tcPr>
                <w:p w14:paraId="230ED82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55%</w:t>
                  </w:r>
                </w:p>
              </w:tc>
            </w:tr>
            <w:tr w:rsidR="00A55DFD" w:rsidRPr="00A55DFD" w14:paraId="219A7A94"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754AD60A"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企业债7Y</w:t>
                  </w:r>
                </w:p>
              </w:tc>
              <w:tc>
                <w:tcPr>
                  <w:tcW w:w="919" w:type="dxa"/>
                  <w:tcBorders>
                    <w:top w:val="nil"/>
                    <w:left w:val="nil"/>
                    <w:bottom w:val="single" w:sz="8" w:space="0" w:color="FFFFFF"/>
                    <w:right w:val="single" w:sz="8" w:space="0" w:color="FFFFFF"/>
                  </w:tcBorders>
                  <w:shd w:val="clear" w:color="000000" w:fill="FDE9D9"/>
                  <w:noWrap/>
                  <w:vAlign w:val="center"/>
                  <w:hideMark/>
                </w:tcPr>
                <w:p w14:paraId="5302443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17%</w:t>
                  </w:r>
                </w:p>
              </w:tc>
              <w:tc>
                <w:tcPr>
                  <w:tcW w:w="920" w:type="dxa"/>
                  <w:tcBorders>
                    <w:top w:val="nil"/>
                    <w:left w:val="nil"/>
                    <w:bottom w:val="single" w:sz="8" w:space="0" w:color="FFFFFF"/>
                    <w:right w:val="single" w:sz="8" w:space="0" w:color="FFFFFF"/>
                  </w:tcBorders>
                  <w:shd w:val="clear" w:color="000000" w:fill="FDE9D9"/>
                  <w:noWrap/>
                  <w:vAlign w:val="center"/>
                  <w:hideMark/>
                </w:tcPr>
                <w:p w14:paraId="18FF616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1849409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9%</w:t>
                  </w:r>
                </w:p>
              </w:tc>
              <w:tc>
                <w:tcPr>
                  <w:tcW w:w="920" w:type="dxa"/>
                  <w:tcBorders>
                    <w:top w:val="nil"/>
                    <w:left w:val="nil"/>
                    <w:bottom w:val="single" w:sz="8" w:space="0" w:color="FFFFFF"/>
                    <w:right w:val="single" w:sz="8" w:space="0" w:color="FFFFFF"/>
                  </w:tcBorders>
                  <w:shd w:val="clear" w:color="000000" w:fill="FDE9D9"/>
                  <w:noWrap/>
                  <w:vAlign w:val="center"/>
                  <w:hideMark/>
                </w:tcPr>
                <w:p w14:paraId="4D40420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42%</w:t>
                  </w:r>
                </w:p>
              </w:tc>
              <w:tc>
                <w:tcPr>
                  <w:tcW w:w="1149" w:type="dxa"/>
                  <w:tcBorders>
                    <w:top w:val="nil"/>
                    <w:left w:val="nil"/>
                    <w:bottom w:val="single" w:sz="8" w:space="0" w:color="FFFFFF"/>
                    <w:right w:val="single" w:sz="8" w:space="0" w:color="FFFFFF"/>
                  </w:tcBorders>
                  <w:shd w:val="clear" w:color="000000" w:fill="FDE9D9"/>
                  <w:noWrap/>
                  <w:vAlign w:val="center"/>
                  <w:hideMark/>
                </w:tcPr>
                <w:p w14:paraId="353166C6" w14:textId="77777777" w:rsidR="00A55DFD" w:rsidRPr="00A55DFD" w:rsidRDefault="00A55DFD" w:rsidP="00A55DFD">
                  <w:pPr>
                    <w:widowControl/>
                    <w:jc w:val="center"/>
                    <w:rPr>
                      <w:rFonts w:ascii="楷体" w:eastAsia="楷体" w:hAnsi="楷体" w:cs="宋体"/>
                      <w:color w:val="000000"/>
                      <w:kern w:val="0"/>
                      <w:sz w:val="20"/>
                      <w:szCs w:val="20"/>
                    </w:rPr>
                  </w:pPr>
                  <w:r w:rsidRPr="00A55DFD">
                    <w:rPr>
                      <w:rFonts w:ascii="楷体" w:eastAsia="楷体" w:hAnsi="楷体" w:cs="宋体" w:hint="eastAsia"/>
                      <w:color w:val="000000"/>
                      <w:kern w:val="0"/>
                      <w:sz w:val="20"/>
                      <w:szCs w:val="20"/>
                    </w:rPr>
                    <w:t>企业债7Y</w:t>
                  </w:r>
                </w:p>
              </w:tc>
              <w:tc>
                <w:tcPr>
                  <w:tcW w:w="920" w:type="dxa"/>
                  <w:tcBorders>
                    <w:top w:val="nil"/>
                    <w:left w:val="nil"/>
                    <w:bottom w:val="single" w:sz="8" w:space="0" w:color="FFFFFF"/>
                    <w:right w:val="single" w:sz="8" w:space="0" w:color="FFFFFF"/>
                  </w:tcBorders>
                  <w:shd w:val="clear" w:color="000000" w:fill="FDE9D9"/>
                  <w:noWrap/>
                  <w:vAlign w:val="center"/>
                  <w:hideMark/>
                </w:tcPr>
                <w:p w14:paraId="4340932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1F5ABF4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w:t>
                  </w:r>
                </w:p>
              </w:tc>
              <w:tc>
                <w:tcPr>
                  <w:tcW w:w="920" w:type="dxa"/>
                  <w:tcBorders>
                    <w:top w:val="nil"/>
                    <w:left w:val="nil"/>
                    <w:bottom w:val="single" w:sz="8" w:space="0" w:color="FFFFFF"/>
                    <w:right w:val="single" w:sz="8" w:space="0" w:color="FFFFFF"/>
                  </w:tcBorders>
                  <w:shd w:val="clear" w:color="000000" w:fill="FDE9D9"/>
                  <w:noWrap/>
                  <w:vAlign w:val="center"/>
                  <w:hideMark/>
                </w:tcPr>
                <w:p w14:paraId="7768B46C"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3%</w:t>
                  </w:r>
                </w:p>
              </w:tc>
              <w:tc>
                <w:tcPr>
                  <w:tcW w:w="920" w:type="dxa"/>
                  <w:tcBorders>
                    <w:top w:val="nil"/>
                    <w:left w:val="nil"/>
                    <w:bottom w:val="single" w:sz="8" w:space="0" w:color="FFFFFF"/>
                    <w:right w:val="single" w:sz="8" w:space="0" w:color="FFFFFF"/>
                  </w:tcBorders>
                  <w:shd w:val="clear" w:color="000000" w:fill="FDE9D9"/>
                  <w:noWrap/>
                  <w:vAlign w:val="center"/>
                  <w:hideMark/>
                </w:tcPr>
                <w:p w14:paraId="06DE84D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40%</w:t>
                  </w:r>
                </w:p>
              </w:tc>
            </w:tr>
            <w:tr w:rsidR="00A55DFD" w:rsidRPr="00A55DFD" w14:paraId="0064B336" w14:textId="77777777" w:rsidTr="00A55DFD">
              <w:trPr>
                <w:trHeight w:val="317"/>
              </w:trPr>
              <w:tc>
                <w:tcPr>
                  <w:tcW w:w="1366" w:type="dxa"/>
                  <w:tcBorders>
                    <w:top w:val="nil"/>
                    <w:left w:val="nil"/>
                    <w:bottom w:val="single" w:sz="8" w:space="0" w:color="FFFFFF"/>
                    <w:right w:val="single" w:sz="8" w:space="0" w:color="FFFFFF"/>
                  </w:tcBorders>
                  <w:shd w:val="clear" w:color="000000" w:fill="FCD5B4"/>
                  <w:noWrap/>
                  <w:vAlign w:val="center"/>
                  <w:hideMark/>
                </w:tcPr>
                <w:p w14:paraId="3E5D5722"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3Y</w:t>
                  </w:r>
                </w:p>
              </w:tc>
              <w:tc>
                <w:tcPr>
                  <w:tcW w:w="919" w:type="dxa"/>
                  <w:tcBorders>
                    <w:top w:val="nil"/>
                    <w:left w:val="nil"/>
                    <w:bottom w:val="single" w:sz="8" w:space="0" w:color="FFFFFF"/>
                    <w:right w:val="single" w:sz="8" w:space="0" w:color="FFFFFF"/>
                  </w:tcBorders>
                  <w:shd w:val="clear" w:color="000000" w:fill="FCD5B4"/>
                  <w:noWrap/>
                  <w:vAlign w:val="center"/>
                  <w:hideMark/>
                </w:tcPr>
                <w:p w14:paraId="1DE4854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29%</w:t>
                  </w:r>
                </w:p>
              </w:tc>
              <w:tc>
                <w:tcPr>
                  <w:tcW w:w="920" w:type="dxa"/>
                  <w:tcBorders>
                    <w:top w:val="nil"/>
                    <w:left w:val="nil"/>
                    <w:bottom w:val="single" w:sz="8" w:space="0" w:color="FFFFFF"/>
                    <w:right w:val="single" w:sz="8" w:space="0" w:color="FFFFFF"/>
                  </w:tcBorders>
                  <w:shd w:val="clear" w:color="000000" w:fill="FCD5B4"/>
                  <w:noWrap/>
                  <w:vAlign w:val="center"/>
                  <w:hideMark/>
                </w:tcPr>
                <w:p w14:paraId="62D8B02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27%</w:t>
                  </w:r>
                </w:p>
              </w:tc>
              <w:tc>
                <w:tcPr>
                  <w:tcW w:w="920" w:type="dxa"/>
                  <w:tcBorders>
                    <w:top w:val="nil"/>
                    <w:left w:val="nil"/>
                    <w:bottom w:val="single" w:sz="8" w:space="0" w:color="FFFFFF"/>
                    <w:right w:val="single" w:sz="8" w:space="0" w:color="FFFFFF"/>
                  </w:tcBorders>
                  <w:shd w:val="clear" w:color="000000" w:fill="FCD5B4"/>
                  <w:noWrap/>
                  <w:vAlign w:val="center"/>
                  <w:hideMark/>
                </w:tcPr>
                <w:p w14:paraId="2DEBBCF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47BC101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71%</w:t>
                  </w:r>
                </w:p>
              </w:tc>
              <w:tc>
                <w:tcPr>
                  <w:tcW w:w="1149" w:type="dxa"/>
                  <w:tcBorders>
                    <w:top w:val="nil"/>
                    <w:left w:val="nil"/>
                    <w:bottom w:val="single" w:sz="8" w:space="0" w:color="FFFFFF"/>
                    <w:right w:val="single" w:sz="8" w:space="0" w:color="FFFFFF"/>
                  </w:tcBorders>
                  <w:shd w:val="clear" w:color="000000" w:fill="FCD5B4"/>
                  <w:noWrap/>
                  <w:vAlign w:val="center"/>
                  <w:hideMark/>
                </w:tcPr>
                <w:p w14:paraId="14C11D97"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3Y</w:t>
                  </w:r>
                </w:p>
              </w:tc>
              <w:tc>
                <w:tcPr>
                  <w:tcW w:w="920" w:type="dxa"/>
                  <w:tcBorders>
                    <w:top w:val="nil"/>
                    <w:left w:val="nil"/>
                    <w:bottom w:val="single" w:sz="8" w:space="0" w:color="FFFFFF"/>
                    <w:right w:val="single" w:sz="8" w:space="0" w:color="FFFFFF"/>
                  </w:tcBorders>
                  <w:shd w:val="clear" w:color="000000" w:fill="FCD5B4"/>
                  <w:noWrap/>
                  <w:vAlign w:val="center"/>
                  <w:hideMark/>
                </w:tcPr>
                <w:p w14:paraId="4F98F34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18%</w:t>
                  </w:r>
                </w:p>
              </w:tc>
              <w:tc>
                <w:tcPr>
                  <w:tcW w:w="920" w:type="dxa"/>
                  <w:tcBorders>
                    <w:top w:val="nil"/>
                    <w:left w:val="nil"/>
                    <w:bottom w:val="single" w:sz="8" w:space="0" w:color="FFFFFF"/>
                    <w:right w:val="single" w:sz="8" w:space="0" w:color="FFFFFF"/>
                  </w:tcBorders>
                  <w:shd w:val="clear" w:color="000000" w:fill="FCD5B4"/>
                  <w:noWrap/>
                  <w:vAlign w:val="center"/>
                  <w:hideMark/>
                </w:tcPr>
                <w:p w14:paraId="39BA11A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24%</w:t>
                  </w:r>
                </w:p>
              </w:tc>
              <w:tc>
                <w:tcPr>
                  <w:tcW w:w="920" w:type="dxa"/>
                  <w:tcBorders>
                    <w:top w:val="nil"/>
                    <w:left w:val="nil"/>
                    <w:bottom w:val="single" w:sz="8" w:space="0" w:color="FFFFFF"/>
                    <w:right w:val="single" w:sz="8" w:space="0" w:color="FFFFFF"/>
                  </w:tcBorders>
                  <w:shd w:val="clear" w:color="000000" w:fill="FCD5B4"/>
                  <w:noWrap/>
                  <w:vAlign w:val="center"/>
                  <w:hideMark/>
                </w:tcPr>
                <w:p w14:paraId="3244479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FC7CE"/>
                  <w:noWrap/>
                  <w:vAlign w:val="center"/>
                  <w:hideMark/>
                </w:tcPr>
                <w:p w14:paraId="007AC1AD" w14:textId="77777777" w:rsidR="00A55DFD" w:rsidRPr="00A55DFD" w:rsidRDefault="00A55DFD" w:rsidP="00A55DFD">
                  <w:pPr>
                    <w:widowControl/>
                    <w:jc w:val="center"/>
                    <w:rPr>
                      <w:rFonts w:eastAsia="等线" w:cs="Calibri"/>
                      <w:color w:val="9C0006"/>
                      <w:kern w:val="0"/>
                      <w:szCs w:val="21"/>
                    </w:rPr>
                  </w:pPr>
                  <w:r w:rsidRPr="00A55DFD">
                    <w:rPr>
                      <w:rFonts w:eastAsia="等线" w:cs="Calibri"/>
                      <w:color w:val="9C0006"/>
                      <w:kern w:val="0"/>
                      <w:szCs w:val="21"/>
                    </w:rPr>
                    <w:t>80%</w:t>
                  </w:r>
                </w:p>
              </w:tc>
            </w:tr>
            <w:tr w:rsidR="00A55DFD" w:rsidRPr="00A55DFD" w14:paraId="2BFC9DC7" w14:textId="77777777" w:rsidTr="00A55DFD">
              <w:trPr>
                <w:trHeight w:val="317"/>
              </w:trPr>
              <w:tc>
                <w:tcPr>
                  <w:tcW w:w="1366" w:type="dxa"/>
                  <w:tcBorders>
                    <w:top w:val="nil"/>
                    <w:left w:val="nil"/>
                    <w:bottom w:val="single" w:sz="8" w:space="0" w:color="FFFFFF"/>
                    <w:right w:val="single" w:sz="8" w:space="0" w:color="FFFFFF"/>
                  </w:tcBorders>
                  <w:shd w:val="clear" w:color="000000" w:fill="FDE9D9"/>
                  <w:noWrap/>
                  <w:vAlign w:val="center"/>
                  <w:hideMark/>
                </w:tcPr>
                <w:p w14:paraId="323BDC49"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5Y</w:t>
                  </w:r>
                </w:p>
              </w:tc>
              <w:tc>
                <w:tcPr>
                  <w:tcW w:w="919" w:type="dxa"/>
                  <w:tcBorders>
                    <w:top w:val="nil"/>
                    <w:left w:val="nil"/>
                    <w:bottom w:val="single" w:sz="8" w:space="0" w:color="FFFFFF"/>
                    <w:right w:val="single" w:sz="8" w:space="0" w:color="FFFFFF"/>
                  </w:tcBorders>
                  <w:shd w:val="clear" w:color="000000" w:fill="FDE9D9"/>
                  <w:noWrap/>
                  <w:vAlign w:val="center"/>
                  <w:hideMark/>
                </w:tcPr>
                <w:p w14:paraId="3D7EAE4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DE9D9"/>
                  <w:noWrap/>
                  <w:vAlign w:val="center"/>
                  <w:hideMark/>
                </w:tcPr>
                <w:p w14:paraId="3FF1A2E1"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26%</w:t>
                  </w:r>
                </w:p>
              </w:tc>
              <w:tc>
                <w:tcPr>
                  <w:tcW w:w="920" w:type="dxa"/>
                  <w:tcBorders>
                    <w:top w:val="nil"/>
                    <w:left w:val="nil"/>
                    <w:bottom w:val="single" w:sz="8" w:space="0" w:color="FFFFFF"/>
                    <w:right w:val="single" w:sz="8" w:space="0" w:color="FFFFFF"/>
                  </w:tcBorders>
                  <w:shd w:val="clear" w:color="000000" w:fill="FDE9D9"/>
                  <w:noWrap/>
                  <w:vAlign w:val="center"/>
                  <w:hideMark/>
                </w:tcPr>
                <w:p w14:paraId="34026296"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26%</w:t>
                  </w:r>
                </w:p>
              </w:tc>
              <w:tc>
                <w:tcPr>
                  <w:tcW w:w="920" w:type="dxa"/>
                  <w:tcBorders>
                    <w:top w:val="nil"/>
                    <w:left w:val="nil"/>
                    <w:bottom w:val="single" w:sz="8" w:space="0" w:color="FFFFFF"/>
                    <w:right w:val="single" w:sz="8" w:space="0" w:color="FFFFFF"/>
                  </w:tcBorders>
                  <w:shd w:val="clear" w:color="000000" w:fill="FDE9D9"/>
                  <w:noWrap/>
                  <w:vAlign w:val="center"/>
                  <w:hideMark/>
                </w:tcPr>
                <w:p w14:paraId="5A8CEDF5"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78%</w:t>
                  </w:r>
                </w:p>
              </w:tc>
              <w:tc>
                <w:tcPr>
                  <w:tcW w:w="1149" w:type="dxa"/>
                  <w:tcBorders>
                    <w:top w:val="nil"/>
                    <w:left w:val="nil"/>
                    <w:bottom w:val="single" w:sz="8" w:space="0" w:color="FFFFFF"/>
                    <w:right w:val="single" w:sz="8" w:space="0" w:color="FFFFFF"/>
                  </w:tcBorders>
                  <w:shd w:val="clear" w:color="000000" w:fill="FDE9D9"/>
                  <w:noWrap/>
                  <w:vAlign w:val="center"/>
                  <w:hideMark/>
                </w:tcPr>
                <w:p w14:paraId="6B91A532"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5Y</w:t>
                  </w:r>
                </w:p>
              </w:tc>
              <w:tc>
                <w:tcPr>
                  <w:tcW w:w="920" w:type="dxa"/>
                  <w:tcBorders>
                    <w:top w:val="nil"/>
                    <w:left w:val="nil"/>
                    <w:bottom w:val="single" w:sz="8" w:space="0" w:color="FFFFFF"/>
                    <w:right w:val="single" w:sz="8" w:space="0" w:color="FFFFFF"/>
                  </w:tcBorders>
                  <w:shd w:val="clear" w:color="000000" w:fill="FDE9D9"/>
                  <w:noWrap/>
                  <w:vAlign w:val="center"/>
                  <w:hideMark/>
                </w:tcPr>
                <w:p w14:paraId="4D7B5D29"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10%</w:t>
                  </w:r>
                </w:p>
              </w:tc>
              <w:tc>
                <w:tcPr>
                  <w:tcW w:w="920" w:type="dxa"/>
                  <w:tcBorders>
                    <w:top w:val="nil"/>
                    <w:left w:val="nil"/>
                    <w:bottom w:val="single" w:sz="8" w:space="0" w:color="FFFFFF"/>
                    <w:right w:val="single" w:sz="8" w:space="0" w:color="FFFFFF"/>
                  </w:tcBorders>
                  <w:shd w:val="clear" w:color="000000" w:fill="FDE9D9"/>
                  <w:noWrap/>
                  <w:vAlign w:val="center"/>
                  <w:hideMark/>
                </w:tcPr>
                <w:p w14:paraId="10B1BA4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22%</w:t>
                  </w:r>
                </w:p>
              </w:tc>
              <w:tc>
                <w:tcPr>
                  <w:tcW w:w="920" w:type="dxa"/>
                  <w:tcBorders>
                    <w:top w:val="nil"/>
                    <w:left w:val="nil"/>
                    <w:bottom w:val="single" w:sz="8" w:space="0" w:color="FFFFFF"/>
                    <w:right w:val="single" w:sz="8" w:space="0" w:color="FFFFFF"/>
                  </w:tcBorders>
                  <w:shd w:val="clear" w:color="000000" w:fill="FDE9D9"/>
                  <w:noWrap/>
                  <w:vAlign w:val="center"/>
                  <w:hideMark/>
                </w:tcPr>
                <w:p w14:paraId="0D42E04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25%</w:t>
                  </w:r>
                </w:p>
              </w:tc>
              <w:tc>
                <w:tcPr>
                  <w:tcW w:w="920" w:type="dxa"/>
                  <w:tcBorders>
                    <w:top w:val="nil"/>
                    <w:left w:val="nil"/>
                    <w:bottom w:val="single" w:sz="8" w:space="0" w:color="FFFFFF"/>
                    <w:right w:val="single" w:sz="8" w:space="0" w:color="FFFFFF"/>
                  </w:tcBorders>
                  <w:shd w:val="clear" w:color="000000" w:fill="FFC7CE"/>
                  <w:noWrap/>
                  <w:vAlign w:val="center"/>
                  <w:hideMark/>
                </w:tcPr>
                <w:p w14:paraId="59A1B72A" w14:textId="77777777" w:rsidR="00A55DFD" w:rsidRPr="00A55DFD" w:rsidRDefault="00A55DFD" w:rsidP="00A55DFD">
                  <w:pPr>
                    <w:widowControl/>
                    <w:jc w:val="center"/>
                    <w:rPr>
                      <w:rFonts w:eastAsia="等线" w:cs="Calibri"/>
                      <w:color w:val="9C0006"/>
                      <w:kern w:val="0"/>
                      <w:szCs w:val="21"/>
                    </w:rPr>
                  </w:pPr>
                  <w:r w:rsidRPr="00A55DFD">
                    <w:rPr>
                      <w:rFonts w:eastAsia="等线" w:cs="Calibri"/>
                      <w:color w:val="9C0006"/>
                      <w:kern w:val="0"/>
                      <w:szCs w:val="21"/>
                    </w:rPr>
                    <w:t>86%</w:t>
                  </w:r>
                </w:p>
              </w:tc>
            </w:tr>
            <w:tr w:rsidR="00A55DFD" w:rsidRPr="00A55DFD" w14:paraId="1D175C15" w14:textId="77777777" w:rsidTr="00A55DFD">
              <w:trPr>
                <w:trHeight w:val="317"/>
              </w:trPr>
              <w:tc>
                <w:tcPr>
                  <w:tcW w:w="1366" w:type="dxa"/>
                  <w:tcBorders>
                    <w:top w:val="nil"/>
                    <w:left w:val="nil"/>
                    <w:bottom w:val="nil"/>
                    <w:right w:val="nil"/>
                  </w:tcBorders>
                  <w:shd w:val="clear" w:color="000000" w:fill="FCD5B4"/>
                  <w:noWrap/>
                  <w:vAlign w:val="center"/>
                  <w:hideMark/>
                </w:tcPr>
                <w:p w14:paraId="153D94C4"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7Y</w:t>
                  </w:r>
                </w:p>
              </w:tc>
              <w:tc>
                <w:tcPr>
                  <w:tcW w:w="919" w:type="dxa"/>
                  <w:tcBorders>
                    <w:top w:val="nil"/>
                    <w:left w:val="nil"/>
                    <w:bottom w:val="single" w:sz="8" w:space="0" w:color="FFFFFF"/>
                    <w:right w:val="single" w:sz="8" w:space="0" w:color="FFFFFF"/>
                  </w:tcBorders>
                  <w:shd w:val="clear" w:color="000000" w:fill="FCD5B4"/>
                  <w:noWrap/>
                  <w:vAlign w:val="center"/>
                  <w:hideMark/>
                </w:tcPr>
                <w:p w14:paraId="7680E2E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16%</w:t>
                  </w:r>
                </w:p>
              </w:tc>
              <w:tc>
                <w:tcPr>
                  <w:tcW w:w="920" w:type="dxa"/>
                  <w:tcBorders>
                    <w:top w:val="nil"/>
                    <w:left w:val="nil"/>
                    <w:bottom w:val="single" w:sz="8" w:space="0" w:color="FFFFFF"/>
                    <w:right w:val="single" w:sz="8" w:space="0" w:color="FFFFFF"/>
                  </w:tcBorders>
                  <w:shd w:val="clear" w:color="000000" w:fill="FCD5B4"/>
                  <w:noWrap/>
                  <w:vAlign w:val="center"/>
                  <w:hideMark/>
                </w:tcPr>
                <w:p w14:paraId="498D2DC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CD5B4"/>
                  <w:noWrap/>
                  <w:vAlign w:val="center"/>
                  <w:hideMark/>
                </w:tcPr>
                <w:p w14:paraId="4822FDBE"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21%</w:t>
                  </w:r>
                </w:p>
              </w:tc>
              <w:tc>
                <w:tcPr>
                  <w:tcW w:w="920" w:type="dxa"/>
                  <w:tcBorders>
                    <w:top w:val="nil"/>
                    <w:left w:val="nil"/>
                    <w:bottom w:val="single" w:sz="8" w:space="0" w:color="FFFFFF"/>
                    <w:right w:val="single" w:sz="8" w:space="0" w:color="FFFFFF"/>
                  </w:tcBorders>
                  <w:shd w:val="clear" w:color="000000" w:fill="FCD5B4"/>
                  <w:noWrap/>
                  <w:vAlign w:val="center"/>
                  <w:hideMark/>
                </w:tcPr>
                <w:p w14:paraId="016D4DED"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71%</w:t>
                  </w:r>
                </w:p>
              </w:tc>
              <w:tc>
                <w:tcPr>
                  <w:tcW w:w="1149" w:type="dxa"/>
                  <w:tcBorders>
                    <w:top w:val="nil"/>
                    <w:left w:val="nil"/>
                    <w:bottom w:val="nil"/>
                    <w:right w:val="nil"/>
                  </w:tcBorders>
                  <w:shd w:val="clear" w:color="000000" w:fill="FCD5B4"/>
                  <w:noWrap/>
                  <w:vAlign w:val="center"/>
                  <w:hideMark/>
                </w:tcPr>
                <w:p w14:paraId="59531FCA" w14:textId="77777777" w:rsidR="00A55DFD" w:rsidRPr="00A55DFD" w:rsidRDefault="00A55DFD" w:rsidP="00A55DFD">
                  <w:pPr>
                    <w:widowControl/>
                    <w:jc w:val="center"/>
                    <w:rPr>
                      <w:rFonts w:ascii="楷体" w:eastAsia="楷体" w:hAnsi="楷体" w:cs="宋体"/>
                      <w:color w:val="000000"/>
                      <w:kern w:val="0"/>
                      <w:sz w:val="20"/>
                      <w:szCs w:val="20"/>
                    </w:rPr>
                  </w:pPr>
                  <w:proofErr w:type="gramStart"/>
                  <w:r w:rsidRPr="00A55DFD">
                    <w:rPr>
                      <w:rFonts w:ascii="楷体" w:eastAsia="楷体" w:hAnsi="楷体" w:cs="宋体" w:hint="eastAsia"/>
                      <w:color w:val="000000"/>
                      <w:kern w:val="0"/>
                      <w:sz w:val="20"/>
                      <w:szCs w:val="20"/>
                    </w:rPr>
                    <w:t>城投债</w:t>
                  </w:r>
                  <w:proofErr w:type="gramEnd"/>
                  <w:r w:rsidRPr="00A55DFD">
                    <w:rPr>
                      <w:rFonts w:ascii="楷体" w:eastAsia="楷体" w:hAnsi="楷体" w:cs="宋体" w:hint="eastAsia"/>
                      <w:color w:val="000000"/>
                      <w:kern w:val="0"/>
                      <w:sz w:val="20"/>
                      <w:szCs w:val="20"/>
                    </w:rPr>
                    <w:t>7Y</w:t>
                  </w:r>
                </w:p>
              </w:tc>
              <w:tc>
                <w:tcPr>
                  <w:tcW w:w="920" w:type="dxa"/>
                  <w:tcBorders>
                    <w:top w:val="nil"/>
                    <w:left w:val="nil"/>
                    <w:bottom w:val="single" w:sz="8" w:space="0" w:color="FFFFFF"/>
                    <w:right w:val="single" w:sz="8" w:space="0" w:color="FFFFFF"/>
                  </w:tcBorders>
                  <w:shd w:val="clear" w:color="000000" w:fill="FCD5B4"/>
                  <w:noWrap/>
                  <w:vAlign w:val="center"/>
                  <w:hideMark/>
                </w:tcPr>
                <w:p w14:paraId="64F7660B"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5%</w:t>
                  </w:r>
                </w:p>
              </w:tc>
              <w:tc>
                <w:tcPr>
                  <w:tcW w:w="920" w:type="dxa"/>
                  <w:tcBorders>
                    <w:top w:val="nil"/>
                    <w:left w:val="nil"/>
                    <w:bottom w:val="single" w:sz="8" w:space="0" w:color="FFFFFF"/>
                    <w:right w:val="single" w:sz="8" w:space="0" w:color="FFFFFF"/>
                  </w:tcBorders>
                  <w:shd w:val="clear" w:color="000000" w:fill="FCD5B4"/>
                  <w:noWrap/>
                  <w:vAlign w:val="center"/>
                  <w:hideMark/>
                </w:tcPr>
                <w:p w14:paraId="02129B40"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17%</w:t>
                  </w:r>
                </w:p>
              </w:tc>
              <w:tc>
                <w:tcPr>
                  <w:tcW w:w="920" w:type="dxa"/>
                  <w:tcBorders>
                    <w:top w:val="nil"/>
                    <w:left w:val="nil"/>
                    <w:bottom w:val="single" w:sz="8" w:space="0" w:color="FFFFFF"/>
                    <w:right w:val="single" w:sz="8" w:space="0" w:color="FFFFFF"/>
                  </w:tcBorders>
                  <w:shd w:val="clear" w:color="000000" w:fill="FCD5B4"/>
                  <w:noWrap/>
                  <w:vAlign w:val="center"/>
                  <w:hideMark/>
                </w:tcPr>
                <w:p w14:paraId="1EDAA544" w14:textId="77777777" w:rsidR="00A55DFD" w:rsidRPr="00A55DFD" w:rsidRDefault="00A55DFD" w:rsidP="00A55DFD">
                  <w:pPr>
                    <w:widowControl/>
                    <w:jc w:val="center"/>
                    <w:rPr>
                      <w:rFonts w:eastAsia="等线" w:cs="Calibri"/>
                      <w:color w:val="000000"/>
                      <w:kern w:val="0"/>
                      <w:szCs w:val="21"/>
                    </w:rPr>
                  </w:pPr>
                  <w:r w:rsidRPr="00A55DFD">
                    <w:rPr>
                      <w:rFonts w:eastAsia="等线" w:cs="Calibri"/>
                      <w:color w:val="000000"/>
                      <w:kern w:val="0"/>
                      <w:szCs w:val="21"/>
                    </w:rPr>
                    <w:t>16%</w:t>
                  </w:r>
                </w:p>
              </w:tc>
              <w:tc>
                <w:tcPr>
                  <w:tcW w:w="920" w:type="dxa"/>
                  <w:tcBorders>
                    <w:top w:val="nil"/>
                    <w:left w:val="nil"/>
                    <w:bottom w:val="single" w:sz="8" w:space="0" w:color="FFFFFF"/>
                    <w:right w:val="single" w:sz="8" w:space="0" w:color="FFFFFF"/>
                  </w:tcBorders>
                  <w:shd w:val="clear" w:color="000000" w:fill="FFC7CE"/>
                  <w:noWrap/>
                  <w:vAlign w:val="center"/>
                  <w:hideMark/>
                </w:tcPr>
                <w:p w14:paraId="4502F254" w14:textId="77777777" w:rsidR="00A55DFD" w:rsidRPr="00A55DFD" w:rsidRDefault="00A55DFD" w:rsidP="00A55DFD">
                  <w:pPr>
                    <w:widowControl/>
                    <w:jc w:val="center"/>
                    <w:rPr>
                      <w:rFonts w:eastAsia="等线" w:cs="Calibri"/>
                      <w:color w:val="9C0006"/>
                      <w:kern w:val="0"/>
                      <w:szCs w:val="21"/>
                    </w:rPr>
                  </w:pPr>
                  <w:r w:rsidRPr="00A55DFD">
                    <w:rPr>
                      <w:rFonts w:eastAsia="等线" w:cs="Calibri"/>
                      <w:color w:val="9C0006"/>
                      <w:kern w:val="0"/>
                      <w:szCs w:val="21"/>
                    </w:rPr>
                    <w:t>81%</w:t>
                  </w:r>
                </w:p>
              </w:tc>
            </w:tr>
          </w:tbl>
          <w:p w14:paraId="446C7D6E" w14:textId="294F6511" w:rsidR="00E0626C" w:rsidRPr="003C1CC8" w:rsidRDefault="00E0626C" w:rsidP="0092340D">
            <w:pPr>
              <w:rPr>
                <w:noProof/>
                <w:szCs w:val="18"/>
              </w:rPr>
            </w:pPr>
          </w:p>
        </w:tc>
      </w:tr>
      <w:tr w:rsidR="00E0626C" w:rsidRPr="006A5F34" w14:paraId="01D36A65" w14:textId="77777777" w:rsidTr="00220902">
        <w:trPr>
          <w:trHeight w:val="60"/>
          <w:jc w:val="center"/>
        </w:trPr>
        <w:tc>
          <w:tcPr>
            <w:tcW w:w="9713" w:type="dxa"/>
            <w:vAlign w:val="center"/>
          </w:tcPr>
          <w:p w14:paraId="6284202E" w14:textId="2B61B5A0" w:rsidR="00E0626C" w:rsidRPr="006A5F34" w:rsidRDefault="00E0626C" w:rsidP="009A2BA0">
            <w:pPr>
              <w:pStyle w:val="Source"/>
              <w:jc w:val="both"/>
              <w:rPr>
                <w:kern w:val="0"/>
              </w:rPr>
            </w:pPr>
            <w:r w:rsidRPr="006A5F34">
              <w:rPr>
                <w:rFonts w:hint="eastAsia"/>
                <w:kern w:val="0"/>
              </w:rPr>
              <w:t>资料来源：万得</w:t>
            </w:r>
            <w:r>
              <w:rPr>
                <w:rFonts w:hint="eastAsia"/>
                <w:kern w:val="0"/>
              </w:rPr>
              <w:t>，富荣基金；利差基准为同期限国债</w:t>
            </w:r>
          </w:p>
        </w:tc>
      </w:tr>
    </w:tbl>
    <w:p w14:paraId="26A54476" w14:textId="77777777" w:rsidR="00E0626C" w:rsidRPr="009B0E57" w:rsidRDefault="00E0626C" w:rsidP="009A2BA0">
      <w:pPr>
        <w:pStyle w:val="Body-text"/>
        <w:spacing w:after="0"/>
        <w:rPr>
          <w:lang w:eastAsia="zh-CN"/>
        </w:rPr>
      </w:pPr>
    </w:p>
    <w:p w14:paraId="2D403D4F" w14:textId="78A4441C" w:rsidR="00E0626C" w:rsidRPr="00C73E5D" w:rsidRDefault="00E0626C" w:rsidP="009A2BA0">
      <w:pPr>
        <w:pStyle w:val="Header2"/>
        <w:rPr>
          <w:rFonts w:eastAsia="PMingLiU"/>
          <w:sz w:val="28"/>
          <w:szCs w:val="21"/>
          <w:lang w:eastAsia="zh-CN"/>
        </w:rPr>
      </w:pPr>
      <w:r>
        <w:rPr>
          <w:sz w:val="28"/>
          <w:szCs w:val="21"/>
          <w:lang w:eastAsia="zh-CN"/>
        </w:rPr>
        <w:lastRenderedPageBreak/>
        <w:t>4</w:t>
      </w:r>
      <w:r>
        <w:rPr>
          <w:rFonts w:hint="eastAsia"/>
          <w:sz w:val="28"/>
          <w:szCs w:val="21"/>
          <w:lang w:eastAsia="zh-CN"/>
        </w:rPr>
        <w:t>、</w:t>
      </w:r>
      <w:r>
        <w:rPr>
          <w:rFonts w:hint="eastAsia"/>
          <w:sz w:val="28"/>
          <w:szCs w:val="21"/>
        </w:rPr>
        <w:t>可转债</w:t>
      </w:r>
    </w:p>
    <w:p w14:paraId="526CD45E" w14:textId="5447ACCF" w:rsidR="00C37204" w:rsidRPr="00C16434" w:rsidRDefault="00235D65" w:rsidP="00416C5F">
      <w:pPr>
        <w:pStyle w:val="Body-text"/>
        <w:spacing w:after="240"/>
        <w:ind w:firstLineChars="200" w:firstLine="480"/>
        <w:rPr>
          <w:rFonts w:ascii="华文楷体" w:hAnsi="华文楷体"/>
          <w:sz w:val="24"/>
          <w:szCs w:val="24"/>
          <w:lang w:eastAsia="zh-CN"/>
        </w:rPr>
      </w:pPr>
      <w:r w:rsidRPr="00235D65">
        <w:rPr>
          <w:rFonts w:ascii="华文楷体" w:hAnsi="华文楷体" w:hint="eastAsia"/>
          <w:sz w:val="24"/>
          <w:szCs w:val="24"/>
          <w:lang w:eastAsia="zh-CN"/>
        </w:rPr>
        <w:t>A股市</w:t>
      </w:r>
      <w:proofErr w:type="gramStart"/>
      <w:r w:rsidRPr="00235D65">
        <w:rPr>
          <w:rFonts w:ascii="华文楷体" w:hAnsi="华文楷体" w:hint="eastAsia"/>
          <w:sz w:val="24"/>
          <w:szCs w:val="24"/>
          <w:lang w:eastAsia="zh-CN"/>
        </w:rPr>
        <w:t>场持续</w:t>
      </w:r>
      <w:proofErr w:type="gramEnd"/>
      <w:r w:rsidRPr="00235D65">
        <w:rPr>
          <w:rFonts w:ascii="华文楷体" w:hAnsi="华文楷体" w:hint="eastAsia"/>
          <w:sz w:val="24"/>
          <w:szCs w:val="24"/>
          <w:lang w:eastAsia="zh-CN"/>
        </w:rPr>
        <w:t>下行，成交量明显萎缩，转债表现相对略好，但上涨幅度进一步收敛，受正股情绪影响明显，关注</w:t>
      </w:r>
      <w:proofErr w:type="gramStart"/>
      <w:r w:rsidRPr="00235D65">
        <w:rPr>
          <w:rFonts w:ascii="华文楷体" w:hAnsi="华文楷体" w:hint="eastAsia"/>
          <w:sz w:val="24"/>
          <w:szCs w:val="24"/>
          <w:lang w:eastAsia="zh-CN"/>
        </w:rPr>
        <w:t>债底保护</w:t>
      </w:r>
      <w:proofErr w:type="gramEnd"/>
      <w:r w:rsidRPr="00235D65">
        <w:rPr>
          <w:rFonts w:ascii="华文楷体" w:hAnsi="华文楷体" w:hint="eastAsia"/>
          <w:sz w:val="24"/>
          <w:szCs w:val="24"/>
          <w:lang w:eastAsia="zh-CN"/>
        </w:rPr>
        <w:t>较强的中、低平价</w:t>
      </w:r>
      <w:proofErr w:type="gramStart"/>
      <w:r w:rsidRPr="00235D65">
        <w:rPr>
          <w:rFonts w:ascii="华文楷体" w:hAnsi="华文楷体" w:hint="eastAsia"/>
          <w:sz w:val="24"/>
          <w:szCs w:val="24"/>
          <w:lang w:eastAsia="zh-CN"/>
        </w:rPr>
        <w:t>券</w:t>
      </w:r>
      <w:proofErr w:type="gramEnd"/>
      <w:r w:rsidRPr="00235D65">
        <w:rPr>
          <w:rFonts w:ascii="华文楷体" w:hAnsi="华文楷体" w:hint="eastAsia"/>
          <w:sz w:val="24"/>
          <w:szCs w:val="24"/>
          <w:lang w:eastAsia="zh-CN"/>
        </w:rPr>
        <w:t>。转债市场估值水平稳定，关注正股业绩好、成</w:t>
      </w:r>
      <w:proofErr w:type="gramStart"/>
      <w:r w:rsidRPr="00235D65">
        <w:rPr>
          <w:rFonts w:ascii="华文楷体" w:hAnsi="华文楷体" w:hint="eastAsia"/>
          <w:sz w:val="24"/>
          <w:szCs w:val="24"/>
          <w:lang w:eastAsia="zh-CN"/>
        </w:rPr>
        <w:t>长性强转债</w:t>
      </w:r>
      <w:proofErr w:type="gramEnd"/>
      <w:r w:rsidRPr="00235D65">
        <w:rPr>
          <w:rFonts w:ascii="华文楷体" w:hAnsi="华文楷体" w:hint="eastAsia"/>
          <w:sz w:val="24"/>
          <w:szCs w:val="24"/>
          <w:lang w:eastAsia="zh-CN"/>
        </w:rPr>
        <w:t>。</w:t>
      </w:r>
      <w:r w:rsidR="00705D32">
        <w:rPr>
          <w:rFonts w:ascii="华文楷体" w:hAnsi="华文楷体" w:hint="eastAsia"/>
          <w:sz w:val="24"/>
          <w:szCs w:val="24"/>
          <w:lang w:eastAsia="zh-CN"/>
        </w:rPr>
        <w:t>市场表现</w:t>
      </w:r>
      <w:r w:rsidR="00591DD3">
        <w:rPr>
          <w:rFonts w:ascii="华文楷体" w:hAnsi="华文楷体" w:hint="eastAsia"/>
          <w:sz w:val="24"/>
          <w:szCs w:val="24"/>
          <w:lang w:eastAsia="zh-CN"/>
        </w:rPr>
        <w:t>，</w:t>
      </w:r>
      <w:r w:rsidR="00AC28BB">
        <w:rPr>
          <w:rFonts w:ascii="华文楷体" w:hAnsi="华文楷体" w:hint="eastAsia"/>
          <w:sz w:val="24"/>
          <w:szCs w:val="24"/>
          <w:lang w:eastAsia="zh-CN"/>
        </w:rPr>
        <w:t>上证综指</w:t>
      </w:r>
      <w:r w:rsidR="00AC28BB">
        <w:rPr>
          <w:rFonts w:ascii="华文楷体" w:hAnsi="华文楷体"/>
          <w:sz w:val="24"/>
          <w:szCs w:val="24"/>
          <w:lang w:eastAsia="zh-CN"/>
        </w:rPr>
        <w:t>、</w:t>
      </w:r>
      <w:r w:rsidR="00AC28BB">
        <w:rPr>
          <w:rFonts w:ascii="华文楷体" w:hAnsi="华文楷体" w:hint="eastAsia"/>
          <w:sz w:val="24"/>
          <w:szCs w:val="24"/>
          <w:lang w:eastAsia="zh-CN"/>
        </w:rPr>
        <w:t>创业板指</w:t>
      </w:r>
      <w:r w:rsidR="00AC28BB">
        <w:rPr>
          <w:rFonts w:ascii="华文楷体" w:hAnsi="华文楷体"/>
          <w:sz w:val="24"/>
          <w:szCs w:val="24"/>
          <w:lang w:eastAsia="zh-CN"/>
        </w:rPr>
        <w:t>、上证</w:t>
      </w:r>
      <w:r w:rsidR="00AC28BB">
        <w:rPr>
          <w:rFonts w:ascii="华文楷体" w:hAnsi="华文楷体" w:hint="eastAsia"/>
          <w:sz w:val="24"/>
          <w:szCs w:val="24"/>
          <w:lang w:eastAsia="zh-CN"/>
        </w:rPr>
        <w:t>50和</w:t>
      </w:r>
      <w:r w:rsidR="00AC28BB">
        <w:rPr>
          <w:rFonts w:ascii="华文楷体" w:hAnsi="华文楷体"/>
          <w:sz w:val="24"/>
          <w:szCs w:val="24"/>
          <w:lang w:eastAsia="zh-CN"/>
        </w:rPr>
        <w:t>沪深</w:t>
      </w:r>
      <w:r w:rsidR="00AC28BB">
        <w:rPr>
          <w:rFonts w:ascii="华文楷体" w:hAnsi="华文楷体" w:hint="eastAsia"/>
          <w:sz w:val="24"/>
          <w:szCs w:val="24"/>
          <w:lang w:eastAsia="zh-CN"/>
        </w:rPr>
        <w:t>300表现</w:t>
      </w:r>
      <w:r w:rsidR="00AC28BB">
        <w:rPr>
          <w:rFonts w:ascii="华文楷体" w:hAnsi="华文楷体"/>
          <w:sz w:val="24"/>
          <w:szCs w:val="24"/>
          <w:lang w:eastAsia="zh-CN"/>
        </w:rPr>
        <w:t>分别为</w:t>
      </w:r>
      <w:r w:rsidR="004038B4">
        <w:rPr>
          <w:rFonts w:ascii="华文楷体" w:hAnsi="华文楷体" w:hint="eastAsia"/>
          <w:sz w:val="24"/>
          <w:szCs w:val="24"/>
          <w:lang w:eastAsia="zh-CN"/>
        </w:rPr>
        <w:t>-</w:t>
      </w:r>
      <w:r w:rsidR="004038B4">
        <w:rPr>
          <w:rFonts w:ascii="华文楷体" w:hAnsi="华文楷体"/>
          <w:sz w:val="24"/>
          <w:szCs w:val="24"/>
          <w:lang w:eastAsia="zh-CN"/>
        </w:rPr>
        <w:t>1.4</w:t>
      </w:r>
      <w:r w:rsidR="00AC28BB">
        <w:rPr>
          <w:rFonts w:ascii="华文楷体" w:hAnsi="华文楷体"/>
          <w:sz w:val="24"/>
          <w:szCs w:val="24"/>
          <w:lang w:eastAsia="zh-CN"/>
        </w:rPr>
        <w:t>%、</w:t>
      </w:r>
      <w:r w:rsidR="004038B4">
        <w:rPr>
          <w:rFonts w:ascii="华文楷体" w:hAnsi="华文楷体" w:hint="eastAsia"/>
          <w:sz w:val="24"/>
          <w:szCs w:val="24"/>
          <w:lang w:eastAsia="zh-CN"/>
        </w:rPr>
        <w:t>-</w:t>
      </w:r>
      <w:r>
        <w:rPr>
          <w:rFonts w:ascii="华文楷体" w:hAnsi="华文楷体"/>
          <w:sz w:val="24"/>
          <w:szCs w:val="24"/>
          <w:lang w:eastAsia="zh-CN"/>
        </w:rPr>
        <w:t>3.1</w:t>
      </w:r>
      <w:r w:rsidR="00AC28BB">
        <w:rPr>
          <w:rFonts w:ascii="华文楷体" w:hAnsi="华文楷体"/>
          <w:sz w:val="24"/>
          <w:szCs w:val="24"/>
          <w:lang w:eastAsia="zh-CN"/>
        </w:rPr>
        <w:t>%、</w:t>
      </w:r>
      <w:r w:rsidR="005C6F6B">
        <w:rPr>
          <w:rFonts w:ascii="华文楷体" w:hAnsi="华文楷体" w:hint="eastAsia"/>
          <w:sz w:val="24"/>
          <w:szCs w:val="24"/>
          <w:lang w:eastAsia="zh-CN"/>
        </w:rPr>
        <w:t>-</w:t>
      </w:r>
      <w:r>
        <w:rPr>
          <w:rFonts w:ascii="华文楷体" w:hAnsi="华文楷体"/>
          <w:sz w:val="24"/>
          <w:szCs w:val="24"/>
          <w:lang w:eastAsia="zh-CN"/>
        </w:rPr>
        <w:t>3.3</w:t>
      </w:r>
      <w:r w:rsidR="004038B4">
        <w:rPr>
          <w:rFonts w:ascii="华文楷体" w:hAnsi="华文楷体"/>
          <w:sz w:val="24"/>
          <w:szCs w:val="24"/>
          <w:lang w:eastAsia="zh-CN"/>
        </w:rPr>
        <w:t xml:space="preserve"> </w:t>
      </w:r>
      <w:r w:rsidR="00AC28BB">
        <w:rPr>
          <w:rFonts w:ascii="华文楷体" w:hAnsi="华文楷体"/>
          <w:sz w:val="24"/>
          <w:szCs w:val="24"/>
          <w:lang w:eastAsia="zh-CN"/>
        </w:rPr>
        <w:t>%</w:t>
      </w:r>
      <w:r w:rsidR="00AC28BB">
        <w:rPr>
          <w:rFonts w:ascii="华文楷体" w:hAnsi="华文楷体" w:hint="eastAsia"/>
          <w:sz w:val="24"/>
          <w:szCs w:val="24"/>
          <w:lang w:eastAsia="zh-CN"/>
        </w:rPr>
        <w:t>和</w:t>
      </w:r>
      <w:r w:rsidR="004038B4">
        <w:rPr>
          <w:rFonts w:ascii="华文楷体" w:hAnsi="华文楷体" w:hint="eastAsia"/>
          <w:sz w:val="24"/>
          <w:szCs w:val="24"/>
          <w:lang w:eastAsia="zh-CN"/>
        </w:rPr>
        <w:t>-</w:t>
      </w:r>
      <w:r w:rsidR="004038B4">
        <w:rPr>
          <w:rFonts w:ascii="华文楷体" w:hAnsi="华文楷体"/>
          <w:sz w:val="24"/>
          <w:szCs w:val="24"/>
          <w:lang w:eastAsia="zh-CN"/>
        </w:rPr>
        <w:t>2.</w:t>
      </w:r>
      <w:r>
        <w:rPr>
          <w:rFonts w:ascii="华文楷体" w:hAnsi="华文楷体"/>
          <w:sz w:val="24"/>
          <w:szCs w:val="24"/>
          <w:lang w:eastAsia="zh-CN"/>
        </w:rPr>
        <w:t>7</w:t>
      </w:r>
      <w:r w:rsidR="00AC28BB">
        <w:rPr>
          <w:rFonts w:ascii="华文楷体" w:hAnsi="华文楷体"/>
          <w:sz w:val="24"/>
          <w:szCs w:val="24"/>
          <w:lang w:eastAsia="zh-CN"/>
        </w:rPr>
        <w:t>%</w:t>
      </w:r>
      <w:r w:rsidR="00AC28BB">
        <w:rPr>
          <w:rFonts w:ascii="华文楷体" w:hAnsi="华文楷体" w:hint="eastAsia"/>
          <w:sz w:val="24"/>
          <w:szCs w:val="24"/>
          <w:lang w:eastAsia="zh-CN"/>
        </w:rPr>
        <w:t>。</w:t>
      </w:r>
      <w:r w:rsidR="00C16434">
        <w:rPr>
          <w:rFonts w:ascii="华文楷体" w:hAnsi="华文楷体" w:hint="eastAsia"/>
          <w:sz w:val="24"/>
          <w:szCs w:val="24"/>
          <w:lang w:eastAsia="zh-CN"/>
        </w:rPr>
        <w:t>转债市场</w:t>
      </w:r>
      <w:r w:rsidR="004C22D4">
        <w:rPr>
          <w:rFonts w:ascii="华文楷体" w:hAnsi="华文楷体" w:hint="eastAsia"/>
          <w:sz w:val="24"/>
          <w:szCs w:val="24"/>
          <w:lang w:eastAsia="zh-CN"/>
        </w:rPr>
        <w:t>表现</w:t>
      </w:r>
      <w:r w:rsidR="004038B4">
        <w:rPr>
          <w:rFonts w:ascii="华文楷体" w:hAnsi="华文楷体" w:hint="eastAsia"/>
          <w:sz w:val="24"/>
          <w:szCs w:val="24"/>
          <w:lang w:eastAsia="zh-CN"/>
        </w:rPr>
        <w:t>韧性</w:t>
      </w:r>
      <w:r>
        <w:rPr>
          <w:rFonts w:ascii="华文楷体" w:hAnsi="华文楷体" w:hint="eastAsia"/>
          <w:sz w:val="24"/>
          <w:szCs w:val="24"/>
          <w:lang w:eastAsia="zh-CN"/>
        </w:rPr>
        <w:t>略</w:t>
      </w:r>
      <w:r w:rsidR="004038B4">
        <w:rPr>
          <w:rFonts w:ascii="华文楷体" w:hAnsi="华文楷体" w:hint="eastAsia"/>
          <w:sz w:val="24"/>
          <w:szCs w:val="24"/>
          <w:lang w:eastAsia="zh-CN"/>
        </w:rPr>
        <w:t>好</w:t>
      </w:r>
      <w:r w:rsidR="00DC05C7">
        <w:rPr>
          <w:rFonts w:ascii="华文楷体" w:hAnsi="华文楷体" w:hint="eastAsia"/>
          <w:sz w:val="24"/>
          <w:szCs w:val="24"/>
          <w:lang w:eastAsia="zh-CN"/>
        </w:rPr>
        <w:t>，</w:t>
      </w:r>
      <w:r w:rsidR="00C16434">
        <w:rPr>
          <w:rFonts w:ascii="华文楷体" w:hAnsi="华文楷体" w:hint="eastAsia"/>
          <w:sz w:val="24"/>
          <w:szCs w:val="24"/>
          <w:lang w:eastAsia="zh-CN"/>
        </w:rPr>
        <w:t>中</w:t>
      </w:r>
      <w:proofErr w:type="gramStart"/>
      <w:r w:rsidR="00C16434">
        <w:rPr>
          <w:rFonts w:ascii="华文楷体" w:hAnsi="华文楷体" w:hint="eastAsia"/>
          <w:sz w:val="24"/>
          <w:szCs w:val="24"/>
          <w:lang w:eastAsia="zh-CN"/>
        </w:rPr>
        <w:t>证转债指数</w:t>
      </w:r>
      <w:r w:rsidR="00DE343B" w:rsidRPr="00DE343B">
        <w:rPr>
          <w:rFonts w:ascii="华文楷体" w:hAnsi="华文楷体" w:hint="eastAsia"/>
          <w:sz w:val="24"/>
          <w:szCs w:val="24"/>
          <w:lang w:eastAsia="zh-CN"/>
        </w:rPr>
        <w:t>微</w:t>
      </w:r>
      <w:proofErr w:type="gramEnd"/>
      <w:r w:rsidR="00DE343B" w:rsidRPr="00DE343B">
        <w:rPr>
          <w:rFonts w:ascii="华文楷体" w:hAnsi="华文楷体" w:hint="eastAsia"/>
          <w:sz w:val="24"/>
          <w:szCs w:val="24"/>
          <w:lang w:eastAsia="zh-CN"/>
        </w:rPr>
        <w:t>涨0.</w:t>
      </w:r>
      <w:r>
        <w:rPr>
          <w:rFonts w:ascii="华文楷体" w:hAnsi="华文楷体"/>
          <w:sz w:val="24"/>
          <w:szCs w:val="24"/>
          <w:lang w:eastAsia="zh-CN"/>
        </w:rPr>
        <w:t>02</w:t>
      </w:r>
      <w:r w:rsidR="00DE343B" w:rsidRPr="00DE343B">
        <w:rPr>
          <w:rFonts w:ascii="华文楷体" w:hAnsi="华文楷体" w:hint="eastAsia"/>
          <w:sz w:val="24"/>
          <w:szCs w:val="24"/>
          <w:lang w:eastAsia="zh-CN"/>
        </w:rPr>
        <w:t>%</w:t>
      </w:r>
      <w:r w:rsidR="00D86E50">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E0626C" w:rsidRPr="006A5F34" w14:paraId="7CDD9AAA" w14:textId="77777777" w:rsidTr="006F21C0">
        <w:trPr>
          <w:jc w:val="center"/>
        </w:trPr>
        <w:tc>
          <w:tcPr>
            <w:tcW w:w="4939" w:type="dxa"/>
            <w:vAlign w:val="center"/>
          </w:tcPr>
          <w:p w14:paraId="13C69F6A" w14:textId="03E04781" w:rsidR="00E0626C" w:rsidRPr="006A5F34" w:rsidRDefault="00E0626C" w:rsidP="009A2BA0">
            <w:pPr>
              <w:pStyle w:val="ChartHeading"/>
              <w:jc w:val="both"/>
            </w:pPr>
            <w:r w:rsidRPr="006A5F34">
              <w:rPr>
                <w:rFonts w:hint="eastAsia"/>
              </w:rPr>
              <w:t>图表</w:t>
            </w:r>
            <w:r w:rsidRPr="006A5F34">
              <w:t>.</w:t>
            </w:r>
            <w:r>
              <w:t xml:space="preserve"> </w:t>
            </w:r>
            <w:r w:rsidR="00005D9A">
              <w:rPr>
                <w:rFonts w:hint="eastAsia"/>
              </w:rPr>
              <w:t>A</w:t>
            </w:r>
            <w:r w:rsidR="00005D9A">
              <w:rPr>
                <w:rFonts w:hint="eastAsia"/>
              </w:rPr>
              <w:t>股</w:t>
            </w:r>
            <w:r>
              <w:rPr>
                <w:rFonts w:hint="eastAsia"/>
              </w:rPr>
              <w:t>主要指数交易和估值情况</w:t>
            </w:r>
          </w:p>
        </w:tc>
        <w:tc>
          <w:tcPr>
            <w:tcW w:w="4938" w:type="dxa"/>
            <w:vAlign w:val="center"/>
          </w:tcPr>
          <w:p w14:paraId="45DE5131" w14:textId="48699973" w:rsidR="00E0626C" w:rsidRPr="006A5F34" w:rsidRDefault="00E0626C" w:rsidP="009A2BA0">
            <w:pPr>
              <w:pStyle w:val="ChartHeading"/>
              <w:jc w:val="both"/>
            </w:pPr>
            <w:r w:rsidRPr="006A5F34">
              <w:rPr>
                <w:rFonts w:hint="eastAsia"/>
              </w:rPr>
              <w:t>图表</w:t>
            </w:r>
            <w:r w:rsidRPr="006A5F34">
              <w:t xml:space="preserve">. </w:t>
            </w:r>
            <w:r w:rsidR="00416C5F">
              <w:rPr>
                <w:rFonts w:hint="eastAsia"/>
              </w:rPr>
              <w:t>转</w:t>
            </w:r>
            <w:proofErr w:type="gramStart"/>
            <w:r w:rsidR="00416C5F">
              <w:rPr>
                <w:rFonts w:hint="eastAsia"/>
              </w:rPr>
              <w:t>债指数</w:t>
            </w:r>
            <w:proofErr w:type="gramEnd"/>
            <w:r w:rsidR="00416C5F">
              <w:rPr>
                <w:rFonts w:hint="eastAsia"/>
              </w:rPr>
              <w:t>与股指累计变化</w:t>
            </w:r>
          </w:p>
        </w:tc>
      </w:tr>
      <w:tr w:rsidR="00E0626C" w:rsidRPr="006A5F34" w14:paraId="2CD3B9EE" w14:textId="77777777" w:rsidTr="00235D65">
        <w:tblPrEx>
          <w:tblCellMar>
            <w:left w:w="108" w:type="dxa"/>
            <w:right w:w="108" w:type="dxa"/>
          </w:tblCellMar>
        </w:tblPrEx>
        <w:trPr>
          <w:trHeight w:val="2921"/>
          <w:jc w:val="center"/>
        </w:trPr>
        <w:tc>
          <w:tcPr>
            <w:tcW w:w="4939" w:type="dxa"/>
            <w:vAlign w:val="center"/>
          </w:tcPr>
          <w:p w14:paraId="5C83721A" w14:textId="57EBD97A" w:rsidR="00E0626C" w:rsidRPr="00345C30" w:rsidRDefault="00235D65" w:rsidP="00345C30">
            <w:pPr>
              <w:widowControl/>
              <w:jc w:val="left"/>
              <w:rPr>
                <w:rFonts w:ascii="宋体" w:hAnsi="宋体" w:cs="宋体"/>
                <w:kern w:val="0"/>
                <w:sz w:val="24"/>
                <w:szCs w:val="24"/>
              </w:rPr>
            </w:pPr>
            <w:r>
              <w:rPr>
                <w:noProof/>
              </w:rPr>
              <w:drawing>
                <wp:inline distT="0" distB="0" distL="0" distR="0" wp14:anchorId="0E030C11" wp14:editId="5B2F13FD">
                  <wp:extent cx="3084195" cy="1941374"/>
                  <wp:effectExtent l="0" t="0" r="1905" b="190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3115930" cy="1961350"/>
                          </a:xfrm>
                          <a:prstGeom prst="rect">
                            <a:avLst/>
                          </a:prstGeom>
                        </pic:spPr>
                      </pic:pic>
                    </a:graphicData>
                  </a:graphic>
                </wp:inline>
              </w:drawing>
            </w:r>
          </w:p>
        </w:tc>
        <w:tc>
          <w:tcPr>
            <w:tcW w:w="4938" w:type="dxa"/>
            <w:vAlign w:val="center"/>
          </w:tcPr>
          <w:p w14:paraId="39BD4383" w14:textId="36434655" w:rsidR="00E0626C" w:rsidRPr="007E0340" w:rsidRDefault="00235D65" w:rsidP="009A2BA0">
            <w:pPr>
              <w:jc w:val="center"/>
              <w:rPr>
                <w:noProof/>
                <w:szCs w:val="18"/>
              </w:rPr>
            </w:pPr>
            <w:r>
              <w:rPr>
                <w:noProof/>
              </w:rPr>
              <w:drawing>
                <wp:inline distT="0" distB="0" distL="0" distR="0" wp14:anchorId="4DEDF5A8" wp14:editId="67A18D5C">
                  <wp:extent cx="2998470" cy="1954337"/>
                  <wp:effectExtent l="0" t="0" r="0" b="8255"/>
                  <wp:docPr id="15" name="图表 15">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6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tc>
      </w:tr>
      <w:tr w:rsidR="00E0626C" w:rsidRPr="006A5F34" w14:paraId="14E5D572" w14:textId="77777777" w:rsidTr="006F21C0">
        <w:trPr>
          <w:trHeight w:val="64"/>
          <w:jc w:val="center"/>
        </w:trPr>
        <w:tc>
          <w:tcPr>
            <w:tcW w:w="4939" w:type="dxa"/>
            <w:vAlign w:val="center"/>
          </w:tcPr>
          <w:p w14:paraId="5190A1EC"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4A0B8FF" w14:textId="77777777" w:rsidR="00E0626C" w:rsidRPr="006A5F34" w:rsidRDefault="00E0626C"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E844C6C" w14:textId="153B6387" w:rsidR="00E0626C" w:rsidRDefault="00E0626C" w:rsidP="009A2BA0">
      <w:pPr>
        <w:pStyle w:val="Body-text"/>
        <w:spacing w:after="0"/>
        <w:rPr>
          <w:lang w:eastAsia="zh-CN"/>
        </w:rPr>
      </w:pPr>
    </w:p>
    <w:p w14:paraId="721DD2C0" w14:textId="02AF1313" w:rsidR="0082791D" w:rsidRPr="00963D43" w:rsidRDefault="0031666C" w:rsidP="009A2BA0">
      <w:pPr>
        <w:pStyle w:val="Header1"/>
        <w:spacing w:before="240"/>
        <w:rPr>
          <w:color w:val="C45911" w:themeColor="accent2" w:themeShade="BF"/>
        </w:rPr>
      </w:pPr>
      <w:r>
        <w:rPr>
          <w:rFonts w:hint="eastAsia"/>
          <w:color w:val="C45911" w:themeColor="accent2" w:themeShade="BF"/>
        </w:rPr>
        <w:t>三</w:t>
      </w:r>
      <w:r w:rsidR="0082791D" w:rsidRPr="00963D43">
        <w:rPr>
          <w:rFonts w:hint="eastAsia"/>
          <w:color w:val="C45911" w:themeColor="accent2" w:themeShade="BF"/>
        </w:rPr>
        <w:t>、</w:t>
      </w:r>
      <w:r w:rsidR="00E0626C">
        <w:rPr>
          <w:rFonts w:hint="eastAsia"/>
          <w:color w:val="C45911" w:themeColor="accent2" w:themeShade="BF"/>
        </w:rPr>
        <w:t>本周市场展望</w:t>
      </w:r>
    </w:p>
    <w:p w14:paraId="5ACEDF53" w14:textId="44718DE6" w:rsidR="00963D43" w:rsidRPr="00BE2819" w:rsidRDefault="00FF7903" w:rsidP="009A2BA0">
      <w:pPr>
        <w:pStyle w:val="Header2"/>
        <w:rPr>
          <w:rFonts w:eastAsia="PMingLiU"/>
          <w:sz w:val="28"/>
          <w:szCs w:val="21"/>
        </w:rPr>
      </w:pPr>
      <w:r>
        <w:rPr>
          <w:rFonts w:hint="eastAsia"/>
          <w:sz w:val="28"/>
          <w:szCs w:val="21"/>
          <w:lang w:eastAsia="zh-CN"/>
        </w:rPr>
        <w:t>1</w:t>
      </w:r>
      <w:r>
        <w:rPr>
          <w:rFonts w:hint="eastAsia"/>
          <w:sz w:val="28"/>
          <w:szCs w:val="21"/>
          <w:lang w:eastAsia="zh-CN"/>
        </w:rPr>
        <w:t>、</w:t>
      </w:r>
      <w:r w:rsidR="00E0626C">
        <w:rPr>
          <w:rFonts w:hint="eastAsia"/>
          <w:sz w:val="28"/>
          <w:szCs w:val="21"/>
        </w:rPr>
        <w:t>基本面变化</w:t>
      </w:r>
    </w:p>
    <w:p w14:paraId="41A42062" w14:textId="3A2BB0BF" w:rsidR="00882FA5" w:rsidRPr="003E42BE" w:rsidRDefault="00E34B22" w:rsidP="003F00C6">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生产</w:t>
      </w:r>
      <w:r w:rsidR="00CC2F5D" w:rsidRPr="00D67BD7">
        <w:rPr>
          <w:rFonts w:ascii="华文楷体" w:hAnsi="华文楷体" w:hint="eastAsia"/>
          <w:b/>
          <w:bCs/>
          <w:sz w:val="24"/>
          <w:szCs w:val="24"/>
          <w:lang w:eastAsia="zh-CN"/>
        </w:rPr>
        <w:t>：</w:t>
      </w:r>
      <w:r w:rsidR="00F704B5" w:rsidRPr="00F704B5">
        <w:rPr>
          <w:rFonts w:ascii="华文楷体" w:hAnsi="华文楷体" w:hint="eastAsia"/>
          <w:sz w:val="24"/>
          <w:szCs w:val="24"/>
          <w:lang w:eastAsia="zh-CN"/>
        </w:rPr>
        <w:t>本周主要港口动力煤平均价进一步回升0.62%。PTA</w:t>
      </w:r>
      <w:proofErr w:type="gramStart"/>
      <w:r w:rsidR="00F704B5" w:rsidRPr="00F704B5">
        <w:rPr>
          <w:rFonts w:ascii="华文楷体" w:hAnsi="华文楷体" w:hint="eastAsia"/>
          <w:sz w:val="24"/>
          <w:szCs w:val="24"/>
          <w:lang w:eastAsia="zh-CN"/>
        </w:rPr>
        <w:t>产量环</w:t>
      </w:r>
      <w:proofErr w:type="gramEnd"/>
      <w:r w:rsidR="00F704B5" w:rsidRPr="00F704B5">
        <w:rPr>
          <w:rFonts w:ascii="华文楷体" w:hAnsi="华文楷体" w:hint="eastAsia"/>
          <w:sz w:val="24"/>
          <w:szCs w:val="24"/>
          <w:lang w:eastAsia="zh-CN"/>
        </w:rPr>
        <w:t>比上周增加1.29%，产业链负荷率维持在80%左右</w:t>
      </w:r>
      <w:r w:rsidR="00762155">
        <w:rPr>
          <w:rFonts w:ascii="华文楷体" w:hAnsi="华文楷体" w:hint="eastAsia"/>
          <w:sz w:val="24"/>
          <w:szCs w:val="24"/>
          <w:lang w:eastAsia="zh-CN"/>
        </w:rPr>
        <w:t>。</w:t>
      </w:r>
      <w:r w:rsidR="00F704B5" w:rsidRPr="00F704B5">
        <w:rPr>
          <w:rFonts w:ascii="华文楷体" w:hAnsi="华文楷体" w:hint="eastAsia"/>
          <w:sz w:val="24"/>
          <w:szCs w:val="24"/>
          <w:lang w:eastAsia="zh-CN"/>
        </w:rPr>
        <w:t>中国玻璃综合指数回升0.47%，升幅较上一周略显缓和。</w:t>
      </w:r>
    </w:p>
    <w:p w14:paraId="21425444" w14:textId="2072F70E" w:rsidR="00FA22A8" w:rsidRDefault="00E34B22" w:rsidP="0007254B">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地产</w:t>
      </w:r>
      <w:r w:rsidR="00F704B5">
        <w:rPr>
          <w:rFonts w:ascii="华文楷体" w:hAnsi="华文楷体" w:hint="eastAsia"/>
          <w:b/>
          <w:bCs/>
          <w:sz w:val="24"/>
          <w:szCs w:val="24"/>
          <w:lang w:eastAsia="zh-CN"/>
        </w:rPr>
        <w:t>：</w:t>
      </w:r>
      <w:r w:rsidR="00F704B5" w:rsidRPr="00F704B5">
        <w:rPr>
          <w:rFonts w:ascii="华文楷体" w:hAnsi="华文楷体" w:hint="eastAsia"/>
          <w:sz w:val="24"/>
          <w:szCs w:val="24"/>
          <w:lang w:eastAsia="zh-CN"/>
        </w:rPr>
        <w:t>30大中城市商品房平均成交</w:t>
      </w:r>
      <w:proofErr w:type="gramStart"/>
      <w:r w:rsidR="00F704B5" w:rsidRPr="00F704B5">
        <w:rPr>
          <w:rFonts w:ascii="华文楷体" w:hAnsi="华文楷体" w:hint="eastAsia"/>
          <w:sz w:val="24"/>
          <w:szCs w:val="24"/>
          <w:lang w:eastAsia="zh-CN"/>
        </w:rPr>
        <w:t>面积环</w:t>
      </w:r>
      <w:proofErr w:type="gramEnd"/>
      <w:r w:rsidR="00F704B5" w:rsidRPr="00F704B5">
        <w:rPr>
          <w:rFonts w:ascii="华文楷体" w:hAnsi="华文楷体" w:hint="eastAsia"/>
          <w:sz w:val="24"/>
          <w:szCs w:val="24"/>
          <w:lang w:eastAsia="zh-CN"/>
        </w:rPr>
        <w:t>比明显回升，增幅约10.5%，销售端延续强势；拿地方面，上周100大中城市土地成交</w:t>
      </w:r>
      <w:proofErr w:type="gramStart"/>
      <w:r w:rsidR="00F704B5" w:rsidRPr="00F704B5">
        <w:rPr>
          <w:rFonts w:ascii="华文楷体" w:hAnsi="华文楷体" w:hint="eastAsia"/>
          <w:sz w:val="24"/>
          <w:szCs w:val="24"/>
          <w:lang w:eastAsia="zh-CN"/>
        </w:rPr>
        <w:t>面积环</w:t>
      </w:r>
      <w:proofErr w:type="gramEnd"/>
      <w:r w:rsidR="00F704B5" w:rsidRPr="00F704B5">
        <w:rPr>
          <w:rFonts w:ascii="华文楷体" w:hAnsi="华文楷体" w:hint="eastAsia"/>
          <w:sz w:val="24"/>
          <w:szCs w:val="24"/>
          <w:lang w:eastAsia="zh-CN"/>
        </w:rPr>
        <w:t>比下降47.65%</w:t>
      </w:r>
      <w:r w:rsidR="00762155" w:rsidRPr="00762155">
        <w:rPr>
          <w:rFonts w:ascii="华文楷体" w:hAnsi="华文楷体" w:hint="eastAsia"/>
          <w:sz w:val="24"/>
          <w:szCs w:val="24"/>
          <w:lang w:eastAsia="zh-CN"/>
        </w:rPr>
        <w:t>。</w:t>
      </w:r>
      <w:r w:rsidR="00F704B5" w:rsidRPr="00F704B5">
        <w:rPr>
          <w:rFonts w:ascii="华文楷体" w:hAnsi="华文楷体" w:hint="eastAsia"/>
          <w:sz w:val="24"/>
          <w:szCs w:val="24"/>
          <w:lang w:eastAsia="zh-CN"/>
        </w:rPr>
        <w:t>水泥价格较上周回落0.27%，当前东北地区仍在错峰生产</w:t>
      </w:r>
      <w:r w:rsidR="00F704B5">
        <w:rPr>
          <w:rFonts w:ascii="华文楷体" w:hAnsi="华文楷体" w:hint="eastAsia"/>
          <w:sz w:val="24"/>
          <w:szCs w:val="24"/>
          <w:lang w:eastAsia="zh-CN"/>
        </w:rPr>
        <w:t>。</w:t>
      </w:r>
    </w:p>
    <w:p w14:paraId="77CCCEDF" w14:textId="7E864B10" w:rsidR="007F6B5C" w:rsidRDefault="005D478C" w:rsidP="00153A65">
      <w:pPr>
        <w:pStyle w:val="Body-text"/>
        <w:ind w:firstLineChars="200" w:firstLine="480"/>
        <w:rPr>
          <w:rFonts w:ascii="华文楷体" w:hAnsi="华文楷体"/>
          <w:bCs/>
          <w:sz w:val="24"/>
          <w:szCs w:val="24"/>
          <w:lang w:eastAsia="zh-CN"/>
        </w:rPr>
      </w:pPr>
      <w:r w:rsidRPr="0063487B">
        <w:rPr>
          <w:rFonts w:ascii="华文楷体" w:hAnsi="华文楷体" w:hint="eastAsia"/>
          <w:b/>
          <w:bCs/>
          <w:sz w:val="24"/>
          <w:szCs w:val="24"/>
          <w:lang w:eastAsia="zh-CN"/>
        </w:rPr>
        <w:t>进出口</w:t>
      </w:r>
      <w:r w:rsidR="00CC2F5D" w:rsidRPr="0063487B">
        <w:rPr>
          <w:rFonts w:ascii="华文楷体" w:hAnsi="华文楷体" w:hint="eastAsia"/>
          <w:b/>
          <w:bCs/>
          <w:sz w:val="24"/>
          <w:szCs w:val="24"/>
          <w:lang w:eastAsia="zh-CN"/>
        </w:rPr>
        <w:t>：</w:t>
      </w:r>
      <w:r w:rsidR="00F704B5" w:rsidRPr="00F704B5">
        <w:rPr>
          <w:rFonts w:ascii="华文楷体" w:hAnsi="华文楷体" w:hint="eastAsia"/>
          <w:bCs/>
          <w:sz w:val="24"/>
          <w:szCs w:val="24"/>
          <w:lang w:eastAsia="zh-CN"/>
        </w:rPr>
        <w:t>波罗的海干散货指数较上周明显上行9.7%，中国进口干散货运价指数增幅在5.41%。上海出口集装箱指数（SCFI）及中国出口集装箱运价指数（CCFI）延续下行，环比分别下降0.21%和2.03%，降幅较上一周略有收窄</w:t>
      </w:r>
      <w:r w:rsidR="00A4343E" w:rsidRPr="00A4343E">
        <w:rPr>
          <w:rFonts w:ascii="华文楷体" w:hAnsi="华文楷体" w:hint="eastAsia"/>
          <w:bCs/>
          <w:sz w:val="24"/>
          <w:szCs w:val="24"/>
          <w:lang w:eastAsia="zh-CN"/>
        </w:rPr>
        <w:t>。</w:t>
      </w:r>
    </w:p>
    <w:p w14:paraId="0542DAC4" w14:textId="0626301C" w:rsidR="00756ABD" w:rsidRDefault="00E34B22" w:rsidP="00617BC1">
      <w:pPr>
        <w:pStyle w:val="Body-text"/>
        <w:ind w:firstLineChars="200" w:firstLine="480"/>
        <w:rPr>
          <w:rFonts w:ascii="华文楷体" w:hAnsi="华文楷体"/>
          <w:bCs/>
          <w:sz w:val="24"/>
          <w:szCs w:val="24"/>
          <w:lang w:eastAsia="zh-CN"/>
        </w:rPr>
      </w:pPr>
      <w:r w:rsidRPr="00D67BD7">
        <w:rPr>
          <w:rFonts w:ascii="华文楷体" w:hAnsi="华文楷体" w:hint="eastAsia"/>
          <w:b/>
          <w:bCs/>
          <w:sz w:val="24"/>
          <w:szCs w:val="24"/>
          <w:lang w:eastAsia="zh-CN"/>
        </w:rPr>
        <w:t>通胀：</w:t>
      </w:r>
      <w:r w:rsidR="00AE5436" w:rsidRPr="00AE5436">
        <w:rPr>
          <w:rFonts w:ascii="华文楷体" w:hAnsi="华文楷体" w:hint="eastAsia"/>
          <w:bCs/>
          <w:sz w:val="24"/>
          <w:szCs w:val="24"/>
          <w:lang w:eastAsia="zh-CN"/>
        </w:rPr>
        <w:t>食品价格方面，</w:t>
      </w:r>
      <w:r w:rsidR="00F704B5" w:rsidRPr="00F704B5">
        <w:rPr>
          <w:rFonts w:ascii="华文楷体" w:hAnsi="华文楷体" w:hint="eastAsia"/>
          <w:bCs/>
          <w:sz w:val="24"/>
          <w:szCs w:val="24"/>
          <w:lang w:eastAsia="zh-CN"/>
        </w:rPr>
        <w:t>猪价来看，本周农业部公布的全国平均批发价下降至37.5元/公斤左右，</w:t>
      </w:r>
      <w:proofErr w:type="gramStart"/>
      <w:r w:rsidR="00F704B5" w:rsidRPr="00F704B5">
        <w:rPr>
          <w:rFonts w:ascii="华文楷体" w:hAnsi="华文楷体" w:hint="eastAsia"/>
          <w:bCs/>
          <w:sz w:val="24"/>
          <w:szCs w:val="24"/>
          <w:lang w:eastAsia="zh-CN"/>
        </w:rPr>
        <w:t>环比较</w:t>
      </w:r>
      <w:proofErr w:type="gramEnd"/>
      <w:r w:rsidR="00F704B5" w:rsidRPr="00F704B5">
        <w:rPr>
          <w:rFonts w:ascii="华文楷体" w:hAnsi="华文楷体" w:hint="eastAsia"/>
          <w:bCs/>
          <w:sz w:val="24"/>
          <w:szCs w:val="24"/>
          <w:lang w:eastAsia="zh-CN"/>
        </w:rPr>
        <w:t>上周末下降1.89%，猪肉价格持续下跌。农产品和菜篮子批发价格200</w:t>
      </w:r>
      <w:proofErr w:type="gramStart"/>
      <w:r w:rsidR="00F704B5" w:rsidRPr="00F704B5">
        <w:rPr>
          <w:rFonts w:ascii="华文楷体" w:hAnsi="华文楷体" w:hint="eastAsia"/>
          <w:bCs/>
          <w:sz w:val="24"/>
          <w:szCs w:val="24"/>
          <w:lang w:eastAsia="zh-CN"/>
        </w:rPr>
        <w:t>指数环</w:t>
      </w:r>
      <w:proofErr w:type="gramEnd"/>
      <w:r w:rsidR="00F704B5" w:rsidRPr="00F704B5">
        <w:rPr>
          <w:rFonts w:ascii="华文楷体" w:hAnsi="华文楷体" w:hint="eastAsia"/>
          <w:bCs/>
          <w:sz w:val="24"/>
          <w:szCs w:val="24"/>
          <w:lang w:eastAsia="zh-CN"/>
        </w:rPr>
        <w:t>比下行幅度进一步扩大，分别降1.14%和1.31%，月度环比降幅分别达6.53%、7.37%</w:t>
      </w:r>
      <w:r w:rsidR="00F704B5">
        <w:rPr>
          <w:rFonts w:ascii="华文楷体" w:hAnsi="华文楷体" w:hint="eastAsia"/>
          <w:bCs/>
          <w:sz w:val="24"/>
          <w:szCs w:val="24"/>
          <w:lang w:eastAsia="zh-CN"/>
        </w:rPr>
        <w:t>。</w:t>
      </w:r>
      <w:r w:rsidR="0063487B" w:rsidRPr="0063487B">
        <w:rPr>
          <w:rFonts w:ascii="华文楷体" w:hAnsi="华文楷体" w:hint="eastAsia"/>
          <w:bCs/>
          <w:sz w:val="24"/>
          <w:szCs w:val="24"/>
          <w:lang w:eastAsia="zh-CN"/>
        </w:rPr>
        <w:t>工业品价格方面，</w:t>
      </w:r>
      <w:r w:rsidR="00F704B5" w:rsidRPr="00F704B5">
        <w:rPr>
          <w:rFonts w:ascii="华文楷体" w:hAnsi="华文楷体" w:hint="eastAsia"/>
          <w:bCs/>
          <w:sz w:val="24"/>
          <w:szCs w:val="24"/>
          <w:lang w:eastAsia="zh-CN"/>
        </w:rPr>
        <w:t>长江有色市场现货价格铜、铝、铅、锌价分别增长1.15%、1.69%、0.57%、0.91%；海外价格来看，LME铜、铝、铅、</w:t>
      </w:r>
      <w:proofErr w:type="gramStart"/>
      <w:r w:rsidR="00F704B5" w:rsidRPr="00F704B5">
        <w:rPr>
          <w:rFonts w:ascii="华文楷体" w:hAnsi="华文楷体" w:hint="eastAsia"/>
          <w:bCs/>
          <w:sz w:val="24"/>
          <w:szCs w:val="24"/>
          <w:lang w:eastAsia="zh-CN"/>
        </w:rPr>
        <w:t>锌较上</w:t>
      </w:r>
      <w:proofErr w:type="gramEnd"/>
      <w:r w:rsidR="00F704B5" w:rsidRPr="00F704B5">
        <w:rPr>
          <w:rFonts w:ascii="华文楷体" w:hAnsi="华文楷体" w:hint="eastAsia"/>
          <w:bCs/>
          <w:sz w:val="24"/>
          <w:szCs w:val="24"/>
          <w:lang w:eastAsia="zh-CN"/>
        </w:rPr>
        <w:t>周环比变化分别为0.84%、2.33%、-1.08%、1.36%</w:t>
      </w:r>
      <w:r w:rsidR="00617BC1" w:rsidRPr="00617BC1">
        <w:rPr>
          <w:rFonts w:ascii="华文楷体" w:hAnsi="华文楷体" w:hint="eastAsia"/>
          <w:bCs/>
          <w:sz w:val="24"/>
          <w:szCs w:val="24"/>
          <w:lang w:eastAsia="zh-CN"/>
        </w:rPr>
        <w:t>。</w:t>
      </w:r>
    </w:p>
    <w:p w14:paraId="29155A05" w14:textId="5E0F1798" w:rsidR="00A058AB" w:rsidRDefault="00DC2C5F" w:rsidP="00153A65">
      <w:pPr>
        <w:pStyle w:val="Body-text"/>
        <w:ind w:firstLineChars="200" w:firstLine="480"/>
        <w:rPr>
          <w:rFonts w:ascii="华文楷体" w:hAnsi="华文楷体"/>
          <w:bCs/>
          <w:sz w:val="24"/>
          <w:szCs w:val="24"/>
          <w:lang w:eastAsia="zh-CN"/>
        </w:rPr>
      </w:pPr>
      <w:r>
        <w:rPr>
          <w:rFonts w:ascii="华文楷体" w:hAnsi="华文楷体" w:hint="eastAsia"/>
          <w:b/>
          <w:bCs/>
          <w:sz w:val="24"/>
          <w:szCs w:val="24"/>
          <w:lang w:eastAsia="zh-CN"/>
        </w:rPr>
        <w:t>消费</w:t>
      </w:r>
      <w:r w:rsidR="008D4119" w:rsidRPr="008D4119">
        <w:rPr>
          <w:rFonts w:ascii="华文楷体" w:hAnsi="华文楷体" w:hint="eastAsia"/>
          <w:b/>
          <w:bCs/>
          <w:sz w:val="24"/>
          <w:szCs w:val="24"/>
          <w:lang w:eastAsia="zh-CN"/>
        </w:rPr>
        <w:t>：</w:t>
      </w:r>
      <w:bookmarkStart w:id="2" w:name="_Hlk21205334"/>
      <w:r w:rsidR="00F704B5" w:rsidRPr="00F704B5">
        <w:rPr>
          <w:rFonts w:ascii="华文楷体" w:hAnsi="华文楷体" w:hint="eastAsia"/>
          <w:bCs/>
          <w:sz w:val="24"/>
          <w:szCs w:val="24"/>
          <w:lang w:eastAsia="zh-CN"/>
        </w:rPr>
        <w:t>乘联会最新数据显示，3月第二周的日均零售在4.0万辆左右，较2019年同期水平增约2%，环比1月表现偏弱</w:t>
      </w:r>
      <w:r w:rsidR="00016BE5">
        <w:rPr>
          <w:rFonts w:ascii="华文楷体" w:hAnsi="华文楷体" w:hint="eastAsia"/>
          <w:bCs/>
          <w:sz w:val="24"/>
          <w:szCs w:val="24"/>
          <w:lang w:eastAsia="zh-CN"/>
        </w:rPr>
        <w:t>。</w:t>
      </w:r>
      <w:r w:rsidR="00F704B5" w:rsidRPr="00F704B5">
        <w:rPr>
          <w:rFonts w:ascii="华文楷体" w:hAnsi="华文楷体" w:hint="eastAsia"/>
          <w:bCs/>
          <w:sz w:val="24"/>
          <w:szCs w:val="24"/>
          <w:lang w:eastAsia="zh-CN"/>
        </w:rPr>
        <w:t>3月次周主要厂商批发销量达到日均4.57万辆，稍低于 2019年3月初的走势，整体表现仍强于零售端</w:t>
      </w:r>
      <w:r w:rsidR="00F704B5">
        <w:rPr>
          <w:rFonts w:ascii="华文楷体" w:hAnsi="华文楷体" w:hint="eastAsia"/>
          <w:bCs/>
          <w:sz w:val="24"/>
          <w:szCs w:val="24"/>
          <w:lang w:eastAsia="zh-CN"/>
        </w:rPr>
        <w:t>。</w:t>
      </w:r>
    </w:p>
    <w:p w14:paraId="6C0621FD" w14:textId="409A5106" w:rsidR="00DC2C5F" w:rsidRPr="00EB6DED" w:rsidRDefault="00DC2C5F" w:rsidP="00153A65">
      <w:pPr>
        <w:pStyle w:val="Body-text"/>
        <w:ind w:firstLineChars="200" w:firstLine="480"/>
        <w:rPr>
          <w:rFonts w:ascii="华文楷体" w:hAnsi="华文楷体"/>
          <w:bCs/>
          <w:sz w:val="24"/>
          <w:szCs w:val="24"/>
          <w:lang w:eastAsia="zh-CN"/>
        </w:rPr>
      </w:pPr>
      <w:r w:rsidRPr="00DC2C5F">
        <w:rPr>
          <w:rFonts w:ascii="华文楷体" w:hAnsi="华文楷体" w:hint="eastAsia"/>
          <w:b/>
          <w:bCs/>
          <w:sz w:val="24"/>
          <w:szCs w:val="24"/>
          <w:lang w:eastAsia="zh-CN"/>
        </w:rPr>
        <w:t>海外</w:t>
      </w:r>
      <w:r>
        <w:rPr>
          <w:rFonts w:ascii="华文楷体" w:hAnsi="华文楷体" w:hint="eastAsia"/>
          <w:bCs/>
          <w:sz w:val="24"/>
          <w:szCs w:val="24"/>
          <w:lang w:eastAsia="zh-CN"/>
        </w:rPr>
        <w:t>：</w:t>
      </w:r>
      <w:r w:rsidR="00F704B5" w:rsidRPr="00F704B5">
        <w:rPr>
          <w:rFonts w:ascii="华文楷体" w:hAnsi="华文楷体" w:hint="eastAsia"/>
          <w:bCs/>
          <w:sz w:val="24"/>
          <w:szCs w:val="24"/>
          <w:lang w:eastAsia="zh-CN"/>
        </w:rPr>
        <w:t>WTI原油价格环比上周五跌6.4%；布伦</w:t>
      </w:r>
      <w:proofErr w:type="gramStart"/>
      <w:r w:rsidR="00F704B5" w:rsidRPr="00F704B5">
        <w:rPr>
          <w:rFonts w:ascii="华文楷体" w:hAnsi="华文楷体" w:hint="eastAsia"/>
          <w:bCs/>
          <w:sz w:val="24"/>
          <w:szCs w:val="24"/>
          <w:lang w:eastAsia="zh-CN"/>
        </w:rPr>
        <w:t>特</w:t>
      </w:r>
      <w:proofErr w:type="gramEnd"/>
      <w:r w:rsidR="00F704B5" w:rsidRPr="00F704B5">
        <w:rPr>
          <w:rFonts w:ascii="华文楷体" w:hAnsi="华文楷体" w:hint="eastAsia"/>
          <w:bCs/>
          <w:sz w:val="24"/>
          <w:szCs w:val="24"/>
          <w:lang w:eastAsia="zh-CN"/>
        </w:rPr>
        <w:t>原油价格下跌6.8%。</w:t>
      </w:r>
    </w:p>
    <w:p w14:paraId="35D3E229" w14:textId="7932D8D6" w:rsidR="00DA6262" w:rsidRDefault="00A058AB" w:rsidP="00F07541">
      <w:pPr>
        <w:pStyle w:val="Body-text"/>
        <w:ind w:firstLineChars="200" w:firstLine="480"/>
        <w:rPr>
          <w:rFonts w:ascii="Helvetica" w:hAnsi="Helvetica"/>
          <w:color w:val="000000"/>
          <w:spacing w:val="8"/>
          <w:sz w:val="23"/>
          <w:szCs w:val="23"/>
          <w:shd w:val="clear" w:color="auto" w:fill="FFFFFF"/>
          <w:lang w:eastAsia="zh-CN"/>
        </w:rPr>
      </w:pPr>
      <w:r w:rsidRPr="00C866C2">
        <w:rPr>
          <w:rFonts w:ascii="华文楷体" w:hAnsi="华文楷体" w:hint="eastAsia"/>
          <w:b/>
          <w:bCs/>
          <w:sz w:val="24"/>
          <w:szCs w:val="24"/>
          <w:lang w:eastAsia="zh-CN"/>
        </w:rPr>
        <w:lastRenderedPageBreak/>
        <w:t>下周</w:t>
      </w:r>
      <w:r>
        <w:rPr>
          <w:rFonts w:ascii="华文楷体" w:hAnsi="华文楷体" w:hint="eastAsia"/>
          <w:b/>
          <w:bCs/>
          <w:sz w:val="24"/>
          <w:szCs w:val="24"/>
          <w:lang w:eastAsia="zh-CN"/>
        </w:rPr>
        <w:t>关注</w:t>
      </w:r>
      <w:r>
        <w:rPr>
          <w:rFonts w:ascii="华文楷体" w:hAnsi="华文楷体" w:hint="eastAsia"/>
          <w:bCs/>
          <w:sz w:val="24"/>
          <w:szCs w:val="24"/>
          <w:lang w:eastAsia="zh-CN"/>
        </w:rPr>
        <w:t>：</w:t>
      </w:r>
      <w:r w:rsidR="00F704B5" w:rsidRPr="00F704B5">
        <w:rPr>
          <w:rFonts w:ascii="华文楷体" w:hAnsi="华文楷体" w:hint="eastAsia"/>
          <w:bCs/>
          <w:sz w:val="24"/>
          <w:szCs w:val="24"/>
          <w:lang w:eastAsia="zh-CN"/>
        </w:rPr>
        <w:t>2月工业企业利润、中美会谈。</w:t>
      </w:r>
    </w:p>
    <w:p w14:paraId="45E291AF" w14:textId="77777777" w:rsidR="006E7D2B" w:rsidRPr="006E7D2B" w:rsidRDefault="006E7D2B" w:rsidP="00F07541">
      <w:pPr>
        <w:pStyle w:val="Body-text"/>
        <w:ind w:firstLineChars="200" w:firstLine="480"/>
        <w:rPr>
          <w:rFonts w:ascii="华文楷体" w:hAnsi="华文楷体"/>
          <w:bCs/>
          <w:sz w:val="24"/>
          <w:szCs w:val="24"/>
          <w:lang w:eastAsia="zh-CN"/>
        </w:rPr>
      </w:pPr>
    </w:p>
    <w:bookmarkEnd w:id="2"/>
    <w:p w14:paraId="07860EC8" w14:textId="69D2C3DA" w:rsidR="00FF7903" w:rsidRPr="00884635" w:rsidRDefault="00FF7903" w:rsidP="009A2BA0">
      <w:pPr>
        <w:pStyle w:val="Header2"/>
        <w:spacing w:before="120"/>
        <w:rPr>
          <w:rFonts w:eastAsia="PMingLiU"/>
          <w:sz w:val="28"/>
          <w:szCs w:val="21"/>
          <w:lang w:eastAsia="zh-CN"/>
        </w:rPr>
      </w:pPr>
      <w:r>
        <w:rPr>
          <w:sz w:val="28"/>
          <w:szCs w:val="21"/>
          <w:lang w:eastAsia="zh-CN"/>
        </w:rPr>
        <w:t>2</w:t>
      </w:r>
      <w:r>
        <w:rPr>
          <w:rFonts w:hint="eastAsia"/>
          <w:sz w:val="28"/>
          <w:szCs w:val="21"/>
          <w:lang w:eastAsia="zh-CN"/>
        </w:rPr>
        <w:t>、</w:t>
      </w:r>
      <w:r w:rsidR="00F4124A">
        <w:rPr>
          <w:rFonts w:hint="eastAsia"/>
          <w:sz w:val="28"/>
          <w:szCs w:val="21"/>
          <w:lang w:eastAsia="zh-CN"/>
        </w:rPr>
        <w:t>本</w:t>
      </w:r>
      <w:r w:rsidR="008125E2">
        <w:rPr>
          <w:rFonts w:hint="eastAsia"/>
          <w:sz w:val="28"/>
          <w:szCs w:val="21"/>
          <w:lang w:eastAsia="zh-CN"/>
        </w:rPr>
        <w:t>周</w:t>
      </w:r>
      <w:r w:rsidR="00E0626C">
        <w:rPr>
          <w:rFonts w:hint="eastAsia"/>
          <w:sz w:val="28"/>
          <w:szCs w:val="21"/>
          <w:lang w:eastAsia="zh-CN"/>
        </w:rPr>
        <w:t>债市</w:t>
      </w:r>
      <w:r w:rsidR="00EE070C">
        <w:rPr>
          <w:rFonts w:hint="eastAsia"/>
          <w:sz w:val="28"/>
          <w:szCs w:val="21"/>
          <w:lang w:eastAsia="zh-CN"/>
        </w:rPr>
        <w:t>判断</w:t>
      </w:r>
    </w:p>
    <w:p w14:paraId="24E697A5" w14:textId="6BD2BF67" w:rsidR="00854194" w:rsidRPr="00CD3C43" w:rsidRDefault="006B204A" w:rsidP="00CD3C43">
      <w:pPr>
        <w:pStyle w:val="Body-text"/>
        <w:spacing w:after="240"/>
        <w:ind w:firstLineChars="200" w:firstLine="480"/>
        <w:rPr>
          <w:rFonts w:ascii="Helvetica" w:hAnsi="Helvetica"/>
          <w:color w:val="000000"/>
          <w:spacing w:val="8"/>
          <w:sz w:val="23"/>
          <w:szCs w:val="23"/>
          <w:shd w:val="clear" w:color="auto" w:fill="FFFFFF"/>
          <w:lang w:eastAsia="zh-CN"/>
        </w:rPr>
      </w:pPr>
      <w:r w:rsidRPr="00854194">
        <w:rPr>
          <w:rFonts w:ascii="华文楷体" w:hAnsi="华文楷体" w:hint="eastAsia"/>
          <w:sz w:val="24"/>
          <w:szCs w:val="24"/>
          <w:lang w:eastAsia="zh-CN"/>
        </w:rPr>
        <w:t>利率债：</w:t>
      </w:r>
      <w:r w:rsidR="005C3F29" w:rsidRPr="005C3F29">
        <w:rPr>
          <w:rFonts w:ascii="华文楷体" w:hAnsi="华文楷体" w:hint="eastAsia"/>
          <w:sz w:val="24"/>
          <w:szCs w:val="24"/>
          <w:lang w:eastAsia="zh-CN"/>
        </w:rPr>
        <w:t>据报道2021年提前批专项债额度1.77</w:t>
      </w:r>
      <w:proofErr w:type="gramStart"/>
      <w:r w:rsidR="005C3F29" w:rsidRPr="005C3F29">
        <w:rPr>
          <w:rFonts w:ascii="华文楷体" w:hAnsi="华文楷体" w:hint="eastAsia"/>
          <w:sz w:val="24"/>
          <w:szCs w:val="24"/>
          <w:lang w:eastAsia="zh-CN"/>
        </w:rPr>
        <w:t>万亿</w:t>
      </w:r>
      <w:proofErr w:type="gramEnd"/>
      <w:r w:rsidR="005C3F29" w:rsidRPr="005C3F29">
        <w:rPr>
          <w:rFonts w:ascii="华文楷体" w:hAnsi="华文楷体" w:hint="eastAsia"/>
          <w:sz w:val="24"/>
          <w:szCs w:val="24"/>
          <w:lang w:eastAsia="zh-CN"/>
        </w:rPr>
        <w:t>已于3月初下达，考虑到今年地方债发行节奏，预计二季度将迎来地方债供给适度放量，本周债券供给预计与上周变化不大，目前看大约为3000亿左右。上周美联储召开议息会议，从</w:t>
      </w:r>
      <w:proofErr w:type="gramStart"/>
      <w:r w:rsidR="005C3F29" w:rsidRPr="005C3F29">
        <w:rPr>
          <w:rFonts w:ascii="华文楷体" w:hAnsi="华文楷体" w:hint="eastAsia"/>
          <w:sz w:val="24"/>
          <w:szCs w:val="24"/>
          <w:lang w:eastAsia="zh-CN"/>
        </w:rPr>
        <w:t>表述看</w:t>
      </w:r>
      <w:proofErr w:type="gramEnd"/>
      <w:r w:rsidR="005C3F29" w:rsidRPr="005C3F29">
        <w:rPr>
          <w:rFonts w:ascii="华文楷体" w:hAnsi="华文楷体" w:hint="eastAsia"/>
          <w:sz w:val="24"/>
          <w:szCs w:val="24"/>
          <w:lang w:eastAsia="zh-CN"/>
        </w:rPr>
        <w:t>其对经济和通货膨胀预期都相对中性略积极，美联储已经多次重申对利率上行具有一定容忍度。国</w:t>
      </w:r>
      <w:proofErr w:type="gramStart"/>
      <w:r w:rsidR="005C3F29" w:rsidRPr="005C3F29">
        <w:rPr>
          <w:rFonts w:ascii="华文楷体" w:hAnsi="华文楷体" w:hint="eastAsia"/>
          <w:sz w:val="24"/>
          <w:szCs w:val="24"/>
          <w:lang w:eastAsia="zh-CN"/>
        </w:rPr>
        <w:t>内债市</w:t>
      </w:r>
      <w:proofErr w:type="gramEnd"/>
      <w:r w:rsidR="005C3F29" w:rsidRPr="005C3F29">
        <w:rPr>
          <w:rFonts w:ascii="华文楷体" w:hAnsi="华文楷体" w:hint="eastAsia"/>
          <w:sz w:val="24"/>
          <w:szCs w:val="24"/>
          <w:lang w:eastAsia="zh-CN"/>
        </w:rPr>
        <w:t>对海外债市表现敏感度优先，近期表现较为平稳，市场更多关注国内基本面后续恢复情况，利率</w:t>
      </w:r>
      <w:proofErr w:type="gramStart"/>
      <w:r w:rsidR="005C3F29" w:rsidRPr="005C3F29">
        <w:rPr>
          <w:rFonts w:ascii="华文楷体" w:hAnsi="华文楷体" w:hint="eastAsia"/>
          <w:sz w:val="24"/>
          <w:szCs w:val="24"/>
          <w:lang w:eastAsia="zh-CN"/>
        </w:rPr>
        <w:t>债尤其</w:t>
      </w:r>
      <w:proofErr w:type="gramEnd"/>
      <w:r w:rsidR="005C3F29" w:rsidRPr="005C3F29">
        <w:rPr>
          <w:rFonts w:ascii="华文楷体" w:hAnsi="华文楷体" w:hint="eastAsia"/>
          <w:sz w:val="24"/>
          <w:szCs w:val="24"/>
          <w:lang w:eastAsia="zh-CN"/>
        </w:rPr>
        <w:t>是</w:t>
      </w:r>
      <w:proofErr w:type="gramStart"/>
      <w:r w:rsidR="005C3F29" w:rsidRPr="005C3F29">
        <w:rPr>
          <w:rFonts w:ascii="华文楷体" w:hAnsi="华文楷体" w:hint="eastAsia"/>
          <w:sz w:val="24"/>
          <w:szCs w:val="24"/>
          <w:lang w:eastAsia="zh-CN"/>
        </w:rPr>
        <w:t>证金债品种</w:t>
      </w:r>
      <w:proofErr w:type="gramEnd"/>
      <w:r w:rsidR="005C3F29" w:rsidRPr="005C3F29">
        <w:rPr>
          <w:rFonts w:ascii="华文楷体" w:hAnsi="华文楷体" w:hint="eastAsia"/>
          <w:sz w:val="24"/>
          <w:szCs w:val="24"/>
          <w:lang w:eastAsia="zh-CN"/>
        </w:rPr>
        <w:t>近一月</w:t>
      </w:r>
      <w:r w:rsidR="00F4124A">
        <w:rPr>
          <w:rFonts w:ascii="华文楷体" w:hAnsi="华文楷体" w:hint="eastAsia"/>
          <w:sz w:val="24"/>
          <w:szCs w:val="24"/>
          <w:lang w:eastAsia="zh-CN"/>
        </w:rPr>
        <w:t>仍以小幅下行为主，上周保险和外资机构的积极参与带动中长期</w:t>
      </w:r>
      <w:proofErr w:type="gramStart"/>
      <w:r w:rsidR="00F4124A">
        <w:rPr>
          <w:rFonts w:ascii="华文楷体" w:hAnsi="华文楷体" w:hint="eastAsia"/>
          <w:sz w:val="24"/>
          <w:szCs w:val="24"/>
          <w:lang w:eastAsia="zh-CN"/>
        </w:rPr>
        <w:t>限品种</w:t>
      </w:r>
      <w:proofErr w:type="gramEnd"/>
      <w:r w:rsidR="005C3F29" w:rsidRPr="005C3F29">
        <w:rPr>
          <w:rFonts w:ascii="华文楷体" w:hAnsi="华文楷体" w:hint="eastAsia"/>
          <w:sz w:val="24"/>
          <w:szCs w:val="24"/>
          <w:lang w:eastAsia="zh-CN"/>
        </w:rPr>
        <w:t>出现适度下行，目前债市情绪整体相对平稳。</w:t>
      </w:r>
    </w:p>
    <w:p w14:paraId="2C3F4BD1" w14:textId="5EDED2E8" w:rsidR="003B3058" w:rsidRDefault="00C505BD" w:rsidP="00C505BD">
      <w:pPr>
        <w:pStyle w:val="Body-text"/>
        <w:spacing w:after="240"/>
        <w:ind w:firstLineChars="200" w:firstLine="480"/>
        <w:rPr>
          <w:rFonts w:ascii="华文楷体" w:hAnsi="华文楷体"/>
          <w:sz w:val="24"/>
          <w:szCs w:val="24"/>
          <w:lang w:eastAsia="zh-CN"/>
        </w:rPr>
      </w:pPr>
      <w:r w:rsidRPr="00C505BD">
        <w:rPr>
          <w:rFonts w:ascii="华文楷体" w:hAnsi="华文楷体" w:hint="eastAsia"/>
          <w:sz w:val="24"/>
          <w:szCs w:val="24"/>
          <w:lang w:eastAsia="zh-CN"/>
        </w:rPr>
        <w:t>信用</w:t>
      </w:r>
      <w:r>
        <w:rPr>
          <w:rFonts w:ascii="华文楷体" w:hAnsi="华文楷体" w:hint="eastAsia"/>
          <w:sz w:val="24"/>
          <w:szCs w:val="24"/>
          <w:lang w:eastAsia="zh-CN"/>
        </w:rPr>
        <w:t>债：</w:t>
      </w:r>
      <w:r w:rsidR="00AE1C6A">
        <w:rPr>
          <w:rFonts w:ascii="华文楷体" w:hAnsi="华文楷体" w:hint="eastAsia"/>
          <w:sz w:val="24"/>
          <w:szCs w:val="24"/>
          <w:lang w:eastAsia="zh-CN"/>
        </w:rPr>
        <w:t>信用</w:t>
      </w:r>
      <w:proofErr w:type="gramStart"/>
      <w:r w:rsidR="00AE1C6A">
        <w:rPr>
          <w:rFonts w:ascii="华文楷体" w:hAnsi="华文楷体" w:hint="eastAsia"/>
          <w:sz w:val="24"/>
          <w:szCs w:val="24"/>
          <w:lang w:eastAsia="zh-CN"/>
        </w:rPr>
        <w:t>债</w:t>
      </w:r>
      <w:r w:rsidR="005C3F29">
        <w:rPr>
          <w:rFonts w:ascii="华文楷体" w:hAnsi="华文楷体" w:hint="eastAsia"/>
          <w:sz w:val="24"/>
          <w:szCs w:val="24"/>
          <w:lang w:eastAsia="zh-CN"/>
        </w:rPr>
        <w:t>近期</w:t>
      </w:r>
      <w:proofErr w:type="gramEnd"/>
      <w:r w:rsidR="005C3F29">
        <w:rPr>
          <w:rFonts w:ascii="华文楷体" w:hAnsi="华文楷体" w:hint="eastAsia"/>
          <w:sz w:val="24"/>
          <w:szCs w:val="24"/>
          <w:lang w:eastAsia="zh-CN"/>
        </w:rPr>
        <w:t>调整幅度有限</w:t>
      </w:r>
      <w:r w:rsidR="00AE1C6A">
        <w:rPr>
          <w:rFonts w:ascii="华文楷体" w:hAnsi="华文楷体" w:hint="eastAsia"/>
          <w:sz w:val="24"/>
          <w:szCs w:val="24"/>
          <w:lang w:eastAsia="zh-CN"/>
        </w:rPr>
        <w:t>，</w:t>
      </w:r>
      <w:r w:rsidR="005C3F29">
        <w:rPr>
          <w:rFonts w:ascii="华文楷体" w:hAnsi="华文楷体" w:hint="eastAsia"/>
          <w:sz w:val="24"/>
          <w:szCs w:val="24"/>
          <w:lang w:eastAsia="zh-CN"/>
        </w:rPr>
        <w:t>城</w:t>
      </w:r>
      <w:proofErr w:type="gramStart"/>
      <w:r w:rsidR="005C3F29">
        <w:rPr>
          <w:rFonts w:ascii="华文楷体" w:hAnsi="华文楷体" w:hint="eastAsia"/>
          <w:sz w:val="24"/>
          <w:szCs w:val="24"/>
          <w:lang w:eastAsia="zh-CN"/>
        </w:rPr>
        <w:t>投债仍</w:t>
      </w:r>
      <w:proofErr w:type="gramEnd"/>
      <w:r w:rsidR="005C3F29">
        <w:rPr>
          <w:rFonts w:ascii="华文楷体" w:hAnsi="华文楷体" w:hint="eastAsia"/>
          <w:sz w:val="24"/>
          <w:szCs w:val="24"/>
          <w:lang w:eastAsia="zh-CN"/>
        </w:rPr>
        <w:t>处于历史较低分位数水平。</w:t>
      </w:r>
      <w:r w:rsidR="00AE1C6A">
        <w:rPr>
          <w:rFonts w:ascii="华文楷体" w:hAnsi="华文楷体" w:hint="eastAsia"/>
          <w:sz w:val="24"/>
          <w:szCs w:val="24"/>
          <w:lang w:eastAsia="zh-CN"/>
        </w:rPr>
        <w:t>当前信用</w:t>
      </w:r>
      <w:proofErr w:type="gramStart"/>
      <w:r w:rsidR="00AE1C6A">
        <w:rPr>
          <w:rFonts w:ascii="华文楷体" w:hAnsi="华文楷体" w:hint="eastAsia"/>
          <w:sz w:val="24"/>
          <w:szCs w:val="24"/>
          <w:lang w:eastAsia="zh-CN"/>
        </w:rPr>
        <w:t>债内部</w:t>
      </w:r>
      <w:proofErr w:type="gramEnd"/>
      <w:r w:rsidR="00AE1C6A">
        <w:rPr>
          <w:rFonts w:ascii="华文楷体" w:hAnsi="华文楷体" w:hint="eastAsia"/>
          <w:sz w:val="24"/>
          <w:szCs w:val="24"/>
          <w:lang w:eastAsia="zh-CN"/>
        </w:rPr>
        <w:t>信用分层、流动性分层的情况仍</w:t>
      </w:r>
      <w:r w:rsidR="005C3F29">
        <w:rPr>
          <w:rFonts w:ascii="华文楷体" w:hAnsi="华文楷体" w:hint="eastAsia"/>
          <w:sz w:val="24"/>
          <w:szCs w:val="24"/>
          <w:lang w:eastAsia="zh-CN"/>
        </w:rPr>
        <w:t>未明显改善</w:t>
      </w:r>
      <w:r w:rsidR="00AE1C6A">
        <w:rPr>
          <w:rFonts w:ascii="华文楷体" w:hAnsi="华文楷体" w:hint="eastAsia"/>
          <w:sz w:val="24"/>
          <w:szCs w:val="24"/>
          <w:lang w:eastAsia="zh-CN"/>
        </w:rPr>
        <w:t>，</w:t>
      </w:r>
      <w:r w:rsidR="005C3F29">
        <w:rPr>
          <w:rFonts w:ascii="华文楷体" w:hAnsi="华文楷体" w:hint="eastAsia"/>
          <w:sz w:val="24"/>
          <w:szCs w:val="24"/>
          <w:lang w:eastAsia="zh-CN"/>
        </w:rPr>
        <w:t>持续</w:t>
      </w:r>
      <w:r w:rsidR="00AE1C6A">
        <w:rPr>
          <w:rFonts w:ascii="华文楷体" w:hAnsi="华文楷体" w:hint="eastAsia"/>
          <w:sz w:val="24"/>
          <w:szCs w:val="24"/>
          <w:lang w:eastAsia="zh-CN"/>
        </w:rPr>
        <w:t>关注边际资质主体信用风险和流动性风险</w:t>
      </w:r>
      <w:r w:rsidR="00DE343B">
        <w:rPr>
          <w:rFonts w:ascii="华文楷体" w:hAnsi="华文楷体" w:hint="eastAsia"/>
          <w:sz w:val="24"/>
          <w:szCs w:val="24"/>
          <w:lang w:eastAsia="zh-CN"/>
        </w:rPr>
        <w:t>。</w:t>
      </w:r>
    </w:p>
    <w:p w14:paraId="4C893BAE" w14:textId="5C1F7506" w:rsidR="00983C71" w:rsidRDefault="00C505BD" w:rsidP="00491B29">
      <w:pPr>
        <w:pStyle w:val="Body-text"/>
        <w:spacing w:after="240"/>
        <w:ind w:firstLineChars="200" w:firstLine="480"/>
        <w:rPr>
          <w:rFonts w:ascii="华文楷体" w:hAnsi="华文楷体"/>
          <w:sz w:val="24"/>
          <w:szCs w:val="24"/>
          <w:lang w:eastAsia="zh-CN"/>
        </w:rPr>
      </w:pPr>
      <w:r>
        <w:rPr>
          <w:rFonts w:ascii="华文楷体" w:hAnsi="华文楷体" w:hint="eastAsia"/>
          <w:sz w:val="24"/>
          <w:szCs w:val="24"/>
          <w:lang w:eastAsia="zh-CN"/>
        </w:rPr>
        <w:t>可转债：</w:t>
      </w:r>
      <w:r w:rsidR="005C3F29" w:rsidRPr="005C3F29">
        <w:rPr>
          <w:rFonts w:ascii="华文楷体" w:hAnsi="华文楷体" w:hint="eastAsia"/>
          <w:sz w:val="24"/>
          <w:szCs w:val="24"/>
          <w:lang w:eastAsia="zh-CN"/>
        </w:rPr>
        <w:t>A股市</w:t>
      </w:r>
      <w:proofErr w:type="gramStart"/>
      <w:r w:rsidR="005C3F29" w:rsidRPr="005C3F29">
        <w:rPr>
          <w:rFonts w:ascii="华文楷体" w:hAnsi="华文楷体" w:hint="eastAsia"/>
          <w:sz w:val="24"/>
          <w:szCs w:val="24"/>
          <w:lang w:eastAsia="zh-CN"/>
        </w:rPr>
        <w:t>场持续</w:t>
      </w:r>
      <w:proofErr w:type="gramEnd"/>
      <w:r w:rsidR="005C3F29" w:rsidRPr="005C3F29">
        <w:rPr>
          <w:rFonts w:ascii="华文楷体" w:hAnsi="华文楷体" w:hint="eastAsia"/>
          <w:sz w:val="24"/>
          <w:szCs w:val="24"/>
          <w:lang w:eastAsia="zh-CN"/>
        </w:rPr>
        <w:t>下行，成交量明显萎缩，转债表现相对略好，但上涨幅度进一步收敛，受正股情绪影响明显，关注</w:t>
      </w:r>
      <w:proofErr w:type="gramStart"/>
      <w:r w:rsidR="005C3F29" w:rsidRPr="005C3F29">
        <w:rPr>
          <w:rFonts w:ascii="华文楷体" w:hAnsi="华文楷体" w:hint="eastAsia"/>
          <w:sz w:val="24"/>
          <w:szCs w:val="24"/>
          <w:lang w:eastAsia="zh-CN"/>
        </w:rPr>
        <w:t>债底保护</w:t>
      </w:r>
      <w:proofErr w:type="gramEnd"/>
      <w:r w:rsidR="005C3F29" w:rsidRPr="005C3F29">
        <w:rPr>
          <w:rFonts w:ascii="华文楷体" w:hAnsi="华文楷体" w:hint="eastAsia"/>
          <w:sz w:val="24"/>
          <w:szCs w:val="24"/>
          <w:lang w:eastAsia="zh-CN"/>
        </w:rPr>
        <w:t>较强的中、低平价</w:t>
      </w:r>
      <w:proofErr w:type="gramStart"/>
      <w:r w:rsidR="005C3F29" w:rsidRPr="005C3F29">
        <w:rPr>
          <w:rFonts w:ascii="华文楷体" w:hAnsi="华文楷体" w:hint="eastAsia"/>
          <w:sz w:val="24"/>
          <w:szCs w:val="24"/>
          <w:lang w:eastAsia="zh-CN"/>
        </w:rPr>
        <w:t>券</w:t>
      </w:r>
      <w:proofErr w:type="gramEnd"/>
      <w:r w:rsidR="005C3F29" w:rsidRPr="005C3F29">
        <w:rPr>
          <w:rFonts w:ascii="华文楷体" w:hAnsi="华文楷体" w:hint="eastAsia"/>
          <w:sz w:val="24"/>
          <w:szCs w:val="24"/>
          <w:lang w:eastAsia="zh-CN"/>
        </w:rPr>
        <w:t>。转债市场估值水平稳定，关注正股业绩好、成</w:t>
      </w:r>
      <w:proofErr w:type="gramStart"/>
      <w:r w:rsidR="005C3F29" w:rsidRPr="005C3F29">
        <w:rPr>
          <w:rFonts w:ascii="华文楷体" w:hAnsi="华文楷体" w:hint="eastAsia"/>
          <w:sz w:val="24"/>
          <w:szCs w:val="24"/>
          <w:lang w:eastAsia="zh-CN"/>
        </w:rPr>
        <w:t>长性强转债</w:t>
      </w:r>
      <w:proofErr w:type="gramEnd"/>
      <w:r w:rsidR="005C3F29" w:rsidRPr="005C3F29">
        <w:rPr>
          <w:rFonts w:ascii="华文楷体" w:hAnsi="华文楷体" w:hint="eastAsia"/>
          <w:sz w:val="24"/>
          <w:szCs w:val="24"/>
          <w:lang w:eastAsia="zh-CN"/>
        </w:rPr>
        <w:t>。</w:t>
      </w:r>
      <w:r w:rsidR="00AE1C6A">
        <w:rPr>
          <w:rFonts w:ascii="华文楷体" w:hAnsi="华文楷体" w:hint="eastAsia"/>
          <w:sz w:val="24"/>
          <w:szCs w:val="24"/>
          <w:lang w:eastAsia="zh-CN"/>
        </w:rPr>
        <w:t>。</w:t>
      </w: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77CEE22B" w14:textId="77777777" w:rsidTr="00691BC8">
        <w:trPr>
          <w:jc w:val="center"/>
        </w:trPr>
        <w:tc>
          <w:tcPr>
            <w:tcW w:w="4939" w:type="dxa"/>
            <w:vAlign w:val="center"/>
          </w:tcPr>
          <w:p w14:paraId="50E52AA0" w14:textId="598400C9" w:rsidR="001D35B3" w:rsidRPr="006A5F34" w:rsidRDefault="001D35B3" w:rsidP="00DE343B">
            <w:pPr>
              <w:pStyle w:val="ChartHeading"/>
              <w:jc w:val="both"/>
            </w:pPr>
            <w:r w:rsidRPr="006A5F34">
              <w:rPr>
                <w:rFonts w:hint="eastAsia"/>
              </w:rPr>
              <w:t>图表</w:t>
            </w:r>
            <w:r w:rsidRPr="006A5F34">
              <w:t>.</w:t>
            </w:r>
            <w:r w:rsidR="00FF26B0">
              <w:rPr>
                <w:rFonts w:hint="eastAsia"/>
              </w:rPr>
              <w:t xml:space="preserve"> </w:t>
            </w:r>
            <w:r w:rsidR="00FF26B0">
              <w:rPr>
                <w:rFonts w:hint="eastAsia"/>
              </w:rPr>
              <w:t>南华工业品指数</w:t>
            </w:r>
            <w:r w:rsidR="00AE1C6A">
              <w:rPr>
                <w:rFonts w:hint="eastAsia"/>
              </w:rPr>
              <w:t>持续</w:t>
            </w:r>
            <w:r w:rsidR="00DE343B">
              <w:rPr>
                <w:rFonts w:hint="eastAsia"/>
              </w:rPr>
              <w:t>回调</w:t>
            </w:r>
          </w:p>
        </w:tc>
        <w:tc>
          <w:tcPr>
            <w:tcW w:w="4938" w:type="dxa"/>
            <w:vAlign w:val="center"/>
          </w:tcPr>
          <w:p w14:paraId="02A10F26" w14:textId="3C9BEA81" w:rsidR="001D35B3" w:rsidRPr="006A5F34" w:rsidRDefault="001D35B3" w:rsidP="008656C4">
            <w:pPr>
              <w:pStyle w:val="ChartHeading"/>
              <w:jc w:val="both"/>
            </w:pPr>
            <w:r w:rsidRPr="006A5F34">
              <w:rPr>
                <w:rFonts w:hint="eastAsia"/>
              </w:rPr>
              <w:t>图表</w:t>
            </w:r>
            <w:r w:rsidRPr="006A5F34">
              <w:t xml:space="preserve">. </w:t>
            </w:r>
            <w:r w:rsidR="0063192C">
              <w:rPr>
                <w:rFonts w:hint="eastAsia"/>
              </w:rPr>
              <w:t>水泥价格</w:t>
            </w:r>
            <w:r w:rsidR="0071175B">
              <w:rPr>
                <w:rFonts w:hint="eastAsia"/>
              </w:rPr>
              <w:t>下行</w:t>
            </w:r>
            <w:r w:rsidR="00AE1C6A">
              <w:rPr>
                <w:rFonts w:hint="eastAsia"/>
              </w:rPr>
              <w:t>幅度收敛</w:t>
            </w:r>
          </w:p>
        </w:tc>
      </w:tr>
      <w:tr w:rsidR="001D35B3" w:rsidRPr="006A5F34" w14:paraId="205667F1" w14:textId="77777777" w:rsidTr="005C3F29">
        <w:tblPrEx>
          <w:tblCellMar>
            <w:left w:w="108" w:type="dxa"/>
            <w:right w:w="108" w:type="dxa"/>
          </w:tblCellMar>
        </w:tblPrEx>
        <w:trPr>
          <w:jc w:val="center"/>
        </w:trPr>
        <w:tc>
          <w:tcPr>
            <w:tcW w:w="4939" w:type="dxa"/>
            <w:vAlign w:val="center"/>
          </w:tcPr>
          <w:p w14:paraId="56C782C2" w14:textId="6A618F86" w:rsidR="001D35B3" w:rsidRPr="007E0340" w:rsidRDefault="005C3F29" w:rsidP="009A2BA0">
            <w:pPr>
              <w:jc w:val="center"/>
              <w:rPr>
                <w:noProof/>
              </w:rPr>
            </w:pPr>
            <w:r>
              <w:rPr>
                <w:noProof/>
              </w:rPr>
              <w:drawing>
                <wp:inline distT="0" distB="0" distL="0" distR="0" wp14:anchorId="3BCBE890" wp14:editId="201831D1">
                  <wp:extent cx="2999105" cy="1949588"/>
                  <wp:effectExtent l="0" t="0" r="0" b="0"/>
                  <wp:docPr id="16" name="图表 16">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0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tc>
        <w:tc>
          <w:tcPr>
            <w:tcW w:w="4938" w:type="dxa"/>
            <w:vAlign w:val="center"/>
          </w:tcPr>
          <w:p w14:paraId="3EF0360D" w14:textId="261BAF21" w:rsidR="001D35B3" w:rsidRPr="007E0340" w:rsidRDefault="005C3F29" w:rsidP="009A2BA0">
            <w:pPr>
              <w:jc w:val="center"/>
              <w:rPr>
                <w:noProof/>
                <w:szCs w:val="18"/>
              </w:rPr>
            </w:pPr>
            <w:r>
              <w:rPr>
                <w:noProof/>
              </w:rPr>
              <w:drawing>
                <wp:inline distT="0" distB="0" distL="0" distR="0" wp14:anchorId="0F1A589D" wp14:editId="0DC45AD8">
                  <wp:extent cx="2998470" cy="1967672"/>
                  <wp:effectExtent l="0" t="0" r="0" b="0"/>
                  <wp:docPr id="17" name="图表 17">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0B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tc>
      </w:tr>
      <w:tr w:rsidR="001D35B3" w:rsidRPr="006A5F34" w14:paraId="1C5ED951" w14:textId="77777777" w:rsidTr="00691BC8">
        <w:trPr>
          <w:trHeight w:val="64"/>
          <w:jc w:val="center"/>
        </w:trPr>
        <w:tc>
          <w:tcPr>
            <w:tcW w:w="4939" w:type="dxa"/>
            <w:vAlign w:val="center"/>
          </w:tcPr>
          <w:p w14:paraId="2DDE4C8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442A0DC3"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43F047F4" w14:textId="77777777" w:rsidR="001D35B3" w:rsidRDefault="001D35B3" w:rsidP="009A2BA0">
      <w:pPr>
        <w:pStyle w:val="Body-text"/>
        <w:spacing w:after="0"/>
        <w:rPr>
          <w:lang w:eastAsia="zh-CN"/>
        </w:rPr>
      </w:pPr>
    </w:p>
    <w:tbl>
      <w:tblPr>
        <w:tblW w:w="9877" w:type="dxa"/>
        <w:jc w:val="center"/>
        <w:tblLayout w:type="fixed"/>
        <w:tblCellMar>
          <w:left w:w="0" w:type="dxa"/>
          <w:right w:w="0" w:type="dxa"/>
        </w:tblCellMar>
        <w:tblLook w:val="01E0" w:firstRow="1" w:lastRow="1" w:firstColumn="1" w:lastColumn="1" w:noHBand="0" w:noVBand="0"/>
      </w:tblPr>
      <w:tblGrid>
        <w:gridCol w:w="4939"/>
        <w:gridCol w:w="4938"/>
      </w:tblGrid>
      <w:tr w:rsidR="001D35B3" w:rsidRPr="006A5F34" w14:paraId="3D734F0A" w14:textId="77777777" w:rsidTr="00691BC8">
        <w:trPr>
          <w:jc w:val="center"/>
        </w:trPr>
        <w:tc>
          <w:tcPr>
            <w:tcW w:w="4939" w:type="dxa"/>
            <w:vAlign w:val="center"/>
          </w:tcPr>
          <w:p w14:paraId="7405388D" w14:textId="7AE7FF1C" w:rsidR="001D35B3" w:rsidRPr="006A5F34" w:rsidRDefault="001D35B3" w:rsidP="000A4783">
            <w:pPr>
              <w:pStyle w:val="ChartHeading"/>
              <w:jc w:val="both"/>
            </w:pPr>
            <w:r w:rsidRPr="006A5F34">
              <w:rPr>
                <w:rFonts w:hint="eastAsia"/>
              </w:rPr>
              <w:t>图表</w:t>
            </w:r>
            <w:r w:rsidRPr="006A5F34">
              <w:t>.</w:t>
            </w:r>
            <w:r>
              <w:t xml:space="preserve"> </w:t>
            </w:r>
            <w:r w:rsidR="00FF26B0">
              <w:rPr>
                <w:rFonts w:hint="eastAsia"/>
              </w:rPr>
              <w:t>人民币汇率</w:t>
            </w:r>
            <w:r w:rsidR="00AE1C6A">
              <w:rPr>
                <w:rFonts w:hint="eastAsia"/>
              </w:rPr>
              <w:t>持续</w:t>
            </w:r>
            <w:r w:rsidR="00DE343B">
              <w:rPr>
                <w:rFonts w:hint="eastAsia"/>
              </w:rPr>
              <w:t>回升</w:t>
            </w:r>
          </w:p>
        </w:tc>
        <w:tc>
          <w:tcPr>
            <w:tcW w:w="4938" w:type="dxa"/>
            <w:vAlign w:val="center"/>
          </w:tcPr>
          <w:p w14:paraId="07575C0F" w14:textId="1F52F3D5" w:rsidR="001D35B3" w:rsidRPr="006A5F34" w:rsidRDefault="001D35B3" w:rsidP="00CE0946">
            <w:pPr>
              <w:pStyle w:val="ChartHeading"/>
              <w:jc w:val="both"/>
            </w:pPr>
            <w:r w:rsidRPr="006A5F34">
              <w:rPr>
                <w:rFonts w:hint="eastAsia"/>
              </w:rPr>
              <w:t>图表</w:t>
            </w:r>
            <w:r w:rsidRPr="006A5F34">
              <w:t xml:space="preserve">. </w:t>
            </w:r>
            <w:r w:rsidR="00CE0946">
              <w:rPr>
                <w:rFonts w:hint="eastAsia"/>
              </w:rPr>
              <w:t>猪肉价格</w:t>
            </w:r>
            <w:r w:rsidR="00DE343B">
              <w:rPr>
                <w:rFonts w:hint="eastAsia"/>
              </w:rPr>
              <w:t>持续</w:t>
            </w:r>
            <w:r w:rsidR="003300DB">
              <w:rPr>
                <w:rFonts w:hint="eastAsia"/>
              </w:rPr>
              <w:t>回落</w:t>
            </w:r>
          </w:p>
        </w:tc>
      </w:tr>
      <w:tr w:rsidR="001D35B3" w:rsidRPr="006A5F34" w14:paraId="49BBD33E" w14:textId="77777777" w:rsidTr="005C3F29">
        <w:tblPrEx>
          <w:tblCellMar>
            <w:left w:w="108" w:type="dxa"/>
            <w:right w:w="108" w:type="dxa"/>
          </w:tblCellMar>
        </w:tblPrEx>
        <w:trPr>
          <w:trHeight w:val="2987"/>
          <w:jc w:val="center"/>
        </w:trPr>
        <w:tc>
          <w:tcPr>
            <w:tcW w:w="4939" w:type="dxa"/>
            <w:vAlign w:val="center"/>
          </w:tcPr>
          <w:p w14:paraId="0BAC1731" w14:textId="7D9992E2" w:rsidR="001D35B3" w:rsidRPr="007E0340" w:rsidRDefault="005C3F29" w:rsidP="009A2BA0">
            <w:pPr>
              <w:jc w:val="center"/>
              <w:rPr>
                <w:noProof/>
              </w:rPr>
            </w:pPr>
            <w:r>
              <w:rPr>
                <w:noProof/>
              </w:rPr>
              <w:drawing>
                <wp:inline distT="0" distB="0" distL="0" distR="0" wp14:anchorId="07A4E05E" wp14:editId="624316EF">
                  <wp:extent cx="2999105" cy="1948815"/>
                  <wp:effectExtent l="0" t="0" r="10795" b="0"/>
                  <wp:docPr id="18" name="图表 18">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800-000002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tc>
        <w:tc>
          <w:tcPr>
            <w:tcW w:w="4938" w:type="dxa"/>
            <w:vAlign w:val="center"/>
          </w:tcPr>
          <w:p w14:paraId="64025D22" w14:textId="0B70D37C" w:rsidR="001D35B3" w:rsidRPr="007E0340" w:rsidRDefault="005C3F29" w:rsidP="009A2BA0">
            <w:pPr>
              <w:jc w:val="center"/>
              <w:rPr>
                <w:noProof/>
                <w:szCs w:val="18"/>
              </w:rPr>
            </w:pPr>
            <w:r>
              <w:rPr>
                <w:noProof/>
              </w:rPr>
              <w:drawing>
                <wp:inline distT="0" distB="0" distL="0" distR="0" wp14:anchorId="026DEF87" wp14:editId="45C494F9">
                  <wp:extent cx="2998470" cy="1920129"/>
                  <wp:effectExtent l="0" t="0" r="0" b="4445"/>
                  <wp:docPr id="19" name="图表 19">
                    <a:extLst xmlns:a="http://schemas.openxmlformats.org/drawingml/2006/main">
                      <a:ext uri="{FF2B5EF4-FFF2-40B4-BE49-F238E27FC236}">
                        <a16:creationId xmlns:a16="http://schemas.microsoft.com/office/drawing/2014/main" xmlns:w16se="http://schemas.microsoft.com/office/word/2015/wordml/symex" xmlns:w16="http://schemas.microsoft.com/office/word/2018/wordml" xmlns:w16cid="http://schemas.microsoft.com/office/word/2016/wordml/cid" xmlns:w16cex="http://schemas.microsoft.com/office/word/2018/wordml/cex" xmlns:w15="http://schemas.microsoft.com/office/word/2012/wordml" xmlns:w="http://schemas.openxmlformats.org/wordprocessingml/2006/main" xmlns:w10="urn:schemas-microsoft-com:office:word" xmlns:v="urn:schemas-microsoft-com:vml"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id="{00000000-0008-0000-1400-00000300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tc>
      </w:tr>
      <w:tr w:rsidR="001D35B3" w:rsidRPr="006A5F34" w14:paraId="2929BCA6" w14:textId="77777777" w:rsidTr="00691BC8">
        <w:trPr>
          <w:trHeight w:val="64"/>
          <w:jc w:val="center"/>
        </w:trPr>
        <w:tc>
          <w:tcPr>
            <w:tcW w:w="4939" w:type="dxa"/>
            <w:vAlign w:val="center"/>
          </w:tcPr>
          <w:p w14:paraId="45A3CEF6"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c>
          <w:tcPr>
            <w:tcW w:w="4938" w:type="dxa"/>
            <w:vAlign w:val="center"/>
          </w:tcPr>
          <w:p w14:paraId="38477A40" w14:textId="77777777" w:rsidR="001D35B3" w:rsidRPr="006A5F34" w:rsidRDefault="001D35B3" w:rsidP="009A2BA0">
            <w:pPr>
              <w:pStyle w:val="Source"/>
              <w:jc w:val="both"/>
              <w:rPr>
                <w:kern w:val="0"/>
              </w:rPr>
            </w:pPr>
            <w:r w:rsidRPr="006A5F34">
              <w:rPr>
                <w:rFonts w:hint="eastAsia"/>
                <w:kern w:val="0"/>
              </w:rPr>
              <w:t>资料来源：万得</w:t>
            </w:r>
            <w:r>
              <w:rPr>
                <w:rFonts w:hint="eastAsia"/>
                <w:kern w:val="0"/>
              </w:rPr>
              <w:t>，富</w:t>
            </w:r>
            <w:proofErr w:type="gramStart"/>
            <w:r>
              <w:rPr>
                <w:rFonts w:hint="eastAsia"/>
                <w:kern w:val="0"/>
              </w:rPr>
              <w:t>荣基金</w:t>
            </w:r>
            <w:proofErr w:type="gramEnd"/>
          </w:p>
        </w:tc>
      </w:tr>
    </w:tbl>
    <w:p w14:paraId="2243C4C4" w14:textId="63198F1D" w:rsidR="00594303" w:rsidRDefault="00594303" w:rsidP="009A2BA0">
      <w:pPr>
        <w:pStyle w:val="Body-text"/>
        <w:spacing w:after="0"/>
        <w:rPr>
          <w:rFonts w:ascii="华文楷体" w:hAnsi="华文楷体"/>
          <w:sz w:val="24"/>
          <w:szCs w:val="24"/>
          <w:lang w:eastAsia="zh-CN"/>
        </w:rPr>
      </w:pPr>
    </w:p>
    <w:p w14:paraId="1EF1A1F1" w14:textId="57346CAF" w:rsidR="0028459A" w:rsidRPr="001A1299" w:rsidRDefault="00594303" w:rsidP="00775FDF">
      <w:pPr>
        <w:widowControl/>
        <w:jc w:val="left"/>
        <w:rPr>
          <w:rFonts w:ascii="华文楷体" w:hAnsi="华文楷体"/>
          <w:sz w:val="24"/>
          <w:szCs w:val="24"/>
        </w:rPr>
      </w:pPr>
      <w:r>
        <w:rPr>
          <w:rFonts w:ascii="华文楷体" w:hAnsi="华文楷体"/>
          <w:sz w:val="24"/>
          <w:szCs w:val="24"/>
        </w:rPr>
        <w:br w:type="page"/>
      </w:r>
      <w:r w:rsidR="00775FDF" w:rsidRPr="00B6360C">
        <w:rPr>
          <w:rFonts w:ascii="楷体" w:eastAsia="楷体" w:hAnsi="楷体" w:hint="eastAsia"/>
        </w:rPr>
        <w:lastRenderedPageBreak/>
        <w:t>风险提示：1、本报告中的信息均来源于我们认为可靠的已公开资料和合作客户的研究成果，但本公司及研究人员对这些信息的准确性和完整性不作任何保证，也不保证本报告所包含的信息或建议在本报告发出后不会发生任何变更，且本报告仅反映发布时的资料、观点和预测，可能在随后会</w:t>
      </w:r>
      <w:proofErr w:type="gramStart"/>
      <w:r w:rsidR="00775FDF" w:rsidRPr="00B6360C">
        <w:rPr>
          <w:rFonts w:ascii="楷体" w:eastAsia="楷体" w:hAnsi="楷体" w:hint="eastAsia"/>
        </w:rPr>
        <w:t>作出</w:t>
      </w:r>
      <w:proofErr w:type="gramEnd"/>
      <w:r w:rsidR="00775FDF" w:rsidRPr="00B6360C">
        <w:rPr>
          <w:rFonts w:ascii="楷体" w:eastAsia="楷体" w:hAnsi="楷体" w:hint="eastAsia"/>
        </w:rPr>
        <w:t>调整。2、本报告中的资料、观点和预测等仅供参考，在任何时候均不构成对任何人的个人推荐。市场有风险，投资需谨慎。</w:t>
      </w:r>
    </w:p>
    <w:p w14:paraId="36DE518D" w14:textId="77777777" w:rsidR="001170AF" w:rsidRPr="001A1299" w:rsidRDefault="001170AF" w:rsidP="009A2BA0">
      <w:pPr>
        <w:pStyle w:val="Body-text"/>
        <w:ind w:firstLineChars="200" w:firstLine="480"/>
        <w:rPr>
          <w:rFonts w:ascii="华文楷体" w:hAnsi="华文楷体"/>
          <w:sz w:val="24"/>
          <w:szCs w:val="24"/>
          <w:lang w:eastAsia="zh-CN"/>
        </w:rPr>
      </w:pPr>
    </w:p>
    <w:sectPr w:rsidR="001170AF" w:rsidRPr="001A1299" w:rsidSect="00AB78C4">
      <w:headerReference w:type="default" r:id="rId21"/>
      <w:footerReference w:type="default" r:id="rId22"/>
      <w:pgSz w:w="11906" w:h="16838"/>
      <w:pgMar w:top="1134" w:right="1021" w:bottom="1134" w:left="1021" w:header="284" w:footer="567" w:gutter="0"/>
      <w:cols w:space="72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BA31E62" w14:textId="77777777" w:rsidR="00E449A2" w:rsidRDefault="00E449A2">
      <w:r>
        <w:separator/>
      </w:r>
    </w:p>
  </w:endnote>
  <w:endnote w:type="continuationSeparator" w:id="0">
    <w:p w14:paraId="629DAF4F" w14:textId="77777777" w:rsidR="00E449A2" w:rsidRDefault="00E449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华文楷体">
    <w:panose1 w:val="02010600040101010101"/>
    <w:charset w:val="86"/>
    <w:family w:val="auto"/>
    <w:pitch w:val="variable"/>
    <w:sig w:usb0="00000287" w:usb1="080F0000" w:usb2="00000010" w:usb3="00000000" w:csb0="0004009F" w:csb1="00000000"/>
  </w:font>
  <w:font w:name="Arial Bold">
    <w:altName w:val="Arial"/>
    <w:panose1 w:val="020B07040202020202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等线">
    <w:altName w:val="Arial Unicode MS"/>
    <w:charset w:val="86"/>
    <w:family w:val="auto"/>
    <w:pitch w:val="variable"/>
    <w:sig w:usb0="00000000" w:usb1="38CF7CFA" w:usb2="00000016" w:usb3="00000000" w:csb0="0004000F" w:csb1="00000000"/>
  </w:font>
  <w:font w:name="Helvetica">
    <w:panose1 w:val="020B0604020202020204"/>
    <w:charset w:val="00"/>
    <w:family w:val="swiss"/>
    <w:notTrueType/>
    <w:pitch w:val="variable"/>
    <w:sig w:usb0="00000003" w:usb1="00000000" w:usb2="00000000" w:usb3="00000000" w:csb0="00000001" w:csb1="00000000"/>
  </w:font>
  <w:font w:name="等线 Light">
    <w:altName w:val="Arial Unicode MS"/>
    <w:charset w:val="86"/>
    <w:family w:val="auto"/>
    <w:pitch w:val="variable"/>
    <w:sig w:usb0="00000000"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031792377"/>
      <w:docPartObj>
        <w:docPartGallery w:val="Page Numbers (Bottom of Page)"/>
        <w:docPartUnique/>
      </w:docPartObj>
    </w:sdtPr>
    <w:sdtEndPr/>
    <w:sdtContent>
      <w:p w14:paraId="618D4EFE" w14:textId="1FB9B16E" w:rsidR="0047533E" w:rsidRDefault="0047533E">
        <w:pPr>
          <w:pStyle w:val="a4"/>
          <w:jc w:val="right"/>
        </w:pPr>
        <w:r>
          <w:fldChar w:fldCharType="begin"/>
        </w:r>
        <w:r>
          <w:instrText>PAGE   \* MERGEFORMAT</w:instrText>
        </w:r>
        <w:r>
          <w:fldChar w:fldCharType="separate"/>
        </w:r>
        <w:r w:rsidR="00775FDF" w:rsidRPr="00775FDF">
          <w:rPr>
            <w:noProof/>
            <w:lang w:val="zh-CN"/>
          </w:rPr>
          <w:t>1</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642BFB9" w14:textId="77777777" w:rsidR="00E449A2" w:rsidRDefault="00E449A2">
      <w:r>
        <w:separator/>
      </w:r>
    </w:p>
  </w:footnote>
  <w:footnote w:type="continuationSeparator" w:id="0">
    <w:p w14:paraId="3BF8965C" w14:textId="77777777" w:rsidR="00E449A2" w:rsidRDefault="00E449A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C18A414" w14:textId="77777777" w:rsidR="0047533E" w:rsidRDefault="0047533E" w:rsidP="00D41DC0">
    <w:pPr>
      <w:pStyle w:val="a3"/>
      <w:jc w:val="left"/>
    </w:pPr>
    <w:r w:rsidRPr="0021237F">
      <w:rPr>
        <w:noProof/>
      </w:rPr>
      <w:drawing>
        <wp:inline distT="0" distB="0" distL="0" distR="0" wp14:anchorId="02750462" wp14:editId="5E35E516">
          <wp:extent cx="612140" cy="532765"/>
          <wp:effectExtent l="0" t="0" r="0" b="0"/>
          <wp:docPr id="5" name="图片 5" descr="说明: 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说明: Logo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2140" cy="53276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hybridMultilevel"/>
    <w:tmpl w:val="1FCE7A2A"/>
    <w:lvl w:ilvl="0" w:tplc="5F6C0C8E">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
    <w:nsid w:val="00000002"/>
    <w:multiLevelType w:val="hybridMultilevel"/>
    <w:tmpl w:val="C1068BC0"/>
    <w:lvl w:ilvl="0" w:tplc="0409000B">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start w:val="1"/>
      <w:numFmt w:val="bullet"/>
      <w:lvlText w:val=""/>
      <w:lvlJc w:val="left"/>
      <w:pPr>
        <w:ind w:left="1260" w:hanging="420"/>
      </w:pPr>
      <w:rPr>
        <w:rFonts w:ascii="Wingdings" w:hAnsi="Wingdings" w:hint="default"/>
      </w:rPr>
    </w:lvl>
    <w:lvl w:ilvl="3" w:tplc="04090001">
      <w:start w:val="1"/>
      <w:numFmt w:val="bullet"/>
      <w:lvlText w:val=""/>
      <w:lvlJc w:val="left"/>
      <w:pPr>
        <w:ind w:left="1680" w:hanging="420"/>
      </w:pPr>
      <w:rPr>
        <w:rFonts w:ascii="Wingdings" w:hAnsi="Wingdings" w:hint="default"/>
      </w:rPr>
    </w:lvl>
    <w:lvl w:ilvl="4" w:tplc="04090003">
      <w:start w:val="1"/>
      <w:numFmt w:val="bullet"/>
      <w:lvlText w:val=""/>
      <w:lvlJc w:val="left"/>
      <w:pPr>
        <w:ind w:left="2100" w:hanging="420"/>
      </w:pPr>
      <w:rPr>
        <w:rFonts w:ascii="Wingdings" w:hAnsi="Wingdings" w:hint="default"/>
      </w:rPr>
    </w:lvl>
    <w:lvl w:ilvl="5" w:tplc="04090005">
      <w:start w:val="1"/>
      <w:numFmt w:val="bullet"/>
      <w:lvlText w:val=""/>
      <w:lvlJc w:val="left"/>
      <w:pPr>
        <w:ind w:left="2520" w:hanging="420"/>
      </w:pPr>
      <w:rPr>
        <w:rFonts w:ascii="Wingdings" w:hAnsi="Wingdings" w:hint="default"/>
      </w:rPr>
    </w:lvl>
    <w:lvl w:ilvl="6" w:tplc="04090001">
      <w:start w:val="1"/>
      <w:numFmt w:val="bullet"/>
      <w:lvlText w:val=""/>
      <w:lvlJc w:val="left"/>
      <w:pPr>
        <w:ind w:left="2940" w:hanging="420"/>
      </w:pPr>
      <w:rPr>
        <w:rFonts w:ascii="Wingdings" w:hAnsi="Wingdings" w:hint="default"/>
      </w:rPr>
    </w:lvl>
    <w:lvl w:ilvl="7" w:tplc="04090003">
      <w:start w:val="1"/>
      <w:numFmt w:val="bullet"/>
      <w:lvlText w:val=""/>
      <w:lvlJc w:val="left"/>
      <w:pPr>
        <w:ind w:left="3360" w:hanging="420"/>
      </w:pPr>
      <w:rPr>
        <w:rFonts w:ascii="Wingdings" w:hAnsi="Wingdings" w:hint="default"/>
      </w:rPr>
    </w:lvl>
    <w:lvl w:ilvl="8" w:tplc="04090005">
      <w:start w:val="1"/>
      <w:numFmt w:val="bullet"/>
      <w:lvlText w:val=""/>
      <w:lvlJc w:val="left"/>
      <w:pPr>
        <w:ind w:left="3780" w:hanging="420"/>
      </w:pPr>
      <w:rPr>
        <w:rFonts w:ascii="Wingdings" w:hAnsi="Wingdings" w:hint="default"/>
      </w:rPr>
    </w:lvl>
  </w:abstractNum>
  <w:abstractNum w:abstractNumId="2">
    <w:nsid w:val="00000003"/>
    <w:multiLevelType w:val="hybridMultilevel"/>
    <w:tmpl w:val="43AC892A"/>
    <w:lvl w:ilvl="0" w:tplc="2E54A812">
      <w:start w:val="1"/>
      <w:numFmt w:val="decimal"/>
      <w:lvlText w:val="%1、"/>
      <w:lvlJc w:val="left"/>
      <w:pPr>
        <w:ind w:left="720" w:hanging="72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3">
    <w:nsid w:val="00000004"/>
    <w:multiLevelType w:val="hybridMultilevel"/>
    <w:tmpl w:val="DAC677F4"/>
    <w:lvl w:ilvl="0" w:tplc="07A22A9A">
      <w:start w:val="1"/>
      <w:numFmt w:val="decimal"/>
      <w:lvlText w:val="%1）"/>
      <w:lvlJc w:val="left"/>
      <w:pPr>
        <w:ind w:left="360" w:hanging="36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4">
    <w:nsid w:val="00000005"/>
    <w:multiLevelType w:val="hybridMultilevel"/>
    <w:tmpl w:val="63566E36"/>
    <w:lvl w:ilvl="0" w:tplc="98126DDC">
      <w:start w:val="1"/>
      <w:numFmt w:val="bullet"/>
      <w:lvlText w:val=""/>
      <w:lvlJc w:val="left"/>
      <w:pPr>
        <w:tabs>
          <w:tab w:val="num" w:pos="720"/>
        </w:tabs>
        <w:ind w:left="720" w:hanging="360"/>
      </w:pPr>
      <w:rPr>
        <w:rFonts w:ascii="Wingdings" w:hAnsi="Wingdings" w:hint="default"/>
      </w:rPr>
    </w:lvl>
    <w:lvl w:ilvl="1" w:tplc="F18AFAD4">
      <w:start w:val="1"/>
      <w:numFmt w:val="bullet"/>
      <w:lvlRestart w:val="0"/>
      <w:lvlText w:val=""/>
      <w:lvlJc w:val="left"/>
      <w:pPr>
        <w:tabs>
          <w:tab w:val="num" w:pos="1440"/>
        </w:tabs>
        <w:ind w:left="1440" w:hanging="360"/>
      </w:pPr>
      <w:rPr>
        <w:rFonts w:ascii="Wingdings" w:hAnsi="Wingdings" w:hint="default"/>
      </w:rPr>
    </w:lvl>
    <w:lvl w:ilvl="2" w:tplc="4BC679F4">
      <w:start w:val="1"/>
      <w:numFmt w:val="bullet"/>
      <w:lvlRestart w:val="0"/>
      <w:lvlText w:val=""/>
      <w:lvlJc w:val="left"/>
      <w:pPr>
        <w:tabs>
          <w:tab w:val="num" w:pos="2160"/>
        </w:tabs>
        <w:ind w:left="2160" w:hanging="360"/>
      </w:pPr>
      <w:rPr>
        <w:rFonts w:ascii="Wingdings" w:hAnsi="Wingdings" w:hint="default"/>
      </w:rPr>
    </w:lvl>
    <w:lvl w:ilvl="3" w:tplc="E424EFB2">
      <w:start w:val="1"/>
      <w:numFmt w:val="bullet"/>
      <w:lvlRestart w:val="0"/>
      <w:lvlText w:val=""/>
      <w:lvlJc w:val="left"/>
      <w:pPr>
        <w:tabs>
          <w:tab w:val="num" w:pos="2880"/>
        </w:tabs>
        <w:ind w:left="2880" w:hanging="360"/>
      </w:pPr>
      <w:rPr>
        <w:rFonts w:ascii="Wingdings" w:hAnsi="Wingdings" w:hint="default"/>
      </w:rPr>
    </w:lvl>
    <w:lvl w:ilvl="4" w:tplc="26EC83F2">
      <w:start w:val="1"/>
      <w:numFmt w:val="bullet"/>
      <w:lvlRestart w:val="0"/>
      <w:lvlText w:val=""/>
      <w:lvlJc w:val="left"/>
      <w:pPr>
        <w:tabs>
          <w:tab w:val="num" w:pos="3600"/>
        </w:tabs>
        <w:ind w:left="3600" w:hanging="360"/>
      </w:pPr>
      <w:rPr>
        <w:rFonts w:ascii="Wingdings" w:hAnsi="Wingdings" w:hint="default"/>
      </w:rPr>
    </w:lvl>
    <w:lvl w:ilvl="5" w:tplc="60006D98">
      <w:start w:val="1"/>
      <w:numFmt w:val="bullet"/>
      <w:lvlRestart w:val="0"/>
      <w:lvlText w:val=""/>
      <w:lvlJc w:val="left"/>
      <w:pPr>
        <w:tabs>
          <w:tab w:val="num" w:pos="4320"/>
        </w:tabs>
        <w:ind w:left="4320" w:hanging="360"/>
      </w:pPr>
      <w:rPr>
        <w:rFonts w:ascii="Wingdings" w:hAnsi="Wingdings" w:hint="default"/>
      </w:rPr>
    </w:lvl>
    <w:lvl w:ilvl="6" w:tplc="B9602668">
      <w:start w:val="1"/>
      <w:numFmt w:val="bullet"/>
      <w:lvlRestart w:val="0"/>
      <w:lvlText w:val=""/>
      <w:lvlJc w:val="left"/>
      <w:pPr>
        <w:tabs>
          <w:tab w:val="num" w:pos="5040"/>
        </w:tabs>
        <w:ind w:left="5040" w:hanging="360"/>
      </w:pPr>
      <w:rPr>
        <w:rFonts w:ascii="Wingdings" w:hAnsi="Wingdings" w:hint="default"/>
      </w:rPr>
    </w:lvl>
    <w:lvl w:ilvl="7" w:tplc="BCFC81A6">
      <w:start w:val="1"/>
      <w:numFmt w:val="bullet"/>
      <w:lvlRestart w:val="0"/>
      <w:lvlText w:val=""/>
      <w:lvlJc w:val="left"/>
      <w:pPr>
        <w:tabs>
          <w:tab w:val="num" w:pos="5760"/>
        </w:tabs>
        <w:ind w:left="5760" w:hanging="360"/>
      </w:pPr>
      <w:rPr>
        <w:rFonts w:ascii="Wingdings" w:hAnsi="Wingdings" w:hint="default"/>
      </w:rPr>
    </w:lvl>
    <w:lvl w:ilvl="8" w:tplc="65CCAABA">
      <w:start w:val="1"/>
      <w:numFmt w:val="bullet"/>
      <w:lvlRestart w:val="0"/>
      <w:lvlText w:val=""/>
      <w:lvlJc w:val="left"/>
      <w:pPr>
        <w:tabs>
          <w:tab w:val="num" w:pos="6480"/>
        </w:tabs>
        <w:ind w:left="6480" w:hanging="360"/>
      </w:pPr>
      <w:rPr>
        <w:rFonts w:ascii="Wingdings" w:hAnsi="Wingdings" w:hint="default"/>
      </w:rPr>
    </w:lvl>
  </w:abstractNum>
  <w:abstractNum w:abstractNumId="5">
    <w:nsid w:val="06C5642A"/>
    <w:multiLevelType w:val="hybridMultilevel"/>
    <w:tmpl w:val="F64C5C1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08FF3C9B"/>
    <w:multiLevelType w:val="hybridMultilevel"/>
    <w:tmpl w:val="79BCA876"/>
    <w:lvl w:ilvl="0" w:tplc="3640A7B8">
      <w:start w:val="1"/>
      <w:numFmt w:val="bullet"/>
      <w:lvlText w:val=""/>
      <w:lvlJc w:val="left"/>
      <w:pPr>
        <w:tabs>
          <w:tab w:val="num" w:pos="720"/>
        </w:tabs>
        <w:ind w:left="720" w:hanging="360"/>
      </w:pPr>
      <w:rPr>
        <w:rFonts w:ascii="Wingdings" w:hAnsi="Wingdings" w:hint="default"/>
      </w:rPr>
    </w:lvl>
    <w:lvl w:ilvl="1" w:tplc="B0D682D0" w:tentative="1">
      <w:start w:val="1"/>
      <w:numFmt w:val="bullet"/>
      <w:lvlText w:val=""/>
      <w:lvlJc w:val="left"/>
      <w:pPr>
        <w:tabs>
          <w:tab w:val="num" w:pos="1440"/>
        </w:tabs>
        <w:ind w:left="1440" w:hanging="360"/>
      </w:pPr>
      <w:rPr>
        <w:rFonts w:ascii="Wingdings" w:hAnsi="Wingdings" w:hint="default"/>
      </w:rPr>
    </w:lvl>
    <w:lvl w:ilvl="2" w:tplc="CD0E1CA0" w:tentative="1">
      <w:start w:val="1"/>
      <w:numFmt w:val="bullet"/>
      <w:lvlText w:val=""/>
      <w:lvlJc w:val="left"/>
      <w:pPr>
        <w:tabs>
          <w:tab w:val="num" w:pos="2160"/>
        </w:tabs>
        <w:ind w:left="2160" w:hanging="360"/>
      </w:pPr>
      <w:rPr>
        <w:rFonts w:ascii="Wingdings" w:hAnsi="Wingdings" w:hint="default"/>
      </w:rPr>
    </w:lvl>
    <w:lvl w:ilvl="3" w:tplc="9D1E386A" w:tentative="1">
      <w:start w:val="1"/>
      <w:numFmt w:val="bullet"/>
      <w:lvlText w:val=""/>
      <w:lvlJc w:val="left"/>
      <w:pPr>
        <w:tabs>
          <w:tab w:val="num" w:pos="2880"/>
        </w:tabs>
        <w:ind w:left="2880" w:hanging="360"/>
      </w:pPr>
      <w:rPr>
        <w:rFonts w:ascii="Wingdings" w:hAnsi="Wingdings" w:hint="default"/>
      </w:rPr>
    </w:lvl>
    <w:lvl w:ilvl="4" w:tplc="8CC279A6" w:tentative="1">
      <w:start w:val="1"/>
      <w:numFmt w:val="bullet"/>
      <w:lvlText w:val=""/>
      <w:lvlJc w:val="left"/>
      <w:pPr>
        <w:tabs>
          <w:tab w:val="num" w:pos="3600"/>
        </w:tabs>
        <w:ind w:left="3600" w:hanging="360"/>
      </w:pPr>
      <w:rPr>
        <w:rFonts w:ascii="Wingdings" w:hAnsi="Wingdings" w:hint="default"/>
      </w:rPr>
    </w:lvl>
    <w:lvl w:ilvl="5" w:tplc="70222394" w:tentative="1">
      <w:start w:val="1"/>
      <w:numFmt w:val="bullet"/>
      <w:lvlText w:val=""/>
      <w:lvlJc w:val="left"/>
      <w:pPr>
        <w:tabs>
          <w:tab w:val="num" w:pos="4320"/>
        </w:tabs>
        <w:ind w:left="4320" w:hanging="360"/>
      </w:pPr>
      <w:rPr>
        <w:rFonts w:ascii="Wingdings" w:hAnsi="Wingdings" w:hint="default"/>
      </w:rPr>
    </w:lvl>
    <w:lvl w:ilvl="6" w:tplc="4C5A8DB2" w:tentative="1">
      <w:start w:val="1"/>
      <w:numFmt w:val="bullet"/>
      <w:lvlText w:val=""/>
      <w:lvlJc w:val="left"/>
      <w:pPr>
        <w:tabs>
          <w:tab w:val="num" w:pos="5040"/>
        </w:tabs>
        <w:ind w:left="5040" w:hanging="360"/>
      </w:pPr>
      <w:rPr>
        <w:rFonts w:ascii="Wingdings" w:hAnsi="Wingdings" w:hint="default"/>
      </w:rPr>
    </w:lvl>
    <w:lvl w:ilvl="7" w:tplc="4B38042E" w:tentative="1">
      <w:start w:val="1"/>
      <w:numFmt w:val="bullet"/>
      <w:lvlText w:val=""/>
      <w:lvlJc w:val="left"/>
      <w:pPr>
        <w:tabs>
          <w:tab w:val="num" w:pos="5760"/>
        </w:tabs>
        <w:ind w:left="5760" w:hanging="360"/>
      </w:pPr>
      <w:rPr>
        <w:rFonts w:ascii="Wingdings" w:hAnsi="Wingdings" w:hint="default"/>
      </w:rPr>
    </w:lvl>
    <w:lvl w:ilvl="8" w:tplc="BB60E16C" w:tentative="1">
      <w:start w:val="1"/>
      <w:numFmt w:val="bullet"/>
      <w:lvlText w:val=""/>
      <w:lvlJc w:val="left"/>
      <w:pPr>
        <w:tabs>
          <w:tab w:val="num" w:pos="6480"/>
        </w:tabs>
        <w:ind w:left="6480" w:hanging="360"/>
      </w:pPr>
      <w:rPr>
        <w:rFonts w:ascii="Wingdings" w:hAnsi="Wingdings" w:hint="default"/>
      </w:rPr>
    </w:lvl>
  </w:abstractNum>
  <w:abstractNum w:abstractNumId="7">
    <w:nsid w:val="0DC735FE"/>
    <w:multiLevelType w:val="hybridMultilevel"/>
    <w:tmpl w:val="C7208934"/>
    <w:lvl w:ilvl="0" w:tplc="1F74F60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nsid w:val="1CF21DC7"/>
    <w:multiLevelType w:val="hybridMultilevel"/>
    <w:tmpl w:val="5914BAAE"/>
    <w:lvl w:ilvl="0" w:tplc="F95A8FC0">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1F6E670A"/>
    <w:multiLevelType w:val="hybridMultilevel"/>
    <w:tmpl w:val="79EE003E"/>
    <w:lvl w:ilvl="0" w:tplc="899A42B6">
      <w:start w:val="1"/>
      <w:numFmt w:val="bullet"/>
      <w:lvlText w:val=""/>
      <w:lvlJc w:val="left"/>
      <w:pPr>
        <w:tabs>
          <w:tab w:val="num" w:pos="720"/>
        </w:tabs>
        <w:ind w:left="720" w:hanging="360"/>
      </w:pPr>
      <w:rPr>
        <w:rFonts w:ascii="Wingdings" w:hAnsi="Wingdings" w:hint="default"/>
      </w:rPr>
    </w:lvl>
    <w:lvl w:ilvl="1" w:tplc="B2341948" w:tentative="1">
      <w:start w:val="1"/>
      <w:numFmt w:val="bullet"/>
      <w:lvlText w:val=""/>
      <w:lvlJc w:val="left"/>
      <w:pPr>
        <w:tabs>
          <w:tab w:val="num" w:pos="1440"/>
        </w:tabs>
        <w:ind w:left="1440" w:hanging="360"/>
      </w:pPr>
      <w:rPr>
        <w:rFonts w:ascii="Wingdings" w:hAnsi="Wingdings" w:hint="default"/>
      </w:rPr>
    </w:lvl>
    <w:lvl w:ilvl="2" w:tplc="23D27B34" w:tentative="1">
      <w:start w:val="1"/>
      <w:numFmt w:val="bullet"/>
      <w:lvlText w:val=""/>
      <w:lvlJc w:val="left"/>
      <w:pPr>
        <w:tabs>
          <w:tab w:val="num" w:pos="2160"/>
        </w:tabs>
        <w:ind w:left="2160" w:hanging="360"/>
      </w:pPr>
      <w:rPr>
        <w:rFonts w:ascii="Wingdings" w:hAnsi="Wingdings" w:hint="default"/>
      </w:rPr>
    </w:lvl>
    <w:lvl w:ilvl="3" w:tplc="F27C3C68" w:tentative="1">
      <w:start w:val="1"/>
      <w:numFmt w:val="bullet"/>
      <w:lvlText w:val=""/>
      <w:lvlJc w:val="left"/>
      <w:pPr>
        <w:tabs>
          <w:tab w:val="num" w:pos="2880"/>
        </w:tabs>
        <w:ind w:left="2880" w:hanging="360"/>
      </w:pPr>
      <w:rPr>
        <w:rFonts w:ascii="Wingdings" w:hAnsi="Wingdings" w:hint="default"/>
      </w:rPr>
    </w:lvl>
    <w:lvl w:ilvl="4" w:tplc="B492D616" w:tentative="1">
      <w:start w:val="1"/>
      <w:numFmt w:val="bullet"/>
      <w:lvlText w:val=""/>
      <w:lvlJc w:val="left"/>
      <w:pPr>
        <w:tabs>
          <w:tab w:val="num" w:pos="3600"/>
        </w:tabs>
        <w:ind w:left="3600" w:hanging="360"/>
      </w:pPr>
      <w:rPr>
        <w:rFonts w:ascii="Wingdings" w:hAnsi="Wingdings" w:hint="default"/>
      </w:rPr>
    </w:lvl>
    <w:lvl w:ilvl="5" w:tplc="9D14A4C0" w:tentative="1">
      <w:start w:val="1"/>
      <w:numFmt w:val="bullet"/>
      <w:lvlText w:val=""/>
      <w:lvlJc w:val="left"/>
      <w:pPr>
        <w:tabs>
          <w:tab w:val="num" w:pos="4320"/>
        </w:tabs>
        <w:ind w:left="4320" w:hanging="360"/>
      </w:pPr>
      <w:rPr>
        <w:rFonts w:ascii="Wingdings" w:hAnsi="Wingdings" w:hint="default"/>
      </w:rPr>
    </w:lvl>
    <w:lvl w:ilvl="6" w:tplc="CA70A402" w:tentative="1">
      <w:start w:val="1"/>
      <w:numFmt w:val="bullet"/>
      <w:lvlText w:val=""/>
      <w:lvlJc w:val="left"/>
      <w:pPr>
        <w:tabs>
          <w:tab w:val="num" w:pos="5040"/>
        </w:tabs>
        <w:ind w:left="5040" w:hanging="360"/>
      </w:pPr>
      <w:rPr>
        <w:rFonts w:ascii="Wingdings" w:hAnsi="Wingdings" w:hint="default"/>
      </w:rPr>
    </w:lvl>
    <w:lvl w:ilvl="7" w:tplc="75B624B4" w:tentative="1">
      <w:start w:val="1"/>
      <w:numFmt w:val="bullet"/>
      <w:lvlText w:val=""/>
      <w:lvlJc w:val="left"/>
      <w:pPr>
        <w:tabs>
          <w:tab w:val="num" w:pos="5760"/>
        </w:tabs>
        <w:ind w:left="5760" w:hanging="360"/>
      </w:pPr>
      <w:rPr>
        <w:rFonts w:ascii="Wingdings" w:hAnsi="Wingdings" w:hint="default"/>
      </w:rPr>
    </w:lvl>
    <w:lvl w:ilvl="8" w:tplc="7452D0B2" w:tentative="1">
      <w:start w:val="1"/>
      <w:numFmt w:val="bullet"/>
      <w:lvlText w:val=""/>
      <w:lvlJc w:val="left"/>
      <w:pPr>
        <w:tabs>
          <w:tab w:val="num" w:pos="6480"/>
        </w:tabs>
        <w:ind w:left="6480" w:hanging="360"/>
      </w:pPr>
      <w:rPr>
        <w:rFonts w:ascii="Wingdings" w:hAnsi="Wingdings" w:hint="default"/>
      </w:rPr>
    </w:lvl>
  </w:abstractNum>
  <w:abstractNum w:abstractNumId="10">
    <w:nsid w:val="29AD1276"/>
    <w:multiLevelType w:val="hybridMultilevel"/>
    <w:tmpl w:val="C47EBF3A"/>
    <w:lvl w:ilvl="0" w:tplc="3724C27C">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2A426257"/>
    <w:multiLevelType w:val="hybridMultilevel"/>
    <w:tmpl w:val="04AED6F2"/>
    <w:lvl w:ilvl="0" w:tplc="0409000F">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2E5B0A8A"/>
    <w:multiLevelType w:val="hybridMultilevel"/>
    <w:tmpl w:val="E656FAD6"/>
    <w:lvl w:ilvl="0" w:tplc="AD88B018">
      <w:start w:val="1"/>
      <w:numFmt w:val="bullet"/>
      <w:lvlText w:val=""/>
      <w:lvlJc w:val="left"/>
      <w:pPr>
        <w:tabs>
          <w:tab w:val="num" w:pos="720"/>
        </w:tabs>
        <w:ind w:left="720" w:hanging="360"/>
      </w:pPr>
      <w:rPr>
        <w:rFonts w:ascii="Wingdings" w:hAnsi="Wingdings" w:hint="default"/>
      </w:rPr>
    </w:lvl>
    <w:lvl w:ilvl="1" w:tplc="F5D6CF0A" w:tentative="1">
      <w:start w:val="1"/>
      <w:numFmt w:val="bullet"/>
      <w:lvlText w:val=""/>
      <w:lvlJc w:val="left"/>
      <w:pPr>
        <w:tabs>
          <w:tab w:val="num" w:pos="1440"/>
        </w:tabs>
        <w:ind w:left="1440" w:hanging="360"/>
      </w:pPr>
      <w:rPr>
        <w:rFonts w:ascii="Wingdings" w:hAnsi="Wingdings" w:hint="default"/>
      </w:rPr>
    </w:lvl>
    <w:lvl w:ilvl="2" w:tplc="36385ADA" w:tentative="1">
      <w:start w:val="1"/>
      <w:numFmt w:val="bullet"/>
      <w:lvlText w:val=""/>
      <w:lvlJc w:val="left"/>
      <w:pPr>
        <w:tabs>
          <w:tab w:val="num" w:pos="2160"/>
        </w:tabs>
        <w:ind w:left="2160" w:hanging="360"/>
      </w:pPr>
      <w:rPr>
        <w:rFonts w:ascii="Wingdings" w:hAnsi="Wingdings" w:hint="default"/>
      </w:rPr>
    </w:lvl>
    <w:lvl w:ilvl="3" w:tplc="D9AAC7B6" w:tentative="1">
      <w:start w:val="1"/>
      <w:numFmt w:val="bullet"/>
      <w:lvlText w:val=""/>
      <w:lvlJc w:val="left"/>
      <w:pPr>
        <w:tabs>
          <w:tab w:val="num" w:pos="2880"/>
        </w:tabs>
        <w:ind w:left="2880" w:hanging="360"/>
      </w:pPr>
      <w:rPr>
        <w:rFonts w:ascii="Wingdings" w:hAnsi="Wingdings" w:hint="default"/>
      </w:rPr>
    </w:lvl>
    <w:lvl w:ilvl="4" w:tplc="2C6A574E" w:tentative="1">
      <w:start w:val="1"/>
      <w:numFmt w:val="bullet"/>
      <w:lvlText w:val=""/>
      <w:lvlJc w:val="left"/>
      <w:pPr>
        <w:tabs>
          <w:tab w:val="num" w:pos="3600"/>
        </w:tabs>
        <w:ind w:left="3600" w:hanging="360"/>
      </w:pPr>
      <w:rPr>
        <w:rFonts w:ascii="Wingdings" w:hAnsi="Wingdings" w:hint="default"/>
      </w:rPr>
    </w:lvl>
    <w:lvl w:ilvl="5" w:tplc="E4CAAA12" w:tentative="1">
      <w:start w:val="1"/>
      <w:numFmt w:val="bullet"/>
      <w:lvlText w:val=""/>
      <w:lvlJc w:val="left"/>
      <w:pPr>
        <w:tabs>
          <w:tab w:val="num" w:pos="4320"/>
        </w:tabs>
        <w:ind w:left="4320" w:hanging="360"/>
      </w:pPr>
      <w:rPr>
        <w:rFonts w:ascii="Wingdings" w:hAnsi="Wingdings" w:hint="default"/>
      </w:rPr>
    </w:lvl>
    <w:lvl w:ilvl="6" w:tplc="EB468EAA" w:tentative="1">
      <w:start w:val="1"/>
      <w:numFmt w:val="bullet"/>
      <w:lvlText w:val=""/>
      <w:lvlJc w:val="left"/>
      <w:pPr>
        <w:tabs>
          <w:tab w:val="num" w:pos="5040"/>
        </w:tabs>
        <w:ind w:left="5040" w:hanging="360"/>
      </w:pPr>
      <w:rPr>
        <w:rFonts w:ascii="Wingdings" w:hAnsi="Wingdings" w:hint="default"/>
      </w:rPr>
    </w:lvl>
    <w:lvl w:ilvl="7" w:tplc="9EEEB196" w:tentative="1">
      <w:start w:val="1"/>
      <w:numFmt w:val="bullet"/>
      <w:lvlText w:val=""/>
      <w:lvlJc w:val="left"/>
      <w:pPr>
        <w:tabs>
          <w:tab w:val="num" w:pos="5760"/>
        </w:tabs>
        <w:ind w:left="5760" w:hanging="360"/>
      </w:pPr>
      <w:rPr>
        <w:rFonts w:ascii="Wingdings" w:hAnsi="Wingdings" w:hint="default"/>
      </w:rPr>
    </w:lvl>
    <w:lvl w:ilvl="8" w:tplc="547C9224" w:tentative="1">
      <w:start w:val="1"/>
      <w:numFmt w:val="bullet"/>
      <w:lvlText w:val=""/>
      <w:lvlJc w:val="left"/>
      <w:pPr>
        <w:tabs>
          <w:tab w:val="num" w:pos="6480"/>
        </w:tabs>
        <w:ind w:left="6480" w:hanging="360"/>
      </w:pPr>
      <w:rPr>
        <w:rFonts w:ascii="Wingdings" w:hAnsi="Wingdings" w:hint="default"/>
      </w:rPr>
    </w:lvl>
  </w:abstractNum>
  <w:abstractNum w:abstractNumId="13">
    <w:nsid w:val="2FF15EF9"/>
    <w:multiLevelType w:val="hybridMultilevel"/>
    <w:tmpl w:val="69F0ACEE"/>
    <w:lvl w:ilvl="0" w:tplc="CEBC924A">
      <w:start w:val="1"/>
      <w:numFmt w:val="bullet"/>
      <w:lvlText w:val=""/>
      <w:lvlJc w:val="left"/>
      <w:pPr>
        <w:tabs>
          <w:tab w:val="num" w:pos="720"/>
        </w:tabs>
        <w:ind w:left="720" w:hanging="360"/>
      </w:pPr>
      <w:rPr>
        <w:rFonts w:ascii="Wingdings" w:hAnsi="Wingdings" w:hint="default"/>
      </w:rPr>
    </w:lvl>
    <w:lvl w:ilvl="1" w:tplc="AED48DE8" w:tentative="1">
      <w:start w:val="1"/>
      <w:numFmt w:val="bullet"/>
      <w:lvlText w:val=""/>
      <w:lvlJc w:val="left"/>
      <w:pPr>
        <w:tabs>
          <w:tab w:val="num" w:pos="1440"/>
        </w:tabs>
        <w:ind w:left="1440" w:hanging="360"/>
      </w:pPr>
      <w:rPr>
        <w:rFonts w:ascii="Wingdings" w:hAnsi="Wingdings" w:hint="default"/>
      </w:rPr>
    </w:lvl>
    <w:lvl w:ilvl="2" w:tplc="A16651D0" w:tentative="1">
      <w:start w:val="1"/>
      <w:numFmt w:val="bullet"/>
      <w:lvlText w:val=""/>
      <w:lvlJc w:val="left"/>
      <w:pPr>
        <w:tabs>
          <w:tab w:val="num" w:pos="2160"/>
        </w:tabs>
        <w:ind w:left="2160" w:hanging="360"/>
      </w:pPr>
      <w:rPr>
        <w:rFonts w:ascii="Wingdings" w:hAnsi="Wingdings" w:hint="default"/>
      </w:rPr>
    </w:lvl>
    <w:lvl w:ilvl="3" w:tplc="1912241A" w:tentative="1">
      <w:start w:val="1"/>
      <w:numFmt w:val="bullet"/>
      <w:lvlText w:val=""/>
      <w:lvlJc w:val="left"/>
      <w:pPr>
        <w:tabs>
          <w:tab w:val="num" w:pos="2880"/>
        </w:tabs>
        <w:ind w:left="2880" w:hanging="360"/>
      </w:pPr>
      <w:rPr>
        <w:rFonts w:ascii="Wingdings" w:hAnsi="Wingdings" w:hint="default"/>
      </w:rPr>
    </w:lvl>
    <w:lvl w:ilvl="4" w:tplc="7226AB40" w:tentative="1">
      <w:start w:val="1"/>
      <w:numFmt w:val="bullet"/>
      <w:lvlText w:val=""/>
      <w:lvlJc w:val="left"/>
      <w:pPr>
        <w:tabs>
          <w:tab w:val="num" w:pos="3600"/>
        </w:tabs>
        <w:ind w:left="3600" w:hanging="360"/>
      </w:pPr>
      <w:rPr>
        <w:rFonts w:ascii="Wingdings" w:hAnsi="Wingdings" w:hint="default"/>
      </w:rPr>
    </w:lvl>
    <w:lvl w:ilvl="5" w:tplc="25580E90" w:tentative="1">
      <w:start w:val="1"/>
      <w:numFmt w:val="bullet"/>
      <w:lvlText w:val=""/>
      <w:lvlJc w:val="left"/>
      <w:pPr>
        <w:tabs>
          <w:tab w:val="num" w:pos="4320"/>
        </w:tabs>
        <w:ind w:left="4320" w:hanging="360"/>
      </w:pPr>
      <w:rPr>
        <w:rFonts w:ascii="Wingdings" w:hAnsi="Wingdings" w:hint="default"/>
      </w:rPr>
    </w:lvl>
    <w:lvl w:ilvl="6" w:tplc="F1F4A802" w:tentative="1">
      <w:start w:val="1"/>
      <w:numFmt w:val="bullet"/>
      <w:lvlText w:val=""/>
      <w:lvlJc w:val="left"/>
      <w:pPr>
        <w:tabs>
          <w:tab w:val="num" w:pos="5040"/>
        </w:tabs>
        <w:ind w:left="5040" w:hanging="360"/>
      </w:pPr>
      <w:rPr>
        <w:rFonts w:ascii="Wingdings" w:hAnsi="Wingdings" w:hint="default"/>
      </w:rPr>
    </w:lvl>
    <w:lvl w:ilvl="7" w:tplc="062ADF84" w:tentative="1">
      <w:start w:val="1"/>
      <w:numFmt w:val="bullet"/>
      <w:lvlText w:val=""/>
      <w:lvlJc w:val="left"/>
      <w:pPr>
        <w:tabs>
          <w:tab w:val="num" w:pos="5760"/>
        </w:tabs>
        <w:ind w:left="5760" w:hanging="360"/>
      </w:pPr>
      <w:rPr>
        <w:rFonts w:ascii="Wingdings" w:hAnsi="Wingdings" w:hint="default"/>
      </w:rPr>
    </w:lvl>
    <w:lvl w:ilvl="8" w:tplc="86A6F9E8" w:tentative="1">
      <w:start w:val="1"/>
      <w:numFmt w:val="bullet"/>
      <w:lvlText w:val=""/>
      <w:lvlJc w:val="left"/>
      <w:pPr>
        <w:tabs>
          <w:tab w:val="num" w:pos="6480"/>
        </w:tabs>
        <w:ind w:left="6480" w:hanging="360"/>
      </w:pPr>
      <w:rPr>
        <w:rFonts w:ascii="Wingdings" w:hAnsi="Wingdings" w:hint="default"/>
      </w:rPr>
    </w:lvl>
  </w:abstractNum>
  <w:abstractNum w:abstractNumId="14">
    <w:nsid w:val="488150FB"/>
    <w:multiLevelType w:val="hybridMultilevel"/>
    <w:tmpl w:val="E11A671C"/>
    <w:lvl w:ilvl="0" w:tplc="05C4842E">
      <w:start w:val="1"/>
      <w:numFmt w:val="bullet"/>
      <w:lvlText w:val=""/>
      <w:lvlJc w:val="left"/>
      <w:pPr>
        <w:tabs>
          <w:tab w:val="num" w:pos="720"/>
        </w:tabs>
        <w:ind w:left="720" w:hanging="360"/>
      </w:pPr>
      <w:rPr>
        <w:rFonts w:ascii="Wingdings" w:hAnsi="Wingdings" w:hint="default"/>
      </w:rPr>
    </w:lvl>
    <w:lvl w:ilvl="1" w:tplc="4EB84C86" w:tentative="1">
      <w:start w:val="1"/>
      <w:numFmt w:val="bullet"/>
      <w:lvlText w:val=""/>
      <w:lvlJc w:val="left"/>
      <w:pPr>
        <w:tabs>
          <w:tab w:val="num" w:pos="1440"/>
        </w:tabs>
        <w:ind w:left="1440" w:hanging="360"/>
      </w:pPr>
      <w:rPr>
        <w:rFonts w:ascii="Wingdings" w:hAnsi="Wingdings" w:hint="default"/>
      </w:rPr>
    </w:lvl>
    <w:lvl w:ilvl="2" w:tplc="230E4394" w:tentative="1">
      <w:start w:val="1"/>
      <w:numFmt w:val="bullet"/>
      <w:lvlText w:val=""/>
      <w:lvlJc w:val="left"/>
      <w:pPr>
        <w:tabs>
          <w:tab w:val="num" w:pos="2160"/>
        </w:tabs>
        <w:ind w:left="2160" w:hanging="360"/>
      </w:pPr>
      <w:rPr>
        <w:rFonts w:ascii="Wingdings" w:hAnsi="Wingdings" w:hint="default"/>
      </w:rPr>
    </w:lvl>
    <w:lvl w:ilvl="3" w:tplc="F87651D2" w:tentative="1">
      <w:start w:val="1"/>
      <w:numFmt w:val="bullet"/>
      <w:lvlText w:val=""/>
      <w:lvlJc w:val="left"/>
      <w:pPr>
        <w:tabs>
          <w:tab w:val="num" w:pos="2880"/>
        </w:tabs>
        <w:ind w:left="2880" w:hanging="360"/>
      </w:pPr>
      <w:rPr>
        <w:rFonts w:ascii="Wingdings" w:hAnsi="Wingdings" w:hint="default"/>
      </w:rPr>
    </w:lvl>
    <w:lvl w:ilvl="4" w:tplc="34DC38C4" w:tentative="1">
      <w:start w:val="1"/>
      <w:numFmt w:val="bullet"/>
      <w:lvlText w:val=""/>
      <w:lvlJc w:val="left"/>
      <w:pPr>
        <w:tabs>
          <w:tab w:val="num" w:pos="3600"/>
        </w:tabs>
        <w:ind w:left="3600" w:hanging="360"/>
      </w:pPr>
      <w:rPr>
        <w:rFonts w:ascii="Wingdings" w:hAnsi="Wingdings" w:hint="default"/>
      </w:rPr>
    </w:lvl>
    <w:lvl w:ilvl="5" w:tplc="39C21526" w:tentative="1">
      <w:start w:val="1"/>
      <w:numFmt w:val="bullet"/>
      <w:lvlText w:val=""/>
      <w:lvlJc w:val="left"/>
      <w:pPr>
        <w:tabs>
          <w:tab w:val="num" w:pos="4320"/>
        </w:tabs>
        <w:ind w:left="4320" w:hanging="360"/>
      </w:pPr>
      <w:rPr>
        <w:rFonts w:ascii="Wingdings" w:hAnsi="Wingdings" w:hint="default"/>
      </w:rPr>
    </w:lvl>
    <w:lvl w:ilvl="6" w:tplc="9B8012DC" w:tentative="1">
      <w:start w:val="1"/>
      <w:numFmt w:val="bullet"/>
      <w:lvlText w:val=""/>
      <w:lvlJc w:val="left"/>
      <w:pPr>
        <w:tabs>
          <w:tab w:val="num" w:pos="5040"/>
        </w:tabs>
        <w:ind w:left="5040" w:hanging="360"/>
      </w:pPr>
      <w:rPr>
        <w:rFonts w:ascii="Wingdings" w:hAnsi="Wingdings" w:hint="default"/>
      </w:rPr>
    </w:lvl>
    <w:lvl w:ilvl="7" w:tplc="BFC6B84C" w:tentative="1">
      <w:start w:val="1"/>
      <w:numFmt w:val="bullet"/>
      <w:lvlText w:val=""/>
      <w:lvlJc w:val="left"/>
      <w:pPr>
        <w:tabs>
          <w:tab w:val="num" w:pos="5760"/>
        </w:tabs>
        <w:ind w:left="5760" w:hanging="360"/>
      </w:pPr>
      <w:rPr>
        <w:rFonts w:ascii="Wingdings" w:hAnsi="Wingdings" w:hint="default"/>
      </w:rPr>
    </w:lvl>
    <w:lvl w:ilvl="8" w:tplc="C4C0926C" w:tentative="1">
      <w:start w:val="1"/>
      <w:numFmt w:val="bullet"/>
      <w:lvlText w:val=""/>
      <w:lvlJc w:val="left"/>
      <w:pPr>
        <w:tabs>
          <w:tab w:val="num" w:pos="6480"/>
        </w:tabs>
        <w:ind w:left="6480" w:hanging="360"/>
      </w:pPr>
      <w:rPr>
        <w:rFonts w:ascii="Wingdings" w:hAnsi="Wingdings" w:hint="default"/>
      </w:rPr>
    </w:lvl>
  </w:abstractNum>
  <w:abstractNum w:abstractNumId="15">
    <w:nsid w:val="489C43BA"/>
    <w:multiLevelType w:val="hybridMultilevel"/>
    <w:tmpl w:val="F91C31C8"/>
    <w:lvl w:ilvl="0" w:tplc="1C2663EE">
      <w:start w:val="1"/>
      <w:numFmt w:val="bullet"/>
      <w:lvlText w:val=""/>
      <w:lvlJc w:val="left"/>
      <w:pPr>
        <w:tabs>
          <w:tab w:val="num" w:pos="720"/>
        </w:tabs>
        <w:ind w:left="720" w:hanging="360"/>
      </w:pPr>
      <w:rPr>
        <w:rFonts w:ascii="Wingdings" w:hAnsi="Wingdings" w:hint="default"/>
      </w:rPr>
    </w:lvl>
    <w:lvl w:ilvl="1" w:tplc="0486ED4C" w:tentative="1">
      <w:start w:val="1"/>
      <w:numFmt w:val="bullet"/>
      <w:lvlText w:val=""/>
      <w:lvlJc w:val="left"/>
      <w:pPr>
        <w:tabs>
          <w:tab w:val="num" w:pos="1440"/>
        </w:tabs>
        <w:ind w:left="1440" w:hanging="360"/>
      </w:pPr>
      <w:rPr>
        <w:rFonts w:ascii="Wingdings" w:hAnsi="Wingdings" w:hint="default"/>
      </w:rPr>
    </w:lvl>
    <w:lvl w:ilvl="2" w:tplc="FC9C95CA" w:tentative="1">
      <w:start w:val="1"/>
      <w:numFmt w:val="bullet"/>
      <w:lvlText w:val=""/>
      <w:lvlJc w:val="left"/>
      <w:pPr>
        <w:tabs>
          <w:tab w:val="num" w:pos="2160"/>
        </w:tabs>
        <w:ind w:left="2160" w:hanging="360"/>
      </w:pPr>
      <w:rPr>
        <w:rFonts w:ascii="Wingdings" w:hAnsi="Wingdings" w:hint="default"/>
      </w:rPr>
    </w:lvl>
    <w:lvl w:ilvl="3" w:tplc="F6ACA5DC" w:tentative="1">
      <w:start w:val="1"/>
      <w:numFmt w:val="bullet"/>
      <w:lvlText w:val=""/>
      <w:lvlJc w:val="left"/>
      <w:pPr>
        <w:tabs>
          <w:tab w:val="num" w:pos="2880"/>
        </w:tabs>
        <w:ind w:left="2880" w:hanging="360"/>
      </w:pPr>
      <w:rPr>
        <w:rFonts w:ascii="Wingdings" w:hAnsi="Wingdings" w:hint="default"/>
      </w:rPr>
    </w:lvl>
    <w:lvl w:ilvl="4" w:tplc="6E029EEE" w:tentative="1">
      <w:start w:val="1"/>
      <w:numFmt w:val="bullet"/>
      <w:lvlText w:val=""/>
      <w:lvlJc w:val="left"/>
      <w:pPr>
        <w:tabs>
          <w:tab w:val="num" w:pos="3600"/>
        </w:tabs>
        <w:ind w:left="3600" w:hanging="360"/>
      </w:pPr>
      <w:rPr>
        <w:rFonts w:ascii="Wingdings" w:hAnsi="Wingdings" w:hint="default"/>
      </w:rPr>
    </w:lvl>
    <w:lvl w:ilvl="5" w:tplc="B5425368" w:tentative="1">
      <w:start w:val="1"/>
      <w:numFmt w:val="bullet"/>
      <w:lvlText w:val=""/>
      <w:lvlJc w:val="left"/>
      <w:pPr>
        <w:tabs>
          <w:tab w:val="num" w:pos="4320"/>
        </w:tabs>
        <w:ind w:left="4320" w:hanging="360"/>
      </w:pPr>
      <w:rPr>
        <w:rFonts w:ascii="Wingdings" w:hAnsi="Wingdings" w:hint="default"/>
      </w:rPr>
    </w:lvl>
    <w:lvl w:ilvl="6" w:tplc="1B6A24B0" w:tentative="1">
      <w:start w:val="1"/>
      <w:numFmt w:val="bullet"/>
      <w:lvlText w:val=""/>
      <w:lvlJc w:val="left"/>
      <w:pPr>
        <w:tabs>
          <w:tab w:val="num" w:pos="5040"/>
        </w:tabs>
        <w:ind w:left="5040" w:hanging="360"/>
      </w:pPr>
      <w:rPr>
        <w:rFonts w:ascii="Wingdings" w:hAnsi="Wingdings" w:hint="default"/>
      </w:rPr>
    </w:lvl>
    <w:lvl w:ilvl="7" w:tplc="E580E798" w:tentative="1">
      <w:start w:val="1"/>
      <w:numFmt w:val="bullet"/>
      <w:lvlText w:val=""/>
      <w:lvlJc w:val="left"/>
      <w:pPr>
        <w:tabs>
          <w:tab w:val="num" w:pos="5760"/>
        </w:tabs>
        <w:ind w:left="5760" w:hanging="360"/>
      </w:pPr>
      <w:rPr>
        <w:rFonts w:ascii="Wingdings" w:hAnsi="Wingdings" w:hint="default"/>
      </w:rPr>
    </w:lvl>
    <w:lvl w:ilvl="8" w:tplc="3294DA4E" w:tentative="1">
      <w:start w:val="1"/>
      <w:numFmt w:val="bullet"/>
      <w:lvlText w:val=""/>
      <w:lvlJc w:val="left"/>
      <w:pPr>
        <w:tabs>
          <w:tab w:val="num" w:pos="6480"/>
        </w:tabs>
        <w:ind w:left="6480" w:hanging="360"/>
      </w:pPr>
      <w:rPr>
        <w:rFonts w:ascii="Wingdings" w:hAnsi="Wingdings" w:hint="default"/>
      </w:rPr>
    </w:lvl>
  </w:abstractNum>
  <w:abstractNum w:abstractNumId="16">
    <w:nsid w:val="48F76435"/>
    <w:multiLevelType w:val="hybridMultilevel"/>
    <w:tmpl w:val="9B326F16"/>
    <w:lvl w:ilvl="0" w:tplc="0BAE8958">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4E514870"/>
    <w:multiLevelType w:val="hybridMultilevel"/>
    <w:tmpl w:val="8B18B340"/>
    <w:lvl w:ilvl="0" w:tplc="43B27422">
      <w:start w:val="1"/>
      <w:numFmt w:val="bullet"/>
      <w:lvlText w:val=""/>
      <w:lvlJc w:val="left"/>
      <w:pPr>
        <w:tabs>
          <w:tab w:val="num" w:pos="720"/>
        </w:tabs>
        <w:ind w:left="720" w:hanging="360"/>
      </w:pPr>
      <w:rPr>
        <w:rFonts w:ascii="Wingdings" w:hAnsi="Wingdings" w:hint="default"/>
      </w:rPr>
    </w:lvl>
    <w:lvl w:ilvl="1" w:tplc="D5606B3E" w:tentative="1">
      <w:start w:val="1"/>
      <w:numFmt w:val="bullet"/>
      <w:lvlText w:val=""/>
      <w:lvlJc w:val="left"/>
      <w:pPr>
        <w:tabs>
          <w:tab w:val="num" w:pos="1440"/>
        </w:tabs>
        <w:ind w:left="1440" w:hanging="360"/>
      </w:pPr>
      <w:rPr>
        <w:rFonts w:ascii="Wingdings" w:hAnsi="Wingdings" w:hint="default"/>
      </w:rPr>
    </w:lvl>
    <w:lvl w:ilvl="2" w:tplc="B6DC92A0" w:tentative="1">
      <w:start w:val="1"/>
      <w:numFmt w:val="bullet"/>
      <w:lvlText w:val=""/>
      <w:lvlJc w:val="left"/>
      <w:pPr>
        <w:tabs>
          <w:tab w:val="num" w:pos="2160"/>
        </w:tabs>
        <w:ind w:left="2160" w:hanging="360"/>
      </w:pPr>
      <w:rPr>
        <w:rFonts w:ascii="Wingdings" w:hAnsi="Wingdings" w:hint="default"/>
      </w:rPr>
    </w:lvl>
    <w:lvl w:ilvl="3" w:tplc="82068A4C" w:tentative="1">
      <w:start w:val="1"/>
      <w:numFmt w:val="bullet"/>
      <w:lvlText w:val=""/>
      <w:lvlJc w:val="left"/>
      <w:pPr>
        <w:tabs>
          <w:tab w:val="num" w:pos="2880"/>
        </w:tabs>
        <w:ind w:left="2880" w:hanging="360"/>
      </w:pPr>
      <w:rPr>
        <w:rFonts w:ascii="Wingdings" w:hAnsi="Wingdings" w:hint="default"/>
      </w:rPr>
    </w:lvl>
    <w:lvl w:ilvl="4" w:tplc="EF2AA342" w:tentative="1">
      <w:start w:val="1"/>
      <w:numFmt w:val="bullet"/>
      <w:lvlText w:val=""/>
      <w:lvlJc w:val="left"/>
      <w:pPr>
        <w:tabs>
          <w:tab w:val="num" w:pos="3600"/>
        </w:tabs>
        <w:ind w:left="3600" w:hanging="360"/>
      </w:pPr>
      <w:rPr>
        <w:rFonts w:ascii="Wingdings" w:hAnsi="Wingdings" w:hint="default"/>
      </w:rPr>
    </w:lvl>
    <w:lvl w:ilvl="5" w:tplc="B566B580" w:tentative="1">
      <w:start w:val="1"/>
      <w:numFmt w:val="bullet"/>
      <w:lvlText w:val=""/>
      <w:lvlJc w:val="left"/>
      <w:pPr>
        <w:tabs>
          <w:tab w:val="num" w:pos="4320"/>
        </w:tabs>
        <w:ind w:left="4320" w:hanging="360"/>
      </w:pPr>
      <w:rPr>
        <w:rFonts w:ascii="Wingdings" w:hAnsi="Wingdings" w:hint="default"/>
      </w:rPr>
    </w:lvl>
    <w:lvl w:ilvl="6" w:tplc="6FCE976A" w:tentative="1">
      <w:start w:val="1"/>
      <w:numFmt w:val="bullet"/>
      <w:lvlText w:val=""/>
      <w:lvlJc w:val="left"/>
      <w:pPr>
        <w:tabs>
          <w:tab w:val="num" w:pos="5040"/>
        </w:tabs>
        <w:ind w:left="5040" w:hanging="360"/>
      </w:pPr>
      <w:rPr>
        <w:rFonts w:ascii="Wingdings" w:hAnsi="Wingdings" w:hint="default"/>
      </w:rPr>
    </w:lvl>
    <w:lvl w:ilvl="7" w:tplc="56AC582E" w:tentative="1">
      <w:start w:val="1"/>
      <w:numFmt w:val="bullet"/>
      <w:lvlText w:val=""/>
      <w:lvlJc w:val="left"/>
      <w:pPr>
        <w:tabs>
          <w:tab w:val="num" w:pos="5760"/>
        </w:tabs>
        <w:ind w:left="5760" w:hanging="360"/>
      </w:pPr>
      <w:rPr>
        <w:rFonts w:ascii="Wingdings" w:hAnsi="Wingdings" w:hint="default"/>
      </w:rPr>
    </w:lvl>
    <w:lvl w:ilvl="8" w:tplc="7892F286" w:tentative="1">
      <w:start w:val="1"/>
      <w:numFmt w:val="bullet"/>
      <w:lvlText w:val=""/>
      <w:lvlJc w:val="left"/>
      <w:pPr>
        <w:tabs>
          <w:tab w:val="num" w:pos="6480"/>
        </w:tabs>
        <w:ind w:left="6480" w:hanging="360"/>
      </w:pPr>
      <w:rPr>
        <w:rFonts w:ascii="Wingdings" w:hAnsi="Wingdings" w:hint="default"/>
      </w:rPr>
    </w:lvl>
  </w:abstractNum>
  <w:abstractNum w:abstractNumId="18">
    <w:nsid w:val="5627590C"/>
    <w:multiLevelType w:val="hybridMultilevel"/>
    <w:tmpl w:val="C37290AA"/>
    <w:lvl w:ilvl="0" w:tplc="3D706E56">
      <w:start w:val="1"/>
      <w:numFmt w:val="bullet"/>
      <w:lvlText w:val=""/>
      <w:lvlJc w:val="left"/>
      <w:pPr>
        <w:tabs>
          <w:tab w:val="num" w:pos="720"/>
        </w:tabs>
        <w:ind w:left="720" w:hanging="360"/>
      </w:pPr>
      <w:rPr>
        <w:rFonts w:ascii="Wingdings" w:hAnsi="Wingdings" w:hint="default"/>
      </w:rPr>
    </w:lvl>
    <w:lvl w:ilvl="1" w:tplc="50FE881C" w:tentative="1">
      <w:start w:val="1"/>
      <w:numFmt w:val="bullet"/>
      <w:lvlText w:val=""/>
      <w:lvlJc w:val="left"/>
      <w:pPr>
        <w:tabs>
          <w:tab w:val="num" w:pos="1440"/>
        </w:tabs>
        <w:ind w:left="1440" w:hanging="360"/>
      </w:pPr>
      <w:rPr>
        <w:rFonts w:ascii="Wingdings" w:hAnsi="Wingdings" w:hint="default"/>
      </w:rPr>
    </w:lvl>
    <w:lvl w:ilvl="2" w:tplc="0FFA45CA" w:tentative="1">
      <w:start w:val="1"/>
      <w:numFmt w:val="bullet"/>
      <w:lvlText w:val=""/>
      <w:lvlJc w:val="left"/>
      <w:pPr>
        <w:tabs>
          <w:tab w:val="num" w:pos="2160"/>
        </w:tabs>
        <w:ind w:left="2160" w:hanging="360"/>
      </w:pPr>
      <w:rPr>
        <w:rFonts w:ascii="Wingdings" w:hAnsi="Wingdings" w:hint="default"/>
      </w:rPr>
    </w:lvl>
    <w:lvl w:ilvl="3" w:tplc="BC0E0614" w:tentative="1">
      <w:start w:val="1"/>
      <w:numFmt w:val="bullet"/>
      <w:lvlText w:val=""/>
      <w:lvlJc w:val="left"/>
      <w:pPr>
        <w:tabs>
          <w:tab w:val="num" w:pos="2880"/>
        </w:tabs>
        <w:ind w:left="2880" w:hanging="360"/>
      </w:pPr>
      <w:rPr>
        <w:rFonts w:ascii="Wingdings" w:hAnsi="Wingdings" w:hint="default"/>
      </w:rPr>
    </w:lvl>
    <w:lvl w:ilvl="4" w:tplc="AFE8F2E0" w:tentative="1">
      <w:start w:val="1"/>
      <w:numFmt w:val="bullet"/>
      <w:lvlText w:val=""/>
      <w:lvlJc w:val="left"/>
      <w:pPr>
        <w:tabs>
          <w:tab w:val="num" w:pos="3600"/>
        </w:tabs>
        <w:ind w:left="3600" w:hanging="360"/>
      </w:pPr>
      <w:rPr>
        <w:rFonts w:ascii="Wingdings" w:hAnsi="Wingdings" w:hint="default"/>
      </w:rPr>
    </w:lvl>
    <w:lvl w:ilvl="5" w:tplc="4198B1C2" w:tentative="1">
      <w:start w:val="1"/>
      <w:numFmt w:val="bullet"/>
      <w:lvlText w:val=""/>
      <w:lvlJc w:val="left"/>
      <w:pPr>
        <w:tabs>
          <w:tab w:val="num" w:pos="4320"/>
        </w:tabs>
        <w:ind w:left="4320" w:hanging="360"/>
      </w:pPr>
      <w:rPr>
        <w:rFonts w:ascii="Wingdings" w:hAnsi="Wingdings" w:hint="default"/>
      </w:rPr>
    </w:lvl>
    <w:lvl w:ilvl="6" w:tplc="EDD0F8A0" w:tentative="1">
      <w:start w:val="1"/>
      <w:numFmt w:val="bullet"/>
      <w:lvlText w:val=""/>
      <w:lvlJc w:val="left"/>
      <w:pPr>
        <w:tabs>
          <w:tab w:val="num" w:pos="5040"/>
        </w:tabs>
        <w:ind w:left="5040" w:hanging="360"/>
      </w:pPr>
      <w:rPr>
        <w:rFonts w:ascii="Wingdings" w:hAnsi="Wingdings" w:hint="default"/>
      </w:rPr>
    </w:lvl>
    <w:lvl w:ilvl="7" w:tplc="95F205D4" w:tentative="1">
      <w:start w:val="1"/>
      <w:numFmt w:val="bullet"/>
      <w:lvlText w:val=""/>
      <w:lvlJc w:val="left"/>
      <w:pPr>
        <w:tabs>
          <w:tab w:val="num" w:pos="5760"/>
        </w:tabs>
        <w:ind w:left="5760" w:hanging="360"/>
      </w:pPr>
      <w:rPr>
        <w:rFonts w:ascii="Wingdings" w:hAnsi="Wingdings" w:hint="default"/>
      </w:rPr>
    </w:lvl>
    <w:lvl w:ilvl="8" w:tplc="DFFA04EE" w:tentative="1">
      <w:start w:val="1"/>
      <w:numFmt w:val="bullet"/>
      <w:lvlText w:val=""/>
      <w:lvlJc w:val="left"/>
      <w:pPr>
        <w:tabs>
          <w:tab w:val="num" w:pos="6480"/>
        </w:tabs>
        <w:ind w:left="6480" w:hanging="360"/>
      </w:pPr>
      <w:rPr>
        <w:rFonts w:ascii="Wingdings" w:hAnsi="Wingdings" w:hint="default"/>
      </w:rPr>
    </w:lvl>
  </w:abstractNum>
  <w:abstractNum w:abstractNumId="19">
    <w:nsid w:val="5C003E8C"/>
    <w:multiLevelType w:val="hybridMultilevel"/>
    <w:tmpl w:val="475AC0D8"/>
    <w:lvl w:ilvl="0" w:tplc="E08E5D22">
      <w:start w:val="1"/>
      <w:numFmt w:val="decimal"/>
      <w:lvlText w:val="%1、"/>
      <w:lvlJc w:val="left"/>
      <w:pPr>
        <w:ind w:left="1200" w:hanging="720"/>
      </w:pPr>
      <w:rPr>
        <w:rFonts w:hint="default"/>
      </w:r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0">
    <w:nsid w:val="5C5F63A9"/>
    <w:multiLevelType w:val="hybridMultilevel"/>
    <w:tmpl w:val="314A2B18"/>
    <w:lvl w:ilvl="0" w:tplc="7E863EF2">
      <w:start w:val="1"/>
      <w:numFmt w:val="japaneseCounting"/>
      <w:lvlText w:val="第%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1">
    <w:nsid w:val="60BC4A89"/>
    <w:multiLevelType w:val="hybridMultilevel"/>
    <w:tmpl w:val="586EE950"/>
    <w:lvl w:ilvl="0" w:tplc="6A165E04">
      <w:start w:val="1"/>
      <w:numFmt w:val="bullet"/>
      <w:lvlText w:val=""/>
      <w:lvlJc w:val="left"/>
      <w:pPr>
        <w:tabs>
          <w:tab w:val="num" w:pos="720"/>
        </w:tabs>
        <w:ind w:left="720" w:hanging="360"/>
      </w:pPr>
      <w:rPr>
        <w:rFonts w:ascii="Wingdings" w:hAnsi="Wingdings" w:hint="default"/>
      </w:rPr>
    </w:lvl>
    <w:lvl w:ilvl="1" w:tplc="21AC195E" w:tentative="1">
      <w:start w:val="1"/>
      <w:numFmt w:val="bullet"/>
      <w:lvlText w:val=""/>
      <w:lvlJc w:val="left"/>
      <w:pPr>
        <w:tabs>
          <w:tab w:val="num" w:pos="1440"/>
        </w:tabs>
        <w:ind w:left="1440" w:hanging="360"/>
      </w:pPr>
      <w:rPr>
        <w:rFonts w:ascii="Wingdings" w:hAnsi="Wingdings" w:hint="default"/>
      </w:rPr>
    </w:lvl>
    <w:lvl w:ilvl="2" w:tplc="A0B615E8" w:tentative="1">
      <w:start w:val="1"/>
      <w:numFmt w:val="bullet"/>
      <w:lvlText w:val=""/>
      <w:lvlJc w:val="left"/>
      <w:pPr>
        <w:tabs>
          <w:tab w:val="num" w:pos="2160"/>
        </w:tabs>
        <w:ind w:left="2160" w:hanging="360"/>
      </w:pPr>
      <w:rPr>
        <w:rFonts w:ascii="Wingdings" w:hAnsi="Wingdings" w:hint="default"/>
      </w:rPr>
    </w:lvl>
    <w:lvl w:ilvl="3" w:tplc="E75C4E4C" w:tentative="1">
      <w:start w:val="1"/>
      <w:numFmt w:val="bullet"/>
      <w:lvlText w:val=""/>
      <w:lvlJc w:val="left"/>
      <w:pPr>
        <w:tabs>
          <w:tab w:val="num" w:pos="2880"/>
        </w:tabs>
        <w:ind w:left="2880" w:hanging="360"/>
      </w:pPr>
      <w:rPr>
        <w:rFonts w:ascii="Wingdings" w:hAnsi="Wingdings" w:hint="default"/>
      </w:rPr>
    </w:lvl>
    <w:lvl w:ilvl="4" w:tplc="4AEA7F6E" w:tentative="1">
      <w:start w:val="1"/>
      <w:numFmt w:val="bullet"/>
      <w:lvlText w:val=""/>
      <w:lvlJc w:val="left"/>
      <w:pPr>
        <w:tabs>
          <w:tab w:val="num" w:pos="3600"/>
        </w:tabs>
        <w:ind w:left="3600" w:hanging="360"/>
      </w:pPr>
      <w:rPr>
        <w:rFonts w:ascii="Wingdings" w:hAnsi="Wingdings" w:hint="default"/>
      </w:rPr>
    </w:lvl>
    <w:lvl w:ilvl="5" w:tplc="2D6A9648" w:tentative="1">
      <w:start w:val="1"/>
      <w:numFmt w:val="bullet"/>
      <w:lvlText w:val=""/>
      <w:lvlJc w:val="left"/>
      <w:pPr>
        <w:tabs>
          <w:tab w:val="num" w:pos="4320"/>
        </w:tabs>
        <w:ind w:left="4320" w:hanging="360"/>
      </w:pPr>
      <w:rPr>
        <w:rFonts w:ascii="Wingdings" w:hAnsi="Wingdings" w:hint="default"/>
      </w:rPr>
    </w:lvl>
    <w:lvl w:ilvl="6" w:tplc="CB7E3146" w:tentative="1">
      <w:start w:val="1"/>
      <w:numFmt w:val="bullet"/>
      <w:lvlText w:val=""/>
      <w:lvlJc w:val="left"/>
      <w:pPr>
        <w:tabs>
          <w:tab w:val="num" w:pos="5040"/>
        </w:tabs>
        <w:ind w:left="5040" w:hanging="360"/>
      </w:pPr>
      <w:rPr>
        <w:rFonts w:ascii="Wingdings" w:hAnsi="Wingdings" w:hint="default"/>
      </w:rPr>
    </w:lvl>
    <w:lvl w:ilvl="7" w:tplc="B1988EC6" w:tentative="1">
      <w:start w:val="1"/>
      <w:numFmt w:val="bullet"/>
      <w:lvlText w:val=""/>
      <w:lvlJc w:val="left"/>
      <w:pPr>
        <w:tabs>
          <w:tab w:val="num" w:pos="5760"/>
        </w:tabs>
        <w:ind w:left="5760" w:hanging="360"/>
      </w:pPr>
      <w:rPr>
        <w:rFonts w:ascii="Wingdings" w:hAnsi="Wingdings" w:hint="default"/>
      </w:rPr>
    </w:lvl>
    <w:lvl w:ilvl="8" w:tplc="B71C61B0" w:tentative="1">
      <w:start w:val="1"/>
      <w:numFmt w:val="bullet"/>
      <w:lvlText w:val=""/>
      <w:lvlJc w:val="left"/>
      <w:pPr>
        <w:tabs>
          <w:tab w:val="num" w:pos="6480"/>
        </w:tabs>
        <w:ind w:left="6480" w:hanging="360"/>
      </w:pPr>
      <w:rPr>
        <w:rFonts w:ascii="Wingdings" w:hAnsi="Wingdings" w:hint="default"/>
      </w:rPr>
    </w:lvl>
  </w:abstractNum>
  <w:abstractNum w:abstractNumId="22">
    <w:nsid w:val="61E30A09"/>
    <w:multiLevelType w:val="hybridMultilevel"/>
    <w:tmpl w:val="61DA731C"/>
    <w:lvl w:ilvl="0" w:tplc="768C7888">
      <w:start w:val="1"/>
      <w:numFmt w:val="decimal"/>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nsid w:val="6AA464D0"/>
    <w:multiLevelType w:val="hybridMultilevel"/>
    <w:tmpl w:val="87CE8456"/>
    <w:lvl w:ilvl="0" w:tplc="4D4E41E0">
      <w:start w:val="1"/>
      <w:numFmt w:val="bullet"/>
      <w:lvlText w:val=""/>
      <w:lvlJc w:val="left"/>
      <w:pPr>
        <w:tabs>
          <w:tab w:val="num" w:pos="720"/>
        </w:tabs>
        <w:ind w:left="720" w:hanging="360"/>
      </w:pPr>
      <w:rPr>
        <w:rFonts w:ascii="Wingdings" w:hAnsi="Wingdings" w:hint="default"/>
      </w:rPr>
    </w:lvl>
    <w:lvl w:ilvl="1" w:tplc="983CE176" w:tentative="1">
      <w:start w:val="1"/>
      <w:numFmt w:val="bullet"/>
      <w:lvlText w:val=""/>
      <w:lvlJc w:val="left"/>
      <w:pPr>
        <w:tabs>
          <w:tab w:val="num" w:pos="1440"/>
        </w:tabs>
        <w:ind w:left="1440" w:hanging="360"/>
      </w:pPr>
      <w:rPr>
        <w:rFonts w:ascii="Wingdings" w:hAnsi="Wingdings" w:hint="default"/>
      </w:rPr>
    </w:lvl>
    <w:lvl w:ilvl="2" w:tplc="EE9ECB80" w:tentative="1">
      <w:start w:val="1"/>
      <w:numFmt w:val="bullet"/>
      <w:lvlText w:val=""/>
      <w:lvlJc w:val="left"/>
      <w:pPr>
        <w:tabs>
          <w:tab w:val="num" w:pos="2160"/>
        </w:tabs>
        <w:ind w:left="2160" w:hanging="360"/>
      </w:pPr>
      <w:rPr>
        <w:rFonts w:ascii="Wingdings" w:hAnsi="Wingdings" w:hint="default"/>
      </w:rPr>
    </w:lvl>
    <w:lvl w:ilvl="3" w:tplc="61A2DFD8" w:tentative="1">
      <w:start w:val="1"/>
      <w:numFmt w:val="bullet"/>
      <w:lvlText w:val=""/>
      <w:lvlJc w:val="left"/>
      <w:pPr>
        <w:tabs>
          <w:tab w:val="num" w:pos="2880"/>
        </w:tabs>
        <w:ind w:left="2880" w:hanging="360"/>
      </w:pPr>
      <w:rPr>
        <w:rFonts w:ascii="Wingdings" w:hAnsi="Wingdings" w:hint="default"/>
      </w:rPr>
    </w:lvl>
    <w:lvl w:ilvl="4" w:tplc="26142642" w:tentative="1">
      <w:start w:val="1"/>
      <w:numFmt w:val="bullet"/>
      <w:lvlText w:val=""/>
      <w:lvlJc w:val="left"/>
      <w:pPr>
        <w:tabs>
          <w:tab w:val="num" w:pos="3600"/>
        </w:tabs>
        <w:ind w:left="3600" w:hanging="360"/>
      </w:pPr>
      <w:rPr>
        <w:rFonts w:ascii="Wingdings" w:hAnsi="Wingdings" w:hint="default"/>
      </w:rPr>
    </w:lvl>
    <w:lvl w:ilvl="5" w:tplc="F73C735E" w:tentative="1">
      <w:start w:val="1"/>
      <w:numFmt w:val="bullet"/>
      <w:lvlText w:val=""/>
      <w:lvlJc w:val="left"/>
      <w:pPr>
        <w:tabs>
          <w:tab w:val="num" w:pos="4320"/>
        </w:tabs>
        <w:ind w:left="4320" w:hanging="360"/>
      </w:pPr>
      <w:rPr>
        <w:rFonts w:ascii="Wingdings" w:hAnsi="Wingdings" w:hint="default"/>
      </w:rPr>
    </w:lvl>
    <w:lvl w:ilvl="6" w:tplc="3F82EBD8" w:tentative="1">
      <w:start w:val="1"/>
      <w:numFmt w:val="bullet"/>
      <w:lvlText w:val=""/>
      <w:lvlJc w:val="left"/>
      <w:pPr>
        <w:tabs>
          <w:tab w:val="num" w:pos="5040"/>
        </w:tabs>
        <w:ind w:left="5040" w:hanging="360"/>
      </w:pPr>
      <w:rPr>
        <w:rFonts w:ascii="Wingdings" w:hAnsi="Wingdings" w:hint="default"/>
      </w:rPr>
    </w:lvl>
    <w:lvl w:ilvl="7" w:tplc="83D649B4" w:tentative="1">
      <w:start w:val="1"/>
      <w:numFmt w:val="bullet"/>
      <w:lvlText w:val=""/>
      <w:lvlJc w:val="left"/>
      <w:pPr>
        <w:tabs>
          <w:tab w:val="num" w:pos="5760"/>
        </w:tabs>
        <w:ind w:left="5760" w:hanging="360"/>
      </w:pPr>
      <w:rPr>
        <w:rFonts w:ascii="Wingdings" w:hAnsi="Wingdings" w:hint="default"/>
      </w:rPr>
    </w:lvl>
    <w:lvl w:ilvl="8" w:tplc="EC785C22" w:tentative="1">
      <w:start w:val="1"/>
      <w:numFmt w:val="bullet"/>
      <w:lvlText w:val=""/>
      <w:lvlJc w:val="left"/>
      <w:pPr>
        <w:tabs>
          <w:tab w:val="num" w:pos="6480"/>
        </w:tabs>
        <w:ind w:left="6480" w:hanging="360"/>
      </w:pPr>
      <w:rPr>
        <w:rFonts w:ascii="Wingdings" w:hAnsi="Wingdings" w:hint="default"/>
      </w:rPr>
    </w:lvl>
  </w:abstractNum>
  <w:abstractNum w:abstractNumId="24">
    <w:nsid w:val="6F9C03C7"/>
    <w:multiLevelType w:val="hybridMultilevel"/>
    <w:tmpl w:val="3E6AE66A"/>
    <w:lvl w:ilvl="0" w:tplc="32D22218">
      <w:start w:val="1"/>
      <w:numFmt w:val="bullet"/>
      <w:lvlText w:val=""/>
      <w:lvlJc w:val="left"/>
      <w:pPr>
        <w:tabs>
          <w:tab w:val="num" w:pos="720"/>
        </w:tabs>
        <w:ind w:left="720" w:hanging="360"/>
      </w:pPr>
      <w:rPr>
        <w:rFonts w:ascii="Wingdings" w:hAnsi="Wingdings" w:hint="default"/>
      </w:rPr>
    </w:lvl>
    <w:lvl w:ilvl="1" w:tplc="63AC403C" w:tentative="1">
      <w:start w:val="1"/>
      <w:numFmt w:val="bullet"/>
      <w:lvlText w:val=""/>
      <w:lvlJc w:val="left"/>
      <w:pPr>
        <w:tabs>
          <w:tab w:val="num" w:pos="1440"/>
        </w:tabs>
        <w:ind w:left="1440" w:hanging="360"/>
      </w:pPr>
      <w:rPr>
        <w:rFonts w:ascii="Wingdings" w:hAnsi="Wingdings" w:hint="default"/>
      </w:rPr>
    </w:lvl>
    <w:lvl w:ilvl="2" w:tplc="8E0CD4A4" w:tentative="1">
      <w:start w:val="1"/>
      <w:numFmt w:val="bullet"/>
      <w:lvlText w:val=""/>
      <w:lvlJc w:val="left"/>
      <w:pPr>
        <w:tabs>
          <w:tab w:val="num" w:pos="2160"/>
        </w:tabs>
        <w:ind w:left="2160" w:hanging="360"/>
      </w:pPr>
      <w:rPr>
        <w:rFonts w:ascii="Wingdings" w:hAnsi="Wingdings" w:hint="default"/>
      </w:rPr>
    </w:lvl>
    <w:lvl w:ilvl="3" w:tplc="3F0AE334" w:tentative="1">
      <w:start w:val="1"/>
      <w:numFmt w:val="bullet"/>
      <w:lvlText w:val=""/>
      <w:lvlJc w:val="left"/>
      <w:pPr>
        <w:tabs>
          <w:tab w:val="num" w:pos="2880"/>
        </w:tabs>
        <w:ind w:left="2880" w:hanging="360"/>
      </w:pPr>
      <w:rPr>
        <w:rFonts w:ascii="Wingdings" w:hAnsi="Wingdings" w:hint="default"/>
      </w:rPr>
    </w:lvl>
    <w:lvl w:ilvl="4" w:tplc="F44E0768" w:tentative="1">
      <w:start w:val="1"/>
      <w:numFmt w:val="bullet"/>
      <w:lvlText w:val=""/>
      <w:lvlJc w:val="left"/>
      <w:pPr>
        <w:tabs>
          <w:tab w:val="num" w:pos="3600"/>
        </w:tabs>
        <w:ind w:left="3600" w:hanging="360"/>
      </w:pPr>
      <w:rPr>
        <w:rFonts w:ascii="Wingdings" w:hAnsi="Wingdings" w:hint="default"/>
      </w:rPr>
    </w:lvl>
    <w:lvl w:ilvl="5" w:tplc="74C672F0" w:tentative="1">
      <w:start w:val="1"/>
      <w:numFmt w:val="bullet"/>
      <w:lvlText w:val=""/>
      <w:lvlJc w:val="left"/>
      <w:pPr>
        <w:tabs>
          <w:tab w:val="num" w:pos="4320"/>
        </w:tabs>
        <w:ind w:left="4320" w:hanging="360"/>
      </w:pPr>
      <w:rPr>
        <w:rFonts w:ascii="Wingdings" w:hAnsi="Wingdings" w:hint="default"/>
      </w:rPr>
    </w:lvl>
    <w:lvl w:ilvl="6" w:tplc="BE0421A6" w:tentative="1">
      <w:start w:val="1"/>
      <w:numFmt w:val="bullet"/>
      <w:lvlText w:val=""/>
      <w:lvlJc w:val="left"/>
      <w:pPr>
        <w:tabs>
          <w:tab w:val="num" w:pos="5040"/>
        </w:tabs>
        <w:ind w:left="5040" w:hanging="360"/>
      </w:pPr>
      <w:rPr>
        <w:rFonts w:ascii="Wingdings" w:hAnsi="Wingdings" w:hint="default"/>
      </w:rPr>
    </w:lvl>
    <w:lvl w:ilvl="7" w:tplc="57DADC78" w:tentative="1">
      <w:start w:val="1"/>
      <w:numFmt w:val="bullet"/>
      <w:lvlText w:val=""/>
      <w:lvlJc w:val="left"/>
      <w:pPr>
        <w:tabs>
          <w:tab w:val="num" w:pos="5760"/>
        </w:tabs>
        <w:ind w:left="5760" w:hanging="360"/>
      </w:pPr>
      <w:rPr>
        <w:rFonts w:ascii="Wingdings" w:hAnsi="Wingdings" w:hint="default"/>
      </w:rPr>
    </w:lvl>
    <w:lvl w:ilvl="8" w:tplc="911A1FF4" w:tentative="1">
      <w:start w:val="1"/>
      <w:numFmt w:val="bullet"/>
      <w:lvlText w:val=""/>
      <w:lvlJc w:val="left"/>
      <w:pPr>
        <w:tabs>
          <w:tab w:val="num" w:pos="6480"/>
        </w:tabs>
        <w:ind w:left="6480" w:hanging="360"/>
      </w:pPr>
      <w:rPr>
        <w:rFonts w:ascii="Wingdings" w:hAnsi="Wingdings" w:hint="default"/>
      </w:rPr>
    </w:lvl>
  </w:abstractNum>
  <w:num w:numId="1">
    <w:abstractNumId w:val="2"/>
  </w:num>
  <w:num w:numId="2">
    <w:abstractNumId w:val="1"/>
  </w:num>
  <w:num w:numId="3">
    <w:abstractNumId w:val="0"/>
  </w:num>
  <w:num w:numId="4">
    <w:abstractNumId w:val="3"/>
  </w:num>
  <w:num w:numId="5">
    <w:abstractNumId w:val="4"/>
  </w:num>
  <w:num w:numId="6">
    <w:abstractNumId w:val="22"/>
  </w:num>
  <w:num w:numId="7">
    <w:abstractNumId w:val="14"/>
  </w:num>
  <w:num w:numId="8">
    <w:abstractNumId w:val="13"/>
  </w:num>
  <w:num w:numId="9">
    <w:abstractNumId w:val="6"/>
  </w:num>
  <w:num w:numId="10">
    <w:abstractNumId w:val="17"/>
  </w:num>
  <w:num w:numId="11">
    <w:abstractNumId w:val="21"/>
  </w:num>
  <w:num w:numId="12">
    <w:abstractNumId w:val="15"/>
  </w:num>
  <w:num w:numId="13">
    <w:abstractNumId w:val="23"/>
  </w:num>
  <w:num w:numId="14">
    <w:abstractNumId w:val="24"/>
  </w:num>
  <w:num w:numId="15">
    <w:abstractNumId w:val="18"/>
  </w:num>
  <w:num w:numId="16">
    <w:abstractNumId w:val="12"/>
  </w:num>
  <w:num w:numId="17">
    <w:abstractNumId w:val="9"/>
  </w:num>
  <w:num w:numId="18">
    <w:abstractNumId w:val="20"/>
  </w:num>
  <w:num w:numId="19">
    <w:abstractNumId w:val="10"/>
  </w:num>
  <w:num w:numId="20">
    <w:abstractNumId w:val="19"/>
  </w:num>
  <w:num w:numId="21">
    <w:abstractNumId w:val="7"/>
  </w:num>
  <w:num w:numId="22">
    <w:abstractNumId w:val="16"/>
  </w:num>
  <w:num w:numId="23">
    <w:abstractNumId w:val="5"/>
  </w:num>
  <w:num w:numId="24">
    <w:abstractNumId w:val="11"/>
  </w:num>
  <w:num w:numId="2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doNotShadeFormData/>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F28DE503"/>
    <w:rsid w:val="0000048E"/>
    <w:rsid w:val="000006A1"/>
    <w:rsid w:val="00001755"/>
    <w:rsid w:val="0000180B"/>
    <w:rsid w:val="000022B0"/>
    <w:rsid w:val="0000327C"/>
    <w:rsid w:val="000037AD"/>
    <w:rsid w:val="00003DA4"/>
    <w:rsid w:val="00003F08"/>
    <w:rsid w:val="00003F49"/>
    <w:rsid w:val="00003F92"/>
    <w:rsid w:val="000047B9"/>
    <w:rsid w:val="00004DA9"/>
    <w:rsid w:val="00004DF6"/>
    <w:rsid w:val="00004F92"/>
    <w:rsid w:val="00005076"/>
    <w:rsid w:val="00005AF2"/>
    <w:rsid w:val="00005D9A"/>
    <w:rsid w:val="000060AC"/>
    <w:rsid w:val="000060DE"/>
    <w:rsid w:val="00006135"/>
    <w:rsid w:val="0000649D"/>
    <w:rsid w:val="00006593"/>
    <w:rsid w:val="00006787"/>
    <w:rsid w:val="000068CF"/>
    <w:rsid w:val="00006911"/>
    <w:rsid w:val="00006B83"/>
    <w:rsid w:val="0000743B"/>
    <w:rsid w:val="00007A5A"/>
    <w:rsid w:val="00007F30"/>
    <w:rsid w:val="000105FB"/>
    <w:rsid w:val="00010654"/>
    <w:rsid w:val="000106E3"/>
    <w:rsid w:val="00010B19"/>
    <w:rsid w:val="00010DAA"/>
    <w:rsid w:val="000119EF"/>
    <w:rsid w:val="00011C5F"/>
    <w:rsid w:val="000128CB"/>
    <w:rsid w:val="00012A25"/>
    <w:rsid w:val="00012CA5"/>
    <w:rsid w:val="00012DA7"/>
    <w:rsid w:val="00012E48"/>
    <w:rsid w:val="0001311B"/>
    <w:rsid w:val="00013AC4"/>
    <w:rsid w:val="00013D8C"/>
    <w:rsid w:val="00013DBA"/>
    <w:rsid w:val="00014480"/>
    <w:rsid w:val="0001500B"/>
    <w:rsid w:val="00015542"/>
    <w:rsid w:val="00015981"/>
    <w:rsid w:val="00015C26"/>
    <w:rsid w:val="00015ECB"/>
    <w:rsid w:val="00015EE5"/>
    <w:rsid w:val="00015F11"/>
    <w:rsid w:val="00015F3D"/>
    <w:rsid w:val="00016248"/>
    <w:rsid w:val="00016A8C"/>
    <w:rsid w:val="00016BE5"/>
    <w:rsid w:val="00016C6A"/>
    <w:rsid w:val="00017B9C"/>
    <w:rsid w:val="0002033F"/>
    <w:rsid w:val="0002051A"/>
    <w:rsid w:val="00020970"/>
    <w:rsid w:val="00020BBA"/>
    <w:rsid w:val="00020F7F"/>
    <w:rsid w:val="000219C9"/>
    <w:rsid w:val="00021B34"/>
    <w:rsid w:val="00021C85"/>
    <w:rsid w:val="00022DD3"/>
    <w:rsid w:val="0002319C"/>
    <w:rsid w:val="000232BB"/>
    <w:rsid w:val="00023531"/>
    <w:rsid w:val="00023C51"/>
    <w:rsid w:val="00023E14"/>
    <w:rsid w:val="0002431B"/>
    <w:rsid w:val="00025073"/>
    <w:rsid w:val="00025B9D"/>
    <w:rsid w:val="00025F12"/>
    <w:rsid w:val="00026193"/>
    <w:rsid w:val="000270FF"/>
    <w:rsid w:val="000274EB"/>
    <w:rsid w:val="000275C9"/>
    <w:rsid w:val="0002765B"/>
    <w:rsid w:val="0002780B"/>
    <w:rsid w:val="00027AAB"/>
    <w:rsid w:val="00027E39"/>
    <w:rsid w:val="0003065D"/>
    <w:rsid w:val="00030711"/>
    <w:rsid w:val="00030E2D"/>
    <w:rsid w:val="00030E7C"/>
    <w:rsid w:val="000312AB"/>
    <w:rsid w:val="00031A0F"/>
    <w:rsid w:val="00032A5F"/>
    <w:rsid w:val="00032A68"/>
    <w:rsid w:val="00032ABF"/>
    <w:rsid w:val="000331EC"/>
    <w:rsid w:val="0003324E"/>
    <w:rsid w:val="000332AD"/>
    <w:rsid w:val="00033828"/>
    <w:rsid w:val="00034037"/>
    <w:rsid w:val="00034E64"/>
    <w:rsid w:val="0003520F"/>
    <w:rsid w:val="0003530E"/>
    <w:rsid w:val="00035D3D"/>
    <w:rsid w:val="00036DAA"/>
    <w:rsid w:val="00037494"/>
    <w:rsid w:val="0003773F"/>
    <w:rsid w:val="00037762"/>
    <w:rsid w:val="00037E6C"/>
    <w:rsid w:val="00037F38"/>
    <w:rsid w:val="000400EC"/>
    <w:rsid w:val="000401C9"/>
    <w:rsid w:val="000409E0"/>
    <w:rsid w:val="00040A6A"/>
    <w:rsid w:val="0004102C"/>
    <w:rsid w:val="000417A6"/>
    <w:rsid w:val="00041B38"/>
    <w:rsid w:val="00043A6D"/>
    <w:rsid w:val="00043DB6"/>
    <w:rsid w:val="00043E48"/>
    <w:rsid w:val="0004427C"/>
    <w:rsid w:val="000449F0"/>
    <w:rsid w:val="0004549D"/>
    <w:rsid w:val="00045A17"/>
    <w:rsid w:val="00045AB5"/>
    <w:rsid w:val="000463F4"/>
    <w:rsid w:val="0004644B"/>
    <w:rsid w:val="000465B1"/>
    <w:rsid w:val="000467D7"/>
    <w:rsid w:val="000472E5"/>
    <w:rsid w:val="00047BC0"/>
    <w:rsid w:val="00047BF1"/>
    <w:rsid w:val="00047E2A"/>
    <w:rsid w:val="00047FA6"/>
    <w:rsid w:val="0005003A"/>
    <w:rsid w:val="00050047"/>
    <w:rsid w:val="000504C8"/>
    <w:rsid w:val="000505E2"/>
    <w:rsid w:val="000507BC"/>
    <w:rsid w:val="00050AE2"/>
    <w:rsid w:val="00050E8F"/>
    <w:rsid w:val="0005155B"/>
    <w:rsid w:val="00051575"/>
    <w:rsid w:val="0005161A"/>
    <w:rsid w:val="00051CD0"/>
    <w:rsid w:val="00051D9D"/>
    <w:rsid w:val="000523C8"/>
    <w:rsid w:val="00052427"/>
    <w:rsid w:val="00053051"/>
    <w:rsid w:val="000537A4"/>
    <w:rsid w:val="000544C9"/>
    <w:rsid w:val="00054893"/>
    <w:rsid w:val="00054AE0"/>
    <w:rsid w:val="00054AFD"/>
    <w:rsid w:val="00054E2A"/>
    <w:rsid w:val="0005504F"/>
    <w:rsid w:val="000553C1"/>
    <w:rsid w:val="00055485"/>
    <w:rsid w:val="0005558A"/>
    <w:rsid w:val="00055679"/>
    <w:rsid w:val="00055A52"/>
    <w:rsid w:val="00055D29"/>
    <w:rsid w:val="00055F3B"/>
    <w:rsid w:val="000562D4"/>
    <w:rsid w:val="0005655B"/>
    <w:rsid w:val="0005721A"/>
    <w:rsid w:val="00057442"/>
    <w:rsid w:val="0005758B"/>
    <w:rsid w:val="000576DA"/>
    <w:rsid w:val="000603EF"/>
    <w:rsid w:val="00060BBF"/>
    <w:rsid w:val="00060F1B"/>
    <w:rsid w:val="000617BF"/>
    <w:rsid w:val="00061869"/>
    <w:rsid w:val="00061C3C"/>
    <w:rsid w:val="00061D9E"/>
    <w:rsid w:val="000620E2"/>
    <w:rsid w:val="0006250F"/>
    <w:rsid w:val="00062981"/>
    <w:rsid w:val="000629A2"/>
    <w:rsid w:val="00062E89"/>
    <w:rsid w:val="0006364B"/>
    <w:rsid w:val="00063EF1"/>
    <w:rsid w:val="00064007"/>
    <w:rsid w:val="000643F4"/>
    <w:rsid w:val="0006472D"/>
    <w:rsid w:val="00064DDC"/>
    <w:rsid w:val="00065B19"/>
    <w:rsid w:val="0006662C"/>
    <w:rsid w:val="0006679B"/>
    <w:rsid w:val="00066A4B"/>
    <w:rsid w:val="00066B90"/>
    <w:rsid w:val="00066C46"/>
    <w:rsid w:val="00066F10"/>
    <w:rsid w:val="00067714"/>
    <w:rsid w:val="00067963"/>
    <w:rsid w:val="00067A49"/>
    <w:rsid w:val="000701D0"/>
    <w:rsid w:val="00070606"/>
    <w:rsid w:val="00070A5D"/>
    <w:rsid w:val="0007166F"/>
    <w:rsid w:val="000719CA"/>
    <w:rsid w:val="0007212E"/>
    <w:rsid w:val="000722B7"/>
    <w:rsid w:val="00072410"/>
    <w:rsid w:val="0007254B"/>
    <w:rsid w:val="00073F36"/>
    <w:rsid w:val="00075608"/>
    <w:rsid w:val="00075EC6"/>
    <w:rsid w:val="000760C6"/>
    <w:rsid w:val="0007614B"/>
    <w:rsid w:val="0007685C"/>
    <w:rsid w:val="000771ED"/>
    <w:rsid w:val="000772BD"/>
    <w:rsid w:val="00077790"/>
    <w:rsid w:val="0007794F"/>
    <w:rsid w:val="00077B1B"/>
    <w:rsid w:val="00080318"/>
    <w:rsid w:val="000807AE"/>
    <w:rsid w:val="00080D8B"/>
    <w:rsid w:val="0008119E"/>
    <w:rsid w:val="000815F6"/>
    <w:rsid w:val="00081E60"/>
    <w:rsid w:val="00082044"/>
    <w:rsid w:val="00082CE4"/>
    <w:rsid w:val="00083341"/>
    <w:rsid w:val="00083392"/>
    <w:rsid w:val="00083A35"/>
    <w:rsid w:val="00083B64"/>
    <w:rsid w:val="00083E1C"/>
    <w:rsid w:val="00084085"/>
    <w:rsid w:val="000840CD"/>
    <w:rsid w:val="00084873"/>
    <w:rsid w:val="0008490D"/>
    <w:rsid w:val="000853E5"/>
    <w:rsid w:val="00085AC0"/>
    <w:rsid w:val="00085CBE"/>
    <w:rsid w:val="0008649A"/>
    <w:rsid w:val="000869DB"/>
    <w:rsid w:val="00086E6D"/>
    <w:rsid w:val="00086E99"/>
    <w:rsid w:val="00087119"/>
    <w:rsid w:val="0008719E"/>
    <w:rsid w:val="000875B7"/>
    <w:rsid w:val="00087DC6"/>
    <w:rsid w:val="00087E90"/>
    <w:rsid w:val="00090261"/>
    <w:rsid w:val="000907BC"/>
    <w:rsid w:val="0009124F"/>
    <w:rsid w:val="00091402"/>
    <w:rsid w:val="00091559"/>
    <w:rsid w:val="000915F6"/>
    <w:rsid w:val="000917A1"/>
    <w:rsid w:val="000917C9"/>
    <w:rsid w:val="000918CD"/>
    <w:rsid w:val="00091AC2"/>
    <w:rsid w:val="00091F14"/>
    <w:rsid w:val="00092207"/>
    <w:rsid w:val="0009252A"/>
    <w:rsid w:val="0009258F"/>
    <w:rsid w:val="00092AD5"/>
    <w:rsid w:val="00094523"/>
    <w:rsid w:val="00094D94"/>
    <w:rsid w:val="00094F6C"/>
    <w:rsid w:val="00094FF4"/>
    <w:rsid w:val="000951D3"/>
    <w:rsid w:val="000952BB"/>
    <w:rsid w:val="000953DE"/>
    <w:rsid w:val="00095B18"/>
    <w:rsid w:val="000962C2"/>
    <w:rsid w:val="00096648"/>
    <w:rsid w:val="000967FE"/>
    <w:rsid w:val="00096C99"/>
    <w:rsid w:val="0009703A"/>
    <w:rsid w:val="00097104"/>
    <w:rsid w:val="0009729E"/>
    <w:rsid w:val="0009756E"/>
    <w:rsid w:val="00097712"/>
    <w:rsid w:val="00097A7F"/>
    <w:rsid w:val="00097D5D"/>
    <w:rsid w:val="00097E52"/>
    <w:rsid w:val="000A030E"/>
    <w:rsid w:val="000A0751"/>
    <w:rsid w:val="000A07AB"/>
    <w:rsid w:val="000A0975"/>
    <w:rsid w:val="000A1929"/>
    <w:rsid w:val="000A1B69"/>
    <w:rsid w:val="000A1ECC"/>
    <w:rsid w:val="000A2DAA"/>
    <w:rsid w:val="000A2E6B"/>
    <w:rsid w:val="000A2FC7"/>
    <w:rsid w:val="000A315A"/>
    <w:rsid w:val="000A3DC8"/>
    <w:rsid w:val="000A460A"/>
    <w:rsid w:val="000A4783"/>
    <w:rsid w:val="000A4BF8"/>
    <w:rsid w:val="000A51BC"/>
    <w:rsid w:val="000A58A7"/>
    <w:rsid w:val="000A5D4F"/>
    <w:rsid w:val="000A64B9"/>
    <w:rsid w:val="000A6B05"/>
    <w:rsid w:val="000A6DE0"/>
    <w:rsid w:val="000A71BF"/>
    <w:rsid w:val="000A74E1"/>
    <w:rsid w:val="000A7DAC"/>
    <w:rsid w:val="000B026D"/>
    <w:rsid w:val="000B05E2"/>
    <w:rsid w:val="000B0BF6"/>
    <w:rsid w:val="000B10BC"/>
    <w:rsid w:val="000B1789"/>
    <w:rsid w:val="000B17BD"/>
    <w:rsid w:val="000B210C"/>
    <w:rsid w:val="000B22FC"/>
    <w:rsid w:val="000B25D3"/>
    <w:rsid w:val="000B2B07"/>
    <w:rsid w:val="000B3764"/>
    <w:rsid w:val="000B3AFD"/>
    <w:rsid w:val="000B3C90"/>
    <w:rsid w:val="000B42CE"/>
    <w:rsid w:val="000B46DA"/>
    <w:rsid w:val="000B470C"/>
    <w:rsid w:val="000B4B75"/>
    <w:rsid w:val="000B5925"/>
    <w:rsid w:val="000B6513"/>
    <w:rsid w:val="000B7BEA"/>
    <w:rsid w:val="000B7CD4"/>
    <w:rsid w:val="000B7E48"/>
    <w:rsid w:val="000C0119"/>
    <w:rsid w:val="000C078B"/>
    <w:rsid w:val="000C0CF9"/>
    <w:rsid w:val="000C0E4A"/>
    <w:rsid w:val="000C11F7"/>
    <w:rsid w:val="000C183E"/>
    <w:rsid w:val="000C1B8F"/>
    <w:rsid w:val="000C2B22"/>
    <w:rsid w:val="000C3787"/>
    <w:rsid w:val="000C39FF"/>
    <w:rsid w:val="000C449C"/>
    <w:rsid w:val="000C48A2"/>
    <w:rsid w:val="000C4BC7"/>
    <w:rsid w:val="000C60B9"/>
    <w:rsid w:val="000C6120"/>
    <w:rsid w:val="000C64EF"/>
    <w:rsid w:val="000C66E9"/>
    <w:rsid w:val="000C6919"/>
    <w:rsid w:val="000C6997"/>
    <w:rsid w:val="000C715A"/>
    <w:rsid w:val="000C7EFF"/>
    <w:rsid w:val="000C7FD1"/>
    <w:rsid w:val="000D03DB"/>
    <w:rsid w:val="000D0A66"/>
    <w:rsid w:val="000D0C47"/>
    <w:rsid w:val="000D0D13"/>
    <w:rsid w:val="000D1B79"/>
    <w:rsid w:val="000D20CB"/>
    <w:rsid w:val="000D2ABF"/>
    <w:rsid w:val="000D2ACF"/>
    <w:rsid w:val="000D3239"/>
    <w:rsid w:val="000D39B6"/>
    <w:rsid w:val="000D476C"/>
    <w:rsid w:val="000D4D45"/>
    <w:rsid w:val="000D4F30"/>
    <w:rsid w:val="000D5319"/>
    <w:rsid w:val="000D5735"/>
    <w:rsid w:val="000D6268"/>
    <w:rsid w:val="000D6289"/>
    <w:rsid w:val="000D6D98"/>
    <w:rsid w:val="000D7167"/>
    <w:rsid w:val="000D7AE6"/>
    <w:rsid w:val="000D7AF4"/>
    <w:rsid w:val="000E0C96"/>
    <w:rsid w:val="000E0E2A"/>
    <w:rsid w:val="000E0E59"/>
    <w:rsid w:val="000E1BF0"/>
    <w:rsid w:val="000E2002"/>
    <w:rsid w:val="000E2496"/>
    <w:rsid w:val="000E25F5"/>
    <w:rsid w:val="000E2962"/>
    <w:rsid w:val="000E2A9F"/>
    <w:rsid w:val="000E2AF3"/>
    <w:rsid w:val="000E3119"/>
    <w:rsid w:val="000E3145"/>
    <w:rsid w:val="000E322E"/>
    <w:rsid w:val="000E3A11"/>
    <w:rsid w:val="000E3A48"/>
    <w:rsid w:val="000E3B01"/>
    <w:rsid w:val="000E3F98"/>
    <w:rsid w:val="000E41C4"/>
    <w:rsid w:val="000E4621"/>
    <w:rsid w:val="000E4BFC"/>
    <w:rsid w:val="000E4CB9"/>
    <w:rsid w:val="000E4E3A"/>
    <w:rsid w:val="000E544C"/>
    <w:rsid w:val="000E5513"/>
    <w:rsid w:val="000E5709"/>
    <w:rsid w:val="000E5994"/>
    <w:rsid w:val="000E59F8"/>
    <w:rsid w:val="000E5C5E"/>
    <w:rsid w:val="000E5CD3"/>
    <w:rsid w:val="000E5D4B"/>
    <w:rsid w:val="000E60E9"/>
    <w:rsid w:val="000E64C5"/>
    <w:rsid w:val="000E64E3"/>
    <w:rsid w:val="000E7157"/>
    <w:rsid w:val="000E7483"/>
    <w:rsid w:val="000E7583"/>
    <w:rsid w:val="000E79B7"/>
    <w:rsid w:val="000F0182"/>
    <w:rsid w:val="000F0675"/>
    <w:rsid w:val="000F06A6"/>
    <w:rsid w:val="000F0944"/>
    <w:rsid w:val="000F17DC"/>
    <w:rsid w:val="000F1881"/>
    <w:rsid w:val="000F1FB1"/>
    <w:rsid w:val="000F2087"/>
    <w:rsid w:val="000F2794"/>
    <w:rsid w:val="000F2996"/>
    <w:rsid w:val="000F2BF3"/>
    <w:rsid w:val="000F314D"/>
    <w:rsid w:val="000F3AC7"/>
    <w:rsid w:val="000F4125"/>
    <w:rsid w:val="000F4318"/>
    <w:rsid w:val="000F4A50"/>
    <w:rsid w:val="000F4D7B"/>
    <w:rsid w:val="000F52CC"/>
    <w:rsid w:val="000F56B5"/>
    <w:rsid w:val="000F58C3"/>
    <w:rsid w:val="000F5D77"/>
    <w:rsid w:val="000F74B8"/>
    <w:rsid w:val="000F76D9"/>
    <w:rsid w:val="000F7D19"/>
    <w:rsid w:val="000F7F35"/>
    <w:rsid w:val="00100559"/>
    <w:rsid w:val="001005A9"/>
    <w:rsid w:val="00100E6A"/>
    <w:rsid w:val="00100F77"/>
    <w:rsid w:val="00101DDE"/>
    <w:rsid w:val="00101F9D"/>
    <w:rsid w:val="001021F0"/>
    <w:rsid w:val="00102909"/>
    <w:rsid w:val="00102B5E"/>
    <w:rsid w:val="00102BB3"/>
    <w:rsid w:val="00102EDA"/>
    <w:rsid w:val="001032B0"/>
    <w:rsid w:val="0010359C"/>
    <w:rsid w:val="00103934"/>
    <w:rsid w:val="00103F06"/>
    <w:rsid w:val="001046A3"/>
    <w:rsid w:val="0010475E"/>
    <w:rsid w:val="00104DA0"/>
    <w:rsid w:val="00105570"/>
    <w:rsid w:val="00105EE6"/>
    <w:rsid w:val="00106571"/>
    <w:rsid w:val="00106EE1"/>
    <w:rsid w:val="001072C7"/>
    <w:rsid w:val="001072EB"/>
    <w:rsid w:val="001076D5"/>
    <w:rsid w:val="0010794B"/>
    <w:rsid w:val="00107E45"/>
    <w:rsid w:val="00110783"/>
    <w:rsid w:val="0011102F"/>
    <w:rsid w:val="001119F5"/>
    <w:rsid w:val="00111E0B"/>
    <w:rsid w:val="0011228C"/>
    <w:rsid w:val="0011230D"/>
    <w:rsid w:val="00112AFF"/>
    <w:rsid w:val="00112CB9"/>
    <w:rsid w:val="0011318D"/>
    <w:rsid w:val="001136A5"/>
    <w:rsid w:val="00113CDE"/>
    <w:rsid w:val="00113D88"/>
    <w:rsid w:val="00114286"/>
    <w:rsid w:val="00114B4D"/>
    <w:rsid w:val="001152D0"/>
    <w:rsid w:val="00115834"/>
    <w:rsid w:val="001159B4"/>
    <w:rsid w:val="0011638E"/>
    <w:rsid w:val="0011651B"/>
    <w:rsid w:val="00116698"/>
    <w:rsid w:val="0011682A"/>
    <w:rsid w:val="0011689A"/>
    <w:rsid w:val="00116B60"/>
    <w:rsid w:val="00116C60"/>
    <w:rsid w:val="00116F1A"/>
    <w:rsid w:val="001170AF"/>
    <w:rsid w:val="001176C7"/>
    <w:rsid w:val="00117AF6"/>
    <w:rsid w:val="00117D1F"/>
    <w:rsid w:val="00120548"/>
    <w:rsid w:val="001209D6"/>
    <w:rsid w:val="00121000"/>
    <w:rsid w:val="00121021"/>
    <w:rsid w:val="00121910"/>
    <w:rsid w:val="00121ABD"/>
    <w:rsid w:val="00121D0D"/>
    <w:rsid w:val="00121ED8"/>
    <w:rsid w:val="00122676"/>
    <w:rsid w:val="00122DB4"/>
    <w:rsid w:val="00122E09"/>
    <w:rsid w:val="00122E5C"/>
    <w:rsid w:val="001230CB"/>
    <w:rsid w:val="001232DD"/>
    <w:rsid w:val="0012345B"/>
    <w:rsid w:val="00123923"/>
    <w:rsid w:val="00123B14"/>
    <w:rsid w:val="00123B8E"/>
    <w:rsid w:val="00124044"/>
    <w:rsid w:val="001244E8"/>
    <w:rsid w:val="001245CC"/>
    <w:rsid w:val="00124DD0"/>
    <w:rsid w:val="001253B1"/>
    <w:rsid w:val="001254DA"/>
    <w:rsid w:val="001254F6"/>
    <w:rsid w:val="0012599B"/>
    <w:rsid w:val="00125D11"/>
    <w:rsid w:val="00125FF7"/>
    <w:rsid w:val="001262D7"/>
    <w:rsid w:val="001269D9"/>
    <w:rsid w:val="00126A2D"/>
    <w:rsid w:val="00126DBF"/>
    <w:rsid w:val="00127808"/>
    <w:rsid w:val="00127AE1"/>
    <w:rsid w:val="00127E16"/>
    <w:rsid w:val="00127E8D"/>
    <w:rsid w:val="00127F69"/>
    <w:rsid w:val="00127F71"/>
    <w:rsid w:val="00130403"/>
    <w:rsid w:val="001305A4"/>
    <w:rsid w:val="00130DCD"/>
    <w:rsid w:val="00131317"/>
    <w:rsid w:val="0013157D"/>
    <w:rsid w:val="0013161A"/>
    <w:rsid w:val="00131744"/>
    <w:rsid w:val="00131E4A"/>
    <w:rsid w:val="00132281"/>
    <w:rsid w:val="00132E92"/>
    <w:rsid w:val="00133A1F"/>
    <w:rsid w:val="00134D58"/>
    <w:rsid w:val="001353A1"/>
    <w:rsid w:val="001357FD"/>
    <w:rsid w:val="00136119"/>
    <w:rsid w:val="001364F2"/>
    <w:rsid w:val="00136E93"/>
    <w:rsid w:val="00136EC5"/>
    <w:rsid w:val="001371B1"/>
    <w:rsid w:val="001372BD"/>
    <w:rsid w:val="00137539"/>
    <w:rsid w:val="00137FD9"/>
    <w:rsid w:val="00140019"/>
    <w:rsid w:val="001403D4"/>
    <w:rsid w:val="0014091D"/>
    <w:rsid w:val="00140DA1"/>
    <w:rsid w:val="00140DB4"/>
    <w:rsid w:val="001417AA"/>
    <w:rsid w:val="00143596"/>
    <w:rsid w:val="00143A9A"/>
    <w:rsid w:val="00144281"/>
    <w:rsid w:val="0014448A"/>
    <w:rsid w:val="001445CA"/>
    <w:rsid w:val="0014500B"/>
    <w:rsid w:val="001453E3"/>
    <w:rsid w:val="00145481"/>
    <w:rsid w:val="001457CA"/>
    <w:rsid w:val="001458E5"/>
    <w:rsid w:val="00146098"/>
    <w:rsid w:val="001461DD"/>
    <w:rsid w:val="0014665B"/>
    <w:rsid w:val="001469A9"/>
    <w:rsid w:val="001472D4"/>
    <w:rsid w:val="00147336"/>
    <w:rsid w:val="001473F4"/>
    <w:rsid w:val="00147557"/>
    <w:rsid w:val="00147C93"/>
    <w:rsid w:val="00150CF6"/>
    <w:rsid w:val="00150E16"/>
    <w:rsid w:val="0015135E"/>
    <w:rsid w:val="001517A4"/>
    <w:rsid w:val="001517F0"/>
    <w:rsid w:val="001522D8"/>
    <w:rsid w:val="001524B5"/>
    <w:rsid w:val="001525AD"/>
    <w:rsid w:val="00152828"/>
    <w:rsid w:val="001529B7"/>
    <w:rsid w:val="00152EF2"/>
    <w:rsid w:val="0015336C"/>
    <w:rsid w:val="001534C6"/>
    <w:rsid w:val="00153A65"/>
    <w:rsid w:val="00153C30"/>
    <w:rsid w:val="00153E05"/>
    <w:rsid w:val="00153FE5"/>
    <w:rsid w:val="001541BE"/>
    <w:rsid w:val="001541EE"/>
    <w:rsid w:val="0015463A"/>
    <w:rsid w:val="00154762"/>
    <w:rsid w:val="00154E1C"/>
    <w:rsid w:val="00155063"/>
    <w:rsid w:val="001551C9"/>
    <w:rsid w:val="00155427"/>
    <w:rsid w:val="001556C9"/>
    <w:rsid w:val="00155C96"/>
    <w:rsid w:val="00155CBE"/>
    <w:rsid w:val="00155D06"/>
    <w:rsid w:val="00156190"/>
    <w:rsid w:val="0015634E"/>
    <w:rsid w:val="00156410"/>
    <w:rsid w:val="00156515"/>
    <w:rsid w:val="00156B73"/>
    <w:rsid w:val="0015798B"/>
    <w:rsid w:val="00157A31"/>
    <w:rsid w:val="00157AEE"/>
    <w:rsid w:val="001602AE"/>
    <w:rsid w:val="00160370"/>
    <w:rsid w:val="0016096D"/>
    <w:rsid w:val="0016107A"/>
    <w:rsid w:val="001611C1"/>
    <w:rsid w:val="0016142C"/>
    <w:rsid w:val="0016155D"/>
    <w:rsid w:val="00161568"/>
    <w:rsid w:val="00161909"/>
    <w:rsid w:val="00161984"/>
    <w:rsid w:val="00161D5D"/>
    <w:rsid w:val="0016251D"/>
    <w:rsid w:val="001629D2"/>
    <w:rsid w:val="00162C39"/>
    <w:rsid w:val="0016431D"/>
    <w:rsid w:val="001644C8"/>
    <w:rsid w:val="0016453E"/>
    <w:rsid w:val="001647E6"/>
    <w:rsid w:val="00166825"/>
    <w:rsid w:val="001668A4"/>
    <w:rsid w:val="00166EF2"/>
    <w:rsid w:val="00167137"/>
    <w:rsid w:val="00167E3A"/>
    <w:rsid w:val="00167EF4"/>
    <w:rsid w:val="00170521"/>
    <w:rsid w:val="00170F26"/>
    <w:rsid w:val="001715B3"/>
    <w:rsid w:val="00171997"/>
    <w:rsid w:val="0017214C"/>
    <w:rsid w:val="0017231C"/>
    <w:rsid w:val="0017232C"/>
    <w:rsid w:val="001723BD"/>
    <w:rsid w:val="001724C7"/>
    <w:rsid w:val="001725E0"/>
    <w:rsid w:val="0017270C"/>
    <w:rsid w:val="00172A27"/>
    <w:rsid w:val="00173BBF"/>
    <w:rsid w:val="001741DB"/>
    <w:rsid w:val="00174443"/>
    <w:rsid w:val="001746BF"/>
    <w:rsid w:val="0017514E"/>
    <w:rsid w:val="001754D1"/>
    <w:rsid w:val="00175927"/>
    <w:rsid w:val="00175DB7"/>
    <w:rsid w:val="001763F2"/>
    <w:rsid w:val="00176428"/>
    <w:rsid w:val="00176585"/>
    <w:rsid w:val="00176815"/>
    <w:rsid w:val="0017689A"/>
    <w:rsid w:val="00176B4A"/>
    <w:rsid w:val="00176FCB"/>
    <w:rsid w:val="00177075"/>
    <w:rsid w:val="00177B50"/>
    <w:rsid w:val="00180451"/>
    <w:rsid w:val="001811C5"/>
    <w:rsid w:val="001814D0"/>
    <w:rsid w:val="00181C6F"/>
    <w:rsid w:val="00181E75"/>
    <w:rsid w:val="00182924"/>
    <w:rsid w:val="00182A28"/>
    <w:rsid w:val="00182C74"/>
    <w:rsid w:val="00183657"/>
    <w:rsid w:val="0018385C"/>
    <w:rsid w:val="00183F22"/>
    <w:rsid w:val="00184B95"/>
    <w:rsid w:val="001851D4"/>
    <w:rsid w:val="00185778"/>
    <w:rsid w:val="00185EBC"/>
    <w:rsid w:val="00186335"/>
    <w:rsid w:val="001864F2"/>
    <w:rsid w:val="001865E2"/>
    <w:rsid w:val="00187188"/>
    <w:rsid w:val="0018722E"/>
    <w:rsid w:val="001901C5"/>
    <w:rsid w:val="0019031C"/>
    <w:rsid w:val="001909FD"/>
    <w:rsid w:val="00191121"/>
    <w:rsid w:val="00191347"/>
    <w:rsid w:val="001917D7"/>
    <w:rsid w:val="001919E4"/>
    <w:rsid w:val="00191D54"/>
    <w:rsid w:val="00192B5D"/>
    <w:rsid w:val="0019318B"/>
    <w:rsid w:val="00193F49"/>
    <w:rsid w:val="001947A8"/>
    <w:rsid w:val="00194F80"/>
    <w:rsid w:val="00195012"/>
    <w:rsid w:val="001952E5"/>
    <w:rsid w:val="001954E8"/>
    <w:rsid w:val="00195544"/>
    <w:rsid w:val="001959A4"/>
    <w:rsid w:val="001967C0"/>
    <w:rsid w:val="001969E7"/>
    <w:rsid w:val="00196ABA"/>
    <w:rsid w:val="00196FDB"/>
    <w:rsid w:val="001973D0"/>
    <w:rsid w:val="00197AF1"/>
    <w:rsid w:val="00197F64"/>
    <w:rsid w:val="00197F76"/>
    <w:rsid w:val="001A056C"/>
    <w:rsid w:val="001A074B"/>
    <w:rsid w:val="001A07EE"/>
    <w:rsid w:val="001A0B1B"/>
    <w:rsid w:val="001A0EC4"/>
    <w:rsid w:val="001A122C"/>
    <w:rsid w:val="001A1299"/>
    <w:rsid w:val="001A1663"/>
    <w:rsid w:val="001A17C9"/>
    <w:rsid w:val="001A199F"/>
    <w:rsid w:val="001A1BC5"/>
    <w:rsid w:val="001A2799"/>
    <w:rsid w:val="001A2A8D"/>
    <w:rsid w:val="001A2E46"/>
    <w:rsid w:val="001A308F"/>
    <w:rsid w:val="001A351C"/>
    <w:rsid w:val="001A35CF"/>
    <w:rsid w:val="001A3EC3"/>
    <w:rsid w:val="001A3F75"/>
    <w:rsid w:val="001A4719"/>
    <w:rsid w:val="001A4879"/>
    <w:rsid w:val="001A4A03"/>
    <w:rsid w:val="001A4D57"/>
    <w:rsid w:val="001A4E9A"/>
    <w:rsid w:val="001A5060"/>
    <w:rsid w:val="001A510B"/>
    <w:rsid w:val="001A59CA"/>
    <w:rsid w:val="001A5CA0"/>
    <w:rsid w:val="001A621B"/>
    <w:rsid w:val="001A62A8"/>
    <w:rsid w:val="001A6417"/>
    <w:rsid w:val="001A6D3B"/>
    <w:rsid w:val="001A6DF0"/>
    <w:rsid w:val="001A6F68"/>
    <w:rsid w:val="001A6FA9"/>
    <w:rsid w:val="001A73A0"/>
    <w:rsid w:val="001A744D"/>
    <w:rsid w:val="001A7792"/>
    <w:rsid w:val="001A7A22"/>
    <w:rsid w:val="001B0403"/>
    <w:rsid w:val="001B0864"/>
    <w:rsid w:val="001B0F99"/>
    <w:rsid w:val="001B1517"/>
    <w:rsid w:val="001B1AFF"/>
    <w:rsid w:val="001B27AB"/>
    <w:rsid w:val="001B28BB"/>
    <w:rsid w:val="001B29BE"/>
    <w:rsid w:val="001B3023"/>
    <w:rsid w:val="001B3833"/>
    <w:rsid w:val="001B3BAE"/>
    <w:rsid w:val="001B4228"/>
    <w:rsid w:val="001B42F8"/>
    <w:rsid w:val="001B45EC"/>
    <w:rsid w:val="001B4E4D"/>
    <w:rsid w:val="001B5009"/>
    <w:rsid w:val="001B536D"/>
    <w:rsid w:val="001B5D78"/>
    <w:rsid w:val="001B5E55"/>
    <w:rsid w:val="001B5F7A"/>
    <w:rsid w:val="001B5FFD"/>
    <w:rsid w:val="001B60F6"/>
    <w:rsid w:val="001B62B9"/>
    <w:rsid w:val="001B6392"/>
    <w:rsid w:val="001B71E3"/>
    <w:rsid w:val="001B767D"/>
    <w:rsid w:val="001B7768"/>
    <w:rsid w:val="001B7A64"/>
    <w:rsid w:val="001B7FE1"/>
    <w:rsid w:val="001C0755"/>
    <w:rsid w:val="001C090A"/>
    <w:rsid w:val="001C0CD6"/>
    <w:rsid w:val="001C13AD"/>
    <w:rsid w:val="001C170A"/>
    <w:rsid w:val="001C1BEB"/>
    <w:rsid w:val="001C225E"/>
    <w:rsid w:val="001C23AD"/>
    <w:rsid w:val="001C24BA"/>
    <w:rsid w:val="001C269A"/>
    <w:rsid w:val="001C2789"/>
    <w:rsid w:val="001C2DB8"/>
    <w:rsid w:val="001C3579"/>
    <w:rsid w:val="001C398F"/>
    <w:rsid w:val="001C44A7"/>
    <w:rsid w:val="001C44D6"/>
    <w:rsid w:val="001C4E64"/>
    <w:rsid w:val="001C532E"/>
    <w:rsid w:val="001C53EB"/>
    <w:rsid w:val="001C574D"/>
    <w:rsid w:val="001C5AAA"/>
    <w:rsid w:val="001C64E1"/>
    <w:rsid w:val="001C682E"/>
    <w:rsid w:val="001D07B6"/>
    <w:rsid w:val="001D0BB7"/>
    <w:rsid w:val="001D0BFB"/>
    <w:rsid w:val="001D0EDD"/>
    <w:rsid w:val="001D1897"/>
    <w:rsid w:val="001D19D7"/>
    <w:rsid w:val="001D1D32"/>
    <w:rsid w:val="001D2283"/>
    <w:rsid w:val="001D2EC7"/>
    <w:rsid w:val="001D3429"/>
    <w:rsid w:val="001D3599"/>
    <w:rsid w:val="001D35B3"/>
    <w:rsid w:val="001D3EB7"/>
    <w:rsid w:val="001D4032"/>
    <w:rsid w:val="001D42A4"/>
    <w:rsid w:val="001D435F"/>
    <w:rsid w:val="001D466E"/>
    <w:rsid w:val="001D4BE8"/>
    <w:rsid w:val="001D4C19"/>
    <w:rsid w:val="001D4EA0"/>
    <w:rsid w:val="001D4EEF"/>
    <w:rsid w:val="001D526B"/>
    <w:rsid w:val="001D61B9"/>
    <w:rsid w:val="001D69C6"/>
    <w:rsid w:val="001D6A11"/>
    <w:rsid w:val="001D6ABC"/>
    <w:rsid w:val="001D6E5D"/>
    <w:rsid w:val="001D7492"/>
    <w:rsid w:val="001D7759"/>
    <w:rsid w:val="001D77AD"/>
    <w:rsid w:val="001D7EE8"/>
    <w:rsid w:val="001E00E3"/>
    <w:rsid w:val="001E0137"/>
    <w:rsid w:val="001E0BE0"/>
    <w:rsid w:val="001E0C27"/>
    <w:rsid w:val="001E0C47"/>
    <w:rsid w:val="001E0DD0"/>
    <w:rsid w:val="001E1007"/>
    <w:rsid w:val="001E1353"/>
    <w:rsid w:val="001E1474"/>
    <w:rsid w:val="001E15BC"/>
    <w:rsid w:val="001E28D3"/>
    <w:rsid w:val="001E30B3"/>
    <w:rsid w:val="001E3431"/>
    <w:rsid w:val="001E386F"/>
    <w:rsid w:val="001E38AC"/>
    <w:rsid w:val="001E38B1"/>
    <w:rsid w:val="001E3C02"/>
    <w:rsid w:val="001E40F3"/>
    <w:rsid w:val="001E4679"/>
    <w:rsid w:val="001E4FE8"/>
    <w:rsid w:val="001E5940"/>
    <w:rsid w:val="001E5995"/>
    <w:rsid w:val="001E6075"/>
    <w:rsid w:val="001E6B9A"/>
    <w:rsid w:val="001E7065"/>
    <w:rsid w:val="001E775D"/>
    <w:rsid w:val="001E7A2B"/>
    <w:rsid w:val="001E7ACC"/>
    <w:rsid w:val="001F0039"/>
    <w:rsid w:val="001F00D6"/>
    <w:rsid w:val="001F0325"/>
    <w:rsid w:val="001F0EA2"/>
    <w:rsid w:val="001F17BA"/>
    <w:rsid w:val="001F1991"/>
    <w:rsid w:val="001F215E"/>
    <w:rsid w:val="001F2627"/>
    <w:rsid w:val="001F298D"/>
    <w:rsid w:val="001F39CF"/>
    <w:rsid w:val="001F3BB3"/>
    <w:rsid w:val="001F3E6B"/>
    <w:rsid w:val="001F430F"/>
    <w:rsid w:val="001F494C"/>
    <w:rsid w:val="001F4D2F"/>
    <w:rsid w:val="001F5DD0"/>
    <w:rsid w:val="001F6A8F"/>
    <w:rsid w:val="001F71F3"/>
    <w:rsid w:val="001F73BF"/>
    <w:rsid w:val="001F7802"/>
    <w:rsid w:val="001F7EFC"/>
    <w:rsid w:val="0020043F"/>
    <w:rsid w:val="00200710"/>
    <w:rsid w:val="00200F46"/>
    <w:rsid w:val="0020107C"/>
    <w:rsid w:val="00201225"/>
    <w:rsid w:val="00201641"/>
    <w:rsid w:val="00202995"/>
    <w:rsid w:val="00202ACE"/>
    <w:rsid w:val="00202B3E"/>
    <w:rsid w:val="00202D86"/>
    <w:rsid w:val="002032C1"/>
    <w:rsid w:val="00204321"/>
    <w:rsid w:val="00204474"/>
    <w:rsid w:val="00204577"/>
    <w:rsid w:val="002049E4"/>
    <w:rsid w:val="00204BC4"/>
    <w:rsid w:val="00205BC6"/>
    <w:rsid w:val="00205C6E"/>
    <w:rsid w:val="00205E07"/>
    <w:rsid w:val="002070D2"/>
    <w:rsid w:val="002073A0"/>
    <w:rsid w:val="002073BC"/>
    <w:rsid w:val="002075E0"/>
    <w:rsid w:val="0020773A"/>
    <w:rsid w:val="002100B2"/>
    <w:rsid w:val="0021034A"/>
    <w:rsid w:val="002103DF"/>
    <w:rsid w:val="002104B2"/>
    <w:rsid w:val="0021075B"/>
    <w:rsid w:val="00210A9B"/>
    <w:rsid w:val="00210BB0"/>
    <w:rsid w:val="00210EDA"/>
    <w:rsid w:val="002111EC"/>
    <w:rsid w:val="00211B09"/>
    <w:rsid w:val="0021228C"/>
    <w:rsid w:val="00212471"/>
    <w:rsid w:val="00213D37"/>
    <w:rsid w:val="0021431F"/>
    <w:rsid w:val="0021444E"/>
    <w:rsid w:val="00214A94"/>
    <w:rsid w:val="00214FD0"/>
    <w:rsid w:val="00215416"/>
    <w:rsid w:val="0021546F"/>
    <w:rsid w:val="002155C1"/>
    <w:rsid w:val="00216159"/>
    <w:rsid w:val="002162C0"/>
    <w:rsid w:val="00216577"/>
    <w:rsid w:val="00217328"/>
    <w:rsid w:val="00217A87"/>
    <w:rsid w:val="00220375"/>
    <w:rsid w:val="00220902"/>
    <w:rsid w:val="00220ABD"/>
    <w:rsid w:val="00220C12"/>
    <w:rsid w:val="00220FD6"/>
    <w:rsid w:val="00222198"/>
    <w:rsid w:val="00223749"/>
    <w:rsid w:val="00223D9B"/>
    <w:rsid w:val="00224570"/>
    <w:rsid w:val="00224D4C"/>
    <w:rsid w:val="00224F88"/>
    <w:rsid w:val="00224F8F"/>
    <w:rsid w:val="00224FA5"/>
    <w:rsid w:val="00225070"/>
    <w:rsid w:val="0022709F"/>
    <w:rsid w:val="002279C5"/>
    <w:rsid w:val="0023023E"/>
    <w:rsid w:val="00230372"/>
    <w:rsid w:val="00230DE4"/>
    <w:rsid w:val="00230E84"/>
    <w:rsid w:val="00230F62"/>
    <w:rsid w:val="00231973"/>
    <w:rsid w:val="00231B4A"/>
    <w:rsid w:val="00231B55"/>
    <w:rsid w:val="00231C7A"/>
    <w:rsid w:val="00231D1F"/>
    <w:rsid w:val="00231E63"/>
    <w:rsid w:val="00231E89"/>
    <w:rsid w:val="00232244"/>
    <w:rsid w:val="00232295"/>
    <w:rsid w:val="00232A2D"/>
    <w:rsid w:val="00233451"/>
    <w:rsid w:val="002334CA"/>
    <w:rsid w:val="002335E8"/>
    <w:rsid w:val="00233DD7"/>
    <w:rsid w:val="0023464F"/>
    <w:rsid w:val="002346CA"/>
    <w:rsid w:val="00234798"/>
    <w:rsid w:val="00234ABC"/>
    <w:rsid w:val="00234E86"/>
    <w:rsid w:val="00235216"/>
    <w:rsid w:val="00235BF6"/>
    <w:rsid w:val="00235D65"/>
    <w:rsid w:val="00235D91"/>
    <w:rsid w:val="00235FFB"/>
    <w:rsid w:val="0023672D"/>
    <w:rsid w:val="00237A86"/>
    <w:rsid w:val="00237DAF"/>
    <w:rsid w:val="00240018"/>
    <w:rsid w:val="002404F8"/>
    <w:rsid w:val="0024069E"/>
    <w:rsid w:val="0024073D"/>
    <w:rsid w:val="00240B2A"/>
    <w:rsid w:val="00240D71"/>
    <w:rsid w:val="0024107D"/>
    <w:rsid w:val="00241108"/>
    <w:rsid w:val="00241413"/>
    <w:rsid w:val="00241448"/>
    <w:rsid w:val="00241A5F"/>
    <w:rsid w:val="0024233C"/>
    <w:rsid w:val="002423FD"/>
    <w:rsid w:val="00242403"/>
    <w:rsid w:val="002426C7"/>
    <w:rsid w:val="00242E58"/>
    <w:rsid w:val="00242F34"/>
    <w:rsid w:val="0024318B"/>
    <w:rsid w:val="00243469"/>
    <w:rsid w:val="002440A7"/>
    <w:rsid w:val="002441AE"/>
    <w:rsid w:val="00244247"/>
    <w:rsid w:val="00244957"/>
    <w:rsid w:val="00244A2C"/>
    <w:rsid w:val="0024511F"/>
    <w:rsid w:val="00245A3C"/>
    <w:rsid w:val="00245B94"/>
    <w:rsid w:val="00246034"/>
    <w:rsid w:val="002467C7"/>
    <w:rsid w:val="00246900"/>
    <w:rsid w:val="00246929"/>
    <w:rsid w:val="00247349"/>
    <w:rsid w:val="0024771C"/>
    <w:rsid w:val="0024775F"/>
    <w:rsid w:val="00250493"/>
    <w:rsid w:val="00250B82"/>
    <w:rsid w:val="00251A0A"/>
    <w:rsid w:val="0025204E"/>
    <w:rsid w:val="002520B1"/>
    <w:rsid w:val="00252456"/>
    <w:rsid w:val="00252619"/>
    <w:rsid w:val="002527E5"/>
    <w:rsid w:val="0025286C"/>
    <w:rsid w:val="00252E46"/>
    <w:rsid w:val="00252E69"/>
    <w:rsid w:val="00253A3B"/>
    <w:rsid w:val="00253BEB"/>
    <w:rsid w:val="00254460"/>
    <w:rsid w:val="002544BF"/>
    <w:rsid w:val="002547B9"/>
    <w:rsid w:val="002556C4"/>
    <w:rsid w:val="00255AC9"/>
    <w:rsid w:val="00256370"/>
    <w:rsid w:val="0025759D"/>
    <w:rsid w:val="00257624"/>
    <w:rsid w:val="00257637"/>
    <w:rsid w:val="00257B67"/>
    <w:rsid w:val="00257C02"/>
    <w:rsid w:val="00257C3A"/>
    <w:rsid w:val="00257DC8"/>
    <w:rsid w:val="00257E28"/>
    <w:rsid w:val="00260290"/>
    <w:rsid w:val="0026048F"/>
    <w:rsid w:val="00260DCF"/>
    <w:rsid w:val="0026138E"/>
    <w:rsid w:val="002614A1"/>
    <w:rsid w:val="002617A0"/>
    <w:rsid w:val="00262607"/>
    <w:rsid w:val="0026273B"/>
    <w:rsid w:val="00262E95"/>
    <w:rsid w:val="00262E9D"/>
    <w:rsid w:val="0026374A"/>
    <w:rsid w:val="0026390F"/>
    <w:rsid w:val="00263ADB"/>
    <w:rsid w:val="00263E6A"/>
    <w:rsid w:val="00264010"/>
    <w:rsid w:val="002641BF"/>
    <w:rsid w:val="002643F6"/>
    <w:rsid w:val="00264AAD"/>
    <w:rsid w:val="00264FC0"/>
    <w:rsid w:val="002652EA"/>
    <w:rsid w:val="00265A07"/>
    <w:rsid w:val="00265B99"/>
    <w:rsid w:val="002661B0"/>
    <w:rsid w:val="00266468"/>
    <w:rsid w:val="002673BE"/>
    <w:rsid w:val="0027094F"/>
    <w:rsid w:val="00271825"/>
    <w:rsid w:val="00271835"/>
    <w:rsid w:val="00271EDC"/>
    <w:rsid w:val="002728FC"/>
    <w:rsid w:val="00272B90"/>
    <w:rsid w:val="00273B77"/>
    <w:rsid w:val="00273BF9"/>
    <w:rsid w:val="00273F66"/>
    <w:rsid w:val="0027404F"/>
    <w:rsid w:val="002749A4"/>
    <w:rsid w:val="00275727"/>
    <w:rsid w:val="00275C52"/>
    <w:rsid w:val="00275C90"/>
    <w:rsid w:val="00275F5F"/>
    <w:rsid w:val="00276481"/>
    <w:rsid w:val="00276EDD"/>
    <w:rsid w:val="00277145"/>
    <w:rsid w:val="002775AA"/>
    <w:rsid w:val="00277ACC"/>
    <w:rsid w:val="002800E2"/>
    <w:rsid w:val="002801AD"/>
    <w:rsid w:val="002802D6"/>
    <w:rsid w:val="002803A4"/>
    <w:rsid w:val="00280639"/>
    <w:rsid w:val="00280A1E"/>
    <w:rsid w:val="00280AF0"/>
    <w:rsid w:val="00281689"/>
    <w:rsid w:val="00281DE4"/>
    <w:rsid w:val="00281E67"/>
    <w:rsid w:val="00281F4B"/>
    <w:rsid w:val="00282279"/>
    <w:rsid w:val="00282432"/>
    <w:rsid w:val="0028243F"/>
    <w:rsid w:val="002824B0"/>
    <w:rsid w:val="002824BE"/>
    <w:rsid w:val="002827C1"/>
    <w:rsid w:val="0028297A"/>
    <w:rsid w:val="00282ADF"/>
    <w:rsid w:val="00282C84"/>
    <w:rsid w:val="00282CEB"/>
    <w:rsid w:val="002831A9"/>
    <w:rsid w:val="002836C0"/>
    <w:rsid w:val="0028385C"/>
    <w:rsid w:val="00283E53"/>
    <w:rsid w:val="0028459A"/>
    <w:rsid w:val="00284B89"/>
    <w:rsid w:val="00284F16"/>
    <w:rsid w:val="0028516F"/>
    <w:rsid w:val="002856CC"/>
    <w:rsid w:val="002856E8"/>
    <w:rsid w:val="00285713"/>
    <w:rsid w:val="00285A3D"/>
    <w:rsid w:val="00285D12"/>
    <w:rsid w:val="00286111"/>
    <w:rsid w:val="002861B5"/>
    <w:rsid w:val="00286247"/>
    <w:rsid w:val="0028680B"/>
    <w:rsid w:val="00286D81"/>
    <w:rsid w:val="00286F89"/>
    <w:rsid w:val="002870F0"/>
    <w:rsid w:val="00287601"/>
    <w:rsid w:val="00287827"/>
    <w:rsid w:val="0028792D"/>
    <w:rsid w:val="002905B6"/>
    <w:rsid w:val="0029087F"/>
    <w:rsid w:val="0029103E"/>
    <w:rsid w:val="002914F7"/>
    <w:rsid w:val="002921DB"/>
    <w:rsid w:val="0029295E"/>
    <w:rsid w:val="00292EFF"/>
    <w:rsid w:val="00293334"/>
    <w:rsid w:val="0029358E"/>
    <w:rsid w:val="00293978"/>
    <w:rsid w:val="00293DD9"/>
    <w:rsid w:val="00293F65"/>
    <w:rsid w:val="00293F6A"/>
    <w:rsid w:val="002940EA"/>
    <w:rsid w:val="00294384"/>
    <w:rsid w:val="00294530"/>
    <w:rsid w:val="00294A4B"/>
    <w:rsid w:val="00295080"/>
    <w:rsid w:val="00295171"/>
    <w:rsid w:val="0029549E"/>
    <w:rsid w:val="0029551B"/>
    <w:rsid w:val="00296316"/>
    <w:rsid w:val="00296658"/>
    <w:rsid w:val="00296FE0"/>
    <w:rsid w:val="00297DC5"/>
    <w:rsid w:val="00297DF3"/>
    <w:rsid w:val="00297FBC"/>
    <w:rsid w:val="002A000F"/>
    <w:rsid w:val="002A08C3"/>
    <w:rsid w:val="002A0FA8"/>
    <w:rsid w:val="002A136E"/>
    <w:rsid w:val="002A1736"/>
    <w:rsid w:val="002A1B45"/>
    <w:rsid w:val="002A1D1C"/>
    <w:rsid w:val="002A1E53"/>
    <w:rsid w:val="002A2451"/>
    <w:rsid w:val="002A32DB"/>
    <w:rsid w:val="002A3977"/>
    <w:rsid w:val="002A3ABC"/>
    <w:rsid w:val="002A3BC3"/>
    <w:rsid w:val="002A3CF7"/>
    <w:rsid w:val="002A43D9"/>
    <w:rsid w:val="002A4761"/>
    <w:rsid w:val="002A535F"/>
    <w:rsid w:val="002A6C52"/>
    <w:rsid w:val="002A7075"/>
    <w:rsid w:val="002A72BA"/>
    <w:rsid w:val="002A73B5"/>
    <w:rsid w:val="002A7AEC"/>
    <w:rsid w:val="002A7CB7"/>
    <w:rsid w:val="002B0590"/>
    <w:rsid w:val="002B05D6"/>
    <w:rsid w:val="002B0752"/>
    <w:rsid w:val="002B0F81"/>
    <w:rsid w:val="002B0FF4"/>
    <w:rsid w:val="002B1948"/>
    <w:rsid w:val="002B19F0"/>
    <w:rsid w:val="002B1B67"/>
    <w:rsid w:val="002B23F4"/>
    <w:rsid w:val="002B24D7"/>
    <w:rsid w:val="002B2930"/>
    <w:rsid w:val="002B2C83"/>
    <w:rsid w:val="002B2FEC"/>
    <w:rsid w:val="002B33F5"/>
    <w:rsid w:val="002B39EC"/>
    <w:rsid w:val="002B3EFF"/>
    <w:rsid w:val="002B4025"/>
    <w:rsid w:val="002B43E7"/>
    <w:rsid w:val="002B50F8"/>
    <w:rsid w:val="002B5ECD"/>
    <w:rsid w:val="002B69D7"/>
    <w:rsid w:val="002B773F"/>
    <w:rsid w:val="002B7863"/>
    <w:rsid w:val="002B7968"/>
    <w:rsid w:val="002B7E69"/>
    <w:rsid w:val="002B7E74"/>
    <w:rsid w:val="002C0667"/>
    <w:rsid w:val="002C0898"/>
    <w:rsid w:val="002C1BC4"/>
    <w:rsid w:val="002C1C34"/>
    <w:rsid w:val="002C2475"/>
    <w:rsid w:val="002C252C"/>
    <w:rsid w:val="002C2CA8"/>
    <w:rsid w:val="002C2F3B"/>
    <w:rsid w:val="002C352A"/>
    <w:rsid w:val="002C3941"/>
    <w:rsid w:val="002C3C3B"/>
    <w:rsid w:val="002C3E85"/>
    <w:rsid w:val="002C448D"/>
    <w:rsid w:val="002C4ACD"/>
    <w:rsid w:val="002C4EA8"/>
    <w:rsid w:val="002C5496"/>
    <w:rsid w:val="002C6182"/>
    <w:rsid w:val="002C61A1"/>
    <w:rsid w:val="002C6BBD"/>
    <w:rsid w:val="002C70B3"/>
    <w:rsid w:val="002C763E"/>
    <w:rsid w:val="002C7910"/>
    <w:rsid w:val="002C7DA8"/>
    <w:rsid w:val="002C7E05"/>
    <w:rsid w:val="002D0834"/>
    <w:rsid w:val="002D0B07"/>
    <w:rsid w:val="002D0D12"/>
    <w:rsid w:val="002D14C6"/>
    <w:rsid w:val="002D19CF"/>
    <w:rsid w:val="002D251D"/>
    <w:rsid w:val="002D27D9"/>
    <w:rsid w:val="002D2B4C"/>
    <w:rsid w:val="002D32D5"/>
    <w:rsid w:val="002D354D"/>
    <w:rsid w:val="002D361C"/>
    <w:rsid w:val="002D3DEE"/>
    <w:rsid w:val="002D44EF"/>
    <w:rsid w:val="002D521C"/>
    <w:rsid w:val="002D5222"/>
    <w:rsid w:val="002D525F"/>
    <w:rsid w:val="002D5DF7"/>
    <w:rsid w:val="002D714B"/>
    <w:rsid w:val="002D7606"/>
    <w:rsid w:val="002D7893"/>
    <w:rsid w:val="002D79BB"/>
    <w:rsid w:val="002E022C"/>
    <w:rsid w:val="002E05B2"/>
    <w:rsid w:val="002E087C"/>
    <w:rsid w:val="002E09F8"/>
    <w:rsid w:val="002E0B91"/>
    <w:rsid w:val="002E1393"/>
    <w:rsid w:val="002E13ED"/>
    <w:rsid w:val="002E1AEC"/>
    <w:rsid w:val="002E232D"/>
    <w:rsid w:val="002E24BC"/>
    <w:rsid w:val="002E3768"/>
    <w:rsid w:val="002E3B46"/>
    <w:rsid w:val="002E3F59"/>
    <w:rsid w:val="002E4008"/>
    <w:rsid w:val="002E47DB"/>
    <w:rsid w:val="002E4918"/>
    <w:rsid w:val="002E50AB"/>
    <w:rsid w:val="002E5663"/>
    <w:rsid w:val="002E5BED"/>
    <w:rsid w:val="002E5EC9"/>
    <w:rsid w:val="002E68A7"/>
    <w:rsid w:val="002E6DD1"/>
    <w:rsid w:val="002E7231"/>
    <w:rsid w:val="002E74F9"/>
    <w:rsid w:val="002E7640"/>
    <w:rsid w:val="002E7B6D"/>
    <w:rsid w:val="002F027E"/>
    <w:rsid w:val="002F047D"/>
    <w:rsid w:val="002F05CB"/>
    <w:rsid w:val="002F1095"/>
    <w:rsid w:val="002F12B1"/>
    <w:rsid w:val="002F15F2"/>
    <w:rsid w:val="002F1E29"/>
    <w:rsid w:val="002F21B5"/>
    <w:rsid w:val="002F236C"/>
    <w:rsid w:val="002F2A1A"/>
    <w:rsid w:val="002F2D06"/>
    <w:rsid w:val="002F2E55"/>
    <w:rsid w:val="002F31FD"/>
    <w:rsid w:val="002F3857"/>
    <w:rsid w:val="002F415F"/>
    <w:rsid w:val="002F4257"/>
    <w:rsid w:val="002F4832"/>
    <w:rsid w:val="002F4DE5"/>
    <w:rsid w:val="002F501E"/>
    <w:rsid w:val="002F517B"/>
    <w:rsid w:val="002F5424"/>
    <w:rsid w:val="002F5C5D"/>
    <w:rsid w:val="002F61D0"/>
    <w:rsid w:val="002F64C0"/>
    <w:rsid w:val="002F68A3"/>
    <w:rsid w:val="002F718E"/>
    <w:rsid w:val="002F781D"/>
    <w:rsid w:val="002F7956"/>
    <w:rsid w:val="002F7993"/>
    <w:rsid w:val="002F7ACC"/>
    <w:rsid w:val="002F7B58"/>
    <w:rsid w:val="002F7DAF"/>
    <w:rsid w:val="002F7E4E"/>
    <w:rsid w:val="00300046"/>
    <w:rsid w:val="00300AC0"/>
    <w:rsid w:val="00301057"/>
    <w:rsid w:val="0030212C"/>
    <w:rsid w:val="00302151"/>
    <w:rsid w:val="00302427"/>
    <w:rsid w:val="003026AE"/>
    <w:rsid w:val="00302A7B"/>
    <w:rsid w:val="00302CD4"/>
    <w:rsid w:val="00302F67"/>
    <w:rsid w:val="00303034"/>
    <w:rsid w:val="0030309D"/>
    <w:rsid w:val="0030333F"/>
    <w:rsid w:val="00303424"/>
    <w:rsid w:val="00304388"/>
    <w:rsid w:val="0030453B"/>
    <w:rsid w:val="00304AAB"/>
    <w:rsid w:val="00304F57"/>
    <w:rsid w:val="00305223"/>
    <w:rsid w:val="00305345"/>
    <w:rsid w:val="0030543F"/>
    <w:rsid w:val="003059AA"/>
    <w:rsid w:val="00305C7B"/>
    <w:rsid w:val="00306187"/>
    <w:rsid w:val="00306416"/>
    <w:rsid w:val="00306942"/>
    <w:rsid w:val="00307024"/>
    <w:rsid w:val="0030704C"/>
    <w:rsid w:val="00307095"/>
    <w:rsid w:val="00307E61"/>
    <w:rsid w:val="003102D5"/>
    <w:rsid w:val="00310328"/>
    <w:rsid w:val="003105CE"/>
    <w:rsid w:val="0031077E"/>
    <w:rsid w:val="00310E5A"/>
    <w:rsid w:val="003110A6"/>
    <w:rsid w:val="00311291"/>
    <w:rsid w:val="003113AE"/>
    <w:rsid w:val="00311579"/>
    <w:rsid w:val="0031171F"/>
    <w:rsid w:val="00311999"/>
    <w:rsid w:val="00311C5D"/>
    <w:rsid w:val="00312492"/>
    <w:rsid w:val="003128C3"/>
    <w:rsid w:val="00312ACA"/>
    <w:rsid w:val="00312C21"/>
    <w:rsid w:val="00312D90"/>
    <w:rsid w:val="00312DE6"/>
    <w:rsid w:val="00313717"/>
    <w:rsid w:val="003141E8"/>
    <w:rsid w:val="00314775"/>
    <w:rsid w:val="0031490D"/>
    <w:rsid w:val="00314CAA"/>
    <w:rsid w:val="00315022"/>
    <w:rsid w:val="00315124"/>
    <w:rsid w:val="003154AB"/>
    <w:rsid w:val="00315B34"/>
    <w:rsid w:val="00315D42"/>
    <w:rsid w:val="0031619A"/>
    <w:rsid w:val="0031666C"/>
    <w:rsid w:val="00316D85"/>
    <w:rsid w:val="00317181"/>
    <w:rsid w:val="003171BE"/>
    <w:rsid w:val="003177C4"/>
    <w:rsid w:val="00317827"/>
    <w:rsid w:val="00317BB6"/>
    <w:rsid w:val="00320C50"/>
    <w:rsid w:val="00320D1A"/>
    <w:rsid w:val="00320F1C"/>
    <w:rsid w:val="00320FE7"/>
    <w:rsid w:val="00321BA2"/>
    <w:rsid w:val="003222EA"/>
    <w:rsid w:val="003226D9"/>
    <w:rsid w:val="00322D22"/>
    <w:rsid w:val="00323C88"/>
    <w:rsid w:val="003246AA"/>
    <w:rsid w:val="003247D4"/>
    <w:rsid w:val="00324AC9"/>
    <w:rsid w:val="00324C9B"/>
    <w:rsid w:val="00325015"/>
    <w:rsid w:val="0032541B"/>
    <w:rsid w:val="003254FF"/>
    <w:rsid w:val="00325646"/>
    <w:rsid w:val="00325660"/>
    <w:rsid w:val="003257D9"/>
    <w:rsid w:val="00325D57"/>
    <w:rsid w:val="00325DEE"/>
    <w:rsid w:val="00325E50"/>
    <w:rsid w:val="00325E69"/>
    <w:rsid w:val="003265C4"/>
    <w:rsid w:val="00326FB6"/>
    <w:rsid w:val="003273BF"/>
    <w:rsid w:val="0032768B"/>
    <w:rsid w:val="003300DB"/>
    <w:rsid w:val="0033013A"/>
    <w:rsid w:val="00330401"/>
    <w:rsid w:val="003307C2"/>
    <w:rsid w:val="00330DBC"/>
    <w:rsid w:val="00330EE4"/>
    <w:rsid w:val="003319CA"/>
    <w:rsid w:val="00331AB0"/>
    <w:rsid w:val="00331DA4"/>
    <w:rsid w:val="00332161"/>
    <w:rsid w:val="003323A9"/>
    <w:rsid w:val="0033261F"/>
    <w:rsid w:val="00332707"/>
    <w:rsid w:val="00332D86"/>
    <w:rsid w:val="00332E84"/>
    <w:rsid w:val="0033311E"/>
    <w:rsid w:val="00333658"/>
    <w:rsid w:val="0033460E"/>
    <w:rsid w:val="00335516"/>
    <w:rsid w:val="00335A08"/>
    <w:rsid w:val="003370C6"/>
    <w:rsid w:val="00337365"/>
    <w:rsid w:val="003373AF"/>
    <w:rsid w:val="00337BF7"/>
    <w:rsid w:val="00337FC0"/>
    <w:rsid w:val="003401AF"/>
    <w:rsid w:val="003401E6"/>
    <w:rsid w:val="00340776"/>
    <w:rsid w:val="003409B2"/>
    <w:rsid w:val="00340BAB"/>
    <w:rsid w:val="0034105F"/>
    <w:rsid w:val="00341169"/>
    <w:rsid w:val="003411E9"/>
    <w:rsid w:val="003413B0"/>
    <w:rsid w:val="00341DD0"/>
    <w:rsid w:val="00342223"/>
    <w:rsid w:val="00342482"/>
    <w:rsid w:val="00342E46"/>
    <w:rsid w:val="00342F15"/>
    <w:rsid w:val="00343038"/>
    <w:rsid w:val="00343434"/>
    <w:rsid w:val="00343EAD"/>
    <w:rsid w:val="00344169"/>
    <w:rsid w:val="00344EFD"/>
    <w:rsid w:val="00345A51"/>
    <w:rsid w:val="00345C30"/>
    <w:rsid w:val="00345EBD"/>
    <w:rsid w:val="00346468"/>
    <w:rsid w:val="0034649F"/>
    <w:rsid w:val="00346B8F"/>
    <w:rsid w:val="00347A0C"/>
    <w:rsid w:val="00347E5A"/>
    <w:rsid w:val="00347EF5"/>
    <w:rsid w:val="00347F2C"/>
    <w:rsid w:val="00347FE3"/>
    <w:rsid w:val="00350034"/>
    <w:rsid w:val="00350374"/>
    <w:rsid w:val="00351448"/>
    <w:rsid w:val="00351F93"/>
    <w:rsid w:val="003525CC"/>
    <w:rsid w:val="00352CF5"/>
    <w:rsid w:val="003531CB"/>
    <w:rsid w:val="003539D5"/>
    <w:rsid w:val="00353E46"/>
    <w:rsid w:val="0035462A"/>
    <w:rsid w:val="00354C0F"/>
    <w:rsid w:val="003556F3"/>
    <w:rsid w:val="0035654D"/>
    <w:rsid w:val="00356FD0"/>
    <w:rsid w:val="003570A1"/>
    <w:rsid w:val="00357946"/>
    <w:rsid w:val="00360DBD"/>
    <w:rsid w:val="0036112B"/>
    <w:rsid w:val="00361270"/>
    <w:rsid w:val="003612EE"/>
    <w:rsid w:val="003617DB"/>
    <w:rsid w:val="00361909"/>
    <w:rsid w:val="00362051"/>
    <w:rsid w:val="00362098"/>
    <w:rsid w:val="0036249E"/>
    <w:rsid w:val="003629DD"/>
    <w:rsid w:val="00362FD0"/>
    <w:rsid w:val="003630C7"/>
    <w:rsid w:val="00363421"/>
    <w:rsid w:val="003635B8"/>
    <w:rsid w:val="00363D41"/>
    <w:rsid w:val="003658B1"/>
    <w:rsid w:val="00365C46"/>
    <w:rsid w:val="00365F8E"/>
    <w:rsid w:val="00366556"/>
    <w:rsid w:val="00366CEA"/>
    <w:rsid w:val="003673CA"/>
    <w:rsid w:val="00367DA6"/>
    <w:rsid w:val="00367F49"/>
    <w:rsid w:val="003708C4"/>
    <w:rsid w:val="00370BFD"/>
    <w:rsid w:val="0037137A"/>
    <w:rsid w:val="00371885"/>
    <w:rsid w:val="00371A4E"/>
    <w:rsid w:val="00371BBF"/>
    <w:rsid w:val="003721E5"/>
    <w:rsid w:val="003728F4"/>
    <w:rsid w:val="0037297A"/>
    <w:rsid w:val="003729D4"/>
    <w:rsid w:val="00372BA4"/>
    <w:rsid w:val="00372BBC"/>
    <w:rsid w:val="00372EDF"/>
    <w:rsid w:val="00372F0C"/>
    <w:rsid w:val="00373413"/>
    <w:rsid w:val="00373D7E"/>
    <w:rsid w:val="00374344"/>
    <w:rsid w:val="003747CD"/>
    <w:rsid w:val="00374A2B"/>
    <w:rsid w:val="00375406"/>
    <w:rsid w:val="00375570"/>
    <w:rsid w:val="003755D1"/>
    <w:rsid w:val="0037567E"/>
    <w:rsid w:val="003757B1"/>
    <w:rsid w:val="00375C42"/>
    <w:rsid w:val="003763C8"/>
    <w:rsid w:val="00376E64"/>
    <w:rsid w:val="0037746C"/>
    <w:rsid w:val="0038010B"/>
    <w:rsid w:val="003819B9"/>
    <w:rsid w:val="00381DA1"/>
    <w:rsid w:val="003824A8"/>
    <w:rsid w:val="0038293F"/>
    <w:rsid w:val="00382E7F"/>
    <w:rsid w:val="003835C6"/>
    <w:rsid w:val="00383AA2"/>
    <w:rsid w:val="00383ACB"/>
    <w:rsid w:val="00383BD0"/>
    <w:rsid w:val="00384504"/>
    <w:rsid w:val="00384804"/>
    <w:rsid w:val="003848B1"/>
    <w:rsid w:val="00384EEB"/>
    <w:rsid w:val="003852DD"/>
    <w:rsid w:val="00385EA9"/>
    <w:rsid w:val="0038608B"/>
    <w:rsid w:val="00387003"/>
    <w:rsid w:val="0038736E"/>
    <w:rsid w:val="003904DB"/>
    <w:rsid w:val="0039101B"/>
    <w:rsid w:val="00391755"/>
    <w:rsid w:val="0039197C"/>
    <w:rsid w:val="00391C66"/>
    <w:rsid w:val="00391F8F"/>
    <w:rsid w:val="0039230E"/>
    <w:rsid w:val="00392565"/>
    <w:rsid w:val="003926C0"/>
    <w:rsid w:val="003931FA"/>
    <w:rsid w:val="003932DF"/>
    <w:rsid w:val="003934BF"/>
    <w:rsid w:val="00394046"/>
    <w:rsid w:val="003943C2"/>
    <w:rsid w:val="003944EC"/>
    <w:rsid w:val="003947F1"/>
    <w:rsid w:val="0039481E"/>
    <w:rsid w:val="00394855"/>
    <w:rsid w:val="00394AC2"/>
    <w:rsid w:val="00394C0B"/>
    <w:rsid w:val="00395468"/>
    <w:rsid w:val="00397022"/>
    <w:rsid w:val="003970F7"/>
    <w:rsid w:val="0039739E"/>
    <w:rsid w:val="003978BF"/>
    <w:rsid w:val="00397E01"/>
    <w:rsid w:val="00397E22"/>
    <w:rsid w:val="003A1587"/>
    <w:rsid w:val="003A1612"/>
    <w:rsid w:val="003A20B9"/>
    <w:rsid w:val="003A2440"/>
    <w:rsid w:val="003A2501"/>
    <w:rsid w:val="003A281D"/>
    <w:rsid w:val="003A28CE"/>
    <w:rsid w:val="003A29E2"/>
    <w:rsid w:val="003A2AE0"/>
    <w:rsid w:val="003A2F68"/>
    <w:rsid w:val="003A3392"/>
    <w:rsid w:val="003A37E5"/>
    <w:rsid w:val="003A3A6A"/>
    <w:rsid w:val="003A3CE5"/>
    <w:rsid w:val="003A4103"/>
    <w:rsid w:val="003A43F1"/>
    <w:rsid w:val="003A4BAC"/>
    <w:rsid w:val="003A4DCD"/>
    <w:rsid w:val="003A5249"/>
    <w:rsid w:val="003A56DF"/>
    <w:rsid w:val="003A596B"/>
    <w:rsid w:val="003A5D5D"/>
    <w:rsid w:val="003A5DFD"/>
    <w:rsid w:val="003A5E9A"/>
    <w:rsid w:val="003A5E9B"/>
    <w:rsid w:val="003A65EB"/>
    <w:rsid w:val="003A6735"/>
    <w:rsid w:val="003A67B6"/>
    <w:rsid w:val="003A734D"/>
    <w:rsid w:val="003A750D"/>
    <w:rsid w:val="003A7D93"/>
    <w:rsid w:val="003A7EED"/>
    <w:rsid w:val="003A7F8D"/>
    <w:rsid w:val="003B0425"/>
    <w:rsid w:val="003B0460"/>
    <w:rsid w:val="003B1584"/>
    <w:rsid w:val="003B1A43"/>
    <w:rsid w:val="003B1C7E"/>
    <w:rsid w:val="003B2407"/>
    <w:rsid w:val="003B2C94"/>
    <w:rsid w:val="003B2CC2"/>
    <w:rsid w:val="003B3058"/>
    <w:rsid w:val="003B3167"/>
    <w:rsid w:val="003B39A0"/>
    <w:rsid w:val="003B406A"/>
    <w:rsid w:val="003B44E9"/>
    <w:rsid w:val="003B54C0"/>
    <w:rsid w:val="003B5AA5"/>
    <w:rsid w:val="003B6140"/>
    <w:rsid w:val="003B6715"/>
    <w:rsid w:val="003B68CE"/>
    <w:rsid w:val="003B6C6A"/>
    <w:rsid w:val="003B6C95"/>
    <w:rsid w:val="003B6E41"/>
    <w:rsid w:val="003B783E"/>
    <w:rsid w:val="003B7EF1"/>
    <w:rsid w:val="003C04ED"/>
    <w:rsid w:val="003C087A"/>
    <w:rsid w:val="003C1818"/>
    <w:rsid w:val="003C1CC8"/>
    <w:rsid w:val="003C25F5"/>
    <w:rsid w:val="003C275F"/>
    <w:rsid w:val="003C2A04"/>
    <w:rsid w:val="003C2EED"/>
    <w:rsid w:val="003C3DED"/>
    <w:rsid w:val="003C440F"/>
    <w:rsid w:val="003C441B"/>
    <w:rsid w:val="003C4AD7"/>
    <w:rsid w:val="003C5307"/>
    <w:rsid w:val="003C54D5"/>
    <w:rsid w:val="003C5690"/>
    <w:rsid w:val="003C63C5"/>
    <w:rsid w:val="003C6AC1"/>
    <w:rsid w:val="003C6B0A"/>
    <w:rsid w:val="003C6D25"/>
    <w:rsid w:val="003C6DD6"/>
    <w:rsid w:val="003C6DF2"/>
    <w:rsid w:val="003C7291"/>
    <w:rsid w:val="003C7569"/>
    <w:rsid w:val="003D09B8"/>
    <w:rsid w:val="003D0AF1"/>
    <w:rsid w:val="003D0FD2"/>
    <w:rsid w:val="003D1313"/>
    <w:rsid w:val="003D1384"/>
    <w:rsid w:val="003D1493"/>
    <w:rsid w:val="003D1660"/>
    <w:rsid w:val="003D1C6C"/>
    <w:rsid w:val="003D2004"/>
    <w:rsid w:val="003D2289"/>
    <w:rsid w:val="003D23C9"/>
    <w:rsid w:val="003D24B4"/>
    <w:rsid w:val="003D29E3"/>
    <w:rsid w:val="003D2A25"/>
    <w:rsid w:val="003D34BA"/>
    <w:rsid w:val="003D369E"/>
    <w:rsid w:val="003D3995"/>
    <w:rsid w:val="003D3D77"/>
    <w:rsid w:val="003D4D3B"/>
    <w:rsid w:val="003D5A3C"/>
    <w:rsid w:val="003D5DDA"/>
    <w:rsid w:val="003D67CB"/>
    <w:rsid w:val="003D6B07"/>
    <w:rsid w:val="003D70AF"/>
    <w:rsid w:val="003D7138"/>
    <w:rsid w:val="003D79C6"/>
    <w:rsid w:val="003E0356"/>
    <w:rsid w:val="003E07FA"/>
    <w:rsid w:val="003E18C7"/>
    <w:rsid w:val="003E1D40"/>
    <w:rsid w:val="003E1E12"/>
    <w:rsid w:val="003E255B"/>
    <w:rsid w:val="003E261E"/>
    <w:rsid w:val="003E2793"/>
    <w:rsid w:val="003E2D54"/>
    <w:rsid w:val="003E35B0"/>
    <w:rsid w:val="003E39D2"/>
    <w:rsid w:val="003E3A33"/>
    <w:rsid w:val="003E3A5E"/>
    <w:rsid w:val="003E42BE"/>
    <w:rsid w:val="003E4804"/>
    <w:rsid w:val="003E4BF7"/>
    <w:rsid w:val="003E578A"/>
    <w:rsid w:val="003E5F76"/>
    <w:rsid w:val="003E62BD"/>
    <w:rsid w:val="003E64BA"/>
    <w:rsid w:val="003E66CA"/>
    <w:rsid w:val="003E6A42"/>
    <w:rsid w:val="003E6FC1"/>
    <w:rsid w:val="003E74C3"/>
    <w:rsid w:val="003E767D"/>
    <w:rsid w:val="003E7A03"/>
    <w:rsid w:val="003F00C6"/>
    <w:rsid w:val="003F074B"/>
    <w:rsid w:val="003F1214"/>
    <w:rsid w:val="003F146C"/>
    <w:rsid w:val="003F161C"/>
    <w:rsid w:val="003F168D"/>
    <w:rsid w:val="003F17A9"/>
    <w:rsid w:val="003F1A3E"/>
    <w:rsid w:val="003F1EA2"/>
    <w:rsid w:val="003F2B42"/>
    <w:rsid w:val="003F31F0"/>
    <w:rsid w:val="003F3299"/>
    <w:rsid w:val="003F395F"/>
    <w:rsid w:val="003F3C16"/>
    <w:rsid w:val="003F4F77"/>
    <w:rsid w:val="003F5897"/>
    <w:rsid w:val="003F59A9"/>
    <w:rsid w:val="003F5A02"/>
    <w:rsid w:val="003F5BA2"/>
    <w:rsid w:val="003F6042"/>
    <w:rsid w:val="003F63D6"/>
    <w:rsid w:val="003F66B9"/>
    <w:rsid w:val="003F6779"/>
    <w:rsid w:val="003F680F"/>
    <w:rsid w:val="003F68B2"/>
    <w:rsid w:val="003F6A5F"/>
    <w:rsid w:val="003F73D3"/>
    <w:rsid w:val="003F74D8"/>
    <w:rsid w:val="003F7777"/>
    <w:rsid w:val="0040039A"/>
    <w:rsid w:val="004003D2"/>
    <w:rsid w:val="004013FD"/>
    <w:rsid w:val="0040147C"/>
    <w:rsid w:val="004014B6"/>
    <w:rsid w:val="0040180E"/>
    <w:rsid w:val="0040184D"/>
    <w:rsid w:val="00401C45"/>
    <w:rsid w:val="00401ED0"/>
    <w:rsid w:val="004021EE"/>
    <w:rsid w:val="004025FF"/>
    <w:rsid w:val="0040275C"/>
    <w:rsid w:val="00402C1B"/>
    <w:rsid w:val="0040350C"/>
    <w:rsid w:val="00403529"/>
    <w:rsid w:val="0040366C"/>
    <w:rsid w:val="004038B4"/>
    <w:rsid w:val="00404169"/>
    <w:rsid w:val="00404517"/>
    <w:rsid w:val="004048B4"/>
    <w:rsid w:val="004049CF"/>
    <w:rsid w:val="00404A4A"/>
    <w:rsid w:val="00404BDE"/>
    <w:rsid w:val="00405140"/>
    <w:rsid w:val="00405263"/>
    <w:rsid w:val="0040544C"/>
    <w:rsid w:val="00405849"/>
    <w:rsid w:val="0040599A"/>
    <w:rsid w:val="00405F02"/>
    <w:rsid w:val="004062C0"/>
    <w:rsid w:val="00410004"/>
    <w:rsid w:val="00410555"/>
    <w:rsid w:val="00410D3C"/>
    <w:rsid w:val="00410F2F"/>
    <w:rsid w:val="00410FAC"/>
    <w:rsid w:val="00410FB0"/>
    <w:rsid w:val="0041121A"/>
    <w:rsid w:val="00411668"/>
    <w:rsid w:val="004124BB"/>
    <w:rsid w:val="00412FD1"/>
    <w:rsid w:val="00413398"/>
    <w:rsid w:val="004133A5"/>
    <w:rsid w:val="004134F2"/>
    <w:rsid w:val="00413862"/>
    <w:rsid w:val="00413D38"/>
    <w:rsid w:val="00413EAE"/>
    <w:rsid w:val="004153CA"/>
    <w:rsid w:val="0041553E"/>
    <w:rsid w:val="00415BBA"/>
    <w:rsid w:val="00415CB0"/>
    <w:rsid w:val="00415FF1"/>
    <w:rsid w:val="004162C7"/>
    <w:rsid w:val="0041696B"/>
    <w:rsid w:val="0041697C"/>
    <w:rsid w:val="00416C5F"/>
    <w:rsid w:val="00417694"/>
    <w:rsid w:val="00417703"/>
    <w:rsid w:val="0042032E"/>
    <w:rsid w:val="00420340"/>
    <w:rsid w:val="00420358"/>
    <w:rsid w:val="004203E0"/>
    <w:rsid w:val="004206DB"/>
    <w:rsid w:val="00420A20"/>
    <w:rsid w:val="00420CAA"/>
    <w:rsid w:val="00421384"/>
    <w:rsid w:val="0042191D"/>
    <w:rsid w:val="00422BB3"/>
    <w:rsid w:val="004237FC"/>
    <w:rsid w:val="00423FF5"/>
    <w:rsid w:val="004242D8"/>
    <w:rsid w:val="00424396"/>
    <w:rsid w:val="00424BEC"/>
    <w:rsid w:val="00424FB1"/>
    <w:rsid w:val="00425AC4"/>
    <w:rsid w:val="004260F2"/>
    <w:rsid w:val="004267FF"/>
    <w:rsid w:val="00426CDF"/>
    <w:rsid w:val="004274D3"/>
    <w:rsid w:val="00427E08"/>
    <w:rsid w:val="00427F30"/>
    <w:rsid w:val="004311BD"/>
    <w:rsid w:val="0043129E"/>
    <w:rsid w:val="00431609"/>
    <w:rsid w:val="00431BD1"/>
    <w:rsid w:val="00431F41"/>
    <w:rsid w:val="00431F5E"/>
    <w:rsid w:val="00432D93"/>
    <w:rsid w:val="00433579"/>
    <w:rsid w:val="004343E7"/>
    <w:rsid w:val="0043476F"/>
    <w:rsid w:val="004347F7"/>
    <w:rsid w:val="00434D85"/>
    <w:rsid w:val="00434EAB"/>
    <w:rsid w:val="00435665"/>
    <w:rsid w:val="00435B2A"/>
    <w:rsid w:val="004361A4"/>
    <w:rsid w:val="00436363"/>
    <w:rsid w:val="00436365"/>
    <w:rsid w:val="004364CA"/>
    <w:rsid w:val="00436E48"/>
    <w:rsid w:val="004372BB"/>
    <w:rsid w:val="00437483"/>
    <w:rsid w:val="0043792E"/>
    <w:rsid w:val="00437B38"/>
    <w:rsid w:val="00437B8B"/>
    <w:rsid w:val="00440218"/>
    <w:rsid w:val="00440425"/>
    <w:rsid w:val="00440DC6"/>
    <w:rsid w:val="00441533"/>
    <w:rsid w:val="00441F09"/>
    <w:rsid w:val="00442C1A"/>
    <w:rsid w:val="0044302C"/>
    <w:rsid w:val="0044312D"/>
    <w:rsid w:val="0044314B"/>
    <w:rsid w:val="00443709"/>
    <w:rsid w:val="00443863"/>
    <w:rsid w:val="0044426C"/>
    <w:rsid w:val="00444527"/>
    <w:rsid w:val="00444DC7"/>
    <w:rsid w:val="00445125"/>
    <w:rsid w:val="00445182"/>
    <w:rsid w:val="00445328"/>
    <w:rsid w:val="004454A2"/>
    <w:rsid w:val="00445E47"/>
    <w:rsid w:val="00445F01"/>
    <w:rsid w:val="004464DB"/>
    <w:rsid w:val="00446EB6"/>
    <w:rsid w:val="00447081"/>
    <w:rsid w:val="00447155"/>
    <w:rsid w:val="00447263"/>
    <w:rsid w:val="0044771A"/>
    <w:rsid w:val="00447CA2"/>
    <w:rsid w:val="004510B8"/>
    <w:rsid w:val="0045246D"/>
    <w:rsid w:val="0045260D"/>
    <w:rsid w:val="00452916"/>
    <w:rsid w:val="00452988"/>
    <w:rsid w:val="0045306C"/>
    <w:rsid w:val="00453A8C"/>
    <w:rsid w:val="004544EB"/>
    <w:rsid w:val="004545E0"/>
    <w:rsid w:val="004547FE"/>
    <w:rsid w:val="00454AA0"/>
    <w:rsid w:val="0045651B"/>
    <w:rsid w:val="004568B0"/>
    <w:rsid w:val="004570BF"/>
    <w:rsid w:val="00457323"/>
    <w:rsid w:val="00457C5D"/>
    <w:rsid w:val="004603A4"/>
    <w:rsid w:val="0046046E"/>
    <w:rsid w:val="0046091F"/>
    <w:rsid w:val="00460E09"/>
    <w:rsid w:val="00461755"/>
    <w:rsid w:val="0046247B"/>
    <w:rsid w:val="004627BB"/>
    <w:rsid w:val="00462891"/>
    <w:rsid w:val="00462AA7"/>
    <w:rsid w:val="004631DB"/>
    <w:rsid w:val="00463396"/>
    <w:rsid w:val="0046375D"/>
    <w:rsid w:val="0046388A"/>
    <w:rsid w:val="00463BA8"/>
    <w:rsid w:val="00464E00"/>
    <w:rsid w:val="00465471"/>
    <w:rsid w:val="00465654"/>
    <w:rsid w:val="00465A18"/>
    <w:rsid w:val="00465B90"/>
    <w:rsid w:val="00466666"/>
    <w:rsid w:val="00466D78"/>
    <w:rsid w:val="00467564"/>
    <w:rsid w:val="00467D7C"/>
    <w:rsid w:val="00467FF9"/>
    <w:rsid w:val="00470404"/>
    <w:rsid w:val="004706FF"/>
    <w:rsid w:val="004707F2"/>
    <w:rsid w:val="004709A5"/>
    <w:rsid w:val="00470E95"/>
    <w:rsid w:val="00470F16"/>
    <w:rsid w:val="004713C4"/>
    <w:rsid w:val="004716CF"/>
    <w:rsid w:val="00471CA5"/>
    <w:rsid w:val="00471F19"/>
    <w:rsid w:val="00471FDE"/>
    <w:rsid w:val="00472947"/>
    <w:rsid w:val="00472D83"/>
    <w:rsid w:val="00473601"/>
    <w:rsid w:val="0047397A"/>
    <w:rsid w:val="00473BCF"/>
    <w:rsid w:val="00473CD0"/>
    <w:rsid w:val="004740FF"/>
    <w:rsid w:val="004743DC"/>
    <w:rsid w:val="00474549"/>
    <w:rsid w:val="0047464A"/>
    <w:rsid w:val="0047471C"/>
    <w:rsid w:val="00474CB9"/>
    <w:rsid w:val="00474CE3"/>
    <w:rsid w:val="00474EC1"/>
    <w:rsid w:val="00474F3A"/>
    <w:rsid w:val="00475307"/>
    <w:rsid w:val="0047533E"/>
    <w:rsid w:val="0047570D"/>
    <w:rsid w:val="004759D4"/>
    <w:rsid w:val="00476105"/>
    <w:rsid w:val="00476A37"/>
    <w:rsid w:val="00476CA7"/>
    <w:rsid w:val="00476D24"/>
    <w:rsid w:val="00477375"/>
    <w:rsid w:val="00477728"/>
    <w:rsid w:val="0047774E"/>
    <w:rsid w:val="0047776E"/>
    <w:rsid w:val="0047780C"/>
    <w:rsid w:val="00477E95"/>
    <w:rsid w:val="00477FEE"/>
    <w:rsid w:val="004803D2"/>
    <w:rsid w:val="0048055E"/>
    <w:rsid w:val="00481216"/>
    <w:rsid w:val="004817D7"/>
    <w:rsid w:val="00482ACC"/>
    <w:rsid w:val="00482AD1"/>
    <w:rsid w:val="00482C84"/>
    <w:rsid w:val="00483575"/>
    <w:rsid w:val="0048361B"/>
    <w:rsid w:val="00483B27"/>
    <w:rsid w:val="00483F4F"/>
    <w:rsid w:val="00484C09"/>
    <w:rsid w:val="00484FE8"/>
    <w:rsid w:val="00485462"/>
    <w:rsid w:val="004855F6"/>
    <w:rsid w:val="00485BD6"/>
    <w:rsid w:val="00485BF3"/>
    <w:rsid w:val="00485D01"/>
    <w:rsid w:val="00486C61"/>
    <w:rsid w:val="00487533"/>
    <w:rsid w:val="00487DBE"/>
    <w:rsid w:val="004901FB"/>
    <w:rsid w:val="00490569"/>
    <w:rsid w:val="00490F0B"/>
    <w:rsid w:val="004910FA"/>
    <w:rsid w:val="00491215"/>
    <w:rsid w:val="00491B29"/>
    <w:rsid w:val="00491B39"/>
    <w:rsid w:val="00491BDF"/>
    <w:rsid w:val="00491CA1"/>
    <w:rsid w:val="0049209D"/>
    <w:rsid w:val="004924CF"/>
    <w:rsid w:val="00492755"/>
    <w:rsid w:val="0049280A"/>
    <w:rsid w:val="00492C70"/>
    <w:rsid w:val="00494871"/>
    <w:rsid w:val="00495749"/>
    <w:rsid w:val="00495A84"/>
    <w:rsid w:val="00495B47"/>
    <w:rsid w:val="00495FBC"/>
    <w:rsid w:val="0049661C"/>
    <w:rsid w:val="00496688"/>
    <w:rsid w:val="004966F2"/>
    <w:rsid w:val="004968BB"/>
    <w:rsid w:val="00496C34"/>
    <w:rsid w:val="00496F68"/>
    <w:rsid w:val="004978BB"/>
    <w:rsid w:val="004A05CD"/>
    <w:rsid w:val="004A06BB"/>
    <w:rsid w:val="004A17BC"/>
    <w:rsid w:val="004A1808"/>
    <w:rsid w:val="004A18FC"/>
    <w:rsid w:val="004A1E74"/>
    <w:rsid w:val="004A1F41"/>
    <w:rsid w:val="004A1F71"/>
    <w:rsid w:val="004A21A0"/>
    <w:rsid w:val="004A2348"/>
    <w:rsid w:val="004A2DB5"/>
    <w:rsid w:val="004A3394"/>
    <w:rsid w:val="004A3508"/>
    <w:rsid w:val="004A38A6"/>
    <w:rsid w:val="004A3EE6"/>
    <w:rsid w:val="004A453A"/>
    <w:rsid w:val="004A49F1"/>
    <w:rsid w:val="004A4E45"/>
    <w:rsid w:val="004A533E"/>
    <w:rsid w:val="004A555F"/>
    <w:rsid w:val="004A6C30"/>
    <w:rsid w:val="004A6FD7"/>
    <w:rsid w:val="004A7190"/>
    <w:rsid w:val="004A7AF1"/>
    <w:rsid w:val="004A7B3D"/>
    <w:rsid w:val="004A7E2B"/>
    <w:rsid w:val="004B0573"/>
    <w:rsid w:val="004B06D6"/>
    <w:rsid w:val="004B116C"/>
    <w:rsid w:val="004B122F"/>
    <w:rsid w:val="004B12A8"/>
    <w:rsid w:val="004B1941"/>
    <w:rsid w:val="004B1A9A"/>
    <w:rsid w:val="004B1D12"/>
    <w:rsid w:val="004B1E88"/>
    <w:rsid w:val="004B2144"/>
    <w:rsid w:val="004B243D"/>
    <w:rsid w:val="004B2809"/>
    <w:rsid w:val="004B30E9"/>
    <w:rsid w:val="004B310A"/>
    <w:rsid w:val="004B33D8"/>
    <w:rsid w:val="004B36CF"/>
    <w:rsid w:val="004B3730"/>
    <w:rsid w:val="004B40FA"/>
    <w:rsid w:val="004B4CB3"/>
    <w:rsid w:val="004B5223"/>
    <w:rsid w:val="004B52CB"/>
    <w:rsid w:val="004B56B4"/>
    <w:rsid w:val="004B5ADF"/>
    <w:rsid w:val="004B67CE"/>
    <w:rsid w:val="004B6DC5"/>
    <w:rsid w:val="004B7377"/>
    <w:rsid w:val="004B74ED"/>
    <w:rsid w:val="004B7B88"/>
    <w:rsid w:val="004C0393"/>
    <w:rsid w:val="004C08D2"/>
    <w:rsid w:val="004C131A"/>
    <w:rsid w:val="004C22D4"/>
    <w:rsid w:val="004C22E9"/>
    <w:rsid w:val="004C232D"/>
    <w:rsid w:val="004C32F6"/>
    <w:rsid w:val="004C359D"/>
    <w:rsid w:val="004C364A"/>
    <w:rsid w:val="004C4387"/>
    <w:rsid w:val="004C497E"/>
    <w:rsid w:val="004C4A62"/>
    <w:rsid w:val="004C4ABA"/>
    <w:rsid w:val="004C5268"/>
    <w:rsid w:val="004C59EC"/>
    <w:rsid w:val="004C5BC1"/>
    <w:rsid w:val="004C5E9C"/>
    <w:rsid w:val="004C5FE1"/>
    <w:rsid w:val="004C6005"/>
    <w:rsid w:val="004C64F9"/>
    <w:rsid w:val="004C6AAD"/>
    <w:rsid w:val="004C6CBF"/>
    <w:rsid w:val="004C70C5"/>
    <w:rsid w:val="004C712B"/>
    <w:rsid w:val="004C7CF7"/>
    <w:rsid w:val="004C7F54"/>
    <w:rsid w:val="004D0759"/>
    <w:rsid w:val="004D0C61"/>
    <w:rsid w:val="004D1363"/>
    <w:rsid w:val="004D13A5"/>
    <w:rsid w:val="004D1ABE"/>
    <w:rsid w:val="004D22B8"/>
    <w:rsid w:val="004D2618"/>
    <w:rsid w:val="004D2913"/>
    <w:rsid w:val="004D30D9"/>
    <w:rsid w:val="004D41BF"/>
    <w:rsid w:val="004D4478"/>
    <w:rsid w:val="004D44CC"/>
    <w:rsid w:val="004D477D"/>
    <w:rsid w:val="004D50B4"/>
    <w:rsid w:val="004D566C"/>
    <w:rsid w:val="004D5940"/>
    <w:rsid w:val="004D5D28"/>
    <w:rsid w:val="004D63BA"/>
    <w:rsid w:val="004D668B"/>
    <w:rsid w:val="004D67DF"/>
    <w:rsid w:val="004D6814"/>
    <w:rsid w:val="004D6C06"/>
    <w:rsid w:val="004D6D28"/>
    <w:rsid w:val="004D772F"/>
    <w:rsid w:val="004D7863"/>
    <w:rsid w:val="004E02E2"/>
    <w:rsid w:val="004E04AE"/>
    <w:rsid w:val="004E0CBB"/>
    <w:rsid w:val="004E1347"/>
    <w:rsid w:val="004E1893"/>
    <w:rsid w:val="004E1B2F"/>
    <w:rsid w:val="004E1CA6"/>
    <w:rsid w:val="004E22C3"/>
    <w:rsid w:val="004E2551"/>
    <w:rsid w:val="004E27EE"/>
    <w:rsid w:val="004E2F82"/>
    <w:rsid w:val="004E34DD"/>
    <w:rsid w:val="004E3C68"/>
    <w:rsid w:val="004E45C3"/>
    <w:rsid w:val="004E4616"/>
    <w:rsid w:val="004E498D"/>
    <w:rsid w:val="004E4F49"/>
    <w:rsid w:val="004E583D"/>
    <w:rsid w:val="004E685D"/>
    <w:rsid w:val="004E6B0C"/>
    <w:rsid w:val="004E6CF8"/>
    <w:rsid w:val="004E6D62"/>
    <w:rsid w:val="004E7103"/>
    <w:rsid w:val="004E7A63"/>
    <w:rsid w:val="004F0020"/>
    <w:rsid w:val="004F0116"/>
    <w:rsid w:val="004F02B1"/>
    <w:rsid w:val="004F0526"/>
    <w:rsid w:val="004F07EC"/>
    <w:rsid w:val="004F0916"/>
    <w:rsid w:val="004F0D08"/>
    <w:rsid w:val="004F11F5"/>
    <w:rsid w:val="004F132D"/>
    <w:rsid w:val="004F189D"/>
    <w:rsid w:val="004F1963"/>
    <w:rsid w:val="004F1AB3"/>
    <w:rsid w:val="004F1BB5"/>
    <w:rsid w:val="004F1DE8"/>
    <w:rsid w:val="004F2008"/>
    <w:rsid w:val="004F29E1"/>
    <w:rsid w:val="004F2F98"/>
    <w:rsid w:val="004F306C"/>
    <w:rsid w:val="004F311A"/>
    <w:rsid w:val="004F38C5"/>
    <w:rsid w:val="004F3CC7"/>
    <w:rsid w:val="004F3D46"/>
    <w:rsid w:val="004F405B"/>
    <w:rsid w:val="004F57AE"/>
    <w:rsid w:val="004F5CB0"/>
    <w:rsid w:val="004F6069"/>
    <w:rsid w:val="004F6333"/>
    <w:rsid w:val="004F63FA"/>
    <w:rsid w:val="004F64F2"/>
    <w:rsid w:val="004F69E1"/>
    <w:rsid w:val="004F6A24"/>
    <w:rsid w:val="004F6C21"/>
    <w:rsid w:val="004F713E"/>
    <w:rsid w:val="004F755E"/>
    <w:rsid w:val="004F78E8"/>
    <w:rsid w:val="004F7918"/>
    <w:rsid w:val="004F7939"/>
    <w:rsid w:val="004F7B13"/>
    <w:rsid w:val="005000ED"/>
    <w:rsid w:val="00500244"/>
    <w:rsid w:val="00500552"/>
    <w:rsid w:val="005006B3"/>
    <w:rsid w:val="005011CB"/>
    <w:rsid w:val="00501479"/>
    <w:rsid w:val="00501673"/>
    <w:rsid w:val="00501771"/>
    <w:rsid w:val="005017A4"/>
    <w:rsid w:val="00502537"/>
    <w:rsid w:val="00502D27"/>
    <w:rsid w:val="00502D9A"/>
    <w:rsid w:val="00503241"/>
    <w:rsid w:val="005038E9"/>
    <w:rsid w:val="00503B32"/>
    <w:rsid w:val="0050492F"/>
    <w:rsid w:val="00504DE7"/>
    <w:rsid w:val="00504DFC"/>
    <w:rsid w:val="00505303"/>
    <w:rsid w:val="005058E5"/>
    <w:rsid w:val="00506033"/>
    <w:rsid w:val="005063D4"/>
    <w:rsid w:val="00506D6C"/>
    <w:rsid w:val="00506E80"/>
    <w:rsid w:val="005070AA"/>
    <w:rsid w:val="005075F1"/>
    <w:rsid w:val="005076AD"/>
    <w:rsid w:val="00507F7F"/>
    <w:rsid w:val="00510339"/>
    <w:rsid w:val="005103FF"/>
    <w:rsid w:val="00510895"/>
    <w:rsid w:val="00510F7D"/>
    <w:rsid w:val="0051134B"/>
    <w:rsid w:val="00511441"/>
    <w:rsid w:val="0051168C"/>
    <w:rsid w:val="00511E33"/>
    <w:rsid w:val="00511EC4"/>
    <w:rsid w:val="00511FA5"/>
    <w:rsid w:val="0051208F"/>
    <w:rsid w:val="005124E4"/>
    <w:rsid w:val="0051317F"/>
    <w:rsid w:val="0051343F"/>
    <w:rsid w:val="005137E4"/>
    <w:rsid w:val="00513963"/>
    <w:rsid w:val="00513ACB"/>
    <w:rsid w:val="00514221"/>
    <w:rsid w:val="005146D6"/>
    <w:rsid w:val="0051508F"/>
    <w:rsid w:val="00515C5A"/>
    <w:rsid w:val="005160FD"/>
    <w:rsid w:val="005164AA"/>
    <w:rsid w:val="005164E9"/>
    <w:rsid w:val="00517D5F"/>
    <w:rsid w:val="00520516"/>
    <w:rsid w:val="00520CE9"/>
    <w:rsid w:val="00521091"/>
    <w:rsid w:val="005213E5"/>
    <w:rsid w:val="00521707"/>
    <w:rsid w:val="00522378"/>
    <w:rsid w:val="005223C6"/>
    <w:rsid w:val="005228ED"/>
    <w:rsid w:val="00522D9C"/>
    <w:rsid w:val="00522E2D"/>
    <w:rsid w:val="005235AA"/>
    <w:rsid w:val="00524F9F"/>
    <w:rsid w:val="005251C5"/>
    <w:rsid w:val="00525438"/>
    <w:rsid w:val="00525B9E"/>
    <w:rsid w:val="00525E34"/>
    <w:rsid w:val="005268AD"/>
    <w:rsid w:val="00526D94"/>
    <w:rsid w:val="00527445"/>
    <w:rsid w:val="00527D98"/>
    <w:rsid w:val="00530B93"/>
    <w:rsid w:val="00530BFA"/>
    <w:rsid w:val="00531699"/>
    <w:rsid w:val="00531807"/>
    <w:rsid w:val="005322C6"/>
    <w:rsid w:val="005326FE"/>
    <w:rsid w:val="0053271B"/>
    <w:rsid w:val="00532911"/>
    <w:rsid w:val="005329A3"/>
    <w:rsid w:val="00532B16"/>
    <w:rsid w:val="0053313D"/>
    <w:rsid w:val="00534597"/>
    <w:rsid w:val="00534C7E"/>
    <w:rsid w:val="00534CC3"/>
    <w:rsid w:val="005350F3"/>
    <w:rsid w:val="00535933"/>
    <w:rsid w:val="00535A31"/>
    <w:rsid w:val="00535C62"/>
    <w:rsid w:val="005368CE"/>
    <w:rsid w:val="005373F9"/>
    <w:rsid w:val="005376BC"/>
    <w:rsid w:val="005377DF"/>
    <w:rsid w:val="005377FC"/>
    <w:rsid w:val="00537A08"/>
    <w:rsid w:val="0054003B"/>
    <w:rsid w:val="00540089"/>
    <w:rsid w:val="00540472"/>
    <w:rsid w:val="00540677"/>
    <w:rsid w:val="00541553"/>
    <w:rsid w:val="00541931"/>
    <w:rsid w:val="00541C52"/>
    <w:rsid w:val="0054259E"/>
    <w:rsid w:val="00542BB5"/>
    <w:rsid w:val="00542E6A"/>
    <w:rsid w:val="00543854"/>
    <w:rsid w:val="005439F8"/>
    <w:rsid w:val="00543A29"/>
    <w:rsid w:val="00543F92"/>
    <w:rsid w:val="005441DF"/>
    <w:rsid w:val="005442E6"/>
    <w:rsid w:val="00544993"/>
    <w:rsid w:val="00544B6D"/>
    <w:rsid w:val="00544D3F"/>
    <w:rsid w:val="00544EE2"/>
    <w:rsid w:val="00545AB6"/>
    <w:rsid w:val="005460D9"/>
    <w:rsid w:val="0054621A"/>
    <w:rsid w:val="005465C4"/>
    <w:rsid w:val="005466C0"/>
    <w:rsid w:val="00546C9F"/>
    <w:rsid w:val="00546D35"/>
    <w:rsid w:val="0054735C"/>
    <w:rsid w:val="00547456"/>
    <w:rsid w:val="0054796A"/>
    <w:rsid w:val="00547A4A"/>
    <w:rsid w:val="00547EF5"/>
    <w:rsid w:val="00550BD2"/>
    <w:rsid w:val="00551298"/>
    <w:rsid w:val="00551B85"/>
    <w:rsid w:val="00552161"/>
    <w:rsid w:val="00552372"/>
    <w:rsid w:val="005525C6"/>
    <w:rsid w:val="005529EE"/>
    <w:rsid w:val="005529FF"/>
    <w:rsid w:val="00552B68"/>
    <w:rsid w:val="00553504"/>
    <w:rsid w:val="005536E4"/>
    <w:rsid w:val="00553AA0"/>
    <w:rsid w:val="00553B49"/>
    <w:rsid w:val="00553FE1"/>
    <w:rsid w:val="005540B5"/>
    <w:rsid w:val="00554DEE"/>
    <w:rsid w:val="0055516F"/>
    <w:rsid w:val="0055536A"/>
    <w:rsid w:val="0055561A"/>
    <w:rsid w:val="005556F9"/>
    <w:rsid w:val="00555D4E"/>
    <w:rsid w:val="00556125"/>
    <w:rsid w:val="0055715D"/>
    <w:rsid w:val="00557216"/>
    <w:rsid w:val="005574E5"/>
    <w:rsid w:val="00557547"/>
    <w:rsid w:val="005611CD"/>
    <w:rsid w:val="00561FE2"/>
    <w:rsid w:val="005621E3"/>
    <w:rsid w:val="005627EC"/>
    <w:rsid w:val="005633F2"/>
    <w:rsid w:val="005634AA"/>
    <w:rsid w:val="005638D0"/>
    <w:rsid w:val="00564429"/>
    <w:rsid w:val="00564A57"/>
    <w:rsid w:val="00564ADE"/>
    <w:rsid w:val="00564C85"/>
    <w:rsid w:val="005655B5"/>
    <w:rsid w:val="005655F4"/>
    <w:rsid w:val="0056579D"/>
    <w:rsid w:val="00565900"/>
    <w:rsid w:val="00565A1E"/>
    <w:rsid w:val="00565A30"/>
    <w:rsid w:val="00565D7B"/>
    <w:rsid w:val="00565E2E"/>
    <w:rsid w:val="00565F9F"/>
    <w:rsid w:val="0056608B"/>
    <w:rsid w:val="005666DB"/>
    <w:rsid w:val="0056683F"/>
    <w:rsid w:val="00566BA9"/>
    <w:rsid w:val="00566DD0"/>
    <w:rsid w:val="00566DD2"/>
    <w:rsid w:val="005671F6"/>
    <w:rsid w:val="0056751C"/>
    <w:rsid w:val="00567C61"/>
    <w:rsid w:val="0057023D"/>
    <w:rsid w:val="005707EB"/>
    <w:rsid w:val="00570822"/>
    <w:rsid w:val="00570DBD"/>
    <w:rsid w:val="0057151F"/>
    <w:rsid w:val="005715B5"/>
    <w:rsid w:val="005715FD"/>
    <w:rsid w:val="00571840"/>
    <w:rsid w:val="0057185D"/>
    <w:rsid w:val="005718BC"/>
    <w:rsid w:val="00571977"/>
    <w:rsid w:val="00571EF7"/>
    <w:rsid w:val="0057268E"/>
    <w:rsid w:val="00572CB3"/>
    <w:rsid w:val="0057315D"/>
    <w:rsid w:val="00573EEF"/>
    <w:rsid w:val="00574313"/>
    <w:rsid w:val="00575E0D"/>
    <w:rsid w:val="00575ED6"/>
    <w:rsid w:val="00575FD5"/>
    <w:rsid w:val="00576744"/>
    <w:rsid w:val="00576DE2"/>
    <w:rsid w:val="00576E56"/>
    <w:rsid w:val="00577012"/>
    <w:rsid w:val="00577282"/>
    <w:rsid w:val="0057740E"/>
    <w:rsid w:val="00577749"/>
    <w:rsid w:val="00577B3B"/>
    <w:rsid w:val="00577FFE"/>
    <w:rsid w:val="00580B37"/>
    <w:rsid w:val="00580BC5"/>
    <w:rsid w:val="00580F54"/>
    <w:rsid w:val="00581B77"/>
    <w:rsid w:val="00581D26"/>
    <w:rsid w:val="00581D5B"/>
    <w:rsid w:val="00581F07"/>
    <w:rsid w:val="0058229A"/>
    <w:rsid w:val="005822DA"/>
    <w:rsid w:val="00582411"/>
    <w:rsid w:val="0058294C"/>
    <w:rsid w:val="005829A7"/>
    <w:rsid w:val="00583902"/>
    <w:rsid w:val="0058396F"/>
    <w:rsid w:val="00583C28"/>
    <w:rsid w:val="00583DBB"/>
    <w:rsid w:val="00584109"/>
    <w:rsid w:val="005842CE"/>
    <w:rsid w:val="0058453E"/>
    <w:rsid w:val="00584C21"/>
    <w:rsid w:val="0058563C"/>
    <w:rsid w:val="00585B0D"/>
    <w:rsid w:val="0058662C"/>
    <w:rsid w:val="00586F0B"/>
    <w:rsid w:val="00587093"/>
    <w:rsid w:val="005874A8"/>
    <w:rsid w:val="00587837"/>
    <w:rsid w:val="00587A42"/>
    <w:rsid w:val="00587A9B"/>
    <w:rsid w:val="00587AED"/>
    <w:rsid w:val="005902FB"/>
    <w:rsid w:val="00590D5A"/>
    <w:rsid w:val="00591011"/>
    <w:rsid w:val="00591449"/>
    <w:rsid w:val="005915FA"/>
    <w:rsid w:val="00591DD3"/>
    <w:rsid w:val="00592A67"/>
    <w:rsid w:val="00592CB3"/>
    <w:rsid w:val="00592DFA"/>
    <w:rsid w:val="00593B52"/>
    <w:rsid w:val="00593E86"/>
    <w:rsid w:val="00594303"/>
    <w:rsid w:val="00594767"/>
    <w:rsid w:val="00594837"/>
    <w:rsid w:val="005952B7"/>
    <w:rsid w:val="00595862"/>
    <w:rsid w:val="00595AD2"/>
    <w:rsid w:val="00595F7B"/>
    <w:rsid w:val="0059662D"/>
    <w:rsid w:val="00596D0A"/>
    <w:rsid w:val="00596DC2"/>
    <w:rsid w:val="005973C1"/>
    <w:rsid w:val="0059774F"/>
    <w:rsid w:val="00597CDD"/>
    <w:rsid w:val="005A06A5"/>
    <w:rsid w:val="005A0ADD"/>
    <w:rsid w:val="005A0D6D"/>
    <w:rsid w:val="005A117F"/>
    <w:rsid w:val="005A17F4"/>
    <w:rsid w:val="005A1AD1"/>
    <w:rsid w:val="005A24D7"/>
    <w:rsid w:val="005A2E94"/>
    <w:rsid w:val="005A2EBC"/>
    <w:rsid w:val="005A35E3"/>
    <w:rsid w:val="005A3BDC"/>
    <w:rsid w:val="005A3C70"/>
    <w:rsid w:val="005A436C"/>
    <w:rsid w:val="005A4826"/>
    <w:rsid w:val="005A4B2B"/>
    <w:rsid w:val="005A4E9D"/>
    <w:rsid w:val="005A5254"/>
    <w:rsid w:val="005A5345"/>
    <w:rsid w:val="005A5810"/>
    <w:rsid w:val="005A59BA"/>
    <w:rsid w:val="005A5F8D"/>
    <w:rsid w:val="005A6231"/>
    <w:rsid w:val="005A6630"/>
    <w:rsid w:val="005A67F9"/>
    <w:rsid w:val="005A69B2"/>
    <w:rsid w:val="005A733B"/>
    <w:rsid w:val="005A7F88"/>
    <w:rsid w:val="005B0BC9"/>
    <w:rsid w:val="005B1AA7"/>
    <w:rsid w:val="005B1D9E"/>
    <w:rsid w:val="005B2ACA"/>
    <w:rsid w:val="005B2C07"/>
    <w:rsid w:val="005B2DB2"/>
    <w:rsid w:val="005B2F90"/>
    <w:rsid w:val="005B32BC"/>
    <w:rsid w:val="005B33EC"/>
    <w:rsid w:val="005B354F"/>
    <w:rsid w:val="005B35FB"/>
    <w:rsid w:val="005B375C"/>
    <w:rsid w:val="005B377B"/>
    <w:rsid w:val="005B3BDD"/>
    <w:rsid w:val="005B3F76"/>
    <w:rsid w:val="005B44E3"/>
    <w:rsid w:val="005B44E7"/>
    <w:rsid w:val="005B4AB5"/>
    <w:rsid w:val="005B4F1A"/>
    <w:rsid w:val="005B51BC"/>
    <w:rsid w:val="005B5B30"/>
    <w:rsid w:val="005B5F13"/>
    <w:rsid w:val="005B636D"/>
    <w:rsid w:val="005B6E9D"/>
    <w:rsid w:val="005B7230"/>
    <w:rsid w:val="005B7F3C"/>
    <w:rsid w:val="005C02C9"/>
    <w:rsid w:val="005C1352"/>
    <w:rsid w:val="005C1538"/>
    <w:rsid w:val="005C18BB"/>
    <w:rsid w:val="005C2BD3"/>
    <w:rsid w:val="005C3C1E"/>
    <w:rsid w:val="005C3F29"/>
    <w:rsid w:val="005C4BA8"/>
    <w:rsid w:val="005C514B"/>
    <w:rsid w:val="005C51D7"/>
    <w:rsid w:val="005C5E52"/>
    <w:rsid w:val="005C5F5F"/>
    <w:rsid w:val="005C61A4"/>
    <w:rsid w:val="005C62E1"/>
    <w:rsid w:val="005C6814"/>
    <w:rsid w:val="005C6B09"/>
    <w:rsid w:val="005C6F6B"/>
    <w:rsid w:val="005C7131"/>
    <w:rsid w:val="005C7EBD"/>
    <w:rsid w:val="005D00BE"/>
    <w:rsid w:val="005D047F"/>
    <w:rsid w:val="005D086D"/>
    <w:rsid w:val="005D0B01"/>
    <w:rsid w:val="005D0EB0"/>
    <w:rsid w:val="005D10BE"/>
    <w:rsid w:val="005D155F"/>
    <w:rsid w:val="005D160C"/>
    <w:rsid w:val="005D1F3B"/>
    <w:rsid w:val="005D30BA"/>
    <w:rsid w:val="005D3197"/>
    <w:rsid w:val="005D3A12"/>
    <w:rsid w:val="005D4082"/>
    <w:rsid w:val="005D44C0"/>
    <w:rsid w:val="005D478C"/>
    <w:rsid w:val="005D5C69"/>
    <w:rsid w:val="005D5DCB"/>
    <w:rsid w:val="005D6554"/>
    <w:rsid w:val="005D65C2"/>
    <w:rsid w:val="005D70EC"/>
    <w:rsid w:val="005D7568"/>
    <w:rsid w:val="005D7719"/>
    <w:rsid w:val="005D7ED9"/>
    <w:rsid w:val="005D7FDC"/>
    <w:rsid w:val="005E0ABD"/>
    <w:rsid w:val="005E1131"/>
    <w:rsid w:val="005E1B78"/>
    <w:rsid w:val="005E1D88"/>
    <w:rsid w:val="005E20F9"/>
    <w:rsid w:val="005E23FC"/>
    <w:rsid w:val="005E2B38"/>
    <w:rsid w:val="005E315B"/>
    <w:rsid w:val="005E31F0"/>
    <w:rsid w:val="005E335D"/>
    <w:rsid w:val="005E355B"/>
    <w:rsid w:val="005E374C"/>
    <w:rsid w:val="005E3811"/>
    <w:rsid w:val="005E4396"/>
    <w:rsid w:val="005E4544"/>
    <w:rsid w:val="005E45CC"/>
    <w:rsid w:val="005E4A97"/>
    <w:rsid w:val="005E4E3E"/>
    <w:rsid w:val="005E51AE"/>
    <w:rsid w:val="005E5580"/>
    <w:rsid w:val="005E5CB1"/>
    <w:rsid w:val="005E5CBA"/>
    <w:rsid w:val="005E70FD"/>
    <w:rsid w:val="005E771B"/>
    <w:rsid w:val="005E7BE3"/>
    <w:rsid w:val="005E7D69"/>
    <w:rsid w:val="005F0576"/>
    <w:rsid w:val="005F05C5"/>
    <w:rsid w:val="005F0A33"/>
    <w:rsid w:val="005F0DAA"/>
    <w:rsid w:val="005F1732"/>
    <w:rsid w:val="005F2E97"/>
    <w:rsid w:val="005F2FD6"/>
    <w:rsid w:val="005F34B9"/>
    <w:rsid w:val="005F34FB"/>
    <w:rsid w:val="005F3720"/>
    <w:rsid w:val="005F37A1"/>
    <w:rsid w:val="005F3805"/>
    <w:rsid w:val="005F3C1A"/>
    <w:rsid w:val="005F3D18"/>
    <w:rsid w:val="005F3F3F"/>
    <w:rsid w:val="005F4CE9"/>
    <w:rsid w:val="005F4FC8"/>
    <w:rsid w:val="005F5841"/>
    <w:rsid w:val="005F6910"/>
    <w:rsid w:val="005F6965"/>
    <w:rsid w:val="005F6E13"/>
    <w:rsid w:val="005F6EB8"/>
    <w:rsid w:val="005F6EE2"/>
    <w:rsid w:val="006008D9"/>
    <w:rsid w:val="00600D1C"/>
    <w:rsid w:val="006016A4"/>
    <w:rsid w:val="0060187D"/>
    <w:rsid w:val="00601973"/>
    <w:rsid w:val="00601B5A"/>
    <w:rsid w:val="00601DF1"/>
    <w:rsid w:val="00602033"/>
    <w:rsid w:val="006022A6"/>
    <w:rsid w:val="0060232C"/>
    <w:rsid w:val="00602C49"/>
    <w:rsid w:val="00602D14"/>
    <w:rsid w:val="00603349"/>
    <w:rsid w:val="0060370C"/>
    <w:rsid w:val="00603EF0"/>
    <w:rsid w:val="00603F3E"/>
    <w:rsid w:val="00604490"/>
    <w:rsid w:val="00604528"/>
    <w:rsid w:val="00604D15"/>
    <w:rsid w:val="006050AB"/>
    <w:rsid w:val="0060524A"/>
    <w:rsid w:val="006052B5"/>
    <w:rsid w:val="006059D2"/>
    <w:rsid w:val="006067A9"/>
    <w:rsid w:val="00606C55"/>
    <w:rsid w:val="00606CB9"/>
    <w:rsid w:val="00606FD4"/>
    <w:rsid w:val="0060705C"/>
    <w:rsid w:val="006071A0"/>
    <w:rsid w:val="0060734E"/>
    <w:rsid w:val="00607657"/>
    <w:rsid w:val="00610D41"/>
    <w:rsid w:val="0061127F"/>
    <w:rsid w:val="006113CC"/>
    <w:rsid w:val="00611A07"/>
    <w:rsid w:val="006121A8"/>
    <w:rsid w:val="006122DF"/>
    <w:rsid w:val="00612360"/>
    <w:rsid w:val="006125F5"/>
    <w:rsid w:val="0061299F"/>
    <w:rsid w:val="00612C83"/>
    <w:rsid w:val="006135F5"/>
    <w:rsid w:val="00613719"/>
    <w:rsid w:val="00613F82"/>
    <w:rsid w:val="0061402E"/>
    <w:rsid w:val="006140B7"/>
    <w:rsid w:val="006145DE"/>
    <w:rsid w:val="006146C9"/>
    <w:rsid w:val="00615060"/>
    <w:rsid w:val="00615A9E"/>
    <w:rsid w:val="00615CD5"/>
    <w:rsid w:val="00616128"/>
    <w:rsid w:val="006163CD"/>
    <w:rsid w:val="00616969"/>
    <w:rsid w:val="00616F27"/>
    <w:rsid w:val="0061738E"/>
    <w:rsid w:val="00617413"/>
    <w:rsid w:val="00617BC1"/>
    <w:rsid w:val="006202EF"/>
    <w:rsid w:val="0062045F"/>
    <w:rsid w:val="00620E7E"/>
    <w:rsid w:val="00621626"/>
    <w:rsid w:val="006222C2"/>
    <w:rsid w:val="0062271C"/>
    <w:rsid w:val="00622E55"/>
    <w:rsid w:val="00622F02"/>
    <w:rsid w:val="00622F3A"/>
    <w:rsid w:val="006230ED"/>
    <w:rsid w:val="006239F6"/>
    <w:rsid w:val="00623AF3"/>
    <w:rsid w:val="00623F17"/>
    <w:rsid w:val="00624273"/>
    <w:rsid w:val="0062464E"/>
    <w:rsid w:val="00624BCE"/>
    <w:rsid w:val="00624FF0"/>
    <w:rsid w:val="006250B6"/>
    <w:rsid w:val="0062516F"/>
    <w:rsid w:val="00625CFE"/>
    <w:rsid w:val="00625DCE"/>
    <w:rsid w:val="006261E4"/>
    <w:rsid w:val="0062628C"/>
    <w:rsid w:val="006262DA"/>
    <w:rsid w:val="0062699C"/>
    <w:rsid w:val="00627041"/>
    <w:rsid w:val="00627C76"/>
    <w:rsid w:val="00627CD5"/>
    <w:rsid w:val="0063020A"/>
    <w:rsid w:val="0063050F"/>
    <w:rsid w:val="0063059B"/>
    <w:rsid w:val="00630782"/>
    <w:rsid w:val="00630D51"/>
    <w:rsid w:val="00630D8F"/>
    <w:rsid w:val="00630EBF"/>
    <w:rsid w:val="00630F08"/>
    <w:rsid w:val="00631253"/>
    <w:rsid w:val="00631860"/>
    <w:rsid w:val="0063192C"/>
    <w:rsid w:val="00631A17"/>
    <w:rsid w:val="0063279A"/>
    <w:rsid w:val="00632CB6"/>
    <w:rsid w:val="00632ECA"/>
    <w:rsid w:val="0063323D"/>
    <w:rsid w:val="00633845"/>
    <w:rsid w:val="00633F3D"/>
    <w:rsid w:val="0063487B"/>
    <w:rsid w:val="0063487C"/>
    <w:rsid w:val="0063512F"/>
    <w:rsid w:val="00635222"/>
    <w:rsid w:val="00635540"/>
    <w:rsid w:val="00635CA9"/>
    <w:rsid w:val="006362E8"/>
    <w:rsid w:val="006365C1"/>
    <w:rsid w:val="00636618"/>
    <w:rsid w:val="0063712C"/>
    <w:rsid w:val="006375B9"/>
    <w:rsid w:val="00637B04"/>
    <w:rsid w:val="00640364"/>
    <w:rsid w:val="006416D0"/>
    <w:rsid w:val="00642E2C"/>
    <w:rsid w:val="00642FDD"/>
    <w:rsid w:val="006439FF"/>
    <w:rsid w:val="00643A07"/>
    <w:rsid w:val="00644885"/>
    <w:rsid w:val="0064507C"/>
    <w:rsid w:val="00645180"/>
    <w:rsid w:val="00645569"/>
    <w:rsid w:val="00645616"/>
    <w:rsid w:val="0064568E"/>
    <w:rsid w:val="006456A8"/>
    <w:rsid w:val="00645AF1"/>
    <w:rsid w:val="00645D78"/>
    <w:rsid w:val="00646AB8"/>
    <w:rsid w:val="00646E3F"/>
    <w:rsid w:val="006470D2"/>
    <w:rsid w:val="006472D3"/>
    <w:rsid w:val="006472E0"/>
    <w:rsid w:val="0064767D"/>
    <w:rsid w:val="0064772E"/>
    <w:rsid w:val="006501B9"/>
    <w:rsid w:val="00650A21"/>
    <w:rsid w:val="0065110A"/>
    <w:rsid w:val="00651A8E"/>
    <w:rsid w:val="00651C7F"/>
    <w:rsid w:val="00651FA5"/>
    <w:rsid w:val="00652258"/>
    <w:rsid w:val="006523D7"/>
    <w:rsid w:val="006526BB"/>
    <w:rsid w:val="00652972"/>
    <w:rsid w:val="00652BDC"/>
    <w:rsid w:val="006530B0"/>
    <w:rsid w:val="006531F6"/>
    <w:rsid w:val="0065422F"/>
    <w:rsid w:val="006543FB"/>
    <w:rsid w:val="006545A9"/>
    <w:rsid w:val="00654A5C"/>
    <w:rsid w:val="00654E91"/>
    <w:rsid w:val="00654FB5"/>
    <w:rsid w:val="006554FE"/>
    <w:rsid w:val="00655A49"/>
    <w:rsid w:val="00655DAF"/>
    <w:rsid w:val="00655F6B"/>
    <w:rsid w:val="006560D6"/>
    <w:rsid w:val="0065631E"/>
    <w:rsid w:val="0065665E"/>
    <w:rsid w:val="00656D0A"/>
    <w:rsid w:val="00657341"/>
    <w:rsid w:val="00657DB0"/>
    <w:rsid w:val="00657F57"/>
    <w:rsid w:val="00660E0E"/>
    <w:rsid w:val="00660F91"/>
    <w:rsid w:val="00660FB6"/>
    <w:rsid w:val="006613C1"/>
    <w:rsid w:val="00661D14"/>
    <w:rsid w:val="0066321A"/>
    <w:rsid w:val="0066365D"/>
    <w:rsid w:val="00664AED"/>
    <w:rsid w:val="00665168"/>
    <w:rsid w:val="00665997"/>
    <w:rsid w:val="00666EA1"/>
    <w:rsid w:val="006671E7"/>
    <w:rsid w:val="00667451"/>
    <w:rsid w:val="006674F6"/>
    <w:rsid w:val="006675F8"/>
    <w:rsid w:val="00670296"/>
    <w:rsid w:val="0067037F"/>
    <w:rsid w:val="0067170A"/>
    <w:rsid w:val="00671C98"/>
    <w:rsid w:val="00672034"/>
    <w:rsid w:val="006723EC"/>
    <w:rsid w:val="00672FC9"/>
    <w:rsid w:val="0067329F"/>
    <w:rsid w:val="00673B3C"/>
    <w:rsid w:val="00673DE4"/>
    <w:rsid w:val="006741B4"/>
    <w:rsid w:val="006741D8"/>
    <w:rsid w:val="006744B9"/>
    <w:rsid w:val="00674522"/>
    <w:rsid w:val="00674B00"/>
    <w:rsid w:val="00674BEC"/>
    <w:rsid w:val="00675F02"/>
    <w:rsid w:val="00676267"/>
    <w:rsid w:val="006774BE"/>
    <w:rsid w:val="00677597"/>
    <w:rsid w:val="00677642"/>
    <w:rsid w:val="0067776E"/>
    <w:rsid w:val="00677CF1"/>
    <w:rsid w:val="00677E4E"/>
    <w:rsid w:val="0068033D"/>
    <w:rsid w:val="0068065E"/>
    <w:rsid w:val="00680C30"/>
    <w:rsid w:val="00680C71"/>
    <w:rsid w:val="006810B1"/>
    <w:rsid w:val="00681559"/>
    <w:rsid w:val="00681BD0"/>
    <w:rsid w:val="00682425"/>
    <w:rsid w:val="00682A95"/>
    <w:rsid w:val="00682C1B"/>
    <w:rsid w:val="00682D80"/>
    <w:rsid w:val="00682F6A"/>
    <w:rsid w:val="00682F8C"/>
    <w:rsid w:val="00683213"/>
    <w:rsid w:val="0068347F"/>
    <w:rsid w:val="006834DF"/>
    <w:rsid w:val="0068374E"/>
    <w:rsid w:val="006837F4"/>
    <w:rsid w:val="00683B0E"/>
    <w:rsid w:val="006842BD"/>
    <w:rsid w:val="0068440F"/>
    <w:rsid w:val="006845E2"/>
    <w:rsid w:val="00685C2D"/>
    <w:rsid w:val="00686298"/>
    <w:rsid w:val="0068675E"/>
    <w:rsid w:val="00686E7D"/>
    <w:rsid w:val="00686FED"/>
    <w:rsid w:val="006871A8"/>
    <w:rsid w:val="00687B0F"/>
    <w:rsid w:val="006904CE"/>
    <w:rsid w:val="006907D1"/>
    <w:rsid w:val="006909D5"/>
    <w:rsid w:val="00690CC6"/>
    <w:rsid w:val="0069132F"/>
    <w:rsid w:val="0069148E"/>
    <w:rsid w:val="006917E7"/>
    <w:rsid w:val="00691BC8"/>
    <w:rsid w:val="00691FB2"/>
    <w:rsid w:val="006923CC"/>
    <w:rsid w:val="006931D0"/>
    <w:rsid w:val="00693374"/>
    <w:rsid w:val="00693381"/>
    <w:rsid w:val="006939E7"/>
    <w:rsid w:val="00693AD7"/>
    <w:rsid w:val="00695437"/>
    <w:rsid w:val="0069562C"/>
    <w:rsid w:val="00695938"/>
    <w:rsid w:val="00695B5A"/>
    <w:rsid w:val="00695D17"/>
    <w:rsid w:val="00695FC7"/>
    <w:rsid w:val="0069695A"/>
    <w:rsid w:val="00696F26"/>
    <w:rsid w:val="00697835"/>
    <w:rsid w:val="00697FA3"/>
    <w:rsid w:val="006A0229"/>
    <w:rsid w:val="006A03B7"/>
    <w:rsid w:val="006A072A"/>
    <w:rsid w:val="006A09CB"/>
    <w:rsid w:val="006A0F00"/>
    <w:rsid w:val="006A0FCA"/>
    <w:rsid w:val="006A162B"/>
    <w:rsid w:val="006A181A"/>
    <w:rsid w:val="006A25FE"/>
    <w:rsid w:val="006A2E5F"/>
    <w:rsid w:val="006A3538"/>
    <w:rsid w:val="006A3A60"/>
    <w:rsid w:val="006A3BED"/>
    <w:rsid w:val="006A4CD1"/>
    <w:rsid w:val="006A4F90"/>
    <w:rsid w:val="006A58DE"/>
    <w:rsid w:val="006A5914"/>
    <w:rsid w:val="006A5CEB"/>
    <w:rsid w:val="006A61A6"/>
    <w:rsid w:val="006A62D4"/>
    <w:rsid w:val="006A684E"/>
    <w:rsid w:val="006A7297"/>
    <w:rsid w:val="006B0394"/>
    <w:rsid w:val="006B053B"/>
    <w:rsid w:val="006B06D2"/>
    <w:rsid w:val="006B0956"/>
    <w:rsid w:val="006B0A3C"/>
    <w:rsid w:val="006B0A43"/>
    <w:rsid w:val="006B0B09"/>
    <w:rsid w:val="006B1396"/>
    <w:rsid w:val="006B139F"/>
    <w:rsid w:val="006B18FC"/>
    <w:rsid w:val="006B1B97"/>
    <w:rsid w:val="006B204A"/>
    <w:rsid w:val="006B2E6D"/>
    <w:rsid w:val="006B30CC"/>
    <w:rsid w:val="006B343C"/>
    <w:rsid w:val="006B46AF"/>
    <w:rsid w:val="006B4923"/>
    <w:rsid w:val="006B4E0C"/>
    <w:rsid w:val="006B4F3F"/>
    <w:rsid w:val="006B55D5"/>
    <w:rsid w:val="006B56D7"/>
    <w:rsid w:val="006B58AC"/>
    <w:rsid w:val="006B5B75"/>
    <w:rsid w:val="006B60ED"/>
    <w:rsid w:val="006B6129"/>
    <w:rsid w:val="006B6739"/>
    <w:rsid w:val="006B6DFA"/>
    <w:rsid w:val="006B6E4F"/>
    <w:rsid w:val="006B7028"/>
    <w:rsid w:val="006B7098"/>
    <w:rsid w:val="006B73AA"/>
    <w:rsid w:val="006B73F9"/>
    <w:rsid w:val="006B742A"/>
    <w:rsid w:val="006B7656"/>
    <w:rsid w:val="006B7D82"/>
    <w:rsid w:val="006B7E79"/>
    <w:rsid w:val="006C05C0"/>
    <w:rsid w:val="006C07B6"/>
    <w:rsid w:val="006C1011"/>
    <w:rsid w:val="006C1535"/>
    <w:rsid w:val="006C1830"/>
    <w:rsid w:val="006C1E08"/>
    <w:rsid w:val="006C1E23"/>
    <w:rsid w:val="006C2697"/>
    <w:rsid w:val="006C2AA4"/>
    <w:rsid w:val="006C3B9F"/>
    <w:rsid w:val="006C425F"/>
    <w:rsid w:val="006C470F"/>
    <w:rsid w:val="006C47C9"/>
    <w:rsid w:val="006C503D"/>
    <w:rsid w:val="006C51C0"/>
    <w:rsid w:val="006C52B5"/>
    <w:rsid w:val="006C5320"/>
    <w:rsid w:val="006C5B23"/>
    <w:rsid w:val="006C5D7C"/>
    <w:rsid w:val="006C63FF"/>
    <w:rsid w:val="006C65D2"/>
    <w:rsid w:val="006C6917"/>
    <w:rsid w:val="006C6AD9"/>
    <w:rsid w:val="006C7295"/>
    <w:rsid w:val="006C72FD"/>
    <w:rsid w:val="006C7663"/>
    <w:rsid w:val="006C76B5"/>
    <w:rsid w:val="006D0530"/>
    <w:rsid w:val="006D0613"/>
    <w:rsid w:val="006D0886"/>
    <w:rsid w:val="006D0D8D"/>
    <w:rsid w:val="006D11D5"/>
    <w:rsid w:val="006D13F5"/>
    <w:rsid w:val="006D1841"/>
    <w:rsid w:val="006D1AD9"/>
    <w:rsid w:val="006D20EA"/>
    <w:rsid w:val="006D224E"/>
    <w:rsid w:val="006D25C9"/>
    <w:rsid w:val="006D3290"/>
    <w:rsid w:val="006D3471"/>
    <w:rsid w:val="006D3BA9"/>
    <w:rsid w:val="006D409B"/>
    <w:rsid w:val="006D40C6"/>
    <w:rsid w:val="006D4243"/>
    <w:rsid w:val="006D465A"/>
    <w:rsid w:val="006D55C6"/>
    <w:rsid w:val="006D5C49"/>
    <w:rsid w:val="006D61B4"/>
    <w:rsid w:val="006D61B9"/>
    <w:rsid w:val="006D68AE"/>
    <w:rsid w:val="006D6FB3"/>
    <w:rsid w:val="006D7D68"/>
    <w:rsid w:val="006E0EA1"/>
    <w:rsid w:val="006E1390"/>
    <w:rsid w:val="006E15A8"/>
    <w:rsid w:val="006E17E4"/>
    <w:rsid w:val="006E2081"/>
    <w:rsid w:val="006E228A"/>
    <w:rsid w:val="006E2D34"/>
    <w:rsid w:val="006E34AB"/>
    <w:rsid w:val="006E3741"/>
    <w:rsid w:val="006E379A"/>
    <w:rsid w:val="006E3B64"/>
    <w:rsid w:val="006E3C31"/>
    <w:rsid w:val="006E3DAB"/>
    <w:rsid w:val="006E42F2"/>
    <w:rsid w:val="006E4391"/>
    <w:rsid w:val="006E4569"/>
    <w:rsid w:val="006E4898"/>
    <w:rsid w:val="006E4923"/>
    <w:rsid w:val="006E4B17"/>
    <w:rsid w:val="006E4B59"/>
    <w:rsid w:val="006E4C06"/>
    <w:rsid w:val="006E5744"/>
    <w:rsid w:val="006E594F"/>
    <w:rsid w:val="006E5E0F"/>
    <w:rsid w:val="006E6811"/>
    <w:rsid w:val="006E6BA5"/>
    <w:rsid w:val="006E6EFB"/>
    <w:rsid w:val="006E78DD"/>
    <w:rsid w:val="006E798E"/>
    <w:rsid w:val="006E7D2B"/>
    <w:rsid w:val="006F0A7B"/>
    <w:rsid w:val="006F0CA7"/>
    <w:rsid w:val="006F1138"/>
    <w:rsid w:val="006F1E2D"/>
    <w:rsid w:val="006F1F5D"/>
    <w:rsid w:val="006F2072"/>
    <w:rsid w:val="006F21C0"/>
    <w:rsid w:val="006F26B5"/>
    <w:rsid w:val="006F2AA1"/>
    <w:rsid w:val="006F2AB6"/>
    <w:rsid w:val="006F2CBB"/>
    <w:rsid w:val="006F306D"/>
    <w:rsid w:val="006F346F"/>
    <w:rsid w:val="006F34EC"/>
    <w:rsid w:val="006F351A"/>
    <w:rsid w:val="006F35F6"/>
    <w:rsid w:val="006F3870"/>
    <w:rsid w:val="006F3B4F"/>
    <w:rsid w:val="006F4916"/>
    <w:rsid w:val="006F4DE8"/>
    <w:rsid w:val="006F4E0C"/>
    <w:rsid w:val="006F578C"/>
    <w:rsid w:val="006F5E0A"/>
    <w:rsid w:val="006F6303"/>
    <w:rsid w:val="006F632C"/>
    <w:rsid w:val="006F6F50"/>
    <w:rsid w:val="006F70A6"/>
    <w:rsid w:val="006F72B2"/>
    <w:rsid w:val="006F7416"/>
    <w:rsid w:val="006F7657"/>
    <w:rsid w:val="006F789D"/>
    <w:rsid w:val="006F78EF"/>
    <w:rsid w:val="006F7B8F"/>
    <w:rsid w:val="006F7BF2"/>
    <w:rsid w:val="0070018D"/>
    <w:rsid w:val="007003B3"/>
    <w:rsid w:val="007009F4"/>
    <w:rsid w:val="00700A38"/>
    <w:rsid w:val="007011B0"/>
    <w:rsid w:val="00701360"/>
    <w:rsid w:val="007014F5"/>
    <w:rsid w:val="00701596"/>
    <w:rsid w:val="007019EA"/>
    <w:rsid w:val="007024A5"/>
    <w:rsid w:val="007031B9"/>
    <w:rsid w:val="00703F4D"/>
    <w:rsid w:val="007041C6"/>
    <w:rsid w:val="007047C3"/>
    <w:rsid w:val="00704A4A"/>
    <w:rsid w:val="00705066"/>
    <w:rsid w:val="0070568D"/>
    <w:rsid w:val="007056A5"/>
    <w:rsid w:val="00705A3C"/>
    <w:rsid w:val="00705D32"/>
    <w:rsid w:val="007068DB"/>
    <w:rsid w:val="00707088"/>
    <w:rsid w:val="0070717D"/>
    <w:rsid w:val="0070722C"/>
    <w:rsid w:val="007077F1"/>
    <w:rsid w:val="00707899"/>
    <w:rsid w:val="00707BBB"/>
    <w:rsid w:val="00707C5D"/>
    <w:rsid w:val="00710573"/>
    <w:rsid w:val="00710821"/>
    <w:rsid w:val="00710C35"/>
    <w:rsid w:val="00710EEA"/>
    <w:rsid w:val="0071175B"/>
    <w:rsid w:val="00711C69"/>
    <w:rsid w:val="00711CC7"/>
    <w:rsid w:val="00711F75"/>
    <w:rsid w:val="0071241F"/>
    <w:rsid w:val="007127C2"/>
    <w:rsid w:val="007127CF"/>
    <w:rsid w:val="00712BE8"/>
    <w:rsid w:val="00713050"/>
    <w:rsid w:val="0071345E"/>
    <w:rsid w:val="007137DA"/>
    <w:rsid w:val="00714211"/>
    <w:rsid w:val="00714A6D"/>
    <w:rsid w:val="00714F1E"/>
    <w:rsid w:val="007152AC"/>
    <w:rsid w:val="007157CA"/>
    <w:rsid w:val="00715F2B"/>
    <w:rsid w:val="007160E2"/>
    <w:rsid w:val="00716175"/>
    <w:rsid w:val="00716627"/>
    <w:rsid w:val="007167EA"/>
    <w:rsid w:val="00716933"/>
    <w:rsid w:val="00716C51"/>
    <w:rsid w:val="00716F3B"/>
    <w:rsid w:val="00717070"/>
    <w:rsid w:val="0071710C"/>
    <w:rsid w:val="0071731C"/>
    <w:rsid w:val="00717338"/>
    <w:rsid w:val="00717755"/>
    <w:rsid w:val="00717C6E"/>
    <w:rsid w:val="00720074"/>
    <w:rsid w:val="007206BD"/>
    <w:rsid w:val="0072127C"/>
    <w:rsid w:val="007217CA"/>
    <w:rsid w:val="0072204B"/>
    <w:rsid w:val="00722C10"/>
    <w:rsid w:val="00722F16"/>
    <w:rsid w:val="00723C6E"/>
    <w:rsid w:val="00723D3A"/>
    <w:rsid w:val="0072437F"/>
    <w:rsid w:val="007245BD"/>
    <w:rsid w:val="00724656"/>
    <w:rsid w:val="00724E18"/>
    <w:rsid w:val="0072565D"/>
    <w:rsid w:val="007267F2"/>
    <w:rsid w:val="00726802"/>
    <w:rsid w:val="00726984"/>
    <w:rsid w:val="0072707B"/>
    <w:rsid w:val="00727402"/>
    <w:rsid w:val="007275B2"/>
    <w:rsid w:val="00727CF4"/>
    <w:rsid w:val="007302AF"/>
    <w:rsid w:val="00730542"/>
    <w:rsid w:val="0073106C"/>
    <w:rsid w:val="00731961"/>
    <w:rsid w:val="00731B6F"/>
    <w:rsid w:val="007325E3"/>
    <w:rsid w:val="00732848"/>
    <w:rsid w:val="00732EF0"/>
    <w:rsid w:val="0073307C"/>
    <w:rsid w:val="00733D6D"/>
    <w:rsid w:val="00734226"/>
    <w:rsid w:val="007343C5"/>
    <w:rsid w:val="00734C10"/>
    <w:rsid w:val="007353D9"/>
    <w:rsid w:val="007355E5"/>
    <w:rsid w:val="007359FD"/>
    <w:rsid w:val="0073612D"/>
    <w:rsid w:val="00736615"/>
    <w:rsid w:val="0073685C"/>
    <w:rsid w:val="00737551"/>
    <w:rsid w:val="0073798A"/>
    <w:rsid w:val="00737E37"/>
    <w:rsid w:val="0074000C"/>
    <w:rsid w:val="00740185"/>
    <w:rsid w:val="00740285"/>
    <w:rsid w:val="0074058D"/>
    <w:rsid w:val="007406A3"/>
    <w:rsid w:val="0074138F"/>
    <w:rsid w:val="00741817"/>
    <w:rsid w:val="00742A7C"/>
    <w:rsid w:val="00743235"/>
    <w:rsid w:val="00743A44"/>
    <w:rsid w:val="00743BA6"/>
    <w:rsid w:val="00743D9E"/>
    <w:rsid w:val="00744129"/>
    <w:rsid w:val="00744549"/>
    <w:rsid w:val="00744925"/>
    <w:rsid w:val="00744B30"/>
    <w:rsid w:val="007452B2"/>
    <w:rsid w:val="007453B0"/>
    <w:rsid w:val="00745993"/>
    <w:rsid w:val="007465F8"/>
    <w:rsid w:val="00746730"/>
    <w:rsid w:val="00747950"/>
    <w:rsid w:val="00747958"/>
    <w:rsid w:val="00747B85"/>
    <w:rsid w:val="0075069E"/>
    <w:rsid w:val="00751162"/>
    <w:rsid w:val="007512C4"/>
    <w:rsid w:val="00751348"/>
    <w:rsid w:val="007515C2"/>
    <w:rsid w:val="00751991"/>
    <w:rsid w:val="007519F6"/>
    <w:rsid w:val="007523A5"/>
    <w:rsid w:val="0075283A"/>
    <w:rsid w:val="00752EC5"/>
    <w:rsid w:val="007532A5"/>
    <w:rsid w:val="00753584"/>
    <w:rsid w:val="007536AA"/>
    <w:rsid w:val="00753822"/>
    <w:rsid w:val="00753831"/>
    <w:rsid w:val="007538DB"/>
    <w:rsid w:val="007539E9"/>
    <w:rsid w:val="00753FF3"/>
    <w:rsid w:val="00754312"/>
    <w:rsid w:val="00754389"/>
    <w:rsid w:val="00754D73"/>
    <w:rsid w:val="00755057"/>
    <w:rsid w:val="007553AB"/>
    <w:rsid w:val="007554FC"/>
    <w:rsid w:val="00755724"/>
    <w:rsid w:val="0075573E"/>
    <w:rsid w:val="007561AE"/>
    <w:rsid w:val="007565D0"/>
    <w:rsid w:val="00756686"/>
    <w:rsid w:val="00756ABD"/>
    <w:rsid w:val="0075702E"/>
    <w:rsid w:val="007573CC"/>
    <w:rsid w:val="00757B98"/>
    <w:rsid w:val="00757E06"/>
    <w:rsid w:val="00757EB6"/>
    <w:rsid w:val="00757FFB"/>
    <w:rsid w:val="00760230"/>
    <w:rsid w:val="0076035D"/>
    <w:rsid w:val="00760550"/>
    <w:rsid w:val="007609FD"/>
    <w:rsid w:val="00760D20"/>
    <w:rsid w:val="00760D99"/>
    <w:rsid w:val="00761033"/>
    <w:rsid w:val="00761259"/>
    <w:rsid w:val="00761518"/>
    <w:rsid w:val="007615A3"/>
    <w:rsid w:val="00762155"/>
    <w:rsid w:val="007628D2"/>
    <w:rsid w:val="00762936"/>
    <w:rsid w:val="00762B84"/>
    <w:rsid w:val="0076302E"/>
    <w:rsid w:val="007636F0"/>
    <w:rsid w:val="00763FA1"/>
    <w:rsid w:val="007648CA"/>
    <w:rsid w:val="00764B50"/>
    <w:rsid w:val="00764CE9"/>
    <w:rsid w:val="00764D1B"/>
    <w:rsid w:val="00765803"/>
    <w:rsid w:val="00765E83"/>
    <w:rsid w:val="007660AD"/>
    <w:rsid w:val="00766202"/>
    <w:rsid w:val="00766F53"/>
    <w:rsid w:val="00770032"/>
    <w:rsid w:val="007700C7"/>
    <w:rsid w:val="0077072F"/>
    <w:rsid w:val="00771D0D"/>
    <w:rsid w:val="00771DF6"/>
    <w:rsid w:val="0077203E"/>
    <w:rsid w:val="007734CD"/>
    <w:rsid w:val="007734DC"/>
    <w:rsid w:val="00773827"/>
    <w:rsid w:val="00773EA7"/>
    <w:rsid w:val="0077492A"/>
    <w:rsid w:val="00774C2E"/>
    <w:rsid w:val="00774DA4"/>
    <w:rsid w:val="007753DD"/>
    <w:rsid w:val="00775530"/>
    <w:rsid w:val="0077583D"/>
    <w:rsid w:val="00775FDF"/>
    <w:rsid w:val="00776007"/>
    <w:rsid w:val="0077705A"/>
    <w:rsid w:val="007773D4"/>
    <w:rsid w:val="00777979"/>
    <w:rsid w:val="00780034"/>
    <w:rsid w:val="007803FC"/>
    <w:rsid w:val="00780A58"/>
    <w:rsid w:val="00780A5C"/>
    <w:rsid w:val="007811A3"/>
    <w:rsid w:val="00781597"/>
    <w:rsid w:val="00781932"/>
    <w:rsid w:val="00781955"/>
    <w:rsid w:val="00781B00"/>
    <w:rsid w:val="00781CD8"/>
    <w:rsid w:val="00781E50"/>
    <w:rsid w:val="00782B79"/>
    <w:rsid w:val="00783306"/>
    <w:rsid w:val="0078358E"/>
    <w:rsid w:val="007837A9"/>
    <w:rsid w:val="00784417"/>
    <w:rsid w:val="007848B8"/>
    <w:rsid w:val="00784956"/>
    <w:rsid w:val="00785310"/>
    <w:rsid w:val="00785748"/>
    <w:rsid w:val="00785E8E"/>
    <w:rsid w:val="007860DC"/>
    <w:rsid w:val="0078621B"/>
    <w:rsid w:val="0078680D"/>
    <w:rsid w:val="007872AD"/>
    <w:rsid w:val="00787AAD"/>
    <w:rsid w:val="00790010"/>
    <w:rsid w:val="00790075"/>
    <w:rsid w:val="007905FA"/>
    <w:rsid w:val="00790642"/>
    <w:rsid w:val="00790C07"/>
    <w:rsid w:val="00790C2A"/>
    <w:rsid w:val="00790F32"/>
    <w:rsid w:val="00791056"/>
    <w:rsid w:val="00791236"/>
    <w:rsid w:val="007914EB"/>
    <w:rsid w:val="0079154D"/>
    <w:rsid w:val="007927BD"/>
    <w:rsid w:val="00792851"/>
    <w:rsid w:val="00792B0A"/>
    <w:rsid w:val="00792EA6"/>
    <w:rsid w:val="00793DD0"/>
    <w:rsid w:val="00794662"/>
    <w:rsid w:val="007946A0"/>
    <w:rsid w:val="00794DBA"/>
    <w:rsid w:val="00795B1F"/>
    <w:rsid w:val="00796656"/>
    <w:rsid w:val="00796CE4"/>
    <w:rsid w:val="007976D4"/>
    <w:rsid w:val="007978C1"/>
    <w:rsid w:val="00797A40"/>
    <w:rsid w:val="007A08A9"/>
    <w:rsid w:val="007A11A5"/>
    <w:rsid w:val="007A1399"/>
    <w:rsid w:val="007A1EA9"/>
    <w:rsid w:val="007A26DA"/>
    <w:rsid w:val="007A2C99"/>
    <w:rsid w:val="007A2E4E"/>
    <w:rsid w:val="007A325B"/>
    <w:rsid w:val="007A39C1"/>
    <w:rsid w:val="007A3C8F"/>
    <w:rsid w:val="007A3F0D"/>
    <w:rsid w:val="007A44A0"/>
    <w:rsid w:val="007A53DD"/>
    <w:rsid w:val="007A54BE"/>
    <w:rsid w:val="007A596F"/>
    <w:rsid w:val="007A59B1"/>
    <w:rsid w:val="007A5D24"/>
    <w:rsid w:val="007A6106"/>
    <w:rsid w:val="007A6520"/>
    <w:rsid w:val="007A6BEE"/>
    <w:rsid w:val="007A6DC1"/>
    <w:rsid w:val="007A7727"/>
    <w:rsid w:val="007A78E9"/>
    <w:rsid w:val="007A7AA0"/>
    <w:rsid w:val="007A7BB1"/>
    <w:rsid w:val="007B01C1"/>
    <w:rsid w:val="007B07B3"/>
    <w:rsid w:val="007B0B1F"/>
    <w:rsid w:val="007B0C5D"/>
    <w:rsid w:val="007B13AB"/>
    <w:rsid w:val="007B1A3D"/>
    <w:rsid w:val="007B1A58"/>
    <w:rsid w:val="007B22E7"/>
    <w:rsid w:val="007B2726"/>
    <w:rsid w:val="007B35DA"/>
    <w:rsid w:val="007B41B8"/>
    <w:rsid w:val="007B4265"/>
    <w:rsid w:val="007B42FD"/>
    <w:rsid w:val="007B4E87"/>
    <w:rsid w:val="007B4F5B"/>
    <w:rsid w:val="007B568D"/>
    <w:rsid w:val="007B578D"/>
    <w:rsid w:val="007B59F8"/>
    <w:rsid w:val="007B5C42"/>
    <w:rsid w:val="007B6DC2"/>
    <w:rsid w:val="007B7519"/>
    <w:rsid w:val="007B768C"/>
    <w:rsid w:val="007C0C38"/>
    <w:rsid w:val="007C0E3D"/>
    <w:rsid w:val="007C185F"/>
    <w:rsid w:val="007C1EE5"/>
    <w:rsid w:val="007C21B7"/>
    <w:rsid w:val="007C223A"/>
    <w:rsid w:val="007C2613"/>
    <w:rsid w:val="007C3798"/>
    <w:rsid w:val="007C3D10"/>
    <w:rsid w:val="007C3F5B"/>
    <w:rsid w:val="007C42C4"/>
    <w:rsid w:val="007C43ED"/>
    <w:rsid w:val="007C52C6"/>
    <w:rsid w:val="007C5839"/>
    <w:rsid w:val="007C5E9A"/>
    <w:rsid w:val="007C6573"/>
    <w:rsid w:val="007C6A46"/>
    <w:rsid w:val="007C6AB3"/>
    <w:rsid w:val="007C6C29"/>
    <w:rsid w:val="007C7245"/>
    <w:rsid w:val="007C786B"/>
    <w:rsid w:val="007C7CD9"/>
    <w:rsid w:val="007D009A"/>
    <w:rsid w:val="007D0735"/>
    <w:rsid w:val="007D0990"/>
    <w:rsid w:val="007D1784"/>
    <w:rsid w:val="007D1A82"/>
    <w:rsid w:val="007D1AAE"/>
    <w:rsid w:val="007D249B"/>
    <w:rsid w:val="007D2AAD"/>
    <w:rsid w:val="007D306B"/>
    <w:rsid w:val="007D31F3"/>
    <w:rsid w:val="007D34CA"/>
    <w:rsid w:val="007D387D"/>
    <w:rsid w:val="007D45C2"/>
    <w:rsid w:val="007D4738"/>
    <w:rsid w:val="007D48F4"/>
    <w:rsid w:val="007D4EC0"/>
    <w:rsid w:val="007D50A3"/>
    <w:rsid w:val="007D5A1C"/>
    <w:rsid w:val="007D67FB"/>
    <w:rsid w:val="007D6A27"/>
    <w:rsid w:val="007D6A91"/>
    <w:rsid w:val="007D6B6A"/>
    <w:rsid w:val="007D6F07"/>
    <w:rsid w:val="007D71CB"/>
    <w:rsid w:val="007D7938"/>
    <w:rsid w:val="007E0097"/>
    <w:rsid w:val="007E02BE"/>
    <w:rsid w:val="007E0980"/>
    <w:rsid w:val="007E12CF"/>
    <w:rsid w:val="007E15E2"/>
    <w:rsid w:val="007E1C62"/>
    <w:rsid w:val="007E21B6"/>
    <w:rsid w:val="007E2F63"/>
    <w:rsid w:val="007E314E"/>
    <w:rsid w:val="007E317F"/>
    <w:rsid w:val="007E3C64"/>
    <w:rsid w:val="007E42E7"/>
    <w:rsid w:val="007E480B"/>
    <w:rsid w:val="007E547E"/>
    <w:rsid w:val="007E57DA"/>
    <w:rsid w:val="007E59F7"/>
    <w:rsid w:val="007E6E24"/>
    <w:rsid w:val="007E7147"/>
    <w:rsid w:val="007F045E"/>
    <w:rsid w:val="007F08E9"/>
    <w:rsid w:val="007F0DC6"/>
    <w:rsid w:val="007F0F7C"/>
    <w:rsid w:val="007F14F1"/>
    <w:rsid w:val="007F15DA"/>
    <w:rsid w:val="007F15F2"/>
    <w:rsid w:val="007F1B22"/>
    <w:rsid w:val="007F1FCD"/>
    <w:rsid w:val="007F22A6"/>
    <w:rsid w:val="007F236E"/>
    <w:rsid w:val="007F2684"/>
    <w:rsid w:val="007F29E9"/>
    <w:rsid w:val="007F2EDB"/>
    <w:rsid w:val="007F305D"/>
    <w:rsid w:val="007F31C0"/>
    <w:rsid w:val="007F34C4"/>
    <w:rsid w:val="007F36FD"/>
    <w:rsid w:val="007F38EF"/>
    <w:rsid w:val="007F3C17"/>
    <w:rsid w:val="007F3E6E"/>
    <w:rsid w:val="007F432B"/>
    <w:rsid w:val="007F4CFE"/>
    <w:rsid w:val="007F5A66"/>
    <w:rsid w:val="007F5A87"/>
    <w:rsid w:val="007F5D94"/>
    <w:rsid w:val="007F676A"/>
    <w:rsid w:val="007F6A12"/>
    <w:rsid w:val="007F6A6F"/>
    <w:rsid w:val="007F6B5C"/>
    <w:rsid w:val="007F6BCF"/>
    <w:rsid w:val="007F6D26"/>
    <w:rsid w:val="007F77B5"/>
    <w:rsid w:val="007F780C"/>
    <w:rsid w:val="007F7F46"/>
    <w:rsid w:val="00800139"/>
    <w:rsid w:val="008002C6"/>
    <w:rsid w:val="008003F6"/>
    <w:rsid w:val="00801445"/>
    <w:rsid w:val="00801702"/>
    <w:rsid w:val="00801936"/>
    <w:rsid w:val="00801962"/>
    <w:rsid w:val="00802293"/>
    <w:rsid w:val="00802E71"/>
    <w:rsid w:val="00802F0E"/>
    <w:rsid w:val="00803028"/>
    <w:rsid w:val="008032B0"/>
    <w:rsid w:val="00803B8E"/>
    <w:rsid w:val="0080420E"/>
    <w:rsid w:val="00804803"/>
    <w:rsid w:val="008048C5"/>
    <w:rsid w:val="0080496A"/>
    <w:rsid w:val="0080570E"/>
    <w:rsid w:val="00805765"/>
    <w:rsid w:val="00805E0D"/>
    <w:rsid w:val="0080636B"/>
    <w:rsid w:val="00806582"/>
    <w:rsid w:val="008065B2"/>
    <w:rsid w:val="0080700C"/>
    <w:rsid w:val="00807490"/>
    <w:rsid w:val="00807CEC"/>
    <w:rsid w:val="008108AA"/>
    <w:rsid w:val="008109DB"/>
    <w:rsid w:val="00810D88"/>
    <w:rsid w:val="00810DF1"/>
    <w:rsid w:val="0081138B"/>
    <w:rsid w:val="00811BB9"/>
    <w:rsid w:val="00811BEA"/>
    <w:rsid w:val="00812064"/>
    <w:rsid w:val="008122EA"/>
    <w:rsid w:val="008125E2"/>
    <w:rsid w:val="00812A6C"/>
    <w:rsid w:val="00812AA6"/>
    <w:rsid w:val="00812B17"/>
    <w:rsid w:val="00812D8B"/>
    <w:rsid w:val="00812F0F"/>
    <w:rsid w:val="008139AD"/>
    <w:rsid w:val="008140D5"/>
    <w:rsid w:val="00814549"/>
    <w:rsid w:val="00814669"/>
    <w:rsid w:val="0081495E"/>
    <w:rsid w:val="00814AB4"/>
    <w:rsid w:val="00814BE5"/>
    <w:rsid w:val="00814D7A"/>
    <w:rsid w:val="00814E07"/>
    <w:rsid w:val="00815141"/>
    <w:rsid w:val="0081665A"/>
    <w:rsid w:val="0081675B"/>
    <w:rsid w:val="00816E7D"/>
    <w:rsid w:val="00817214"/>
    <w:rsid w:val="00817222"/>
    <w:rsid w:val="0081783D"/>
    <w:rsid w:val="00820130"/>
    <w:rsid w:val="00820585"/>
    <w:rsid w:val="008206D7"/>
    <w:rsid w:val="008207A7"/>
    <w:rsid w:val="00820C26"/>
    <w:rsid w:val="008212AB"/>
    <w:rsid w:val="00821C63"/>
    <w:rsid w:val="00821E10"/>
    <w:rsid w:val="008224C8"/>
    <w:rsid w:val="008227EA"/>
    <w:rsid w:val="008229E6"/>
    <w:rsid w:val="00822D4D"/>
    <w:rsid w:val="0082327C"/>
    <w:rsid w:val="0082343A"/>
    <w:rsid w:val="0082357F"/>
    <w:rsid w:val="00823EEB"/>
    <w:rsid w:val="00823EF1"/>
    <w:rsid w:val="00824423"/>
    <w:rsid w:val="008249DA"/>
    <w:rsid w:val="00824B72"/>
    <w:rsid w:val="00824CA2"/>
    <w:rsid w:val="00825630"/>
    <w:rsid w:val="00825EBE"/>
    <w:rsid w:val="00826070"/>
    <w:rsid w:val="0082610F"/>
    <w:rsid w:val="0082614E"/>
    <w:rsid w:val="00826BE7"/>
    <w:rsid w:val="008273AE"/>
    <w:rsid w:val="0082791D"/>
    <w:rsid w:val="00827CC7"/>
    <w:rsid w:val="008305AD"/>
    <w:rsid w:val="008307F5"/>
    <w:rsid w:val="00831122"/>
    <w:rsid w:val="00831598"/>
    <w:rsid w:val="00831628"/>
    <w:rsid w:val="0083178F"/>
    <w:rsid w:val="00831CED"/>
    <w:rsid w:val="00832616"/>
    <w:rsid w:val="008327E5"/>
    <w:rsid w:val="00832986"/>
    <w:rsid w:val="008334CE"/>
    <w:rsid w:val="00833B10"/>
    <w:rsid w:val="00833CBD"/>
    <w:rsid w:val="00834765"/>
    <w:rsid w:val="00834852"/>
    <w:rsid w:val="00834D36"/>
    <w:rsid w:val="008354DF"/>
    <w:rsid w:val="00835B26"/>
    <w:rsid w:val="00835B8F"/>
    <w:rsid w:val="00836171"/>
    <w:rsid w:val="00836308"/>
    <w:rsid w:val="00836342"/>
    <w:rsid w:val="00836474"/>
    <w:rsid w:val="0083689A"/>
    <w:rsid w:val="00836DCF"/>
    <w:rsid w:val="00836DD1"/>
    <w:rsid w:val="00836F32"/>
    <w:rsid w:val="00837550"/>
    <w:rsid w:val="008378E9"/>
    <w:rsid w:val="00837CF8"/>
    <w:rsid w:val="00837F45"/>
    <w:rsid w:val="0084009C"/>
    <w:rsid w:val="008402CD"/>
    <w:rsid w:val="008404A8"/>
    <w:rsid w:val="008405C0"/>
    <w:rsid w:val="00840A81"/>
    <w:rsid w:val="0084119E"/>
    <w:rsid w:val="0084159B"/>
    <w:rsid w:val="008419CE"/>
    <w:rsid w:val="0084213A"/>
    <w:rsid w:val="00842650"/>
    <w:rsid w:val="00842A29"/>
    <w:rsid w:val="008436FF"/>
    <w:rsid w:val="00844168"/>
    <w:rsid w:val="00844879"/>
    <w:rsid w:val="00844BA3"/>
    <w:rsid w:val="0084526F"/>
    <w:rsid w:val="00845751"/>
    <w:rsid w:val="008457CA"/>
    <w:rsid w:val="00845B6E"/>
    <w:rsid w:val="0084636A"/>
    <w:rsid w:val="0084637A"/>
    <w:rsid w:val="008464C3"/>
    <w:rsid w:val="00846FCE"/>
    <w:rsid w:val="008477F7"/>
    <w:rsid w:val="00847A0F"/>
    <w:rsid w:val="00850026"/>
    <w:rsid w:val="00850548"/>
    <w:rsid w:val="008507E6"/>
    <w:rsid w:val="008509C9"/>
    <w:rsid w:val="008510CB"/>
    <w:rsid w:val="00851C6B"/>
    <w:rsid w:val="00852383"/>
    <w:rsid w:val="00852ECE"/>
    <w:rsid w:val="008534ED"/>
    <w:rsid w:val="00853AFB"/>
    <w:rsid w:val="00853B2D"/>
    <w:rsid w:val="00853D0C"/>
    <w:rsid w:val="00854107"/>
    <w:rsid w:val="00854190"/>
    <w:rsid w:val="00854194"/>
    <w:rsid w:val="00854481"/>
    <w:rsid w:val="0085459B"/>
    <w:rsid w:val="008549FC"/>
    <w:rsid w:val="00854F91"/>
    <w:rsid w:val="00855529"/>
    <w:rsid w:val="008558D5"/>
    <w:rsid w:val="008560FB"/>
    <w:rsid w:val="00856223"/>
    <w:rsid w:val="00856776"/>
    <w:rsid w:val="00856B49"/>
    <w:rsid w:val="00857571"/>
    <w:rsid w:val="0085792F"/>
    <w:rsid w:val="00857946"/>
    <w:rsid w:val="0085796A"/>
    <w:rsid w:val="00857DEA"/>
    <w:rsid w:val="00860254"/>
    <w:rsid w:val="0086030B"/>
    <w:rsid w:val="00860CEA"/>
    <w:rsid w:val="00860E43"/>
    <w:rsid w:val="0086146D"/>
    <w:rsid w:val="008618FC"/>
    <w:rsid w:val="00861991"/>
    <w:rsid w:val="008628CA"/>
    <w:rsid w:val="008628FA"/>
    <w:rsid w:val="00863025"/>
    <w:rsid w:val="008633F1"/>
    <w:rsid w:val="00863833"/>
    <w:rsid w:val="00863C38"/>
    <w:rsid w:val="00864106"/>
    <w:rsid w:val="00864591"/>
    <w:rsid w:val="008645A2"/>
    <w:rsid w:val="00864BCE"/>
    <w:rsid w:val="00864F74"/>
    <w:rsid w:val="00865301"/>
    <w:rsid w:val="00865381"/>
    <w:rsid w:val="008656C4"/>
    <w:rsid w:val="008656EF"/>
    <w:rsid w:val="00865AEC"/>
    <w:rsid w:val="00865B01"/>
    <w:rsid w:val="00865E8F"/>
    <w:rsid w:val="00866091"/>
    <w:rsid w:val="0086617B"/>
    <w:rsid w:val="008665F7"/>
    <w:rsid w:val="008667E2"/>
    <w:rsid w:val="00866A0D"/>
    <w:rsid w:val="00867727"/>
    <w:rsid w:val="00867890"/>
    <w:rsid w:val="008678C3"/>
    <w:rsid w:val="0087017F"/>
    <w:rsid w:val="0087029C"/>
    <w:rsid w:val="008705E6"/>
    <w:rsid w:val="00870640"/>
    <w:rsid w:val="008706C1"/>
    <w:rsid w:val="00870F74"/>
    <w:rsid w:val="0087124D"/>
    <w:rsid w:val="008715EE"/>
    <w:rsid w:val="008723AE"/>
    <w:rsid w:val="008732C3"/>
    <w:rsid w:val="00873421"/>
    <w:rsid w:val="00873890"/>
    <w:rsid w:val="00873946"/>
    <w:rsid w:val="00873ABA"/>
    <w:rsid w:val="00873BCC"/>
    <w:rsid w:val="00874CDE"/>
    <w:rsid w:val="00874F25"/>
    <w:rsid w:val="008753F2"/>
    <w:rsid w:val="00875E4F"/>
    <w:rsid w:val="00876FFA"/>
    <w:rsid w:val="00880256"/>
    <w:rsid w:val="00880284"/>
    <w:rsid w:val="008802EC"/>
    <w:rsid w:val="00880329"/>
    <w:rsid w:val="00880D8B"/>
    <w:rsid w:val="00880FE2"/>
    <w:rsid w:val="00881083"/>
    <w:rsid w:val="008819C3"/>
    <w:rsid w:val="00881AB2"/>
    <w:rsid w:val="0088255E"/>
    <w:rsid w:val="00882963"/>
    <w:rsid w:val="00882FA5"/>
    <w:rsid w:val="008831F7"/>
    <w:rsid w:val="0088359C"/>
    <w:rsid w:val="008841AD"/>
    <w:rsid w:val="00884635"/>
    <w:rsid w:val="00884C3C"/>
    <w:rsid w:val="00884FF6"/>
    <w:rsid w:val="008850E6"/>
    <w:rsid w:val="00885228"/>
    <w:rsid w:val="00885793"/>
    <w:rsid w:val="00885AFE"/>
    <w:rsid w:val="008861A9"/>
    <w:rsid w:val="00887005"/>
    <w:rsid w:val="00887033"/>
    <w:rsid w:val="00887C9F"/>
    <w:rsid w:val="0089089E"/>
    <w:rsid w:val="0089090E"/>
    <w:rsid w:val="00890B1A"/>
    <w:rsid w:val="00890B55"/>
    <w:rsid w:val="0089121F"/>
    <w:rsid w:val="008916D8"/>
    <w:rsid w:val="00891D74"/>
    <w:rsid w:val="00892005"/>
    <w:rsid w:val="008922A1"/>
    <w:rsid w:val="00893097"/>
    <w:rsid w:val="008930EC"/>
    <w:rsid w:val="00893406"/>
    <w:rsid w:val="008938BA"/>
    <w:rsid w:val="00893FE6"/>
    <w:rsid w:val="008943F0"/>
    <w:rsid w:val="00894600"/>
    <w:rsid w:val="00894C53"/>
    <w:rsid w:val="00894C62"/>
    <w:rsid w:val="00895F36"/>
    <w:rsid w:val="00896300"/>
    <w:rsid w:val="0089649E"/>
    <w:rsid w:val="00896C82"/>
    <w:rsid w:val="008975B4"/>
    <w:rsid w:val="00897B79"/>
    <w:rsid w:val="008A014B"/>
    <w:rsid w:val="008A104E"/>
    <w:rsid w:val="008A1157"/>
    <w:rsid w:val="008A1592"/>
    <w:rsid w:val="008A17F0"/>
    <w:rsid w:val="008A1AD3"/>
    <w:rsid w:val="008A1C86"/>
    <w:rsid w:val="008A214A"/>
    <w:rsid w:val="008A30A8"/>
    <w:rsid w:val="008A3858"/>
    <w:rsid w:val="008A38A0"/>
    <w:rsid w:val="008A4451"/>
    <w:rsid w:val="008A4C00"/>
    <w:rsid w:val="008A4FAB"/>
    <w:rsid w:val="008A51A5"/>
    <w:rsid w:val="008A5BE8"/>
    <w:rsid w:val="008A604F"/>
    <w:rsid w:val="008A63BF"/>
    <w:rsid w:val="008A6769"/>
    <w:rsid w:val="008A687E"/>
    <w:rsid w:val="008A6AB1"/>
    <w:rsid w:val="008A6C04"/>
    <w:rsid w:val="008A6CBD"/>
    <w:rsid w:val="008A7C9F"/>
    <w:rsid w:val="008B0528"/>
    <w:rsid w:val="008B0D5B"/>
    <w:rsid w:val="008B1167"/>
    <w:rsid w:val="008B1580"/>
    <w:rsid w:val="008B1B47"/>
    <w:rsid w:val="008B2560"/>
    <w:rsid w:val="008B2A90"/>
    <w:rsid w:val="008B2D77"/>
    <w:rsid w:val="008B34E4"/>
    <w:rsid w:val="008B380B"/>
    <w:rsid w:val="008B392E"/>
    <w:rsid w:val="008B3D67"/>
    <w:rsid w:val="008B3D73"/>
    <w:rsid w:val="008B4325"/>
    <w:rsid w:val="008B457C"/>
    <w:rsid w:val="008B4CA5"/>
    <w:rsid w:val="008B53FE"/>
    <w:rsid w:val="008B5954"/>
    <w:rsid w:val="008B5E73"/>
    <w:rsid w:val="008B61A1"/>
    <w:rsid w:val="008B6413"/>
    <w:rsid w:val="008B6FF9"/>
    <w:rsid w:val="008B73E0"/>
    <w:rsid w:val="008B7885"/>
    <w:rsid w:val="008B7D39"/>
    <w:rsid w:val="008C013F"/>
    <w:rsid w:val="008C103F"/>
    <w:rsid w:val="008C1820"/>
    <w:rsid w:val="008C18FD"/>
    <w:rsid w:val="008C23BD"/>
    <w:rsid w:val="008C25EA"/>
    <w:rsid w:val="008C29F0"/>
    <w:rsid w:val="008C2D23"/>
    <w:rsid w:val="008C305F"/>
    <w:rsid w:val="008C3522"/>
    <w:rsid w:val="008C41F4"/>
    <w:rsid w:val="008C51CD"/>
    <w:rsid w:val="008C5435"/>
    <w:rsid w:val="008C55CF"/>
    <w:rsid w:val="008C5645"/>
    <w:rsid w:val="008C5ADD"/>
    <w:rsid w:val="008C6A31"/>
    <w:rsid w:val="008C6EC6"/>
    <w:rsid w:val="008C736F"/>
    <w:rsid w:val="008C76B8"/>
    <w:rsid w:val="008C79B4"/>
    <w:rsid w:val="008C7F90"/>
    <w:rsid w:val="008D00B5"/>
    <w:rsid w:val="008D0180"/>
    <w:rsid w:val="008D0721"/>
    <w:rsid w:val="008D09A9"/>
    <w:rsid w:val="008D0A55"/>
    <w:rsid w:val="008D151F"/>
    <w:rsid w:val="008D1FBA"/>
    <w:rsid w:val="008D2053"/>
    <w:rsid w:val="008D24E0"/>
    <w:rsid w:val="008D25E2"/>
    <w:rsid w:val="008D2A30"/>
    <w:rsid w:val="008D2A96"/>
    <w:rsid w:val="008D2AFD"/>
    <w:rsid w:val="008D2D29"/>
    <w:rsid w:val="008D2EA8"/>
    <w:rsid w:val="008D30A8"/>
    <w:rsid w:val="008D33AB"/>
    <w:rsid w:val="008D3622"/>
    <w:rsid w:val="008D3665"/>
    <w:rsid w:val="008D3A8A"/>
    <w:rsid w:val="008D4119"/>
    <w:rsid w:val="008D443F"/>
    <w:rsid w:val="008D4D50"/>
    <w:rsid w:val="008D4EBA"/>
    <w:rsid w:val="008D62D9"/>
    <w:rsid w:val="008D6F83"/>
    <w:rsid w:val="008D7AA7"/>
    <w:rsid w:val="008D7EA6"/>
    <w:rsid w:val="008E0319"/>
    <w:rsid w:val="008E0862"/>
    <w:rsid w:val="008E0BDA"/>
    <w:rsid w:val="008E0F13"/>
    <w:rsid w:val="008E11B4"/>
    <w:rsid w:val="008E134C"/>
    <w:rsid w:val="008E17AF"/>
    <w:rsid w:val="008E1BD8"/>
    <w:rsid w:val="008E1D1C"/>
    <w:rsid w:val="008E2314"/>
    <w:rsid w:val="008E273D"/>
    <w:rsid w:val="008E2779"/>
    <w:rsid w:val="008E2920"/>
    <w:rsid w:val="008E3E9D"/>
    <w:rsid w:val="008E3FF4"/>
    <w:rsid w:val="008E467A"/>
    <w:rsid w:val="008E534C"/>
    <w:rsid w:val="008E5559"/>
    <w:rsid w:val="008E5908"/>
    <w:rsid w:val="008E5967"/>
    <w:rsid w:val="008E5C91"/>
    <w:rsid w:val="008E5DFE"/>
    <w:rsid w:val="008E5F91"/>
    <w:rsid w:val="008E6133"/>
    <w:rsid w:val="008E647A"/>
    <w:rsid w:val="008E69D2"/>
    <w:rsid w:val="008E6B02"/>
    <w:rsid w:val="008E6B39"/>
    <w:rsid w:val="008E6FD6"/>
    <w:rsid w:val="008E70E9"/>
    <w:rsid w:val="008E75CD"/>
    <w:rsid w:val="008E7B74"/>
    <w:rsid w:val="008E7BAC"/>
    <w:rsid w:val="008E7CA7"/>
    <w:rsid w:val="008E7CB6"/>
    <w:rsid w:val="008E7CEF"/>
    <w:rsid w:val="008F06A4"/>
    <w:rsid w:val="008F0A40"/>
    <w:rsid w:val="008F0B73"/>
    <w:rsid w:val="008F1369"/>
    <w:rsid w:val="008F1CA2"/>
    <w:rsid w:val="008F1CFF"/>
    <w:rsid w:val="008F2100"/>
    <w:rsid w:val="008F2829"/>
    <w:rsid w:val="008F2F55"/>
    <w:rsid w:val="008F305B"/>
    <w:rsid w:val="008F36B8"/>
    <w:rsid w:val="008F499F"/>
    <w:rsid w:val="008F4A92"/>
    <w:rsid w:val="008F4CDE"/>
    <w:rsid w:val="008F4D7B"/>
    <w:rsid w:val="008F5B73"/>
    <w:rsid w:val="008F604D"/>
    <w:rsid w:val="008F60CD"/>
    <w:rsid w:val="008F6249"/>
    <w:rsid w:val="008F64E5"/>
    <w:rsid w:val="008F7053"/>
    <w:rsid w:val="008F79BE"/>
    <w:rsid w:val="008F79F0"/>
    <w:rsid w:val="0090004E"/>
    <w:rsid w:val="009010F9"/>
    <w:rsid w:val="0090129C"/>
    <w:rsid w:val="00903328"/>
    <w:rsid w:val="009036A8"/>
    <w:rsid w:val="00903B09"/>
    <w:rsid w:val="009048F0"/>
    <w:rsid w:val="00904CBF"/>
    <w:rsid w:val="00904FE3"/>
    <w:rsid w:val="00905885"/>
    <w:rsid w:val="00905F50"/>
    <w:rsid w:val="0090605D"/>
    <w:rsid w:val="00906AF9"/>
    <w:rsid w:val="00907220"/>
    <w:rsid w:val="00907297"/>
    <w:rsid w:val="00907326"/>
    <w:rsid w:val="00907933"/>
    <w:rsid w:val="00910263"/>
    <w:rsid w:val="00910421"/>
    <w:rsid w:val="00910574"/>
    <w:rsid w:val="00910F74"/>
    <w:rsid w:val="00911135"/>
    <w:rsid w:val="009111E9"/>
    <w:rsid w:val="009117EB"/>
    <w:rsid w:val="00911B5E"/>
    <w:rsid w:val="0091219C"/>
    <w:rsid w:val="00912901"/>
    <w:rsid w:val="00912945"/>
    <w:rsid w:val="00912C67"/>
    <w:rsid w:val="009131C4"/>
    <w:rsid w:val="0091354A"/>
    <w:rsid w:val="00913727"/>
    <w:rsid w:val="00914BEE"/>
    <w:rsid w:val="00914F10"/>
    <w:rsid w:val="00915624"/>
    <w:rsid w:val="0091562F"/>
    <w:rsid w:val="0091626D"/>
    <w:rsid w:val="0091655A"/>
    <w:rsid w:val="00916A5C"/>
    <w:rsid w:val="00916A7F"/>
    <w:rsid w:val="00916BF5"/>
    <w:rsid w:val="00920125"/>
    <w:rsid w:val="0092024D"/>
    <w:rsid w:val="00920559"/>
    <w:rsid w:val="00920C0A"/>
    <w:rsid w:val="00920C3A"/>
    <w:rsid w:val="00921179"/>
    <w:rsid w:val="00921BF7"/>
    <w:rsid w:val="0092226C"/>
    <w:rsid w:val="009230CE"/>
    <w:rsid w:val="0092340D"/>
    <w:rsid w:val="009237CA"/>
    <w:rsid w:val="00923A8A"/>
    <w:rsid w:val="00923D23"/>
    <w:rsid w:val="00923F3F"/>
    <w:rsid w:val="00924146"/>
    <w:rsid w:val="00924452"/>
    <w:rsid w:val="009249B2"/>
    <w:rsid w:val="009259CD"/>
    <w:rsid w:val="009266AD"/>
    <w:rsid w:val="00926C3D"/>
    <w:rsid w:val="00927011"/>
    <w:rsid w:val="0092766F"/>
    <w:rsid w:val="00927A83"/>
    <w:rsid w:val="00927B47"/>
    <w:rsid w:val="0093009C"/>
    <w:rsid w:val="009313D6"/>
    <w:rsid w:val="0093156F"/>
    <w:rsid w:val="009316FA"/>
    <w:rsid w:val="00931999"/>
    <w:rsid w:val="00931DB7"/>
    <w:rsid w:val="00931E3B"/>
    <w:rsid w:val="009321E9"/>
    <w:rsid w:val="009324E0"/>
    <w:rsid w:val="00932956"/>
    <w:rsid w:val="00932DC8"/>
    <w:rsid w:val="00932E68"/>
    <w:rsid w:val="0093309D"/>
    <w:rsid w:val="00933219"/>
    <w:rsid w:val="00933F6B"/>
    <w:rsid w:val="00934A6C"/>
    <w:rsid w:val="00934B1E"/>
    <w:rsid w:val="00934F66"/>
    <w:rsid w:val="00935A5F"/>
    <w:rsid w:val="00935CAF"/>
    <w:rsid w:val="00935EDA"/>
    <w:rsid w:val="00936B4B"/>
    <w:rsid w:val="00936F6A"/>
    <w:rsid w:val="00937436"/>
    <w:rsid w:val="0094023F"/>
    <w:rsid w:val="00940919"/>
    <w:rsid w:val="009412F2"/>
    <w:rsid w:val="00941760"/>
    <w:rsid w:val="00941D46"/>
    <w:rsid w:val="00941DE9"/>
    <w:rsid w:val="00942059"/>
    <w:rsid w:val="00942392"/>
    <w:rsid w:val="009428BA"/>
    <w:rsid w:val="009430F8"/>
    <w:rsid w:val="00943247"/>
    <w:rsid w:val="0094350D"/>
    <w:rsid w:val="00943995"/>
    <w:rsid w:val="00943F1F"/>
    <w:rsid w:val="0094476D"/>
    <w:rsid w:val="00944F15"/>
    <w:rsid w:val="00945033"/>
    <w:rsid w:val="00945073"/>
    <w:rsid w:val="00945519"/>
    <w:rsid w:val="00945ADF"/>
    <w:rsid w:val="00945BFC"/>
    <w:rsid w:val="0094638C"/>
    <w:rsid w:val="0094765E"/>
    <w:rsid w:val="00947EBF"/>
    <w:rsid w:val="009502B1"/>
    <w:rsid w:val="0095038B"/>
    <w:rsid w:val="00950B66"/>
    <w:rsid w:val="00951A68"/>
    <w:rsid w:val="00951D29"/>
    <w:rsid w:val="00951F47"/>
    <w:rsid w:val="00952227"/>
    <w:rsid w:val="00952635"/>
    <w:rsid w:val="00953179"/>
    <w:rsid w:val="0095317A"/>
    <w:rsid w:val="00953653"/>
    <w:rsid w:val="00953776"/>
    <w:rsid w:val="00953D4B"/>
    <w:rsid w:val="00953EBB"/>
    <w:rsid w:val="00953FB6"/>
    <w:rsid w:val="0095468F"/>
    <w:rsid w:val="00954F61"/>
    <w:rsid w:val="00955A97"/>
    <w:rsid w:val="00955E1F"/>
    <w:rsid w:val="00956279"/>
    <w:rsid w:val="0095651A"/>
    <w:rsid w:val="0095657C"/>
    <w:rsid w:val="009565CA"/>
    <w:rsid w:val="00956E0E"/>
    <w:rsid w:val="0095720E"/>
    <w:rsid w:val="009577B3"/>
    <w:rsid w:val="00960480"/>
    <w:rsid w:val="00960960"/>
    <w:rsid w:val="00960BDD"/>
    <w:rsid w:val="00960D57"/>
    <w:rsid w:val="009611A4"/>
    <w:rsid w:val="00961BD9"/>
    <w:rsid w:val="00961CA6"/>
    <w:rsid w:val="0096218F"/>
    <w:rsid w:val="00962876"/>
    <w:rsid w:val="00962ABF"/>
    <w:rsid w:val="009632EA"/>
    <w:rsid w:val="00963305"/>
    <w:rsid w:val="009636B9"/>
    <w:rsid w:val="00963D43"/>
    <w:rsid w:val="00963DF0"/>
    <w:rsid w:val="00963EE8"/>
    <w:rsid w:val="00964348"/>
    <w:rsid w:val="00964CE2"/>
    <w:rsid w:val="00964D3E"/>
    <w:rsid w:val="00964D4F"/>
    <w:rsid w:val="00964EDC"/>
    <w:rsid w:val="0096570A"/>
    <w:rsid w:val="0096597E"/>
    <w:rsid w:val="00965FE4"/>
    <w:rsid w:val="009665FF"/>
    <w:rsid w:val="0096687C"/>
    <w:rsid w:val="00967346"/>
    <w:rsid w:val="00967BC2"/>
    <w:rsid w:val="00970075"/>
    <w:rsid w:val="009700D6"/>
    <w:rsid w:val="009700FB"/>
    <w:rsid w:val="009703EA"/>
    <w:rsid w:val="00970DB7"/>
    <w:rsid w:val="00971118"/>
    <w:rsid w:val="0097125F"/>
    <w:rsid w:val="009717B3"/>
    <w:rsid w:val="009718D9"/>
    <w:rsid w:val="00972033"/>
    <w:rsid w:val="009722BA"/>
    <w:rsid w:val="00972449"/>
    <w:rsid w:val="00972EE1"/>
    <w:rsid w:val="00973051"/>
    <w:rsid w:val="0097306D"/>
    <w:rsid w:val="0097360B"/>
    <w:rsid w:val="0097386E"/>
    <w:rsid w:val="009738EC"/>
    <w:rsid w:val="00973E52"/>
    <w:rsid w:val="00974495"/>
    <w:rsid w:val="009744F7"/>
    <w:rsid w:val="00974D79"/>
    <w:rsid w:val="00975093"/>
    <w:rsid w:val="009757BA"/>
    <w:rsid w:val="009765C0"/>
    <w:rsid w:val="009766E7"/>
    <w:rsid w:val="009766EB"/>
    <w:rsid w:val="009769B2"/>
    <w:rsid w:val="00976D68"/>
    <w:rsid w:val="00976DFB"/>
    <w:rsid w:val="009777C1"/>
    <w:rsid w:val="009779F4"/>
    <w:rsid w:val="00977F1B"/>
    <w:rsid w:val="00980013"/>
    <w:rsid w:val="0098179A"/>
    <w:rsid w:val="0098209F"/>
    <w:rsid w:val="009825CA"/>
    <w:rsid w:val="00982967"/>
    <w:rsid w:val="00983817"/>
    <w:rsid w:val="00983C71"/>
    <w:rsid w:val="00983E46"/>
    <w:rsid w:val="009846F7"/>
    <w:rsid w:val="009848DB"/>
    <w:rsid w:val="009853A2"/>
    <w:rsid w:val="00985462"/>
    <w:rsid w:val="0098587E"/>
    <w:rsid w:val="0098591D"/>
    <w:rsid w:val="00985BEA"/>
    <w:rsid w:val="00985D9E"/>
    <w:rsid w:val="00986154"/>
    <w:rsid w:val="009871C9"/>
    <w:rsid w:val="0098763B"/>
    <w:rsid w:val="0098793C"/>
    <w:rsid w:val="00987BA3"/>
    <w:rsid w:val="0099012D"/>
    <w:rsid w:val="009909B8"/>
    <w:rsid w:val="00990F73"/>
    <w:rsid w:val="0099143D"/>
    <w:rsid w:val="00991AA3"/>
    <w:rsid w:val="009921E6"/>
    <w:rsid w:val="00992374"/>
    <w:rsid w:val="00992431"/>
    <w:rsid w:val="0099270F"/>
    <w:rsid w:val="009929B6"/>
    <w:rsid w:val="00992B01"/>
    <w:rsid w:val="00993053"/>
    <w:rsid w:val="0099333A"/>
    <w:rsid w:val="00993F46"/>
    <w:rsid w:val="00994301"/>
    <w:rsid w:val="0099486C"/>
    <w:rsid w:val="009948C4"/>
    <w:rsid w:val="009951C0"/>
    <w:rsid w:val="00995713"/>
    <w:rsid w:val="00995B91"/>
    <w:rsid w:val="009967F3"/>
    <w:rsid w:val="009969AE"/>
    <w:rsid w:val="00996C9B"/>
    <w:rsid w:val="00996D24"/>
    <w:rsid w:val="009971AF"/>
    <w:rsid w:val="009977EF"/>
    <w:rsid w:val="009A0606"/>
    <w:rsid w:val="009A0671"/>
    <w:rsid w:val="009A0A8C"/>
    <w:rsid w:val="009A0AFE"/>
    <w:rsid w:val="009A0C34"/>
    <w:rsid w:val="009A0FBF"/>
    <w:rsid w:val="009A1430"/>
    <w:rsid w:val="009A2397"/>
    <w:rsid w:val="009A23EC"/>
    <w:rsid w:val="009A2A0F"/>
    <w:rsid w:val="009A2BA0"/>
    <w:rsid w:val="009A2C67"/>
    <w:rsid w:val="009A3482"/>
    <w:rsid w:val="009A3EF7"/>
    <w:rsid w:val="009A4077"/>
    <w:rsid w:val="009A4D3B"/>
    <w:rsid w:val="009A5A69"/>
    <w:rsid w:val="009A655A"/>
    <w:rsid w:val="009A67FC"/>
    <w:rsid w:val="009A6AB8"/>
    <w:rsid w:val="009A6EB8"/>
    <w:rsid w:val="009A70C4"/>
    <w:rsid w:val="009A7B93"/>
    <w:rsid w:val="009A7CE1"/>
    <w:rsid w:val="009A7E5C"/>
    <w:rsid w:val="009B013E"/>
    <w:rsid w:val="009B0237"/>
    <w:rsid w:val="009B03A5"/>
    <w:rsid w:val="009B097E"/>
    <w:rsid w:val="009B0D08"/>
    <w:rsid w:val="009B0E57"/>
    <w:rsid w:val="009B1371"/>
    <w:rsid w:val="009B1D72"/>
    <w:rsid w:val="009B1F76"/>
    <w:rsid w:val="009B25CD"/>
    <w:rsid w:val="009B2F0F"/>
    <w:rsid w:val="009B3DF8"/>
    <w:rsid w:val="009B3F48"/>
    <w:rsid w:val="009B46C8"/>
    <w:rsid w:val="009B4F00"/>
    <w:rsid w:val="009B5528"/>
    <w:rsid w:val="009B5640"/>
    <w:rsid w:val="009B5AF3"/>
    <w:rsid w:val="009B5B2D"/>
    <w:rsid w:val="009B5D52"/>
    <w:rsid w:val="009B61DF"/>
    <w:rsid w:val="009B6AE9"/>
    <w:rsid w:val="009B7027"/>
    <w:rsid w:val="009B7028"/>
    <w:rsid w:val="009B7186"/>
    <w:rsid w:val="009B7231"/>
    <w:rsid w:val="009B7D7B"/>
    <w:rsid w:val="009C04A9"/>
    <w:rsid w:val="009C15F4"/>
    <w:rsid w:val="009C1971"/>
    <w:rsid w:val="009C1F55"/>
    <w:rsid w:val="009C25E7"/>
    <w:rsid w:val="009C2686"/>
    <w:rsid w:val="009C2ACE"/>
    <w:rsid w:val="009C30E2"/>
    <w:rsid w:val="009C33D2"/>
    <w:rsid w:val="009C3CF6"/>
    <w:rsid w:val="009C3E0A"/>
    <w:rsid w:val="009C3FEC"/>
    <w:rsid w:val="009C40CE"/>
    <w:rsid w:val="009C46A5"/>
    <w:rsid w:val="009C4A33"/>
    <w:rsid w:val="009C4A41"/>
    <w:rsid w:val="009C4B6B"/>
    <w:rsid w:val="009C516B"/>
    <w:rsid w:val="009C5966"/>
    <w:rsid w:val="009C6036"/>
    <w:rsid w:val="009C6867"/>
    <w:rsid w:val="009C77AF"/>
    <w:rsid w:val="009D045F"/>
    <w:rsid w:val="009D05BF"/>
    <w:rsid w:val="009D060D"/>
    <w:rsid w:val="009D07C3"/>
    <w:rsid w:val="009D0A8F"/>
    <w:rsid w:val="009D0EBC"/>
    <w:rsid w:val="009D0FF8"/>
    <w:rsid w:val="009D19E0"/>
    <w:rsid w:val="009D1A77"/>
    <w:rsid w:val="009D1BEC"/>
    <w:rsid w:val="009D1E9D"/>
    <w:rsid w:val="009D1F60"/>
    <w:rsid w:val="009D203E"/>
    <w:rsid w:val="009D227B"/>
    <w:rsid w:val="009D22E3"/>
    <w:rsid w:val="009D2EB9"/>
    <w:rsid w:val="009D2EBA"/>
    <w:rsid w:val="009D2FC6"/>
    <w:rsid w:val="009D3148"/>
    <w:rsid w:val="009D3702"/>
    <w:rsid w:val="009D388C"/>
    <w:rsid w:val="009D3993"/>
    <w:rsid w:val="009D3E01"/>
    <w:rsid w:val="009D435B"/>
    <w:rsid w:val="009D44D6"/>
    <w:rsid w:val="009D4C66"/>
    <w:rsid w:val="009D5305"/>
    <w:rsid w:val="009D568A"/>
    <w:rsid w:val="009D5B8D"/>
    <w:rsid w:val="009D628D"/>
    <w:rsid w:val="009D6497"/>
    <w:rsid w:val="009D71FF"/>
    <w:rsid w:val="009D798A"/>
    <w:rsid w:val="009D7E3B"/>
    <w:rsid w:val="009E0097"/>
    <w:rsid w:val="009E0557"/>
    <w:rsid w:val="009E0720"/>
    <w:rsid w:val="009E0970"/>
    <w:rsid w:val="009E0F3D"/>
    <w:rsid w:val="009E2426"/>
    <w:rsid w:val="009E25BC"/>
    <w:rsid w:val="009E304F"/>
    <w:rsid w:val="009E3553"/>
    <w:rsid w:val="009E3C2E"/>
    <w:rsid w:val="009E4AD6"/>
    <w:rsid w:val="009E543F"/>
    <w:rsid w:val="009E5700"/>
    <w:rsid w:val="009E5BDB"/>
    <w:rsid w:val="009E5F82"/>
    <w:rsid w:val="009E6CCC"/>
    <w:rsid w:val="009E75BB"/>
    <w:rsid w:val="009E76BB"/>
    <w:rsid w:val="009E7CE5"/>
    <w:rsid w:val="009E7D99"/>
    <w:rsid w:val="009F01A8"/>
    <w:rsid w:val="009F033E"/>
    <w:rsid w:val="009F03F4"/>
    <w:rsid w:val="009F0675"/>
    <w:rsid w:val="009F0E49"/>
    <w:rsid w:val="009F1D17"/>
    <w:rsid w:val="009F2111"/>
    <w:rsid w:val="009F229A"/>
    <w:rsid w:val="009F233B"/>
    <w:rsid w:val="009F236D"/>
    <w:rsid w:val="009F2C35"/>
    <w:rsid w:val="009F2D7E"/>
    <w:rsid w:val="009F3405"/>
    <w:rsid w:val="009F35BF"/>
    <w:rsid w:val="009F3641"/>
    <w:rsid w:val="009F3EAF"/>
    <w:rsid w:val="009F4798"/>
    <w:rsid w:val="009F4E8E"/>
    <w:rsid w:val="009F4F0E"/>
    <w:rsid w:val="009F54A2"/>
    <w:rsid w:val="009F5754"/>
    <w:rsid w:val="009F585A"/>
    <w:rsid w:val="009F6072"/>
    <w:rsid w:val="009F65CC"/>
    <w:rsid w:val="009F671E"/>
    <w:rsid w:val="009F67BD"/>
    <w:rsid w:val="009F6816"/>
    <w:rsid w:val="009F68C2"/>
    <w:rsid w:val="009F6CB1"/>
    <w:rsid w:val="009F731E"/>
    <w:rsid w:val="009F7795"/>
    <w:rsid w:val="009F786B"/>
    <w:rsid w:val="009F797E"/>
    <w:rsid w:val="009F79CF"/>
    <w:rsid w:val="00A001FE"/>
    <w:rsid w:val="00A00322"/>
    <w:rsid w:val="00A00611"/>
    <w:rsid w:val="00A00944"/>
    <w:rsid w:val="00A0169A"/>
    <w:rsid w:val="00A01F0D"/>
    <w:rsid w:val="00A027BA"/>
    <w:rsid w:val="00A02C8D"/>
    <w:rsid w:val="00A02DD0"/>
    <w:rsid w:val="00A036A0"/>
    <w:rsid w:val="00A037A4"/>
    <w:rsid w:val="00A03C3A"/>
    <w:rsid w:val="00A040E8"/>
    <w:rsid w:val="00A0455D"/>
    <w:rsid w:val="00A046B0"/>
    <w:rsid w:val="00A04899"/>
    <w:rsid w:val="00A04950"/>
    <w:rsid w:val="00A04B51"/>
    <w:rsid w:val="00A04EA7"/>
    <w:rsid w:val="00A058AB"/>
    <w:rsid w:val="00A0606A"/>
    <w:rsid w:val="00A06F24"/>
    <w:rsid w:val="00A071AD"/>
    <w:rsid w:val="00A07267"/>
    <w:rsid w:val="00A0728A"/>
    <w:rsid w:val="00A0730C"/>
    <w:rsid w:val="00A07AE8"/>
    <w:rsid w:val="00A07B90"/>
    <w:rsid w:val="00A1035E"/>
    <w:rsid w:val="00A1102D"/>
    <w:rsid w:val="00A112DB"/>
    <w:rsid w:val="00A11343"/>
    <w:rsid w:val="00A11791"/>
    <w:rsid w:val="00A11829"/>
    <w:rsid w:val="00A11EC6"/>
    <w:rsid w:val="00A1281A"/>
    <w:rsid w:val="00A1370A"/>
    <w:rsid w:val="00A13B19"/>
    <w:rsid w:val="00A13DB2"/>
    <w:rsid w:val="00A13F70"/>
    <w:rsid w:val="00A141F8"/>
    <w:rsid w:val="00A142F3"/>
    <w:rsid w:val="00A14C03"/>
    <w:rsid w:val="00A14CC1"/>
    <w:rsid w:val="00A14E0C"/>
    <w:rsid w:val="00A1537F"/>
    <w:rsid w:val="00A15BA0"/>
    <w:rsid w:val="00A15C20"/>
    <w:rsid w:val="00A15C66"/>
    <w:rsid w:val="00A16FFF"/>
    <w:rsid w:val="00A17B4E"/>
    <w:rsid w:val="00A17C8D"/>
    <w:rsid w:val="00A200E2"/>
    <w:rsid w:val="00A20208"/>
    <w:rsid w:val="00A20619"/>
    <w:rsid w:val="00A20EA7"/>
    <w:rsid w:val="00A2149B"/>
    <w:rsid w:val="00A214CC"/>
    <w:rsid w:val="00A21722"/>
    <w:rsid w:val="00A21807"/>
    <w:rsid w:val="00A22001"/>
    <w:rsid w:val="00A2267B"/>
    <w:rsid w:val="00A226D5"/>
    <w:rsid w:val="00A2285F"/>
    <w:rsid w:val="00A22B3B"/>
    <w:rsid w:val="00A22CFA"/>
    <w:rsid w:val="00A23026"/>
    <w:rsid w:val="00A23492"/>
    <w:rsid w:val="00A23B8F"/>
    <w:rsid w:val="00A23F77"/>
    <w:rsid w:val="00A24004"/>
    <w:rsid w:val="00A24779"/>
    <w:rsid w:val="00A248CF"/>
    <w:rsid w:val="00A24A55"/>
    <w:rsid w:val="00A24A85"/>
    <w:rsid w:val="00A24F1A"/>
    <w:rsid w:val="00A25AE4"/>
    <w:rsid w:val="00A25E9A"/>
    <w:rsid w:val="00A27A5B"/>
    <w:rsid w:val="00A301A6"/>
    <w:rsid w:val="00A3045D"/>
    <w:rsid w:val="00A308CE"/>
    <w:rsid w:val="00A30CEE"/>
    <w:rsid w:val="00A31749"/>
    <w:rsid w:val="00A31796"/>
    <w:rsid w:val="00A317A1"/>
    <w:rsid w:val="00A31823"/>
    <w:rsid w:val="00A31AFB"/>
    <w:rsid w:val="00A3215D"/>
    <w:rsid w:val="00A321A0"/>
    <w:rsid w:val="00A3225A"/>
    <w:rsid w:val="00A32321"/>
    <w:rsid w:val="00A327C0"/>
    <w:rsid w:val="00A32DC9"/>
    <w:rsid w:val="00A331D7"/>
    <w:rsid w:val="00A33751"/>
    <w:rsid w:val="00A337AE"/>
    <w:rsid w:val="00A33B1A"/>
    <w:rsid w:val="00A3458A"/>
    <w:rsid w:val="00A3475C"/>
    <w:rsid w:val="00A354E0"/>
    <w:rsid w:val="00A35C0C"/>
    <w:rsid w:val="00A3647F"/>
    <w:rsid w:val="00A3710D"/>
    <w:rsid w:val="00A3724A"/>
    <w:rsid w:val="00A372E9"/>
    <w:rsid w:val="00A37575"/>
    <w:rsid w:val="00A379A1"/>
    <w:rsid w:val="00A402A4"/>
    <w:rsid w:val="00A405CF"/>
    <w:rsid w:val="00A40C38"/>
    <w:rsid w:val="00A4100F"/>
    <w:rsid w:val="00A41673"/>
    <w:rsid w:val="00A41698"/>
    <w:rsid w:val="00A4174B"/>
    <w:rsid w:val="00A41A4F"/>
    <w:rsid w:val="00A41B59"/>
    <w:rsid w:val="00A41BA7"/>
    <w:rsid w:val="00A41C09"/>
    <w:rsid w:val="00A41F7D"/>
    <w:rsid w:val="00A41F99"/>
    <w:rsid w:val="00A42194"/>
    <w:rsid w:val="00A42278"/>
    <w:rsid w:val="00A42338"/>
    <w:rsid w:val="00A4292C"/>
    <w:rsid w:val="00A429F9"/>
    <w:rsid w:val="00A42DBA"/>
    <w:rsid w:val="00A4343E"/>
    <w:rsid w:val="00A4355A"/>
    <w:rsid w:val="00A43701"/>
    <w:rsid w:val="00A43F2D"/>
    <w:rsid w:val="00A43F82"/>
    <w:rsid w:val="00A44414"/>
    <w:rsid w:val="00A4463F"/>
    <w:rsid w:val="00A44E4F"/>
    <w:rsid w:val="00A45145"/>
    <w:rsid w:val="00A45375"/>
    <w:rsid w:val="00A458E0"/>
    <w:rsid w:val="00A45C5B"/>
    <w:rsid w:val="00A45FE6"/>
    <w:rsid w:val="00A464FD"/>
    <w:rsid w:val="00A46D65"/>
    <w:rsid w:val="00A46DCD"/>
    <w:rsid w:val="00A509FF"/>
    <w:rsid w:val="00A50AD4"/>
    <w:rsid w:val="00A50E21"/>
    <w:rsid w:val="00A51159"/>
    <w:rsid w:val="00A51646"/>
    <w:rsid w:val="00A5275E"/>
    <w:rsid w:val="00A528BF"/>
    <w:rsid w:val="00A52BE0"/>
    <w:rsid w:val="00A53203"/>
    <w:rsid w:val="00A53220"/>
    <w:rsid w:val="00A53735"/>
    <w:rsid w:val="00A53C6A"/>
    <w:rsid w:val="00A549B9"/>
    <w:rsid w:val="00A54A0D"/>
    <w:rsid w:val="00A54C21"/>
    <w:rsid w:val="00A550E4"/>
    <w:rsid w:val="00A5540A"/>
    <w:rsid w:val="00A5566F"/>
    <w:rsid w:val="00A557BE"/>
    <w:rsid w:val="00A55DFD"/>
    <w:rsid w:val="00A56472"/>
    <w:rsid w:val="00A56DA3"/>
    <w:rsid w:val="00A57003"/>
    <w:rsid w:val="00A5730D"/>
    <w:rsid w:val="00A5785F"/>
    <w:rsid w:val="00A57C93"/>
    <w:rsid w:val="00A60100"/>
    <w:rsid w:val="00A601AF"/>
    <w:rsid w:val="00A6087B"/>
    <w:rsid w:val="00A6090E"/>
    <w:rsid w:val="00A61ED1"/>
    <w:rsid w:val="00A62904"/>
    <w:rsid w:val="00A63513"/>
    <w:rsid w:val="00A63A82"/>
    <w:rsid w:val="00A63EF6"/>
    <w:rsid w:val="00A64272"/>
    <w:rsid w:val="00A646FD"/>
    <w:rsid w:val="00A6471B"/>
    <w:rsid w:val="00A64C91"/>
    <w:rsid w:val="00A64E5A"/>
    <w:rsid w:val="00A65353"/>
    <w:rsid w:val="00A657BD"/>
    <w:rsid w:val="00A65D60"/>
    <w:rsid w:val="00A65D9F"/>
    <w:rsid w:val="00A66A8C"/>
    <w:rsid w:val="00A66B80"/>
    <w:rsid w:val="00A6716D"/>
    <w:rsid w:val="00A67658"/>
    <w:rsid w:val="00A67B89"/>
    <w:rsid w:val="00A67CA2"/>
    <w:rsid w:val="00A67DAD"/>
    <w:rsid w:val="00A67DB8"/>
    <w:rsid w:val="00A70159"/>
    <w:rsid w:val="00A70938"/>
    <w:rsid w:val="00A70B31"/>
    <w:rsid w:val="00A70C29"/>
    <w:rsid w:val="00A7175D"/>
    <w:rsid w:val="00A719AF"/>
    <w:rsid w:val="00A719C1"/>
    <w:rsid w:val="00A72C41"/>
    <w:rsid w:val="00A73193"/>
    <w:rsid w:val="00A73716"/>
    <w:rsid w:val="00A73827"/>
    <w:rsid w:val="00A74A9D"/>
    <w:rsid w:val="00A75FE8"/>
    <w:rsid w:val="00A762A1"/>
    <w:rsid w:val="00A76D35"/>
    <w:rsid w:val="00A77268"/>
    <w:rsid w:val="00A77A84"/>
    <w:rsid w:val="00A77E3C"/>
    <w:rsid w:val="00A77E8A"/>
    <w:rsid w:val="00A805AE"/>
    <w:rsid w:val="00A8061F"/>
    <w:rsid w:val="00A8068F"/>
    <w:rsid w:val="00A80BCC"/>
    <w:rsid w:val="00A80D2D"/>
    <w:rsid w:val="00A80DCB"/>
    <w:rsid w:val="00A81977"/>
    <w:rsid w:val="00A81D70"/>
    <w:rsid w:val="00A8212E"/>
    <w:rsid w:val="00A8229D"/>
    <w:rsid w:val="00A828A2"/>
    <w:rsid w:val="00A82970"/>
    <w:rsid w:val="00A82E22"/>
    <w:rsid w:val="00A82FE0"/>
    <w:rsid w:val="00A8498A"/>
    <w:rsid w:val="00A84B86"/>
    <w:rsid w:val="00A84CA5"/>
    <w:rsid w:val="00A84E94"/>
    <w:rsid w:val="00A85157"/>
    <w:rsid w:val="00A853B0"/>
    <w:rsid w:val="00A85CA9"/>
    <w:rsid w:val="00A868AA"/>
    <w:rsid w:val="00A875E7"/>
    <w:rsid w:val="00A878AE"/>
    <w:rsid w:val="00A87AE0"/>
    <w:rsid w:val="00A87C2D"/>
    <w:rsid w:val="00A87D5D"/>
    <w:rsid w:val="00A903EB"/>
    <w:rsid w:val="00A9079B"/>
    <w:rsid w:val="00A917BC"/>
    <w:rsid w:val="00A9219F"/>
    <w:rsid w:val="00A92BCC"/>
    <w:rsid w:val="00A932E8"/>
    <w:rsid w:val="00A93955"/>
    <w:rsid w:val="00A93B28"/>
    <w:rsid w:val="00A93CDD"/>
    <w:rsid w:val="00A93D07"/>
    <w:rsid w:val="00A941DD"/>
    <w:rsid w:val="00A9435D"/>
    <w:rsid w:val="00A94D25"/>
    <w:rsid w:val="00A94FE2"/>
    <w:rsid w:val="00A94FF9"/>
    <w:rsid w:val="00A95186"/>
    <w:rsid w:val="00A95527"/>
    <w:rsid w:val="00A959EB"/>
    <w:rsid w:val="00A9694A"/>
    <w:rsid w:val="00A96D8E"/>
    <w:rsid w:val="00A97306"/>
    <w:rsid w:val="00A97800"/>
    <w:rsid w:val="00A9792B"/>
    <w:rsid w:val="00A979AD"/>
    <w:rsid w:val="00A97D91"/>
    <w:rsid w:val="00A97FF2"/>
    <w:rsid w:val="00AA0184"/>
    <w:rsid w:val="00AA0419"/>
    <w:rsid w:val="00AA044A"/>
    <w:rsid w:val="00AA052B"/>
    <w:rsid w:val="00AA0779"/>
    <w:rsid w:val="00AA0782"/>
    <w:rsid w:val="00AA0968"/>
    <w:rsid w:val="00AA0E4E"/>
    <w:rsid w:val="00AA0EC4"/>
    <w:rsid w:val="00AA11D0"/>
    <w:rsid w:val="00AA19C1"/>
    <w:rsid w:val="00AA24C1"/>
    <w:rsid w:val="00AA2671"/>
    <w:rsid w:val="00AA2ABE"/>
    <w:rsid w:val="00AA2B39"/>
    <w:rsid w:val="00AA2C48"/>
    <w:rsid w:val="00AA36F1"/>
    <w:rsid w:val="00AA3864"/>
    <w:rsid w:val="00AA38A9"/>
    <w:rsid w:val="00AA399A"/>
    <w:rsid w:val="00AA3A6B"/>
    <w:rsid w:val="00AA3A9E"/>
    <w:rsid w:val="00AA3E93"/>
    <w:rsid w:val="00AA44FF"/>
    <w:rsid w:val="00AA4565"/>
    <w:rsid w:val="00AA55D4"/>
    <w:rsid w:val="00AA5ABD"/>
    <w:rsid w:val="00AA614B"/>
    <w:rsid w:val="00AA61F2"/>
    <w:rsid w:val="00AA6C5A"/>
    <w:rsid w:val="00AA6D3C"/>
    <w:rsid w:val="00AA6F9D"/>
    <w:rsid w:val="00AA6FCF"/>
    <w:rsid w:val="00AA748E"/>
    <w:rsid w:val="00AA781B"/>
    <w:rsid w:val="00AA79CB"/>
    <w:rsid w:val="00AA7CAD"/>
    <w:rsid w:val="00AB06D9"/>
    <w:rsid w:val="00AB0E3A"/>
    <w:rsid w:val="00AB2323"/>
    <w:rsid w:val="00AB2A4A"/>
    <w:rsid w:val="00AB2F5E"/>
    <w:rsid w:val="00AB34FA"/>
    <w:rsid w:val="00AB364A"/>
    <w:rsid w:val="00AB3FAD"/>
    <w:rsid w:val="00AB4772"/>
    <w:rsid w:val="00AB546C"/>
    <w:rsid w:val="00AB546E"/>
    <w:rsid w:val="00AB5D99"/>
    <w:rsid w:val="00AB6560"/>
    <w:rsid w:val="00AB6B3E"/>
    <w:rsid w:val="00AB7413"/>
    <w:rsid w:val="00AB75F4"/>
    <w:rsid w:val="00AB78C4"/>
    <w:rsid w:val="00AB7DC1"/>
    <w:rsid w:val="00AC038E"/>
    <w:rsid w:val="00AC06DA"/>
    <w:rsid w:val="00AC28BB"/>
    <w:rsid w:val="00AC2976"/>
    <w:rsid w:val="00AC2A72"/>
    <w:rsid w:val="00AC2B90"/>
    <w:rsid w:val="00AC2D58"/>
    <w:rsid w:val="00AC2F64"/>
    <w:rsid w:val="00AC32F8"/>
    <w:rsid w:val="00AC35E0"/>
    <w:rsid w:val="00AC3E7B"/>
    <w:rsid w:val="00AC4A56"/>
    <w:rsid w:val="00AC4B5A"/>
    <w:rsid w:val="00AC4DF4"/>
    <w:rsid w:val="00AC5F63"/>
    <w:rsid w:val="00AC641D"/>
    <w:rsid w:val="00AC66F8"/>
    <w:rsid w:val="00AC6830"/>
    <w:rsid w:val="00AC6D1B"/>
    <w:rsid w:val="00AC6DFF"/>
    <w:rsid w:val="00AC6F48"/>
    <w:rsid w:val="00AC701E"/>
    <w:rsid w:val="00AC74DA"/>
    <w:rsid w:val="00AD0512"/>
    <w:rsid w:val="00AD112D"/>
    <w:rsid w:val="00AD1170"/>
    <w:rsid w:val="00AD1345"/>
    <w:rsid w:val="00AD1722"/>
    <w:rsid w:val="00AD1917"/>
    <w:rsid w:val="00AD1BDB"/>
    <w:rsid w:val="00AD1C83"/>
    <w:rsid w:val="00AD25D0"/>
    <w:rsid w:val="00AD2771"/>
    <w:rsid w:val="00AD2AAC"/>
    <w:rsid w:val="00AD2D74"/>
    <w:rsid w:val="00AD33CB"/>
    <w:rsid w:val="00AD3A86"/>
    <w:rsid w:val="00AD3AAE"/>
    <w:rsid w:val="00AD3B62"/>
    <w:rsid w:val="00AD3F01"/>
    <w:rsid w:val="00AD42D5"/>
    <w:rsid w:val="00AD49E6"/>
    <w:rsid w:val="00AD4FDE"/>
    <w:rsid w:val="00AD5080"/>
    <w:rsid w:val="00AD50C1"/>
    <w:rsid w:val="00AD5515"/>
    <w:rsid w:val="00AD58A6"/>
    <w:rsid w:val="00AD62A9"/>
    <w:rsid w:val="00AD65E7"/>
    <w:rsid w:val="00AD67BE"/>
    <w:rsid w:val="00AD6D19"/>
    <w:rsid w:val="00AD6D75"/>
    <w:rsid w:val="00AD76C8"/>
    <w:rsid w:val="00AD777F"/>
    <w:rsid w:val="00AD7A91"/>
    <w:rsid w:val="00AE04CA"/>
    <w:rsid w:val="00AE0CD6"/>
    <w:rsid w:val="00AE0E3F"/>
    <w:rsid w:val="00AE1543"/>
    <w:rsid w:val="00AE1669"/>
    <w:rsid w:val="00AE16A2"/>
    <w:rsid w:val="00AE1BD4"/>
    <w:rsid w:val="00AE1C6A"/>
    <w:rsid w:val="00AE22B7"/>
    <w:rsid w:val="00AE2314"/>
    <w:rsid w:val="00AE284F"/>
    <w:rsid w:val="00AE2A3A"/>
    <w:rsid w:val="00AE2DD7"/>
    <w:rsid w:val="00AE319C"/>
    <w:rsid w:val="00AE3D22"/>
    <w:rsid w:val="00AE3D82"/>
    <w:rsid w:val="00AE438F"/>
    <w:rsid w:val="00AE4415"/>
    <w:rsid w:val="00AE4538"/>
    <w:rsid w:val="00AE4C03"/>
    <w:rsid w:val="00AE5436"/>
    <w:rsid w:val="00AE57B3"/>
    <w:rsid w:val="00AE57F5"/>
    <w:rsid w:val="00AE5DF2"/>
    <w:rsid w:val="00AE612E"/>
    <w:rsid w:val="00AE6848"/>
    <w:rsid w:val="00AE69BF"/>
    <w:rsid w:val="00AE6A4F"/>
    <w:rsid w:val="00AE6D17"/>
    <w:rsid w:val="00AE6D5A"/>
    <w:rsid w:val="00AE72F3"/>
    <w:rsid w:val="00AE72F7"/>
    <w:rsid w:val="00AE7309"/>
    <w:rsid w:val="00AF0240"/>
    <w:rsid w:val="00AF05BC"/>
    <w:rsid w:val="00AF05CB"/>
    <w:rsid w:val="00AF0795"/>
    <w:rsid w:val="00AF0861"/>
    <w:rsid w:val="00AF0A53"/>
    <w:rsid w:val="00AF0BD3"/>
    <w:rsid w:val="00AF0FCF"/>
    <w:rsid w:val="00AF1046"/>
    <w:rsid w:val="00AF12AA"/>
    <w:rsid w:val="00AF1CE1"/>
    <w:rsid w:val="00AF29A8"/>
    <w:rsid w:val="00AF2AAF"/>
    <w:rsid w:val="00AF30A5"/>
    <w:rsid w:val="00AF33EB"/>
    <w:rsid w:val="00AF3429"/>
    <w:rsid w:val="00AF37AC"/>
    <w:rsid w:val="00AF3A14"/>
    <w:rsid w:val="00AF3CD0"/>
    <w:rsid w:val="00AF403A"/>
    <w:rsid w:val="00AF483F"/>
    <w:rsid w:val="00AF610E"/>
    <w:rsid w:val="00AF623B"/>
    <w:rsid w:val="00AF6340"/>
    <w:rsid w:val="00AF6821"/>
    <w:rsid w:val="00AF6B60"/>
    <w:rsid w:val="00AF6F25"/>
    <w:rsid w:val="00AF7950"/>
    <w:rsid w:val="00AF7977"/>
    <w:rsid w:val="00B0077D"/>
    <w:rsid w:val="00B0099E"/>
    <w:rsid w:val="00B01951"/>
    <w:rsid w:val="00B019AF"/>
    <w:rsid w:val="00B0298F"/>
    <w:rsid w:val="00B02A82"/>
    <w:rsid w:val="00B0312C"/>
    <w:rsid w:val="00B03156"/>
    <w:rsid w:val="00B03224"/>
    <w:rsid w:val="00B03273"/>
    <w:rsid w:val="00B03A2C"/>
    <w:rsid w:val="00B041FC"/>
    <w:rsid w:val="00B0481D"/>
    <w:rsid w:val="00B0509A"/>
    <w:rsid w:val="00B050E4"/>
    <w:rsid w:val="00B055F1"/>
    <w:rsid w:val="00B05D41"/>
    <w:rsid w:val="00B06163"/>
    <w:rsid w:val="00B0650B"/>
    <w:rsid w:val="00B066B0"/>
    <w:rsid w:val="00B06B3D"/>
    <w:rsid w:val="00B06BD0"/>
    <w:rsid w:val="00B06D92"/>
    <w:rsid w:val="00B06F85"/>
    <w:rsid w:val="00B06FA9"/>
    <w:rsid w:val="00B07122"/>
    <w:rsid w:val="00B07250"/>
    <w:rsid w:val="00B0731A"/>
    <w:rsid w:val="00B0767F"/>
    <w:rsid w:val="00B07D67"/>
    <w:rsid w:val="00B07E05"/>
    <w:rsid w:val="00B07F1A"/>
    <w:rsid w:val="00B10288"/>
    <w:rsid w:val="00B10350"/>
    <w:rsid w:val="00B104A5"/>
    <w:rsid w:val="00B1101F"/>
    <w:rsid w:val="00B1134F"/>
    <w:rsid w:val="00B11377"/>
    <w:rsid w:val="00B11EFE"/>
    <w:rsid w:val="00B12437"/>
    <w:rsid w:val="00B1313A"/>
    <w:rsid w:val="00B13675"/>
    <w:rsid w:val="00B1368E"/>
    <w:rsid w:val="00B150CF"/>
    <w:rsid w:val="00B1574A"/>
    <w:rsid w:val="00B16344"/>
    <w:rsid w:val="00B16E5A"/>
    <w:rsid w:val="00B17D03"/>
    <w:rsid w:val="00B20080"/>
    <w:rsid w:val="00B20149"/>
    <w:rsid w:val="00B20402"/>
    <w:rsid w:val="00B204F2"/>
    <w:rsid w:val="00B20734"/>
    <w:rsid w:val="00B20E85"/>
    <w:rsid w:val="00B2181C"/>
    <w:rsid w:val="00B2186F"/>
    <w:rsid w:val="00B218A4"/>
    <w:rsid w:val="00B21AFF"/>
    <w:rsid w:val="00B21B8B"/>
    <w:rsid w:val="00B22156"/>
    <w:rsid w:val="00B2218F"/>
    <w:rsid w:val="00B22FD3"/>
    <w:rsid w:val="00B23677"/>
    <w:rsid w:val="00B23A25"/>
    <w:rsid w:val="00B243B5"/>
    <w:rsid w:val="00B2494B"/>
    <w:rsid w:val="00B24CAB"/>
    <w:rsid w:val="00B254DE"/>
    <w:rsid w:val="00B25AF0"/>
    <w:rsid w:val="00B260BB"/>
    <w:rsid w:val="00B27341"/>
    <w:rsid w:val="00B27B34"/>
    <w:rsid w:val="00B27D60"/>
    <w:rsid w:val="00B3004D"/>
    <w:rsid w:val="00B30549"/>
    <w:rsid w:val="00B306FC"/>
    <w:rsid w:val="00B30B9E"/>
    <w:rsid w:val="00B30CE5"/>
    <w:rsid w:val="00B30D54"/>
    <w:rsid w:val="00B30D6E"/>
    <w:rsid w:val="00B30F41"/>
    <w:rsid w:val="00B3126C"/>
    <w:rsid w:val="00B314F2"/>
    <w:rsid w:val="00B3155E"/>
    <w:rsid w:val="00B31731"/>
    <w:rsid w:val="00B31A7E"/>
    <w:rsid w:val="00B3209B"/>
    <w:rsid w:val="00B3254A"/>
    <w:rsid w:val="00B32EEF"/>
    <w:rsid w:val="00B33340"/>
    <w:rsid w:val="00B3337B"/>
    <w:rsid w:val="00B33CE5"/>
    <w:rsid w:val="00B33EB2"/>
    <w:rsid w:val="00B34053"/>
    <w:rsid w:val="00B343F3"/>
    <w:rsid w:val="00B344C0"/>
    <w:rsid w:val="00B3572B"/>
    <w:rsid w:val="00B362A5"/>
    <w:rsid w:val="00B363F6"/>
    <w:rsid w:val="00B36841"/>
    <w:rsid w:val="00B36C3A"/>
    <w:rsid w:val="00B3766F"/>
    <w:rsid w:val="00B40093"/>
    <w:rsid w:val="00B40726"/>
    <w:rsid w:val="00B40A1A"/>
    <w:rsid w:val="00B40BE5"/>
    <w:rsid w:val="00B40C32"/>
    <w:rsid w:val="00B4109D"/>
    <w:rsid w:val="00B4168B"/>
    <w:rsid w:val="00B41F55"/>
    <w:rsid w:val="00B42493"/>
    <w:rsid w:val="00B42AEF"/>
    <w:rsid w:val="00B42C17"/>
    <w:rsid w:val="00B433BD"/>
    <w:rsid w:val="00B43C37"/>
    <w:rsid w:val="00B43EA8"/>
    <w:rsid w:val="00B45F9F"/>
    <w:rsid w:val="00B46117"/>
    <w:rsid w:val="00B465B2"/>
    <w:rsid w:val="00B467FA"/>
    <w:rsid w:val="00B46A7F"/>
    <w:rsid w:val="00B46C2A"/>
    <w:rsid w:val="00B46D13"/>
    <w:rsid w:val="00B47A82"/>
    <w:rsid w:val="00B47D06"/>
    <w:rsid w:val="00B47EE2"/>
    <w:rsid w:val="00B50446"/>
    <w:rsid w:val="00B50694"/>
    <w:rsid w:val="00B514DF"/>
    <w:rsid w:val="00B51743"/>
    <w:rsid w:val="00B51F34"/>
    <w:rsid w:val="00B521CF"/>
    <w:rsid w:val="00B52716"/>
    <w:rsid w:val="00B52740"/>
    <w:rsid w:val="00B527DE"/>
    <w:rsid w:val="00B52B4C"/>
    <w:rsid w:val="00B52B4D"/>
    <w:rsid w:val="00B52CA0"/>
    <w:rsid w:val="00B52E3D"/>
    <w:rsid w:val="00B52FF3"/>
    <w:rsid w:val="00B53037"/>
    <w:rsid w:val="00B53670"/>
    <w:rsid w:val="00B53D06"/>
    <w:rsid w:val="00B53F36"/>
    <w:rsid w:val="00B54188"/>
    <w:rsid w:val="00B543A1"/>
    <w:rsid w:val="00B54B44"/>
    <w:rsid w:val="00B55068"/>
    <w:rsid w:val="00B550F2"/>
    <w:rsid w:val="00B5564B"/>
    <w:rsid w:val="00B559CF"/>
    <w:rsid w:val="00B55D4E"/>
    <w:rsid w:val="00B5634A"/>
    <w:rsid w:val="00B565F5"/>
    <w:rsid w:val="00B565F6"/>
    <w:rsid w:val="00B56FFC"/>
    <w:rsid w:val="00B5744B"/>
    <w:rsid w:val="00B5751B"/>
    <w:rsid w:val="00B57A5C"/>
    <w:rsid w:val="00B57C12"/>
    <w:rsid w:val="00B57F71"/>
    <w:rsid w:val="00B60442"/>
    <w:rsid w:val="00B60C1A"/>
    <w:rsid w:val="00B61727"/>
    <w:rsid w:val="00B61737"/>
    <w:rsid w:val="00B61D66"/>
    <w:rsid w:val="00B627F7"/>
    <w:rsid w:val="00B62B92"/>
    <w:rsid w:val="00B62D8C"/>
    <w:rsid w:val="00B63206"/>
    <w:rsid w:val="00B63E8B"/>
    <w:rsid w:val="00B63F0F"/>
    <w:rsid w:val="00B63F2E"/>
    <w:rsid w:val="00B63F97"/>
    <w:rsid w:val="00B6484C"/>
    <w:rsid w:val="00B6487C"/>
    <w:rsid w:val="00B64951"/>
    <w:rsid w:val="00B64969"/>
    <w:rsid w:val="00B65022"/>
    <w:rsid w:val="00B6589D"/>
    <w:rsid w:val="00B65C32"/>
    <w:rsid w:val="00B6631F"/>
    <w:rsid w:val="00B66918"/>
    <w:rsid w:val="00B66BC8"/>
    <w:rsid w:val="00B675B8"/>
    <w:rsid w:val="00B676A3"/>
    <w:rsid w:val="00B6793D"/>
    <w:rsid w:val="00B67BCD"/>
    <w:rsid w:val="00B7032E"/>
    <w:rsid w:val="00B705C8"/>
    <w:rsid w:val="00B70719"/>
    <w:rsid w:val="00B707CD"/>
    <w:rsid w:val="00B70B4A"/>
    <w:rsid w:val="00B71162"/>
    <w:rsid w:val="00B71163"/>
    <w:rsid w:val="00B71166"/>
    <w:rsid w:val="00B712C5"/>
    <w:rsid w:val="00B7137A"/>
    <w:rsid w:val="00B7181D"/>
    <w:rsid w:val="00B718A9"/>
    <w:rsid w:val="00B71AC5"/>
    <w:rsid w:val="00B71BE0"/>
    <w:rsid w:val="00B71F30"/>
    <w:rsid w:val="00B727A4"/>
    <w:rsid w:val="00B743C3"/>
    <w:rsid w:val="00B7523B"/>
    <w:rsid w:val="00B75AB6"/>
    <w:rsid w:val="00B76445"/>
    <w:rsid w:val="00B76564"/>
    <w:rsid w:val="00B76B7D"/>
    <w:rsid w:val="00B7743A"/>
    <w:rsid w:val="00B7760C"/>
    <w:rsid w:val="00B77713"/>
    <w:rsid w:val="00B77C7F"/>
    <w:rsid w:val="00B77D78"/>
    <w:rsid w:val="00B77F28"/>
    <w:rsid w:val="00B80422"/>
    <w:rsid w:val="00B80489"/>
    <w:rsid w:val="00B8059E"/>
    <w:rsid w:val="00B805A8"/>
    <w:rsid w:val="00B81132"/>
    <w:rsid w:val="00B81BCA"/>
    <w:rsid w:val="00B81E73"/>
    <w:rsid w:val="00B82011"/>
    <w:rsid w:val="00B82214"/>
    <w:rsid w:val="00B82E6C"/>
    <w:rsid w:val="00B830A3"/>
    <w:rsid w:val="00B83593"/>
    <w:rsid w:val="00B83B6C"/>
    <w:rsid w:val="00B83C90"/>
    <w:rsid w:val="00B83F58"/>
    <w:rsid w:val="00B84044"/>
    <w:rsid w:val="00B848E9"/>
    <w:rsid w:val="00B8530C"/>
    <w:rsid w:val="00B85397"/>
    <w:rsid w:val="00B85ACA"/>
    <w:rsid w:val="00B85D59"/>
    <w:rsid w:val="00B8601D"/>
    <w:rsid w:val="00B86393"/>
    <w:rsid w:val="00B86564"/>
    <w:rsid w:val="00B86910"/>
    <w:rsid w:val="00B86D45"/>
    <w:rsid w:val="00B86F7C"/>
    <w:rsid w:val="00B8701F"/>
    <w:rsid w:val="00B8709B"/>
    <w:rsid w:val="00B87207"/>
    <w:rsid w:val="00B876F9"/>
    <w:rsid w:val="00B87784"/>
    <w:rsid w:val="00B9057F"/>
    <w:rsid w:val="00B90580"/>
    <w:rsid w:val="00B90716"/>
    <w:rsid w:val="00B908F6"/>
    <w:rsid w:val="00B90FBB"/>
    <w:rsid w:val="00B918C4"/>
    <w:rsid w:val="00B919E3"/>
    <w:rsid w:val="00B91CDD"/>
    <w:rsid w:val="00B927D6"/>
    <w:rsid w:val="00B93042"/>
    <w:rsid w:val="00B93971"/>
    <w:rsid w:val="00B93A2E"/>
    <w:rsid w:val="00B93AB8"/>
    <w:rsid w:val="00B93B3A"/>
    <w:rsid w:val="00B93C00"/>
    <w:rsid w:val="00B93C0A"/>
    <w:rsid w:val="00B94558"/>
    <w:rsid w:val="00B94807"/>
    <w:rsid w:val="00B94E22"/>
    <w:rsid w:val="00B954BD"/>
    <w:rsid w:val="00B958CF"/>
    <w:rsid w:val="00B959DE"/>
    <w:rsid w:val="00B9637B"/>
    <w:rsid w:val="00B96A0E"/>
    <w:rsid w:val="00B96DBA"/>
    <w:rsid w:val="00B96E8A"/>
    <w:rsid w:val="00B96EBE"/>
    <w:rsid w:val="00B97417"/>
    <w:rsid w:val="00B977F9"/>
    <w:rsid w:val="00B9785B"/>
    <w:rsid w:val="00BA02DA"/>
    <w:rsid w:val="00BA1243"/>
    <w:rsid w:val="00BA1405"/>
    <w:rsid w:val="00BA14AD"/>
    <w:rsid w:val="00BA168E"/>
    <w:rsid w:val="00BA19D8"/>
    <w:rsid w:val="00BA1BA6"/>
    <w:rsid w:val="00BA1CD0"/>
    <w:rsid w:val="00BA1EEF"/>
    <w:rsid w:val="00BA222C"/>
    <w:rsid w:val="00BA26B4"/>
    <w:rsid w:val="00BA3D40"/>
    <w:rsid w:val="00BA42E9"/>
    <w:rsid w:val="00BA4BB9"/>
    <w:rsid w:val="00BA54EB"/>
    <w:rsid w:val="00BA57B6"/>
    <w:rsid w:val="00BA5CBC"/>
    <w:rsid w:val="00BA6ED6"/>
    <w:rsid w:val="00BA720A"/>
    <w:rsid w:val="00BA747F"/>
    <w:rsid w:val="00BA78FB"/>
    <w:rsid w:val="00BB04DE"/>
    <w:rsid w:val="00BB05CF"/>
    <w:rsid w:val="00BB0B30"/>
    <w:rsid w:val="00BB1C85"/>
    <w:rsid w:val="00BB3082"/>
    <w:rsid w:val="00BB30A5"/>
    <w:rsid w:val="00BB3764"/>
    <w:rsid w:val="00BB3FF3"/>
    <w:rsid w:val="00BB44AD"/>
    <w:rsid w:val="00BB45AB"/>
    <w:rsid w:val="00BB48AF"/>
    <w:rsid w:val="00BB4A92"/>
    <w:rsid w:val="00BB4DBD"/>
    <w:rsid w:val="00BB4DFC"/>
    <w:rsid w:val="00BB5105"/>
    <w:rsid w:val="00BB5475"/>
    <w:rsid w:val="00BB5749"/>
    <w:rsid w:val="00BB5DB4"/>
    <w:rsid w:val="00BB5E30"/>
    <w:rsid w:val="00BB745E"/>
    <w:rsid w:val="00BB7529"/>
    <w:rsid w:val="00BB7F3C"/>
    <w:rsid w:val="00BC04CA"/>
    <w:rsid w:val="00BC0855"/>
    <w:rsid w:val="00BC0C52"/>
    <w:rsid w:val="00BC0CC4"/>
    <w:rsid w:val="00BC0EF9"/>
    <w:rsid w:val="00BC10C3"/>
    <w:rsid w:val="00BC143B"/>
    <w:rsid w:val="00BC16F1"/>
    <w:rsid w:val="00BC1E10"/>
    <w:rsid w:val="00BC2133"/>
    <w:rsid w:val="00BC269B"/>
    <w:rsid w:val="00BC2932"/>
    <w:rsid w:val="00BC2AB7"/>
    <w:rsid w:val="00BC3092"/>
    <w:rsid w:val="00BC35EB"/>
    <w:rsid w:val="00BC3DD8"/>
    <w:rsid w:val="00BC4AF0"/>
    <w:rsid w:val="00BC5128"/>
    <w:rsid w:val="00BC5193"/>
    <w:rsid w:val="00BC5366"/>
    <w:rsid w:val="00BC5613"/>
    <w:rsid w:val="00BC5C0C"/>
    <w:rsid w:val="00BC5E4B"/>
    <w:rsid w:val="00BC613D"/>
    <w:rsid w:val="00BC64E0"/>
    <w:rsid w:val="00BC69EE"/>
    <w:rsid w:val="00BC72B2"/>
    <w:rsid w:val="00BC7403"/>
    <w:rsid w:val="00BD006F"/>
    <w:rsid w:val="00BD0423"/>
    <w:rsid w:val="00BD1A7D"/>
    <w:rsid w:val="00BD1AAE"/>
    <w:rsid w:val="00BD227B"/>
    <w:rsid w:val="00BD2727"/>
    <w:rsid w:val="00BD2A63"/>
    <w:rsid w:val="00BD2A6C"/>
    <w:rsid w:val="00BD2B17"/>
    <w:rsid w:val="00BD324B"/>
    <w:rsid w:val="00BD37A6"/>
    <w:rsid w:val="00BD43F9"/>
    <w:rsid w:val="00BD4451"/>
    <w:rsid w:val="00BD4AD2"/>
    <w:rsid w:val="00BD4ADB"/>
    <w:rsid w:val="00BD4D87"/>
    <w:rsid w:val="00BD5202"/>
    <w:rsid w:val="00BD5C37"/>
    <w:rsid w:val="00BD603C"/>
    <w:rsid w:val="00BD62AD"/>
    <w:rsid w:val="00BD6677"/>
    <w:rsid w:val="00BD6AE5"/>
    <w:rsid w:val="00BD6E79"/>
    <w:rsid w:val="00BD71B1"/>
    <w:rsid w:val="00BD768F"/>
    <w:rsid w:val="00BE0080"/>
    <w:rsid w:val="00BE053F"/>
    <w:rsid w:val="00BE06B6"/>
    <w:rsid w:val="00BE096D"/>
    <w:rsid w:val="00BE09C5"/>
    <w:rsid w:val="00BE0E28"/>
    <w:rsid w:val="00BE104B"/>
    <w:rsid w:val="00BE1473"/>
    <w:rsid w:val="00BE179E"/>
    <w:rsid w:val="00BE1D99"/>
    <w:rsid w:val="00BE1F75"/>
    <w:rsid w:val="00BE2285"/>
    <w:rsid w:val="00BE2486"/>
    <w:rsid w:val="00BE251E"/>
    <w:rsid w:val="00BE2819"/>
    <w:rsid w:val="00BE2AB0"/>
    <w:rsid w:val="00BE3228"/>
    <w:rsid w:val="00BE3923"/>
    <w:rsid w:val="00BE4138"/>
    <w:rsid w:val="00BE4DE3"/>
    <w:rsid w:val="00BE5024"/>
    <w:rsid w:val="00BE55D2"/>
    <w:rsid w:val="00BE5D77"/>
    <w:rsid w:val="00BE5D94"/>
    <w:rsid w:val="00BE6049"/>
    <w:rsid w:val="00BE69B0"/>
    <w:rsid w:val="00BE6E5F"/>
    <w:rsid w:val="00BE76C3"/>
    <w:rsid w:val="00BE76D1"/>
    <w:rsid w:val="00BE77EE"/>
    <w:rsid w:val="00BE7ADE"/>
    <w:rsid w:val="00BF0A51"/>
    <w:rsid w:val="00BF16F6"/>
    <w:rsid w:val="00BF1C5B"/>
    <w:rsid w:val="00BF1FF3"/>
    <w:rsid w:val="00BF23D7"/>
    <w:rsid w:val="00BF325C"/>
    <w:rsid w:val="00BF36F7"/>
    <w:rsid w:val="00BF3B2C"/>
    <w:rsid w:val="00BF3B94"/>
    <w:rsid w:val="00BF3D45"/>
    <w:rsid w:val="00BF3DD6"/>
    <w:rsid w:val="00BF5F86"/>
    <w:rsid w:val="00BF6C13"/>
    <w:rsid w:val="00BF702E"/>
    <w:rsid w:val="00BF77E0"/>
    <w:rsid w:val="00BF793C"/>
    <w:rsid w:val="00BF79D9"/>
    <w:rsid w:val="00BF7CB6"/>
    <w:rsid w:val="00C00428"/>
    <w:rsid w:val="00C008BC"/>
    <w:rsid w:val="00C01408"/>
    <w:rsid w:val="00C015F4"/>
    <w:rsid w:val="00C0194C"/>
    <w:rsid w:val="00C01AAA"/>
    <w:rsid w:val="00C01D77"/>
    <w:rsid w:val="00C02929"/>
    <w:rsid w:val="00C02933"/>
    <w:rsid w:val="00C029A2"/>
    <w:rsid w:val="00C02AD1"/>
    <w:rsid w:val="00C02BD7"/>
    <w:rsid w:val="00C032D4"/>
    <w:rsid w:val="00C03692"/>
    <w:rsid w:val="00C03A9E"/>
    <w:rsid w:val="00C03E9E"/>
    <w:rsid w:val="00C0408A"/>
    <w:rsid w:val="00C05B0D"/>
    <w:rsid w:val="00C05CFA"/>
    <w:rsid w:val="00C0676D"/>
    <w:rsid w:val="00C070BF"/>
    <w:rsid w:val="00C07146"/>
    <w:rsid w:val="00C07362"/>
    <w:rsid w:val="00C07ECA"/>
    <w:rsid w:val="00C07FBE"/>
    <w:rsid w:val="00C10D65"/>
    <w:rsid w:val="00C10D78"/>
    <w:rsid w:val="00C114A1"/>
    <w:rsid w:val="00C12D12"/>
    <w:rsid w:val="00C12D15"/>
    <w:rsid w:val="00C12F86"/>
    <w:rsid w:val="00C1352D"/>
    <w:rsid w:val="00C135DF"/>
    <w:rsid w:val="00C13707"/>
    <w:rsid w:val="00C14673"/>
    <w:rsid w:val="00C14C69"/>
    <w:rsid w:val="00C14D2B"/>
    <w:rsid w:val="00C14EA7"/>
    <w:rsid w:val="00C14F54"/>
    <w:rsid w:val="00C1570A"/>
    <w:rsid w:val="00C1578D"/>
    <w:rsid w:val="00C15806"/>
    <w:rsid w:val="00C1619B"/>
    <w:rsid w:val="00C16434"/>
    <w:rsid w:val="00C1677B"/>
    <w:rsid w:val="00C1687D"/>
    <w:rsid w:val="00C16B56"/>
    <w:rsid w:val="00C171C7"/>
    <w:rsid w:val="00C1733C"/>
    <w:rsid w:val="00C17808"/>
    <w:rsid w:val="00C17A8F"/>
    <w:rsid w:val="00C20059"/>
    <w:rsid w:val="00C204FE"/>
    <w:rsid w:val="00C2056D"/>
    <w:rsid w:val="00C2095D"/>
    <w:rsid w:val="00C20B23"/>
    <w:rsid w:val="00C20D8A"/>
    <w:rsid w:val="00C20FAA"/>
    <w:rsid w:val="00C21267"/>
    <w:rsid w:val="00C214DD"/>
    <w:rsid w:val="00C215DD"/>
    <w:rsid w:val="00C22512"/>
    <w:rsid w:val="00C230D4"/>
    <w:rsid w:val="00C23482"/>
    <w:rsid w:val="00C2397D"/>
    <w:rsid w:val="00C23BE6"/>
    <w:rsid w:val="00C23C02"/>
    <w:rsid w:val="00C24862"/>
    <w:rsid w:val="00C24C46"/>
    <w:rsid w:val="00C24FFF"/>
    <w:rsid w:val="00C25348"/>
    <w:rsid w:val="00C2581A"/>
    <w:rsid w:val="00C25CD0"/>
    <w:rsid w:val="00C26518"/>
    <w:rsid w:val="00C265C3"/>
    <w:rsid w:val="00C26EBA"/>
    <w:rsid w:val="00C270DD"/>
    <w:rsid w:val="00C27DF1"/>
    <w:rsid w:val="00C3105E"/>
    <w:rsid w:val="00C3147E"/>
    <w:rsid w:val="00C318C9"/>
    <w:rsid w:val="00C32E7A"/>
    <w:rsid w:val="00C331D3"/>
    <w:rsid w:val="00C331E8"/>
    <w:rsid w:val="00C333F6"/>
    <w:rsid w:val="00C33A45"/>
    <w:rsid w:val="00C34501"/>
    <w:rsid w:val="00C346A1"/>
    <w:rsid w:val="00C34875"/>
    <w:rsid w:val="00C34905"/>
    <w:rsid w:val="00C349A0"/>
    <w:rsid w:val="00C34A1B"/>
    <w:rsid w:val="00C34A52"/>
    <w:rsid w:val="00C34D64"/>
    <w:rsid w:val="00C34E1B"/>
    <w:rsid w:val="00C35245"/>
    <w:rsid w:val="00C35D1B"/>
    <w:rsid w:val="00C35F3A"/>
    <w:rsid w:val="00C3615D"/>
    <w:rsid w:val="00C3644A"/>
    <w:rsid w:val="00C364C5"/>
    <w:rsid w:val="00C36CD0"/>
    <w:rsid w:val="00C36CFD"/>
    <w:rsid w:val="00C37204"/>
    <w:rsid w:val="00C373C0"/>
    <w:rsid w:val="00C374E2"/>
    <w:rsid w:val="00C37A1C"/>
    <w:rsid w:val="00C4086E"/>
    <w:rsid w:val="00C40D38"/>
    <w:rsid w:val="00C40EB9"/>
    <w:rsid w:val="00C4168A"/>
    <w:rsid w:val="00C41E56"/>
    <w:rsid w:val="00C41EBF"/>
    <w:rsid w:val="00C422CF"/>
    <w:rsid w:val="00C4281A"/>
    <w:rsid w:val="00C4320E"/>
    <w:rsid w:val="00C433AF"/>
    <w:rsid w:val="00C4343B"/>
    <w:rsid w:val="00C43B36"/>
    <w:rsid w:val="00C441E7"/>
    <w:rsid w:val="00C4422D"/>
    <w:rsid w:val="00C442B3"/>
    <w:rsid w:val="00C442D6"/>
    <w:rsid w:val="00C444B4"/>
    <w:rsid w:val="00C45038"/>
    <w:rsid w:val="00C4616C"/>
    <w:rsid w:val="00C461FD"/>
    <w:rsid w:val="00C46EE3"/>
    <w:rsid w:val="00C4765B"/>
    <w:rsid w:val="00C4794F"/>
    <w:rsid w:val="00C47C24"/>
    <w:rsid w:val="00C47F0B"/>
    <w:rsid w:val="00C5004C"/>
    <w:rsid w:val="00C505BD"/>
    <w:rsid w:val="00C506C1"/>
    <w:rsid w:val="00C50D0B"/>
    <w:rsid w:val="00C50EDE"/>
    <w:rsid w:val="00C51164"/>
    <w:rsid w:val="00C51420"/>
    <w:rsid w:val="00C51545"/>
    <w:rsid w:val="00C51AC1"/>
    <w:rsid w:val="00C5244C"/>
    <w:rsid w:val="00C52677"/>
    <w:rsid w:val="00C52733"/>
    <w:rsid w:val="00C52FE8"/>
    <w:rsid w:val="00C539A4"/>
    <w:rsid w:val="00C53B5A"/>
    <w:rsid w:val="00C53C5E"/>
    <w:rsid w:val="00C54006"/>
    <w:rsid w:val="00C54047"/>
    <w:rsid w:val="00C545EB"/>
    <w:rsid w:val="00C54897"/>
    <w:rsid w:val="00C5528F"/>
    <w:rsid w:val="00C55AE3"/>
    <w:rsid w:val="00C56444"/>
    <w:rsid w:val="00C56627"/>
    <w:rsid w:val="00C56ED6"/>
    <w:rsid w:val="00C57215"/>
    <w:rsid w:val="00C574BD"/>
    <w:rsid w:val="00C5790C"/>
    <w:rsid w:val="00C57D50"/>
    <w:rsid w:val="00C6043A"/>
    <w:rsid w:val="00C60448"/>
    <w:rsid w:val="00C6070A"/>
    <w:rsid w:val="00C60B83"/>
    <w:rsid w:val="00C61A51"/>
    <w:rsid w:val="00C61A5F"/>
    <w:rsid w:val="00C61C2C"/>
    <w:rsid w:val="00C61FAA"/>
    <w:rsid w:val="00C620FE"/>
    <w:rsid w:val="00C62613"/>
    <w:rsid w:val="00C627F1"/>
    <w:rsid w:val="00C62AFB"/>
    <w:rsid w:val="00C62F0C"/>
    <w:rsid w:val="00C640FA"/>
    <w:rsid w:val="00C6460A"/>
    <w:rsid w:val="00C6499F"/>
    <w:rsid w:val="00C64BAC"/>
    <w:rsid w:val="00C64BC1"/>
    <w:rsid w:val="00C64F2F"/>
    <w:rsid w:val="00C65868"/>
    <w:rsid w:val="00C65D72"/>
    <w:rsid w:val="00C65D79"/>
    <w:rsid w:val="00C65E92"/>
    <w:rsid w:val="00C65F1D"/>
    <w:rsid w:val="00C66291"/>
    <w:rsid w:val="00C664C7"/>
    <w:rsid w:val="00C6682F"/>
    <w:rsid w:val="00C66B94"/>
    <w:rsid w:val="00C66F0B"/>
    <w:rsid w:val="00C67734"/>
    <w:rsid w:val="00C6776D"/>
    <w:rsid w:val="00C677AE"/>
    <w:rsid w:val="00C67A3C"/>
    <w:rsid w:val="00C67C32"/>
    <w:rsid w:val="00C703DE"/>
    <w:rsid w:val="00C703E9"/>
    <w:rsid w:val="00C70580"/>
    <w:rsid w:val="00C70E5C"/>
    <w:rsid w:val="00C70E8E"/>
    <w:rsid w:val="00C71069"/>
    <w:rsid w:val="00C71CD4"/>
    <w:rsid w:val="00C71D86"/>
    <w:rsid w:val="00C71D8A"/>
    <w:rsid w:val="00C72033"/>
    <w:rsid w:val="00C72743"/>
    <w:rsid w:val="00C727B0"/>
    <w:rsid w:val="00C73411"/>
    <w:rsid w:val="00C73583"/>
    <w:rsid w:val="00C73613"/>
    <w:rsid w:val="00C73975"/>
    <w:rsid w:val="00C73E5D"/>
    <w:rsid w:val="00C746BF"/>
    <w:rsid w:val="00C74A23"/>
    <w:rsid w:val="00C74B46"/>
    <w:rsid w:val="00C74F68"/>
    <w:rsid w:val="00C755C3"/>
    <w:rsid w:val="00C758E0"/>
    <w:rsid w:val="00C760CE"/>
    <w:rsid w:val="00C76122"/>
    <w:rsid w:val="00C76E83"/>
    <w:rsid w:val="00C76E9C"/>
    <w:rsid w:val="00C77A34"/>
    <w:rsid w:val="00C77CEB"/>
    <w:rsid w:val="00C80B82"/>
    <w:rsid w:val="00C80BCF"/>
    <w:rsid w:val="00C80DAB"/>
    <w:rsid w:val="00C810C9"/>
    <w:rsid w:val="00C81201"/>
    <w:rsid w:val="00C812B5"/>
    <w:rsid w:val="00C81392"/>
    <w:rsid w:val="00C81540"/>
    <w:rsid w:val="00C81FD2"/>
    <w:rsid w:val="00C827F2"/>
    <w:rsid w:val="00C83A5F"/>
    <w:rsid w:val="00C83E68"/>
    <w:rsid w:val="00C84569"/>
    <w:rsid w:val="00C846B0"/>
    <w:rsid w:val="00C84EB8"/>
    <w:rsid w:val="00C85005"/>
    <w:rsid w:val="00C85750"/>
    <w:rsid w:val="00C858C2"/>
    <w:rsid w:val="00C85CB9"/>
    <w:rsid w:val="00C866C2"/>
    <w:rsid w:val="00C86940"/>
    <w:rsid w:val="00C86996"/>
    <w:rsid w:val="00C86A44"/>
    <w:rsid w:val="00C87B76"/>
    <w:rsid w:val="00C87FED"/>
    <w:rsid w:val="00C900E3"/>
    <w:rsid w:val="00C90299"/>
    <w:rsid w:val="00C908E2"/>
    <w:rsid w:val="00C91136"/>
    <w:rsid w:val="00C9126E"/>
    <w:rsid w:val="00C914B9"/>
    <w:rsid w:val="00C91692"/>
    <w:rsid w:val="00C91A36"/>
    <w:rsid w:val="00C92614"/>
    <w:rsid w:val="00C92779"/>
    <w:rsid w:val="00C92BF9"/>
    <w:rsid w:val="00C92FC9"/>
    <w:rsid w:val="00C93376"/>
    <w:rsid w:val="00C93945"/>
    <w:rsid w:val="00C93AB6"/>
    <w:rsid w:val="00C94627"/>
    <w:rsid w:val="00C94D30"/>
    <w:rsid w:val="00C94ECA"/>
    <w:rsid w:val="00C9562A"/>
    <w:rsid w:val="00C95ADE"/>
    <w:rsid w:val="00C95DC2"/>
    <w:rsid w:val="00C966EE"/>
    <w:rsid w:val="00C96783"/>
    <w:rsid w:val="00C96FF2"/>
    <w:rsid w:val="00C97565"/>
    <w:rsid w:val="00C97C9B"/>
    <w:rsid w:val="00CA008E"/>
    <w:rsid w:val="00CA01A5"/>
    <w:rsid w:val="00CA0799"/>
    <w:rsid w:val="00CA0A27"/>
    <w:rsid w:val="00CA0DAC"/>
    <w:rsid w:val="00CA1126"/>
    <w:rsid w:val="00CA144C"/>
    <w:rsid w:val="00CA1451"/>
    <w:rsid w:val="00CA14D5"/>
    <w:rsid w:val="00CA1A88"/>
    <w:rsid w:val="00CA1B69"/>
    <w:rsid w:val="00CA204A"/>
    <w:rsid w:val="00CA210E"/>
    <w:rsid w:val="00CA255E"/>
    <w:rsid w:val="00CA2837"/>
    <w:rsid w:val="00CA3525"/>
    <w:rsid w:val="00CA3C12"/>
    <w:rsid w:val="00CA41C5"/>
    <w:rsid w:val="00CA490A"/>
    <w:rsid w:val="00CA4D4E"/>
    <w:rsid w:val="00CA53BD"/>
    <w:rsid w:val="00CA60F0"/>
    <w:rsid w:val="00CA62BD"/>
    <w:rsid w:val="00CA65A4"/>
    <w:rsid w:val="00CA66A0"/>
    <w:rsid w:val="00CA67FD"/>
    <w:rsid w:val="00CA7655"/>
    <w:rsid w:val="00CA7984"/>
    <w:rsid w:val="00CA7A83"/>
    <w:rsid w:val="00CA7C8A"/>
    <w:rsid w:val="00CB0299"/>
    <w:rsid w:val="00CB0DC7"/>
    <w:rsid w:val="00CB0E5C"/>
    <w:rsid w:val="00CB1453"/>
    <w:rsid w:val="00CB14F4"/>
    <w:rsid w:val="00CB1696"/>
    <w:rsid w:val="00CB16E9"/>
    <w:rsid w:val="00CB16F6"/>
    <w:rsid w:val="00CB19D5"/>
    <w:rsid w:val="00CB19F0"/>
    <w:rsid w:val="00CB1AB3"/>
    <w:rsid w:val="00CB1D31"/>
    <w:rsid w:val="00CB24E8"/>
    <w:rsid w:val="00CB2551"/>
    <w:rsid w:val="00CB255F"/>
    <w:rsid w:val="00CB2B53"/>
    <w:rsid w:val="00CB2E1E"/>
    <w:rsid w:val="00CB32E5"/>
    <w:rsid w:val="00CB3AB4"/>
    <w:rsid w:val="00CB3B05"/>
    <w:rsid w:val="00CB3BD5"/>
    <w:rsid w:val="00CB4128"/>
    <w:rsid w:val="00CB4141"/>
    <w:rsid w:val="00CB4247"/>
    <w:rsid w:val="00CB446A"/>
    <w:rsid w:val="00CB4564"/>
    <w:rsid w:val="00CB48FE"/>
    <w:rsid w:val="00CB4BDC"/>
    <w:rsid w:val="00CB4FB8"/>
    <w:rsid w:val="00CB55BE"/>
    <w:rsid w:val="00CB5843"/>
    <w:rsid w:val="00CB5DA3"/>
    <w:rsid w:val="00CB65F2"/>
    <w:rsid w:val="00CB6656"/>
    <w:rsid w:val="00CB7D33"/>
    <w:rsid w:val="00CC0A63"/>
    <w:rsid w:val="00CC0CAE"/>
    <w:rsid w:val="00CC1587"/>
    <w:rsid w:val="00CC1EE2"/>
    <w:rsid w:val="00CC2861"/>
    <w:rsid w:val="00CC2BDC"/>
    <w:rsid w:val="00CC2F5D"/>
    <w:rsid w:val="00CC3093"/>
    <w:rsid w:val="00CC31F9"/>
    <w:rsid w:val="00CC3B25"/>
    <w:rsid w:val="00CC4226"/>
    <w:rsid w:val="00CC4255"/>
    <w:rsid w:val="00CC45A5"/>
    <w:rsid w:val="00CC4FC0"/>
    <w:rsid w:val="00CC5035"/>
    <w:rsid w:val="00CC5B7E"/>
    <w:rsid w:val="00CC5F00"/>
    <w:rsid w:val="00CC6D09"/>
    <w:rsid w:val="00CC7800"/>
    <w:rsid w:val="00CC79CE"/>
    <w:rsid w:val="00CC7A4F"/>
    <w:rsid w:val="00CD0131"/>
    <w:rsid w:val="00CD02EA"/>
    <w:rsid w:val="00CD07CD"/>
    <w:rsid w:val="00CD0B81"/>
    <w:rsid w:val="00CD11AB"/>
    <w:rsid w:val="00CD15A0"/>
    <w:rsid w:val="00CD1A01"/>
    <w:rsid w:val="00CD1AC5"/>
    <w:rsid w:val="00CD1C9C"/>
    <w:rsid w:val="00CD1EEC"/>
    <w:rsid w:val="00CD2767"/>
    <w:rsid w:val="00CD2A54"/>
    <w:rsid w:val="00CD2BEE"/>
    <w:rsid w:val="00CD2D7F"/>
    <w:rsid w:val="00CD3AF1"/>
    <w:rsid w:val="00CD3C43"/>
    <w:rsid w:val="00CD441E"/>
    <w:rsid w:val="00CD4496"/>
    <w:rsid w:val="00CD4CCF"/>
    <w:rsid w:val="00CD59CF"/>
    <w:rsid w:val="00CD5BBE"/>
    <w:rsid w:val="00CD5BF0"/>
    <w:rsid w:val="00CD60AC"/>
    <w:rsid w:val="00CD630E"/>
    <w:rsid w:val="00CD7D7A"/>
    <w:rsid w:val="00CE0946"/>
    <w:rsid w:val="00CE0C38"/>
    <w:rsid w:val="00CE0E87"/>
    <w:rsid w:val="00CE0F29"/>
    <w:rsid w:val="00CE10A8"/>
    <w:rsid w:val="00CE1665"/>
    <w:rsid w:val="00CE2A41"/>
    <w:rsid w:val="00CE33B0"/>
    <w:rsid w:val="00CE33C3"/>
    <w:rsid w:val="00CE3749"/>
    <w:rsid w:val="00CE3A5E"/>
    <w:rsid w:val="00CE3C20"/>
    <w:rsid w:val="00CE4131"/>
    <w:rsid w:val="00CE4311"/>
    <w:rsid w:val="00CE459E"/>
    <w:rsid w:val="00CE4B34"/>
    <w:rsid w:val="00CE4FC8"/>
    <w:rsid w:val="00CE5087"/>
    <w:rsid w:val="00CE5170"/>
    <w:rsid w:val="00CE5F93"/>
    <w:rsid w:val="00CE6373"/>
    <w:rsid w:val="00CE673C"/>
    <w:rsid w:val="00CE7ABF"/>
    <w:rsid w:val="00CE7ADB"/>
    <w:rsid w:val="00CE7C10"/>
    <w:rsid w:val="00CE7FF3"/>
    <w:rsid w:val="00CF0418"/>
    <w:rsid w:val="00CF0573"/>
    <w:rsid w:val="00CF165C"/>
    <w:rsid w:val="00CF1761"/>
    <w:rsid w:val="00CF1861"/>
    <w:rsid w:val="00CF26A5"/>
    <w:rsid w:val="00CF29C8"/>
    <w:rsid w:val="00CF350F"/>
    <w:rsid w:val="00CF37C4"/>
    <w:rsid w:val="00CF390B"/>
    <w:rsid w:val="00CF3927"/>
    <w:rsid w:val="00CF3EA5"/>
    <w:rsid w:val="00CF4ABF"/>
    <w:rsid w:val="00CF51A2"/>
    <w:rsid w:val="00CF5412"/>
    <w:rsid w:val="00CF5AF0"/>
    <w:rsid w:val="00CF68B3"/>
    <w:rsid w:val="00CF6BA5"/>
    <w:rsid w:val="00CF6FDA"/>
    <w:rsid w:val="00CF724E"/>
    <w:rsid w:val="00CF7B9E"/>
    <w:rsid w:val="00D0138E"/>
    <w:rsid w:val="00D02732"/>
    <w:rsid w:val="00D033D9"/>
    <w:rsid w:val="00D034F5"/>
    <w:rsid w:val="00D03AB2"/>
    <w:rsid w:val="00D03E1B"/>
    <w:rsid w:val="00D048FD"/>
    <w:rsid w:val="00D04A7D"/>
    <w:rsid w:val="00D05177"/>
    <w:rsid w:val="00D05667"/>
    <w:rsid w:val="00D056D3"/>
    <w:rsid w:val="00D0596E"/>
    <w:rsid w:val="00D05B06"/>
    <w:rsid w:val="00D06701"/>
    <w:rsid w:val="00D069FA"/>
    <w:rsid w:val="00D07DD8"/>
    <w:rsid w:val="00D07F97"/>
    <w:rsid w:val="00D1005A"/>
    <w:rsid w:val="00D10809"/>
    <w:rsid w:val="00D1085F"/>
    <w:rsid w:val="00D1095C"/>
    <w:rsid w:val="00D11091"/>
    <w:rsid w:val="00D1140E"/>
    <w:rsid w:val="00D115B0"/>
    <w:rsid w:val="00D116F9"/>
    <w:rsid w:val="00D11E6C"/>
    <w:rsid w:val="00D11FBD"/>
    <w:rsid w:val="00D126E5"/>
    <w:rsid w:val="00D12789"/>
    <w:rsid w:val="00D128A6"/>
    <w:rsid w:val="00D12B1F"/>
    <w:rsid w:val="00D12E2D"/>
    <w:rsid w:val="00D12EF8"/>
    <w:rsid w:val="00D130A3"/>
    <w:rsid w:val="00D138CD"/>
    <w:rsid w:val="00D13AF5"/>
    <w:rsid w:val="00D13E2E"/>
    <w:rsid w:val="00D14B59"/>
    <w:rsid w:val="00D155AA"/>
    <w:rsid w:val="00D15646"/>
    <w:rsid w:val="00D1591C"/>
    <w:rsid w:val="00D15958"/>
    <w:rsid w:val="00D15B30"/>
    <w:rsid w:val="00D16090"/>
    <w:rsid w:val="00D16295"/>
    <w:rsid w:val="00D162CD"/>
    <w:rsid w:val="00D16571"/>
    <w:rsid w:val="00D168B2"/>
    <w:rsid w:val="00D175B7"/>
    <w:rsid w:val="00D17A58"/>
    <w:rsid w:val="00D17AEE"/>
    <w:rsid w:val="00D17B45"/>
    <w:rsid w:val="00D17E76"/>
    <w:rsid w:val="00D203CF"/>
    <w:rsid w:val="00D21136"/>
    <w:rsid w:val="00D22A91"/>
    <w:rsid w:val="00D22B1C"/>
    <w:rsid w:val="00D22D42"/>
    <w:rsid w:val="00D22DC1"/>
    <w:rsid w:val="00D23001"/>
    <w:rsid w:val="00D233EB"/>
    <w:rsid w:val="00D238D4"/>
    <w:rsid w:val="00D2425A"/>
    <w:rsid w:val="00D24451"/>
    <w:rsid w:val="00D24EF0"/>
    <w:rsid w:val="00D25D70"/>
    <w:rsid w:val="00D25E39"/>
    <w:rsid w:val="00D262B3"/>
    <w:rsid w:val="00D269E7"/>
    <w:rsid w:val="00D26F4D"/>
    <w:rsid w:val="00D26FF3"/>
    <w:rsid w:val="00D271AD"/>
    <w:rsid w:val="00D27D1B"/>
    <w:rsid w:val="00D27EAB"/>
    <w:rsid w:val="00D30759"/>
    <w:rsid w:val="00D30FEC"/>
    <w:rsid w:val="00D31727"/>
    <w:rsid w:val="00D31AEF"/>
    <w:rsid w:val="00D31BC6"/>
    <w:rsid w:val="00D31E4E"/>
    <w:rsid w:val="00D32ACC"/>
    <w:rsid w:val="00D32C7E"/>
    <w:rsid w:val="00D33087"/>
    <w:rsid w:val="00D330B2"/>
    <w:rsid w:val="00D3402B"/>
    <w:rsid w:val="00D34702"/>
    <w:rsid w:val="00D34EDF"/>
    <w:rsid w:val="00D3587F"/>
    <w:rsid w:val="00D35F82"/>
    <w:rsid w:val="00D36274"/>
    <w:rsid w:val="00D367B2"/>
    <w:rsid w:val="00D36A78"/>
    <w:rsid w:val="00D36B8D"/>
    <w:rsid w:val="00D37430"/>
    <w:rsid w:val="00D37A7B"/>
    <w:rsid w:val="00D37B45"/>
    <w:rsid w:val="00D4011C"/>
    <w:rsid w:val="00D404B3"/>
    <w:rsid w:val="00D407A0"/>
    <w:rsid w:val="00D40B08"/>
    <w:rsid w:val="00D4194D"/>
    <w:rsid w:val="00D41A4D"/>
    <w:rsid w:val="00D41CE6"/>
    <w:rsid w:val="00D41DC0"/>
    <w:rsid w:val="00D42A48"/>
    <w:rsid w:val="00D42B94"/>
    <w:rsid w:val="00D4415D"/>
    <w:rsid w:val="00D44199"/>
    <w:rsid w:val="00D4419B"/>
    <w:rsid w:val="00D443B9"/>
    <w:rsid w:val="00D443E0"/>
    <w:rsid w:val="00D445B2"/>
    <w:rsid w:val="00D44B1B"/>
    <w:rsid w:val="00D44F2F"/>
    <w:rsid w:val="00D45572"/>
    <w:rsid w:val="00D45F77"/>
    <w:rsid w:val="00D46363"/>
    <w:rsid w:val="00D464F5"/>
    <w:rsid w:val="00D4717C"/>
    <w:rsid w:val="00D47C39"/>
    <w:rsid w:val="00D504A0"/>
    <w:rsid w:val="00D50A89"/>
    <w:rsid w:val="00D50C96"/>
    <w:rsid w:val="00D50F36"/>
    <w:rsid w:val="00D51923"/>
    <w:rsid w:val="00D51DFD"/>
    <w:rsid w:val="00D51E62"/>
    <w:rsid w:val="00D522B1"/>
    <w:rsid w:val="00D52DAF"/>
    <w:rsid w:val="00D53DFA"/>
    <w:rsid w:val="00D5436D"/>
    <w:rsid w:val="00D54378"/>
    <w:rsid w:val="00D54865"/>
    <w:rsid w:val="00D54889"/>
    <w:rsid w:val="00D54D6C"/>
    <w:rsid w:val="00D55275"/>
    <w:rsid w:val="00D553BC"/>
    <w:rsid w:val="00D555F0"/>
    <w:rsid w:val="00D556E3"/>
    <w:rsid w:val="00D556EA"/>
    <w:rsid w:val="00D55D33"/>
    <w:rsid w:val="00D55E0A"/>
    <w:rsid w:val="00D55FE7"/>
    <w:rsid w:val="00D5618C"/>
    <w:rsid w:val="00D56735"/>
    <w:rsid w:val="00D57447"/>
    <w:rsid w:val="00D60169"/>
    <w:rsid w:val="00D609B2"/>
    <w:rsid w:val="00D60F4F"/>
    <w:rsid w:val="00D60FE3"/>
    <w:rsid w:val="00D611E0"/>
    <w:rsid w:val="00D61BF9"/>
    <w:rsid w:val="00D6201A"/>
    <w:rsid w:val="00D62186"/>
    <w:rsid w:val="00D624FD"/>
    <w:rsid w:val="00D6264E"/>
    <w:rsid w:val="00D62E69"/>
    <w:rsid w:val="00D64559"/>
    <w:rsid w:val="00D64650"/>
    <w:rsid w:val="00D64AFE"/>
    <w:rsid w:val="00D64B0C"/>
    <w:rsid w:val="00D64EBE"/>
    <w:rsid w:val="00D64F9C"/>
    <w:rsid w:val="00D6522B"/>
    <w:rsid w:val="00D6534C"/>
    <w:rsid w:val="00D656CF"/>
    <w:rsid w:val="00D65719"/>
    <w:rsid w:val="00D65830"/>
    <w:rsid w:val="00D659EA"/>
    <w:rsid w:val="00D660D4"/>
    <w:rsid w:val="00D66632"/>
    <w:rsid w:val="00D6669F"/>
    <w:rsid w:val="00D670C5"/>
    <w:rsid w:val="00D67257"/>
    <w:rsid w:val="00D673C5"/>
    <w:rsid w:val="00D67469"/>
    <w:rsid w:val="00D67883"/>
    <w:rsid w:val="00D67BD7"/>
    <w:rsid w:val="00D67C51"/>
    <w:rsid w:val="00D70E3F"/>
    <w:rsid w:val="00D71877"/>
    <w:rsid w:val="00D71DF9"/>
    <w:rsid w:val="00D72154"/>
    <w:rsid w:val="00D723AC"/>
    <w:rsid w:val="00D72C22"/>
    <w:rsid w:val="00D732FC"/>
    <w:rsid w:val="00D7370B"/>
    <w:rsid w:val="00D73E84"/>
    <w:rsid w:val="00D747CD"/>
    <w:rsid w:val="00D75FBF"/>
    <w:rsid w:val="00D75FC3"/>
    <w:rsid w:val="00D75FE8"/>
    <w:rsid w:val="00D76ED1"/>
    <w:rsid w:val="00D77474"/>
    <w:rsid w:val="00D77B63"/>
    <w:rsid w:val="00D805A7"/>
    <w:rsid w:val="00D80C0E"/>
    <w:rsid w:val="00D81149"/>
    <w:rsid w:val="00D812FB"/>
    <w:rsid w:val="00D816AC"/>
    <w:rsid w:val="00D81B7D"/>
    <w:rsid w:val="00D820DF"/>
    <w:rsid w:val="00D825DC"/>
    <w:rsid w:val="00D82608"/>
    <w:rsid w:val="00D82820"/>
    <w:rsid w:val="00D8285C"/>
    <w:rsid w:val="00D82A0C"/>
    <w:rsid w:val="00D82CAF"/>
    <w:rsid w:val="00D82F60"/>
    <w:rsid w:val="00D82F85"/>
    <w:rsid w:val="00D8302C"/>
    <w:rsid w:val="00D8337B"/>
    <w:rsid w:val="00D8349A"/>
    <w:rsid w:val="00D83659"/>
    <w:rsid w:val="00D83894"/>
    <w:rsid w:val="00D83EE4"/>
    <w:rsid w:val="00D84ABE"/>
    <w:rsid w:val="00D84C29"/>
    <w:rsid w:val="00D85027"/>
    <w:rsid w:val="00D85D5A"/>
    <w:rsid w:val="00D86149"/>
    <w:rsid w:val="00D862F6"/>
    <w:rsid w:val="00D8651E"/>
    <w:rsid w:val="00D86924"/>
    <w:rsid w:val="00D869DD"/>
    <w:rsid w:val="00D86D33"/>
    <w:rsid w:val="00D86E50"/>
    <w:rsid w:val="00D8723C"/>
    <w:rsid w:val="00D87455"/>
    <w:rsid w:val="00D90219"/>
    <w:rsid w:val="00D90BB9"/>
    <w:rsid w:val="00D90C6D"/>
    <w:rsid w:val="00D92864"/>
    <w:rsid w:val="00D928E2"/>
    <w:rsid w:val="00D92DF3"/>
    <w:rsid w:val="00D9343E"/>
    <w:rsid w:val="00D936D7"/>
    <w:rsid w:val="00D939D1"/>
    <w:rsid w:val="00D939DB"/>
    <w:rsid w:val="00D93F0D"/>
    <w:rsid w:val="00D93FB3"/>
    <w:rsid w:val="00D9413F"/>
    <w:rsid w:val="00D948D7"/>
    <w:rsid w:val="00D94B4B"/>
    <w:rsid w:val="00D953A0"/>
    <w:rsid w:val="00D9599F"/>
    <w:rsid w:val="00D95F57"/>
    <w:rsid w:val="00D961D9"/>
    <w:rsid w:val="00D9630F"/>
    <w:rsid w:val="00D96CF8"/>
    <w:rsid w:val="00D96ED0"/>
    <w:rsid w:val="00D96FF1"/>
    <w:rsid w:val="00D97370"/>
    <w:rsid w:val="00D9738C"/>
    <w:rsid w:val="00DA046C"/>
    <w:rsid w:val="00DA0B17"/>
    <w:rsid w:val="00DA0CB6"/>
    <w:rsid w:val="00DA1257"/>
    <w:rsid w:val="00DA16F7"/>
    <w:rsid w:val="00DA1D08"/>
    <w:rsid w:val="00DA1DC8"/>
    <w:rsid w:val="00DA248B"/>
    <w:rsid w:val="00DA2754"/>
    <w:rsid w:val="00DA2BBD"/>
    <w:rsid w:val="00DA30F3"/>
    <w:rsid w:val="00DA3692"/>
    <w:rsid w:val="00DA3BB5"/>
    <w:rsid w:val="00DA3FC6"/>
    <w:rsid w:val="00DA4C7B"/>
    <w:rsid w:val="00DA4E24"/>
    <w:rsid w:val="00DA55E3"/>
    <w:rsid w:val="00DA6262"/>
    <w:rsid w:val="00DA645F"/>
    <w:rsid w:val="00DA6802"/>
    <w:rsid w:val="00DA6CA4"/>
    <w:rsid w:val="00DA7FEE"/>
    <w:rsid w:val="00DB01D9"/>
    <w:rsid w:val="00DB02FF"/>
    <w:rsid w:val="00DB0DCF"/>
    <w:rsid w:val="00DB0FFE"/>
    <w:rsid w:val="00DB1465"/>
    <w:rsid w:val="00DB16B1"/>
    <w:rsid w:val="00DB17DB"/>
    <w:rsid w:val="00DB1E01"/>
    <w:rsid w:val="00DB220D"/>
    <w:rsid w:val="00DB30A8"/>
    <w:rsid w:val="00DB332E"/>
    <w:rsid w:val="00DB33F9"/>
    <w:rsid w:val="00DB3E3C"/>
    <w:rsid w:val="00DB4225"/>
    <w:rsid w:val="00DB436E"/>
    <w:rsid w:val="00DB4E9C"/>
    <w:rsid w:val="00DB51DA"/>
    <w:rsid w:val="00DB5205"/>
    <w:rsid w:val="00DB5597"/>
    <w:rsid w:val="00DB5693"/>
    <w:rsid w:val="00DB5717"/>
    <w:rsid w:val="00DB5A7D"/>
    <w:rsid w:val="00DB5AE6"/>
    <w:rsid w:val="00DB5AFC"/>
    <w:rsid w:val="00DB5E79"/>
    <w:rsid w:val="00DB6409"/>
    <w:rsid w:val="00DB674A"/>
    <w:rsid w:val="00DB681D"/>
    <w:rsid w:val="00DB6B69"/>
    <w:rsid w:val="00DB706D"/>
    <w:rsid w:val="00DB709A"/>
    <w:rsid w:val="00DB7893"/>
    <w:rsid w:val="00DC00B5"/>
    <w:rsid w:val="00DC05C7"/>
    <w:rsid w:val="00DC090E"/>
    <w:rsid w:val="00DC0D44"/>
    <w:rsid w:val="00DC0DBF"/>
    <w:rsid w:val="00DC1448"/>
    <w:rsid w:val="00DC1FB7"/>
    <w:rsid w:val="00DC2367"/>
    <w:rsid w:val="00DC2B46"/>
    <w:rsid w:val="00DC2B78"/>
    <w:rsid w:val="00DC2C5F"/>
    <w:rsid w:val="00DC3377"/>
    <w:rsid w:val="00DC35B8"/>
    <w:rsid w:val="00DC3DDA"/>
    <w:rsid w:val="00DC4116"/>
    <w:rsid w:val="00DC4486"/>
    <w:rsid w:val="00DC4912"/>
    <w:rsid w:val="00DC4A12"/>
    <w:rsid w:val="00DC5341"/>
    <w:rsid w:val="00DC54A3"/>
    <w:rsid w:val="00DC5940"/>
    <w:rsid w:val="00DC5EB3"/>
    <w:rsid w:val="00DC6114"/>
    <w:rsid w:val="00DC6EF3"/>
    <w:rsid w:val="00DC6FE6"/>
    <w:rsid w:val="00DC7CA6"/>
    <w:rsid w:val="00DC7F90"/>
    <w:rsid w:val="00DD0678"/>
    <w:rsid w:val="00DD14FE"/>
    <w:rsid w:val="00DD15D2"/>
    <w:rsid w:val="00DD1DD5"/>
    <w:rsid w:val="00DD1F38"/>
    <w:rsid w:val="00DD20EF"/>
    <w:rsid w:val="00DD232B"/>
    <w:rsid w:val="00DD2776"/>
    <w:rsid w:val="00DD2EF6"/>
    <w:rsid w:val="00DD2F85"/>
    <w:rsid w:val="00DD344D"/>
    <w:rsid w:val="00DD39FD"/>
    <w:rsid w:val="00DD41CD"/>
    <w:rsid w:val="00DD429F"/>
    <w:rsid w:val="00DD461C"/>
    <w:rsid w:val="00DD4B85"/>
    <w:rsid w:val="00DD5402"/>
    <w:rsid w:val="00DD57A9"/>
    <w:rsid w:val="00DD586F"/>
    <w:rsid w:val="00DD5E0B"/>
    <w:rsid w:val="00DD6702"/>
    <w:rsid w:val="00DD6A73"/>
    <w:rsid w:val="00DD6CCC"/>
    <w:rsid w:val="00DD715C"/>
    <w:rsid w:val="00DD7469"/>
    <w:rsid w:val="00DD7539"/>
    <w:rsid w:val="00DD78EC"/>
    <w:rsid w:val="00DD7C09"/>
    <w:rsid w:val="00DD7F1E"/>
    <w:rsid w:val="00DE01B6"/>
    <w:rsid w:val="00DE07AD"/>
    <w:rsid w:val="00DE0D4B"/>
    <w:rsid w:val="00DE1B1C"/>
    <w:rsid w:val="00DE29C0"/>
    <w:rsid w:val="00DE2EA5"/>
    <w:rsid w:val="00DE311C"/>
    <w:rsid w:val="00DE343B"/>
    <w:rsid w:val="00DE3E10"/>
    <w:rsid w:val="00DE40AA"/>
    <w:rsid w:val="00DE415F"/>
    <w:rsid w:val="00DE490B"/>
    <w:rsid w:val="00DE5926"/>
    <w:rsid w:val="00DE5B36"/>
    <w:rsid w:val="00DE6935"/>
    <w:rsid w:val="00DE6A6D"/>
    <w:rsid w:val="00DE76CC"/>
    <w:rsid w:val="00DE777D"/>
    <w:rsid w:val="00DE7BE2"/>
    <w:rsid w:val="00DE7F13"/>
    <w:rsid w:val="00DE7F9A"/>
    <w:rsid w:val="00DF076D"/>
    <w:rsid w:val="00DF0928"/>
    <w:rsid w:val="00DF0C99"/>
    <w:rsid w:val="00DF102E"/>
    <w:rsid w:val="00DF1136"/>
    <w:rsid w:val="00DF12BD"/>
    <w:rsid w:val="00DF1588"/>
    <w:rsid w:val="00DF182D"/>
    <w:rsid w:val="00DF18EE"/>
    <w:rsid w:val="00DF1AF7"/>
    <w:rsid w:val="00DF1ED1"/>
    <w:rsid w:val="00DF1FCC"/>
    <w:rsid w:val="00DF2069"/>
    <w:rsid w:val="00DF258F"/>
    <w:rsid w:val="00DF25DF"/>
    <w:rsid w:val="00DF2794"/>
    <w:rsid w:val="00DF395C"/>
    <w:rsid w:val="00DF459B"/>
    <w:rsid w:val="00DF47DB"/>
    <w:rsid w:val="00DF4873"/>
    <w:rsid w:val="00DF4E31"/>
    <w:rsid w:val="00DF5675"/>
    <w:rsid w:val="00DF5BAA"/>
    <w:rsid w:val="00DF5EA3"/>
    <w:rsid w:val="00DF6FB9"/>
    <w:rsid w:val="00DF70E5"/>
    <w:rsid w:val="00DF75AB"/>
    <w:rsid w:val="00DF77BD"/>
    <w:rsid w:val="00DF7886"/>
    <w:rsid w:val="00DF7959"/>
    <w:rsid w:val="00DF7BB6"/>
    <w:rsid w:val="00DF7CEB"/>
    <w:rsid w:val="00E0001E"/>
    <w:rsid w:val="00E000B1"/>
    <w:rsid w:val="00E00C6E"/>
    <w:rsid w:val="00E00EC4"/>
    <w:rsid w:val="00E01429"/>
    <w:rsid w:val="00E018D0"/>
    <w:rsid w:val="00E01DF6"/>
    <w:rsid w:val="00E01F1E"/>
    <w:rsid w:val="00E02BEA"/>
    <w:rsid w:val="00E02F63"/>
    <w:rsid w:val="00E03C26"/>
    <w:rsid w:val="00E03D8C"/>
    <w:rsid w:val="00E04783"/>
    <w:rsid w:val="00E04CE7"/>
    <w:rsid w:val="00E052BE"/>
    <w:rsid w:val="00E0575F"/>
    <w:rsid w:val="00E05D98"/>
    <w:rsid w:val="00E0626C"/>
    <w:rsid w:val="00E06492"/>
    <w:rsid w:val="00E06764"/>
    <w:rsid w:val="00E06FF0"/>
    <w:rsid w:val="00E106B0"/>
    <w:rsid w:val="00E10ADD"/>
    <w:rsid w:val="00E10C3C"/>
    <w:rsid w:val="00E10C88"/>
    <w:rsid w:val="00E11883"/>
    <w:rsid w:val="00E11FFF"/>
    <w:rsid w:val="00E1201F"/>
    <w:rsid w:val="00E12079"/>
    <w:rsid w:val="00E12EE7"/>
    <w:rsid w:val="00E13285"/>
    <w:rsid w:val="00E1376B"/>
    <w:rsid w:val="00E138F3"/>
    <w:rsid w:val="00E13950"/>
    <w:rsid w:val="00E13978"/>
    <w:rsid w:val="00E1550C"/>
    <w:rsid w:val="00E15D1A"/>
    <w:rsid w:val="00E161F7"/>
    <w:rsid w:val="00E16315"/>
    <w:rsid w:val="00E16A1A"/>
    <w:rsid w:val="00E1744D"/>
    <w:rsid w:val="00E17712"/>
    <w:rsid w:val="00E206BE"/>
    <w:rsid w:val="00E20723"/>
    <w:rsid w:val="00E21174"/>
    <w:rsid w:val="00E21B8D"/>
    <w:rsid w:val="00E2277F"/>
    <w:rsid w:val="00E22825"/>
    <w:rsid w:val="00E229CC"/>
    <w:rsid w:val="00E23618"/>
    <w:rsid w:val="00E238F6"/>
    <w:rsid w:val="00E23AF9"/>
    <w:rsid w:val="00E23F3A"/>
    <w:rsid w:val="00E24E0E"/>
    <w:rsid w:val="00E24F15"/>
    <w:rsid w:val="00E252BE"/>
    <w:rsid w:val="00E256F0"/>
    <w:rsid w:val="00E258B1"/>
    <w:rsid w:val="00E25A2A"/>
    <w:rsid w:val="00E25AD8"/>
    <w:rsid w:val="00E2740F"/>
    <w:rsid w:val="00E27508"/>
    <w:rsid w:val="00E277DA"/>
    <w:rsid w:val="00E27A3E"/>
    <w:rsid w:val="00E27F1D"/>
    <w:rsid w:val="00E27F2D"/>
    <w:rsid w:val="00E30870"/>
    <w:rsid w:val="00E30F9B"/>
    <w:rsid w:val="00E31529"/>
    <w:rsid w:val="00E31813"/>
    <w:rsid w:val="00E3198C"/>
    <w:rsid w:val="00E31E0C"/>
    <w:rsid w:val="00E31E1A"/>
    <w:rsid w:val="00E31F6B"/>
    <w:rsid w:val="00E3240B"/>
    <w:rsid w:val="00E324EB"/>
    <w:rsid w:val="00E326C2"/>
    <w:rsid w:val="00E3287A"/>
    <w:rsid w:val="00E32D1D"/>
    <w:rsid w:val="00E33989"/>
    <w:rsid w:val="00E339AD"/>
    <w:rsid w:val="00E33B3E"/>
    <w:rsid w:val="00E33CD1"/>
    <w:rsid w:val="00E33D30"/>
    <w:rsid w:val="00E33F53"/>
    <w:rsid w:val="00E33F62"/>
    <w:rsid w:val="00E344C2"/>
    <w:rsid w:val="00E34999"/>
    <w:rsid w:val="00E349F9"/>
    <w:rsid w:val="00E34B22"/>
    <w:rsid w:val="00E34C22"/>
    <w:rsid w:val="00E34ED4"/>
    <w:rsid w:val="00E3541C"/>
    <w:rsid w:val="00E35ED3"/>
    <w:rsid w:val="00E36B06"/>
    <w:rsid w:val="00E375B4"/>
    <w:rsid w:val="00E37645"/>
    <w:rsid w:val="00E37C02"/>
    <w:rsid w:val="00E4066C"/>
    <w:rsid w:val="00E40782"/>
    <w:rsid w:val="00E40ADC"/>
    <w:rsid w:val="00E41517"/>
    <w:rsid w:val="00E4164F"/>
    <w:rsid w:val="00E41FA5"/>
    <w:rsid w:val="00E42048"/>
    <w:rsid w:val="00E42AEB"/>
    <w:rsid w:val="00E42EA0"/>
    <w:rsid w:val="00E43A3A"/>
    <w:rsid w:val="00E44586"/>
    <w:rsid w:val="00E44748"/>
    <w:rsid w:val="00E449A2"/>
    <w:rsid w:val="00E44A20"/>
    <w:rsid w:val="00E4511E"/>
    <w:rsid w:val="00E45663"/>
    <w:rsid w:val="00E45EF1"/>
    <w:rsid w:val="00E46001"/>
    <w:rsid w:val="00E46126"/>
    <w:rsid w:val="00E46A36"/>
    <w:rsid w:val="00E46EE7"/>
    <w:rsid w:val="00E47E77"/>
    <w:rsid w:val="00E501E7"/>
    <w:rsid w:val="00E5020D"/>
    <w:rsid w:val="00E50925"/>
    <w:rsid w:val="00E50EF3"/>
    <w:rsid w:val="00E51335"/>
    <w:rsid w:val="00E517EB"/>
    <w:rsid w:val="00E52BA6"/>
    <w:rsid w:val="00E53631"/>
    <w:rsid w:val="00E53C37"/>
    <w:rsid w:val="00E53E69"/>
    <w:rsid w:val="00E54078"/>
    <w:rsid w:val="00E54336"/>
    <w:rsid w:val="00E543BE"/>
    <w:rsid w:val="00E550B1"/>
    <w:rsid w:val="00E561BB"/>
    <w:rsid w:val="00E572CE"/>
    <w:rsid w:val="00E574F3"/>
    <w:rsid w:val="00E60140"/>
    <w:rsid w:val="00E604B2"/>
    <w:rsid w:val="00E60862"/>
    <w:rsid w:val="00E61846"/>
    <w:rsid w:val="00E61F51"/>
    <w:rsid w:val="00E62082"/>
    <w:rsid w:val="00E62084"/>
    <w:rsid w:val="00E6224F"/>
    <w:rsid w:val="00E626D1"/>
    <w:rsid w:val="00E62D84"/>
    <w:rsid w:val="00E63179"/>
    <w:rsid w:val="00E6330D"/>
    <w:rsid w:val="00E63F65"/>
    <w:rsid w:val="00E64098"/>
    <w:rsid w:val="00E64508"/>
    <w:rsid w:val="00E6474E"/>
    <w:rsid w:val="00E65107"/>
    <w:rsid w:val="00E6583C"/>
    <w:rsid w:val="00E659C8"/>
    <w:rsid w:val="00E65A50"/>
    <w:rsid w:val="00E665BE"/>
    <w:rsid w:val="00E66761"/>
    <w:rsid w:val="00E667E9"/>
    <w:rsid w:val="00E66C25"/>
    <w:rsid w:val="00E66D84"/>
    <w:rsid w:val="00E67638"/>
    <w:rsid w:val="00E67C35"/>
    <w:rsid w:val="00E67DF4"/>
    <w:rsid w:val="00E700F6"/>
    <w:rsid w:val="00E70137"/>
    <w:rsid w:val="00E70905"/>
    <w:rsid w:val="00E70E9E"/>
    <w:rsid w:val="00E70F0D"/>
    <w:rsid w:val="00E71119"/>
    <w:rsid w:val="00E728F0"/>
    <w:rsid w:val="00E72EE6"/>
    <w:rsid w:val="00E730AB"/>
    <w:rsid w:val="00E730D7"/>
    <w:rsid w:val="00E73151"/>
    <w:rsid w:val="00E731A4"/>
    <w:rsid w:val="00E7394E"/>
    <w:rsid w:val="00E74757"/>
    <w:rsid w:val="00E74D89"/>
    <w:rsid w:val="00E74EBC"/>
    <w:rsid w:val="00E751D1"/>
    <w:rsid w:val="00E7593E"/>
    <w:rsid w:val="00E75A31"/>
    <w:rsid w:val="00E75BE6"/>
    <w:rsid w:val="00E7600B"/>
    <w:rsid w:val="00E76190"/>
    <w:rsid w:val="00E762D2"/>
    <w:rsid w:val="00E76B85"/>
    <w:rsid w:val="00E76C2D"/>
    <w:rsid w:val="00E76F8D"/>
    <w:rsid w:val="00E80014"/>
    <w:rsid w:val="00E8007C"/>
    <w:rsid w:val="00E803B7"/>
    <w:rsid w:val="00E805E3"/>
    <w:rsid w:val="00E807C9"/>
    <w:rsid w:val="00E810C1"/>
    <w:rsid w:val="00E81491"/>
    <w:rsid w:val="00E817DF"/>
    <w:rsid w:val="00E82150"/>
    <w:rsid w:val="00E8230D"/>
    <w:rsid w:val="00E8299C"/>
    <w:rsid w:val="00E82BC0"/>
    <w:rsid w:val="00E8344E"/>
    <w:rsid w:val="00E83645"/>
    <w:rsid w:val="00E83877"/>
    <w:rsid w:val="00E84203"/>
    <w:rsid w:val="00E84276"/>
    <w:rsid w:val="00E842FD"/>
    <w:rsid w:val="00E84ABC"/>
    <w:rsid w:val="00E84AD0"/>
    <w:rsid w:val="00E8500A"/>
    <w:rsid w:val="00E853C7"/>
    <w:rsid w:val="00E8573C"/>
    <w:rsid w:val="00E85817"/>
    <w:rsid w:val="00E85AF4"/>
    <w:rsid w:val="00E860B7"/>
    <w:rsid w:val="00E86157"/>
    <w:rsid w:val="00E864BF"/>
    <w:rsid w:val="00E86600"/>
    <w:rsid w:val="00E86CEA"/>
    <w:rsid w:val="00E86CF9"/>
    <w:rsid w:val="00E86EE6"/>
    <w:rsid w:val="00E87015"/>
    <w:rsid w:val="00E8791E"/>
    <w:rsid w:val="00E87F32"/>
    <w:rsid w:val="00E907A3"/>
    <w:rsid w:val="00E9082B"/>
    <w:rsid w:val="00E90D87"/>
    <w:rsid w:val="00E925D9"/>
    <w:rsid w:val="00E92C1D"/>
    <w:rsid w:val="00E92F60"/>
    <w:rsid w:val="00E93233"/>
    <w:rsid w:val="00E935BA"/>
    <w:rsid w:val="00E93A7C"/>
    <w:rsid w:val="00E93D1F"/>
    <w:rsid w:val="00E93E57"/>
    <w:rsid w:val="00E946A9"/>
    <w:rsid w:val="00E94C99"/>
    <w:rsid w:val="00E94CAC"/>
    <w:rsid w:val="00E9501E"/>
    <w:rsid w:val="00E951C2"/>
    <w:rsid w:val="00E958F0"/>
    <w:rsid w:val="00E95B80"/>
    <w:rsid w:val="00E96448"/>
    <w:rsid w:val="00E96596"/>
    <w:rsid w:val="00E969BD"/>
    <w:rsid w:val="00E96A72"/>
    <w:rsid w:val="00E96AD3"/>
    <w:rsid w:val="00E97266"/>
    <w:rsid w:val="00E978D6"/>
    <w:rsid w:val="00E978F0"/>
    <w:rsid w:val="00EA0184"/>
    <w:rsid w:val="00EA0391"/>
    <w:rsid w:val="00EA0518"/>
    <w:rsid w:val="00EA0664"/>
    <w:rsid w:val="00EA0FFA"/>
    <w:rsid w:val="00EA1459"/>
    <w:rsid w:val="00EA1966"/>
    <w:rsid w:val="00EA2197"/>
    <w:rsid w:val="00EA2340"/>
    <w:rsid w:val="00EA26C8"/>
    <w:rsid w:val="00EA2724"/>
    <w:rsid w:val="00EA2E69"/>
    <w:rsid w:val="00EA301F"/>
    <w:rsid w:val="00EA3900"/>
    <w:rsid w:val="00EA42E3"/>
    <w:rsid w:val="00EA44B5"/>
    <w:rsid w:val="00EA4B65"/>
    <w:rsid w:val="00EA53DD"/>
    <w:rsid w:val="00EA56A1"/>
    <w:rsid w:val="00EA5E85"/>
    <w:rsid w:val="00EA5EDB"/>
    <w:rsid w:val="00EA6F74"/>
    <w:rsid w:val="00EA6FB2"/>
    <w:rsid w:val="00EA7404"/>
    <w:rsid w:val="00EA7739"/>
    <w:rsid w:val="00EA7FBA"/>
    <w:rsid w:val="00EB0068"/>
    <w:rsid w:val="00EB05A6"/>
    <w:rsid w:val="00EB0ADE"/>
    <w:rsid w:val="00EB106D"/>
    <w:rsid w:val="00EB1B57"/>
    <w:rsid w:val="00EB1FA1"/>
    <w:rsid w:val="00EB2141"/>
    <w:rsid w:val="00EB2A26"/>
    <w:rsid w:val="00EB2DBC"/>
    <w:rsid w:val="00EB39EC"/>
    <w:rsid w:val="00EB3A3D"/>
    <w:rsid w:val="00EB3B99"/>
    <w:rsid w:val="00EB3C38"/>
    <w:rsid w:val="00EB3CD5"/>
    <w:rsid w:val="00EB3E66"/>
    <w:rsid w:val="00EB4209"/>
    <w:rsid w:val="00EB47DE"/>
    <w:rsid w:val="00EB4F07"/>
    <w:rsid w:val="00EB4F13"/>
    <w:rsid w:val="00EB554C"/>
    <w:rsid w:val="00EB55C6"/>
    <w:rsid w:val="00EB5939"/>
    <w:rsid w:val="00EB5CB3"/>
    <w:rsid w:val="00EB603D"/>
    <w:rsid w:val="00EB62E8"/>
    <w:rsid w:val="00EB6517"/>
    <w:rsid w:val="00EB67A5"/>
    <w:rsid w:val="00EB6DED"/>
    <w:rsid w:val="00EB6EF7"/>
    <w:rsid w:val="00EB7053"/>
    <w:rsid w:val="00EB7175"/>
    <w:rsid w:val="00EB747A"/>
    <w:rsid w:val="00EB78C9"/>
    <w:rsid w:val="00EB79C2"/>
    <w:rsid w:val="00EC011E"/>
    <w:rsid w:val="00EC142E"/>
    <w:rsid w:val="00EC192B"/>
    <w:rsid w:val="00EC1A9E"/>
    <w:rsid w:val="00EC208C"/>
    <w:rsid w:val="00EC2256"/>
    <w:rsid w:val="00EC2AB2"/>
    <w:rsid w:val="00EC2E58"/>
    <w:rsid w:val="00EC2FF1"/>
    <w:rsid w:val="00EC32C7"/>
    <w:rsid w:val="00EC3415"/>
    <w:rsid w:val="00EC3666"/>
    <w:rsid w:val="00EC3A70"/>
    <w:rsid w:val="00EC3B9F"/>
    <w:rsid w:val="00EC3DA5"/>
    <w:rsid w:val="00EC4BC7"/>
    <w:rsid w:val="00EC4DC0"/>
    <w:rsid w:val="00EC5BD0"/>
    <w:rsid w:val="00EC5D9D"/>
    <w:rsid w:val="00EC5EBF"/>
    <w:rsid w:val="00EC60C9"/>
    <w:rsid w:val="00EC6540"/>
    <w:rsid w:val="00EC73C9"/>
    <w:rsid w:val="00EC7621"/>
    <w:rsid w:val="00EC77C7"/>
    <w:rsid w:val="00EC7A79"/>
    <w:rsid w:val="00EC7EB2"/>
    <w:rsid w:val="00ED00A0"/>
    <w:rsid w:val="00ED04DC"/>
    <w:rsid w:val="00ED12BC"/>
    <w:rsid w:val="00ED1FBC"/>
    <w:rsid w:val="00ED204D"/>
    <w:rsid w:val="00ED223C"/>
    <w:rsid w:val="00ED2989"/>
    <w:rsid w:val="00ED2F30"/>
    <w:rsid w:val="00ED34C3"/>
    <w:rsid w:val="00ED3853"/>
    <w:rsid w:val="00ED3C64"/>
    <w:rsid w:val="00ED55F9"/>
    <w:rsid w:val="00ED5E05"/>
    <w:rsid w:val="00ED67E4"/>
    <w:rsid w:val="00ED685E"/>
    <w:rsid w:val="00ED691E"/>
    <w:rsid w:val="00ED7521"/>
    <w:rsid w:val="00ED78D5"/>
    <w:rsid w:val="00ED7FD1"/>
    <w:rsid w:val="00EE001E"/>
    <w:rsid w:val="00EE037F"/>
    <w:rsid w:val="00EE070C"/>
    <w:rsid w:val="00EE0CF9"/>
    <w:rsid w:val="00EE1594"/>
    <w:rsid w:val="00EE1E7F"/>
    <w:rsid w:val="00EE1F57"/>
    <w:rsid w:val="00EE2148"/>
    <w:rsid w:val="00EE232B"/>
    <w:rsid w:val="00EE26B2"/>
    <w:rsid w:val="00EE2AC3"/>
    <w:rsid w:val="00EE30FA"/>
    <w:rsid w:val="00EE355C"/>
    <w:rsid w:val="00EE3C29"/>
    <w:rsid w:val="00EE421C"/>
    <w:rsid w:val="00EE437C"/>
    <w:rsid w:val="00EE4BE9"/>
    <w:rsid w:val="00EE4DF0"/>
    <w:rsid w:val="00EE52A7"/>
    <w:rsid w:val="00EE55ED"/>
    <w:rsid w:val="00EE56EC"/>
    <w:rsid w:val="00EE5C1C"/>
    <w:rsid w:val="00EE63DB"/>
    <w:rsid w:val="00EE66D6"/>
    <w:rsid w:val="00EE6891"/>
    <w:rsid w:val="00EE705B"/>
    <w:rsid w:val="00EE72D0"/>
    <w:rsid w:val="00EF03B4"/>
    <w:rsid w:val="00EF07FA"/>
    <w:rsid w:val="00EF089D"/>
    <w:rsid w:val="00EF0CB6"/>
    <w:rsid w:val="00EF11B6"/>
    <w:rsid w:val="00EF1472"/>
    <w:rsid w:val="00EF1584"/>
    <w:rsid w:val="00EF1688"/>
    <w:rsid w:val="00EF1A52"/>
    <w:rsid w:val="00EF1D64"/>
    <w:rsid w:val="00EF1E0F"/>
    <w:rsid w:val="00EF1FB7"/>
    <w:rsid w:val="00EF2556"/>
    <w:rsid w:val="00EF26D8"/>
    <w:rsid w:val="00EF2C30"/>
    <w:rsid w:val="00EF2D6E"/>
    <w:rsid w:val="00EF368F"/>
    <w:rsid w:val="00EF371F"/>
    <w:rsid w:val="00EF3B44"/>
    <w:rsid w:val="00EF3C90"/>
    <w:rsid w:val="00EF3C9E"/>
    <w:rsid w:val="00EF47E3"/>
    <w:rsid w:val="00EF502B"/>
    <w:rsid w:val="00EF5291"/>
    <w:rsid w:val="00EF539B"/>
    <w:rsid w:val="00EF5CE8"/>
    <w:rsid w:val="00EF5E3C"/>
    <w:rsid w:val="00EF6263"/>
    <w:rsid w:val="00EF6395"/>
    <w:rsid w:val="00EF6595"/>
    <w:rsid w:val="00EF6825"/>
    <w:rsid w:val="00EF6929"/>
    <w:rsid w:val="00EF6EBE"/>
    <w:rsid w:val="00EF6F15"/>
    <w:rsid w:val="00EF7670"/>
    <w:rsid w:val="00F00345"/>
    <w:rsid w:val="00F00CF7"/>
    <w:rsid w:val="00F01277"/>
    <w:rsid w:val="00F01853"/>
    <w:rsid w:val="00F02D2D"/>
    <w:rsid w:val="00F0314E"/>
    <w:rsid w:val="00F032F6"/>
    <w:rsid w:val="00F03410"/>
    <w:rsid w:val="00F03925"/>
    <w:rsid w:val="00F047D7"/>
    <w:rsid w:val="00F049B9"/>
    <w:rsid w:val="00F052D6"/>
    <w:rsid w:val="00F0533E"/>
    <w:rsid w:val="00F05A78"/>
    <w:rsid w:val="00F05C1E"/>
    <w:rsid w:val="00F05D91"/>
    <w:rsid w:val="00F06E09"/>
    <w:rsid w:val="00F06E47"/>
    <w:rsid w:val="00F073BE"/>
    <w:rsid w:val="00F07541"/>
    <w:rsid w:val="00F075AC"/>
    <w:rsid w:val="00F07EEB"/>
    <w:rsid w:val="00F07EFF"/>
    <w:rsid w:val="00F101D6"/>
    <w:rsid w:val="00F102E1"/>
    <w:rsid w:val="00F103D4"/>
    <w:rsid w:val="00F106F6"/>
    <w:rsid w:val="00F10C2B"/>
    <w:rsid w:val="00F10CCB"/>
    <w:rsid w:val="00F1116C"/>
    <w:rsid w:val="00F114DE"/>
    <w:rsid w:val="00F11A6F"/>
    <w:rsid w:val="00F120EF"/>
    <w:rsid w:val="00F12153"/>
    <w:rsid w:val="00F121F5"/>
    <w:rsid w:val="00F128BE"/>
    <w:rsid w:val="00F12C6F"/>
    <w:rsid w:val="00F12CC7"/>
    <w:rsid w:val="00F12EF9"/>
    <w:rsid w:val="00F1378A"/>
    <w:rsid w:val="00F1383A"/>
    <w:rsid w:val="00F14009"/>
    <w:rsid w:val="00F14175"/>
    <w:rsid w:val="00F14439"/>
    <w:rsid w:val="00F14456"/>
    <w:rsid w:val="00F1459D"/>
    <w:rsid w:val="00F146E9"/>
    <w:rsid w:val="00F14B3A"/>
    <w:rsid w:val="00F14EC9"/>
    <w:rsid w:val="00F156C1"/>
    <w:rsid w:val="00F16967"/>
    <w:rsid w:val="00F17124"/>
    <w:rsid w:val="00F2090F"/>
    <w:rsid w:val="00F211E1"/>
    <w:rsid w:val="00F21243"/>
    <w:rsid w:val="00F21358"/>
    <w:rsid w:val="00F21830"/>
    <w:rsid w:val="00F21DB3"/>
    <w:rsid w:val="00F22859"/>
    <w:rsid w:val="00F231EF"/>
    <w:rsid w:val="00F231F9"/>
    <w:rsid w:val="00F2341C"/>
    <w:rsid w:val="00F23588"/>
    <w:rsid w:val="00F23C3B"/>
    <w:rsid w:val="00F23DB3"/>
    <w:rsid w:val="00F243A2"/>
    <w:rsid w:val="00F24889"/>
    <w:rsid w:val="00F2519A"/>
    <w:rsid w:val="00F25A11"/>
    <w:rsid w:val="00F25A4E"/>
    <w:rsid w:val="00F26150"/>
    <w:rsid w:val="00F261AB"/>
    <w:rsid w:val="00F26422"/>
    <w:rsid w:val="00F26923"/>
    <w:rsid w:val="00F27108"/>
    <w:rsid w:val="00F27C1F"/>
    <w:rsid w:val="00F30246"/>
    <w:rsid w:val="00F30C37"/>
    <w:rsid w:val="00F31045"/>
    <w:rsid w:val="00F31073"/>
    <w:rsid w:val="00F31E5C"/>
    <w:rsid w:val="00F31F26"/>
    <w:rsid w:val="00F3229A"/>
    <w:rsid w:val="00F32A15"/>
    <w:rsid w:val="00F34059"/>
    <w:rsid w:val="00F3464C"/>
    <w:rsid w:val="00F3471C"/>
    <w:rsid w:val="00F34DCC"/>
    <w:rsid w:val="00F35254"/>
    <w:rsid w:val="00F35B5A"/>
    <w:rsid w:val="00F35B99"/>
    <w:rsid w:val="00F35CD3"/>
    <w:rsid w:val="00F36390"/>
    <w:rsid w:val="00F364C9"/>
    <w:rsid w:val="00F36940"/>
    <w:rsid w:val="00F36976"/>
    <w:rsid w:val="00F369BD"/>
    <w:rsid w:val="00F36FC3"/>
    <w:rsid w:val="00F371E8"/>
    <w:rsid w:val="00F377E4"/>
    <w:rsid w:val="00F37B30"/>
    <w:rsid w:val="00F4074F"/>
    <w:rsid w:val="00F407B6"/>
    <w:rsid w:val="00F408E2"/>
    <w:rsid w:val="00F40ABD"/>
    <w:rsid w:val="00F40F31"/>
    <w:rsid w:val="00F4124A"/>
    <w:rsid w:val="00F416A4"/>
    <w:rsid w:val="00F41799"/>
    <w:rsid w:val="00F41B55"/>
    <w:rsid w:val="00F4221A"/>
    <w:rsid w:val="00F423E7"/>
    <w:rsid w:val="00F42882"/>
    <w:rsid w:val="00F42DE8"/>
    <w:rsid w:val="00F43098"/>
    <w:rsid w:val="00F435CB"/>
    <w:rsid w:val="00F439F4"/>
    <w:rsid w:val="00F43A6F"/>
    <w:rsid w:val="00F44100"/>
    <w:rsid w:val="00F443A6"/>
    <w:rsid w:val="00F4459B"/>
    <w:rsid w:val="00F44B75"/>
    <w:rsid w:val="00F45A56"/>
    <w:rsid w:val="00F45C6B"/>
    <w:rsid w:val="00F45D3D"/>
    <w:rsid w:val="00F46245"/>
    <w:rsid w:val="00F469C8"/>
    <w:rsid w:val="00F46A8D"/>
    <w:rsid w:val="00F47A16"/>
    <w:rsid w:val="00F47D41"/>
    <w:rsid w:val="00F51346"/>
    <w:rsid w:val="00F52089"/>
    <w:rsid w:val="00F523D8"/>
    <w:rsid w:val="00F52AFF"/>
    <w:rsid w:val="00F52BA7"/>
    <w:rsid w:val="00F53409"/>
    <w:rsid w:val="00F5358E"/>
    <w:rsid w:val="00F53967"/>
    <w:rsid w:val="00F53ABF"/>
    <w:rsid w:val="00F53BF9"/>
    <w:rsid w:val="00F54FBF"/>
    <w:rsid w:val="00F5523D"/>
    <w:rsid w:val="00F55245"/>
    <w:rsid w:val="00F566E1"/>
    <w:rsid w:val="00F56B35"/>
    <w:rsid w:val="00F56CDA"/>
    <w:rsid w:val="00F57190"/>
    <w:rsid w:val="00F5722E"/>
    <w:rsid w:val="00F57276"/>
    <w:rsid w:val="00F57A9F"/>
    <w:rsid w:val="00F57C50"/>
    <w:rsid w:val="00F57DC8"/>
    <w:rsid w:val="00F604F3"/>
    <w:rsid w:val="00F6050F"/>
    <w:rsid w:val="00F60523"/>
    <w:rsid w:val="00F606F8"/>
    <w:rsid w:val="00F60E37"/>
    <w:rsid w:val="00F60F33"/>
    <w:rsid w:val="00F612DB"/>
    <w:rsid w:val="00F61778"/>
    <w:rsid w:val="00F61ABA"/>
    <w:rsid w:val="00F61BBA"/>
    <w:rsid w:val="00F61CE8"/>
    <w:rsid w:val="00F61F09"/>
    <w:rsid w:val="00F62CF9"/>
    <w:rsid w:val="00F62F43"/>
    <w:rsid w:val="00F6375C"/>
    <w:rsid w:val="00F63C10"/>
    <w:rsid w:val="00F64726"/>
    <w:rsid w:val="00F65927"/>
    <w:rsid w:val="00F65A0B"/>
    <w:rsid w:val="00F65C05"/>
    <w:rsid w:val="00F65C21"/>
    <w:rsid w:val="00F66073"/>
    <w:rsid w:val="00F66512"/>
    <w:rsid w:val="00F6681D"/>
    <w:rsid w:val="00F66BB5"/>
    <w:rsid w:val="00F66C8C"/>
    <w:rsid w:val="00F66EE8"/>
    <w:rsid w:val="00F670CB"/>
    <w:rsid w:val="00F67769"/>
    <w:rsid w:val="00F67A1B"/>
    <w:rsid w:val="00F67E0C"/>
    <w:rsid w:val="00F703B4"/>
    <w:rsid w:val="00F704B5"/>
    <w:rsid w:val="00F70769"/>
    <w:rsid w:val="00F71169"/>
    <w:rsid w:val="00F713FB"/>
    <w:rsid w:val="00F72061"/>
    <w:rsid w:val="00F72AFF"/>
    <w:rsid w:val="00F72D07"/>
    <w:rsid w:val="00F72EB6"/>
    <w:rsid w:val="00F73295"/>
    <w:rsid w:val="00F737BE"/>
    <w:rsid w:val="00F73C19"/>
    <w:rsid w:val="00F744C0"/>
    <w:rsid w:val="00F7463A"/>
    <w:rsid w:val="00F74ED5"/>
    <w:rsid w:val="00F7514E"/>
    <w:rsid w:val="00F75329"/>
    <w:rsid w:val="00F75588"/>
    <w:rsid w:val="00F755ED"/>
    <w:rsid w:val="00F756A1"/>
    <w:rsid w:val="00F75811"/>
    <w:rsid w:val="00F75B88"/>
    <w:rsid w:val="00F76DC8"/>
    <w:rsid w:val="00F7733A"/>
    <w:rsid w:val="00F7778F"/>
    <w:rsid w:val="00F8000A"/>
    <w:rsid w:val="00F802AD"/>
    <w:rsid w:val="00F80778"/>
    <w:rsid w:val="00F807CE"/>
    <w:rsid w:val="00F809DE"/>
    <w:rsid w:val="00F80D3B"/>
    <w:rsid w:val="00F80F92"/>
    <w:rsid w:val="00F81A3D"/>
    <w:rsid w:val="00F81D49"/>
    <w:rsid w:val="00F81E74"/>
    <w:rsid w:val="00F82293"/>
    <w:rsid w:val="00F82A54"/>
    <w:rsid w:val="00F82AC3"/>
    <w:rsid w:val="00F82C63"/>
    <w:rsid w:val="00F83404"/>
    <w:rsid w:val="00F83C8B"/>
    <w:rsid w:val="00F84157"/>
    <w:rsid w:val="00F8523F"/>
    <w:rsid w:val="00F85A94"/>
    <w:rsid w:val="00F85D26"/>
    <w:rsid w:val="00F8659A"/>
    <w:rsid w:val="00F86FE0"/>
    <w:rsid w:val="00F87007"/>
    <w:rsid w:val="00F871DB"/>
    <w:rsid w:val="00F87321"/>
    <w:rsid w:val="00F8740E"/>
    <w:rsid w:val="00F8750E"/>
    <w:rsid w:val="00F879FA"/>
    <w:rsid w:val="00F87C58"/>
    <w:rsid w:val="00F90208"/>
    <w:rsid w:val="00F905E1"/>
    <w:rsid w:val="00F90761"/>
    <w:rsid w:val="00F90DBF"/>
    <w:rsid w:val="00F91432"/>
    <w:rsid w:val="00F91771"/>
    <w:rsid w:val="00F920B8"/>
    <w:rsid w:val="00F92462"/>
    <w:rsid w:val="00F92C77"/>
    <w:rsid w:val="00F93C51"/>
    <w:rsid w:val="00F93E6A"/>
    <w:rsid w:val="00F94505"/>
    <w:rsid w:val="00F9502C"/>
    <w:rsid w:val="00F95982"/>
    <w:rsid w:val="00F95AA5"/>
    <w:rsid w:val="00F95C3F"/>
    <w:rsid w:val="00F95D85"/>
    <w:rsid w:val="00F9600A"/>
    <w:rsid w:val="00F96101"/>
    <w:rsid w:val="00F961AE"/>
    <w:rsid w:val="00F96635"/>
    <w:rsid w:val="00F966B6"/>
    <w:rsid w:val="00F96B01"/>
    <w:rsid w:val="00F9744D"/>
    <w:rsid w:val="00F977D2"/>
    <w:rsid w:val="00FA06F5"/>
    <w:rsid w:val="00FA07EC"/>
    <w:rsid w:val="00FA1045"/>
    <w:rsid w:val="00FA1470"/>
    <w:rsid w:val="00FA1980"/>
    <w:rsid w:val="00FA1A03"/>
    <w:rsid w:val="00FA1B0D"/>
    <w:rsid w:val="00FA1B76"/>
    <w:rsid w:val="00FA1C10"/>
    <w:rsid w:val="00FA22A8"/>
    <w:rsid w:val="00FA2458"/>
    <w:rsid w:val="00FA273F"/>
    <w:rsid w:val="00FA277F"/>
    <w:rsid w:val="00FA2AF3"/>
    <w:rsid w:val="00FA2B3B"/>
    <w:rsid w:val="00FA2CE4"/>
    <w:rsid w:val="00FA30AF"/>
    <w:rsid w:val="00FA3AA6"/>
    <w:rsid w:val="00FA4520"/>
    <w:rsid w:val="00FA466C"/>
    <w:rsid w:val="00FA4F30"/>
    <w:rsid w:val="00FA4FF6"/>
    <w:rsid w:val="00FA530F"/>
    <w:rsid w:val="00FA5D4F"/>
    <w:rsid w:val="00FA649D"/>
    <w:rsid w:val="00FA6AF2"/>
    <w:rsid w:val="00FA6BC2"/>
    <w:rsid w:val="00FA6C01"/>
    <w:rsid w:val="00FA6C9B"/>
    <w:rsid w:val="00FA7025"/>
    <w:rsid w:val="00FA72E8"/>
    <w:rsid w:val="00FA753E"/>
    <w:rsid w:val="00FB05BB"/>
    <w:rsid w:val="00FB0BC0"/>
    <w:rsid w:val="00FB0C66"/>
    <w:rsid w:val="00FB0E77"/>
    <w:rsid w:val="00FB1673"/>
    <w:rsid w:val="00FB1E46"/>
    <w:rsid w:val="00FB2241"/>
    <w:rsid w:val="00FB2CDD"/>
    <w:rsid w:val="00FB2DD6"/>
    <w:rsid w:val="00FB3B14"/>
    <w:rsid w:val="00FB3BEC"/>
    <w:rsid w:val="00FB3EC5"/>
    <w:rsid w:val="00FB4190"/>
    <w:rsid w:val="00FB41A1"/>
    <w:rsid w:val="00FB4304"/>
    <w:rsid w:val="00FB4A7E"/>
    <w:rsid w:val="00FB51D3"/>
    <w:rsid w:val="00FB5393"/>
    <w:rsid w:val="00FB5A62"/>
    <w:rsid w:val="00FB5D55"/>
    <w:rsid w:val="00FB6A69"/>
    <w:rsid w:val="00FB6FD5"/>
    <w:rsid w:val="00FB7739"/>
    <w:rsid w:val="00FB7EE1"/>
    <w:rsid w:val="00FC0B07"/>
    <w:rsid w:val="00FC0CD9"/>
    <w:rsid w:val="00FC10D1"/>
    <w:rsid w:val="00FC1FF9"/>
    <w:rsid w:val="00FC2424"/>
    <w:rsid w:val="00FC2B5B"/>
    <w:rsid w:val="00FC2B62"/>
    <w:rsid w:val="00FC2F92"/>
    <w:rsid w:val="00FC32AB"/>
    <w:rsid w:val="00FC34E5"/>
    <w:rsid w:val="00FC3FC7"/>
    <w:rsid w:val="00FC4351"/>
    <w:rsid w:val="00FC438B"/>
    <w:rsid w:val="00FC453D"/>
    <w:rsid w:val="00FC46C9"/>
    <w:rsid w:val="00FC4D35"/>
    <w:rsid w:val="00FC5211"/>
    <w:rsid w:val="00FC54DC"/>
    <w:rsid w:val="00FC6144"/>
    <w:rsid w:val="00FC6211"/>
    <w:rsid w:val="00FC66FF"/>
    <w:rsid w:val="00FC6A52"/>
    <w:rsid w:val="00FC6C6F"/>
    <w:rsid w:val="00FC6FD8"/>
    <w:rsid w:val="00FC741D"/>
    <w:rsid w:val="00FC7841"/>
    <w:rsid w:val="00FC7875"/>
    <w:rsid w:val="00FC7F83"/>
    <w:rsid w:val="00FD1280"/>
    <w:rsid w:val="00FD1899"/>
    <w:rsid w:val="00FD2658"/>
    <w:rsid w:val="00FD2D82"/>
    <w:rsid w:val="00FD3031"/>
    <w:rsid w:val="00FD3375"/>
    <w:rsid w:val="00FD361B"/>
    <w:rsid w:val="00FD36E3"/>
    <w:rsid w:val="00FD4812"/>
    <w:rsid w:val="00FD530D"/>
    <w:rsid w:val="00FD5327"/>
    <w:rsid w:val="00FD5500"/>
    <w:rsid w:val="00FD5F47"/>
    <w:rsid w:val="00FD6467"/>
    <w:rsid w:val="00FD76B0"/>
    <w:rsid w:val="00FD7AEB"/>
    <w:rsid w:val="00FD7BDB"/>
    <w:rsid w:val="00FD7DEF"/>
    <w:rsid w:val="00FD7DFA"/>
    <w:rsid w:val="00FD7EF1"/>
    <w:rsid w:val="00FD7F9B"/>
    <w:rsid w:val="00FE0317"/>
    <w:rsid w:val="00FE11AA"/>
    <w:rsid w:val="00FE12BD"/>
    <w:rsid w:val="00FE192C"/>
    <w:rsid w:val="00FE1CA7"/>
    <w:rsid w:val="00FE1D86"/>
    <w:rsid w:val="00FE1F45"/>
    <w:rsid w:val="00FE1F64"/>
    <w:rsid w:val="00FE2372"/>
    <w:rsid w:val="00FE2B4C"/>
    <w:rsid w:val="00FE3553"/>
    <w:rsid w:val="00FE4356"/>
    <w:rsid w:val="00FE4757"/>
    <w:rsid w:val="00FE4C70"/>
    <w:rsid w:val="00FE5669"/>
    <w:rsid w:val="00FE5D3C"/>
    <w:rsid w:val="00FE5D61"/>
    <w:rsid w:val="00FE5F1D"/>
    <w:rsid w:val="00FE5FC8"/>
    <w:rsid w:val="00FE725C"/>
    <w:rsid w:val="00FE76AB"/>
    <w:rsid w:val="00FE7821"/>
    <w:rsid w:val="00FE7C86"/>
    <w:rsid w:val="00FF04EE"/>
    <w:rsid w:val="00FF0A80"/>
    <w:rsid w:val="00FF0B12"/>
    <w:rsid w:val="00FF0D40"/>
    <w:rsid w:val="00FF0E05"/>
    <w:rsid w:val="00FF0EE6"/>
    <w:rsid w:val="00FF20A5"/>
    <w:rsid w:val="00FF21D7"/>
    <w:rsid w:val="00FF26B0"/>
    <w:rsid w:val="00FF2720"/>
    <w:rsid w:val="00FF2BBB"/>
    <w:rsid w:val="00FF2CB1"/>
    <w:rsid w:val="00FF2CBC"/>
    <w:rsid w:val="00FF3811"/>
    <w:rsid w:val="00FF38C4"/>
    <w:rsid w:val="00FF4168"/>
    <w:rsid w:val="00FF4A88"/>
    <w:rsid w:val="00FF54DB"/>
    <w:rsid w:val="00FF5525"/>
    <w:rsid w:val="00FF57DF"/>
    <w:rsid w:val="00FF57FB"/>
    <w:rsid w:val="00FF5ADE"/>
    <w:rsid w:val="00FF6233"/>
    <w:rsid w:val="00FF6527"/>
    <w:rsid w:val="00FF654F"/>
    <w:rsid w:val="00FF67B9"/>
    <w:rsid w:val="00FF68DF"/>
    <w:rsid w:val="00FF6919"/>
    <w:rsid w:val="00FF6C53"/>
    <w:rsid w:val="00FF723B"/>
    <w:rsid w:val="00FF72A1"/>
    <w:rsid w:val="00FF7545"/>
    <w:rsid w:val="00FF7903"/>
    <w:rsid w:val="00FF7D42"/>
    <w:rsid w:val="00FF7D79"/>
    <w:rsid w:val="702136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773FA022"/>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Char">
    <w:name w:val="页眉 Char"/>
    <w:link w:val="a3"/>
    <w:rPr>
      <w:rFonts w:ascii="Times New Roman" w:eastAsia="宋体" w:hAnsi="Times New Roman" w:cs="Times New Roman"/>
      <w:sz w:val="18"/>
      <w:szCs w:val="18"/>
    </w:rPr>
  </w:style>
  <w:style w:type="paragraph" w:styleId="a3">
    <w:name w:val="header"/>
    <w:basedOn w:val="a"/>
    <w:link w:val="Char"/>
    <w:pPr>
      <w:pBdr>
        <w:bottom w:val="single" w:sz="6" w:space="1" w:color="auto"/>
      </w:pBdr>
      <w:tabs>
        <w:tab w:val="center" w:pos="4153"/>
        <w:tab w:val="right" w:pos="8306"/>
      </w:tabs>
      <w:snapToGrid w:val="0"/>
      <w:jc w:val="center"/>
    </w:pPr>
    <w:rPr>
      <w:rFonts w:ascii="Times New Roman" w:hAnsi="Times New Roman"/>
      <w:sz w:val="18"/>
      <w:szCs w:val="18"/>
    </w:rPr>
  </w:style>
  <w:style w:type="character" w:customStyle="1" w:styleId="Char0">
    <w:name w:val="页脚 Char"/>
    <w:link w:val="a4"/>
    <w:uiPriority w:val="99"/>
    <w:rPr>
      <w:rFonts w:ascii="Times New Roman" w:eastAsia="宋体" w:hAnsi="Times New Roman" w:cs="Times New Roman"/>
      <w:sz w:val="18"/>
      <w:szCs w:val="18"/>
    </w:rPr>
  </w:style>
  <w:style w:type="paragraph" w:styleId="a4">
    <w:name w:val="footer"/>
    <w:basedOn w:val="a"/>
    <w:link w:val="Char0"/>
    <w:uiPriority w:val="99"/>
    <w:pPr>
      <w:tabs>
        <w:tab w:val="center" w:pos="4153"/>
        <w:tab w:val="right" w:pos="8306"/>
      </w:tabs>
      <w:snapToGrid w:val="0"/>
      <w:jc w:val="left"/>
    </w:pPr>
    <w:rPr>
      <w:rFonts w:ascii="Times New Roman" w:hAnsi="Times New Roman"/>
      <w:sz w:val="18"/>
      <w:szCs w:val="18"/>
    </w:rPr>
  </w:style>
  <w:style w:type="paragraph" w:styleId="a5">
    <w:name w:val="caption"/>
    <w:basedOn w:val="a"/>
    <w:next w:val="a"/>
    <w:qFormat/>
    <w:rPr>
      <w:rFonts w:ascii="Cambria" w:eastAsia="黑体" w:hAnsi="Cambria"/>
      <w:sz w:val="20"/>
      <w:szCs w:val="20"/>
    </w:rPr>
  </w:style>
  <w:style w:type="paragraph" w:styleId="a6">
    <w:name w:val="Balloon Text"/>
    <w:basedOn w:val="a"/>
    <w:link w:val="Char1"/>
    <w:rPr>
      <w:rFonts w:ascii="Times New Roman" w:hAnsi="Times New Roman"/>
      <w:sz w:val="18"/>
      <w:szCs w:val="18"/>
    </w:rPr>
  </w:style>
  <w:style w:type="character" w:customStyle="1" w:styleId="Char1">
    <w:name w:val="批注框文本 Char"/>
    <w:link w:val="a6"/>
    <w:rPr>
      <w:rFonts w:ascii="Times New Roman" w:eastAsia="宋体" w:hAnsi="Times New Roman" w:cs="Times New Roman"/>
      <w:sz w:val="18"/>
      <w:szCs w:val="18"/>
    </w:rPr>
  </w:style>
  <w:style w:type="character" w:styleId="a7">
    <w:name w:val="page number"/>
    <w:rPr>
      <w:rFonts w:ascii="Times New Roman" w:eastAsia="宋体" w:hAnsi="Times New Roman" w:cs="Times New Roman"/>
    </w:rPr>
  </w:style>
  <w:style w:type="paragraph" w:customStyle="1" w:styleId="Default">
    <w:name w:val="Default"/>
    <w:pPr>
      <w:widowControl w:val="0"/>
      <w:autoSpaceDE w:val="0"/>
      <w:autoSpaceDN w:val="0"/>
      <w:adjustRightInd w:val="0"/>
    </w:pPr>
    <w:rPr>
      <w:rFonts w:ascii="宋体" w:cs="宋体"/>
      <w:color w:val="000000"/>
      <w:sz w:val="24"/>
      <w:szCs w:val="24"/>
    </w:rPr>
  </w:style>
  <w:style w:type="paragraph" w:customStyle="1" w:styleId="1">
    <w:name w:val="列表段落1"/>
    <w:basedOn w:val="a"/>
    <w:pPr>
      <w:ind w:firstLineChars="200" w:firstLine="420"/>
    </w:pPr>
    <w:rPr>
      <w:rFonts w:ascii="Times New Roman" w:hAnsi="Times New Roman"/>
    </w:rPr>
  </w:style>
  <w:style w:type="paragraph" w:styleId="a8">
    <w:name w:val="Normal (Web)"/>
    <w:basedOn w:val="a"/>
    <w:uiPriority w:val="99"/>
    <w:pPr>
      <w:widowControl/>
      <w:spacing w:before="100" w:beforeAutospacing="1" w:after="100" w:afterAutospacing="1"/>
      <w:jc w:val="left"/>
    </w:pPr>
    <w:rPr>
      <w:rFonts w:ascii="宋体" w:hAnsi="宋体" w:cs="宋体"/>
      <w:kern w:val="0"/>
      <w:sz w:val="24"/>
      <w:szCs w:val="24"/>
    </w:rPr>
  </w:style>
  <w:style w:type="character" w:styleId="a9">
    <w:name w:val="Hyperlink"/>
    <w:rPr>
      <w:rFonts w:ascii="Times New Roman" w:eastAsia="宋体" w:hAnsi="Times New Roman" w:cs="Times New Roman"/>
      <w:color w:val="0000FF"/>
      <w:u w:val="single"/>
    </w:rPr>
  </w:style>
  <w:style w:type="table" w:styleId="aa">
    <w:name w:val="Table Grid"/>
    <w:basedOn w:val="a1"/>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b">
    <w:name w:val="annotation reference"/>
    <w:rPr>
      <w:rFonts w:ascii="Times New Roman" w:eastAsia="宋体" w:hAnsi="Times New Roman" w:cs="Times New Roman"/>
      <w:sz w:val="21"/>
      <w:szCs w:val="21"/>
    </w:rPr>
  </w:style>
  <w:style w:type="character" w:customStyle="1" w:styleId="Char2">
    <w:name w:val="批注文字 Char"/>
    <w:link w:val="ac"/>
    <w:rPr>
      <w:rFonts w:ascii="Calibri" w:eastAsia="宋体" w:hAnsi="Calibri" w:cs="Times New Roman"/>
      <w:kern w:val="2"/>
      <w:sz w:val="21"/>
      <w:szCs w:val="22"/>
    </w:rPr>
  </w:style>
  <w:style w:type="paragraph" w:styleId="ac">
    <w:name w:val="annotation text"/>
    <w:basedOn w:val="a"/>
    <w:link w:val="Char2"/>
    <w:pPr>
      <w:jc w:val="left"/>
    </w:pPr>
    <w:rPr>
      <w:rFonts w:ascii="Times New Roman" w:hAnsi="Times New Roman"/>
    </w:rPr>
  </w:style>
  <w:style w:type="character" w:customStyle="1" w:styleId="Char3">
    <w:name w:val="批注主题 Char"/>
    <w:link w:val="ad"/>
    <w:rPr>
      <w:rFonts w:ascii="Calibri" w:eastAsia="宋体" w:hAnsi="Calibri" w:cs="Times New Roman"/>
      <w:b/>
      <w:bCs/>
      <w:kern w:val="2"/>
      <w:sz w:val="21"/>
      <w:szCs w:val="22"/>
    </w:rPr>
  </w:style>
  <w:style w:type="paragraph" w:styleId="ad">
    <w:name w:val="annotation subject"/>
    <w:basedOn w:val="ac"/>
    <w:next w:val="ac"/>
    <w:link w:val="Char3"/>
    <w:rPr>
      <w:b/>
      <w:bCs/>
    </w:rPr>
  </w:style>
  <w:style w:type="character" w:styleId="ae">
    <w:name w:val="Strong"/>
    <w:uiPriority w:val="22"/>
    <w:qFormat/>
    <w:rPr>
      <w:rFonts w:ascii="Times New Roman" w:eastAsia="宋体" w:hAnsi="Times New Roman" w:cs="Times New Roman"/>
      <w:b/>
      <w:bCs/>
    </w:rPr>
  </w:style>
  <w:style w:type="paragraph" w:customStyle="1" w:styleId="10">
    <w:name w:val="列出段落1"/>
    <w:basedOn w:val="a"/>
    <w:qFormat/>
    <w:pPr>
      <w:ind w:firstLineChars="200" w:firstLine="420"/>
    </w:pPr>
    <w:rPr>
      <w:rFonts w:ascii="Times New Roman" w:hAnsi="Times New Roman"/>
    </w:rPr>
  </w:style>
  <w:style w:type="character" w:customStyle="1" w:styleId="Char4">
    <w:name w:val="日期 Char"/>
    <w:link w:val="af"/>
    <w:rPr>
      <w:rFonts w:ascii="Calibri" w:eastAsia="宋体" w:hAnsi="Calibri" w:cs="Times New Roman"/>
      <w:kern w:val="2"/>
      <w:sz w:val="21"/>
      <w:szCs w:val="22"/>
    </w:rPr>
  </w:style>
  <w:style w:type="paragraph" w:styleId="af">
    <w:name w:val="Date"/>
    <w:basedOn w:val="a"/>
    <w:next w:val="a"/>
    <w:link w:val="Char4"/>
    <w:pPr>
      <w:ind w:leftChars="2500" w:left="100"/>
    </w:pPr>
    <w:rPr>
      <w:rFonts w:ascii="Times New Roman" w:hAnsi="Times New Roman"/>
    </w:rPr>
  </w:style>
  <w:style w:type="character" w:styleId="af0">
    <w:name w:val="Emphasis"/>
    <w:qFormat/>
    <w:rPr>
      <w:rFonts w:ascii="Times New Roman" w:eastAsia="宋体" w:hAnsi="Times New Roman" w:cs="Times New Roman"/>
      <w:i/>
      <w:iCs/>
    </w:rPr>
  </w:style>
  <w:style w:type="character" w:customStyle="1" w:styleId="apple-converted-space">
    <w:name w:val="apple-converted-space"/>
    <w:rsid w:val="00075EC6"/>
  </w:style>
  <w:style w:type="paragraph" w:customStyle="1" w:styleId="ChartHeading">
    <w:name w:val="Chart Heading"/>
    <w:basedOn w:val="a"/>
    <w:link w:val="ChartHeadingChar"/>
    <w:rsid w:val="0056608B"/>
    <w:pPr>
      <w:keepNext/>
      <w:keepLines/>
      <w:pBdr>
        <w:bottom w:val="single" w:sz="4" w:space="1" w:color="auto"/>
      </w:pBdr>
      <w:adjustRightInd w:val="0"/>
      <w:snapToGrid w:val="0"/>
      <w:spacing w:before="20" w:after="40"/>
      <w:jc w:val="left"/>
    </w:pPr>
    <w:rPr>
      <w:rFonts w:ascii="Arial Narrow" w:eastAsia="华文楷体" w:hAnsi="Arial Narrow"/>
      <w:b/>
      <w:kern w:val="0"/>
      <w:sz w:val="20"/>
      <w:szCs w:val="20"/>
    </w:rPr>
  </w:style>
  <w:style w:type="character" w:customStyle="1" w:styleId="ChartHeadingChar">
    <w:name w:val="Chart Heading Char"/>
    <w:link w:val="ChartHeading"/>
    <w:rsid w:val="0056608B"/>
    <w:rPr>
      <w:rFonts w:ascii="Arial Narrow" w:eastAsia="华文楷体" w:hAnsi="Arial Narrow"/>
      <w:b/>
    </w:rPr>
  </w:style>
  <w:style w:type="paragraph" w:customStyle="1" w:styleId="Source">
    <w:name w:val="Source"/>
    <w:basedOn w:val="a"/>
    <w:link w:val="Source1"/>
    <w:rsid w:val="0056608B"/>
    <w:pPr>
      <w:pBdr>
        <w:top w:val="single" w:sz="4" w:space="1" w:color="auto"/>
      </w:pBdr>
      <w:adjustRightInd w:val="0"/>
      <w:snapToGrid w:val="0"/>
      <w:spacing w:before="40"/>
      <w:jc w:val="left"/>
    </w:pPr>
    <w:rPr>
      <w:rFonts w:ascii="Arial Narrow" w:eastAsia="华文楷体" w:hAnsi="Arial Narrow"/>
      <w:i/>
      <w:sz w:val="16"/>
      <w:szCs w:val="24"/>
    </w:rPr>
  </w:style>
  <w:style w:type="character" w:customStyle="1" w:styleId="Source1">
    <w:name w:val="Source 字元1"/>
    <w:link w:val="Source"/>
    <w:rsid w:val="0056608B"/>
    <w:rPr>
      <w:rFonts w:ascii="Arial Narrow" w:eastAsia="华文楷体" w:hAnsi="Arial Narrow"/>
      <w:i/>
      <w:kern w:val="2"/>
      <w:sz w:val="16"/>
      <w:szCs w:val="24"/>
    </w:rPr>
  </w:style>
  <w:style w:type="paragraph" w:customStyle="1" w:styleId="Header1">
    <w:name w:val="Header1"/>
    <w:basedOn w:val="a"/>
    <w:link w:val="Header1Char"/>
    <w:rsid w:val="004C5268"/>
    <w:pPr>
      <w:tabs>
        <w:tab w:val="left" w:pos="4050"/>
      </w:tabs>
      <w:suppressAutoHyphens/>
      <w:adjustRightInd w:val="0"/>
      <w:snapToGrid w:val="0"/>
      <w:spacing w:before="120" w:after="240"/>
    </w:pPr>
    <w:rPr>
      <w:rFonts w:ascii="Arial Bold" w:eastAsia="华文楷体" w:hAnsi="Arial Bold"/>
      <w:b/>
      <w:smallCaps/>
      <w:color w:val="A7001D"/>
      <w:kern w:val="0"/>
      <w:sz w:val="32"/>
      <w:szCs w:val="20"/>
    </w:rPr>
  </w:style>
  <w:style w:type="character" w:customStyle="1" w:styleId="Header1Char">
    <w:name w:val="Header1 Char"/>
    <w:link w:val="Header1"/>
    <w:rsid w:val="004C5268"/>
    <w:rPr>
      <w:rFonts w:ascii="Arial Bold" w:eastAsia="华文楷体" w:hAnsi="Arial Bold"/>
      <w:b/>
      <w:smallCaps/>
      <w:color w:val="A7001D"/>
      <w:sz w:val="32"/>
    </w:rPr>
  </w:style>
  <w:style w:type="paragraph" w:customStyle="1" w:styleId="Header2">
    <w:name w:val="Header 2"/>
    <w:basedOn w:val="a"/>
    <w:link w:val="Header20"/>
    <w:rsid w:val="004C5268"/>
    <w:pPr>
      <w:suppressAutoHyphens/>
      <w:adjustRightInd w:val="0"/>
      <w:snapToGrid w:val="0"/>
      <w:spacing w:before="80" w:after="80"/>
    </w:pPr>
    <w:rPr>
      <w:rFonts w:ascii="Arial" w:eastAsia="华文楷体" w:hAnsi="Arial"/>
      <w:b/>
      <w:bCs/>
      <w:kern w:val="0"/>
      <w:sz w:val="24"/>
      <w:szCs w:val="20"/>
      <w:u w:color="003300"/>
      <w:lang w:eastAsia="zh-TW"/>
    </w:rPr>
  </w:style>
  <w:style w:type="character" w:customStyle="1" w:styleId="Header20">
    <w:name w:val="Header 2 字元"/>
    <w:link w:val="Header2"/>
    <w:locked/>
    <w:rsid w:val="004C5268"/>
    <w:rPr>
      <w:rFonts w:ascii="Arial" w:eastAsia="华文楷体" w:hAnsi="Arial"/>
      <w:b/>
      <w:bCs/>
      <w:sz w:val="24"/>
      <w:u w:color="003300"/>
      <w:lang w:eastAsia="zh-TW"/>
    </w:rPr>
  </w:style>
  <w:style w:type="paragraph" w:customStyle="1" w:styleId="Body-text">
    <w:name w:val="Body-text"/>
    <w:basedOn w:val="a"/>
    <w:link w:val="Body-textChar"/>
    <w:qFormat/>
    <w:rsid w:val="004C5268"/>
    <w:pPr>
      <w:adjustRightInd w:val="0"/>
      <w:snapToGrid w:val="0"/>
      <w:spacing w:after="120"/>
    </w:pPr>
    <w:rPr>
      <w:rFonts w:ascii="Arial Narrow" w:eastAsia="华文楷体" w:hAnsi="Arial Narrow"/>
      <w:kern w:val="0"/>
      <w:sz w:val="20"/>
      <w:szCs w:val="20"/>
      <w:lang w:eastAsia="zh-TW"/>
    </w:rPr>
  </w:style>
  <w:style w:type="character" w:customStyle="1" w:styleId="Body-textChar">
    <w:name w:val="Body-text Char"/>
    <w:link w:val="Body-text"/>
    <w:qFormat/>
    <w:rsid w:val="004C5268"/>
    <w:rPr>
      <w:rFonts w:ascii="Arial Narrow" w:eastAsia="华文楷体" w:hAnsi="Arial Narrow"/>
      <w:lang w:eastAsia="zh-TW"/>
    </w:rPr>
  </w:style>
  <w:style w:type="paragraph" w:customStyle="1" w:styleId="p-text">
    <w:name w:val="p-text"/>
    <w:basedOn w:val="a"/>
    <w:rsid w:val="008B53FE"/>
    <w:pPr>
      <w:widowControl/>
      <w:spacing w:before="100" w:beforeAutospacing="1" w:after="100" w:afterAutospacing="1"/>
      <w:jc w:val="left"/>
    </w:pPr>
    <w:rPr>
      <w:rFonts w:ascii="宋体" w:hAnsi="宋体" w:cs="宋体"/>
      <w:kern w:val="0"/>
      <w:sz w:val="24"/>
      <w:szCs w:val="24"/>
    </w:rPr>
  </w:style>
  <w:style w:type="paragraph" w:customStyle="1" w:styleId="p-type-name">
    <w:name w:val="p-type-name"/>
    <w:basedOn w:val="a"/>
    <w:rsid w:val="008B53FE"/>
    <w:pPr>
      <w:widowControl/>
      <w:spacing w:before="100" w:beforeAutospacing="1" w:after="100" w:afterAutospacing="1"/>
      <w:jc w:val="left"/>
    </w:pPr>
    <w:rPr>
      <w:rFonts w:ascii="宋体" w:hAnsi="宋体" w:cs="宋体"/>
      <w:kern w:val="0"/>
      <w:sz w:val="24"/>
      <w:szCs w:val="24"/>
    </w:rPr>
  </w:style>
  <w:style w:type="character" w:customStyle="1" w:styleId="span-type-name">
    <w:name w:val="span-type-name"/>
    <w:basedOn w:val="a0"/>
    <w:rsid w:val="008B53FE"/>
  </w:style>
  <w:style w:type="character" w:customStyle="1" w:styleId="mark">
    <w:name w:val="mark"/>
    <w:basedOn w:val="a0"/>
    <w:rsid w:val="00233DD7"/>
  </w:style>
  <w:style w:type="paragraph" w:styleId="af1">
    <w:name w:val="List Paragraph"/>
    <w:basedOn w:val="a"/>
    <w:uiPriority w:val="34"/>
    <w:qFormat/>
    <w:rsid w:val="002D251D"/>
    <w:pPr>
      <w:widowControl/>
      <w:spacing w:afterLines="100" w:after="100"/>
      <w:ind w:firstLineChars="200" w:firstLine="420"/>
    </w:pPr>
    <w:rPr>
      <w:rFonts w:ascii="仿宋" w:eastAsia="仿宋" w:hAnsi="仿宋" w:cstheme="minorBidi"/>
      <w:sz w:val="28"/>
    </w:rPr>
  </w:style>
  <w:style w:type="character" w:customStyle="1" w:styleId="bjh-p">
    <w:name w:val="bjh-p"/>
    <w:basedOn w:val="a0"/>
    <w:rsid w:val="00D97370"/>
  </w:style>
  <w:style w:type="table" w:customStyle="1" w:styleId="GridTable4Accent1">
    <w:name w:val="Grid Table 4 Accent 1"/>
    <w:basedOn w:val="a1"/>
    <w:uiPriority w:val="49"/>
    <w:rsid w:val="00693381"/>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insideV w:val="nil"/>
        </w:tcBorders>
        <w:shd w:val="clear" w:color="auto" w:fill="4472C4" w:themeFill="accent1"/>
      </w:tcPr>
    </w:tblStylePr>
    <w:tblStylePr w:type="lastRow">
      <w:rPr>
        <w:b/>
        <w:bCs/>
      </w:rPr>
      <w:tblPr/>
      <w:tcPr>
        <w:tcBorders>
          <w:top w:val="double" w:sz="4" w:space="0" w:color="4472C4" w:themeColor="accent1"/>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customStyle="1" w:styleId="ListTable3Accent1">
    <w:name w:val="List Table 3 Accent 1"/>
    <w:basedOn w:val="a1"/>
    <w:uiPriority w:val="48"/>
    <w:rsid w:val="00693381"/>
    <w:tblPr>
      <w:tblStyleRowBandSize w:val="1"/>
      <w:tblStyleColBandSize w:val="1"/>
      <w:tblBorders>
        <w:top w:val="single" w:sz="4" w:space="0" w:color="4472C4" w:themeColor="accent1"/>
        <w:left w:val="single" w:sz="4" w:space="0" w:color="4472C4" w:themeColor="accent1"/>
        <w:bottom w:val="single" w:sz="4" w:space="0" w:color="4472C4" w:themeColor="accent1"/>
        <w:right w:val="single" w:sz="4" w:space="0" w:color="4472C4" w:themeColor="accent1"/>
      </w:tblBorders>
    </w:tblPr>
    <w:tblStylePr w:type="firstRow">
      <w:rPr>
        <w:b/>
        <w:bCs/>
        <w:color w:val="FFFFFF" w:themeColor="background1"/>
      </w:rPr>
      <w:tblPr/>
      <w:tcPr>
        <w:shd w:val="clear" w:color="auto" w:fill="4472C4" w:themeFill="accent1"/>
      </w:tcPr>
    </w:tblStylePr>
    <w:tblStylePr w:type="lastRow">
      <w:rPr>
        <w:b/>
        <w:bCs/>
      </w:rPr>
      <w:tblPr/>
      <w:tcPr>
        <w:tcBorders>
          <w:top w:val="double" w:sz="4" w:space="0" w:color="4472C4"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4472C4" w:themeColor="accent1"/>
          <w:right w:val="single" w:sz="4" w:space="0" w:color="4472C4" w:themeColor="accent1"/>
        </w:tcBorders>
      </w:tcPr>
    </w:tblStylePr>
    <w:tblStylePr w:type="band1Horz">
      <w:tblPr/>
      <w:tcPr>
        <w:tcBorders>
          <w:top w:val="single" w:sz="4" w:space="0" w:color="4472C4" w:themeColor="accent1"/>
          <w:bottom w:val="single" w:sz="4" w:space="0" w:color="4472C4"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4472C4" w:themeColor="accent1"/>
          <w:left w:val="nil"/>
        </w:tcBorders>
      </w:tcPr>
    </w:tblStylePr>
    <w:tblStylePr w:type="swCell">
      <w:tblPr/>
      <w:tcPr>
        <w:tcBorders>
          <w:top w:val="double" w:sz="4" w:space="0" w:color="4472C4" w:themeColor="accent1"/>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737516">
      <w:bodyDiv w:val="1"/>
      <w:marLeft w:val="0"/>
      <w:marRight w:val="0"/>
      <w:marTop w:val="0"/>
      <w:marBottom w:val="0"/>
      <w:divBdr>
        <w:top w:val="none" w:sz="0" w:space="0" w:color="auto"/>
        <w:left w:val="none" w:sz="0" w:space="0" w:color="auto"/>
        <w:bottom w:val="none" w:sz="0" w:space="0" w:color="auto"/>
        <w:right w:val="none" w:sz="0" w:space="0" w:color="auto"/>
      </w:divBdr>
    </w:div>
    <w:div w:id="42102807">
      <w:bodyDiv w:val="1"/>
      <w:marLeft w:val="0"/>
      <w:marRight w:val="0"/>
      <w:marTop w:val="0"/>
      <w:marBottom w:val="0"/>
      <w:divBdr>
        <w:top w:val="none" w:sz="0" w:space="0" w:color="auto"/>
        <w:left w:val="none" w:sz="0" w:space="0" w:color="auto"/>
        <w:bottom w:val="none" w:sz="0" w:space="0" w:color="auto"/>
        <w:right w:val="none" w:sz="0" w:space="0" w:color="auto"/>
      </w:divBdr>
    </w:div>
    <w:div w:id="49765581">
      <w:bodyDiv w:val="1"/>
      <w:marLeft w:val="0"/>
      <w:marRight w:val="0"/>
      <w:marTop w:val="0"/>
      <w:marBottom w:val="0"/>
      <w:divBdr>
        <w:top w:val="none" w:sz="0" w:space="0" w:color="auto"/>
        <w:left w:val="none" w:sz="0" w:space="0" w:color="auto"/>
        <w:bottom w:val="none" w:sz="0" w:space="0" w:color="auto"/>
        <w:right w:val="none" w:sz="0" w:space="0" w:color="auto"/>
      </w:divBdr>
    </w:div>
    <w:div w:id="70808911">
      <w:bodyDiv w:val="1"/>
      <w:marLeft w:val="0"/>
      <w:marRight w:val="0"/>
      <w:marTop w:val="0"/>
      <w:marBottom w:val="0"/>
      <w:divBdr>
        <w:top w:val="none" w:sz="0" w:space="0" w:color="auto"/>
        <w:left w:val="none" w:sz="0" w:space="0" w:color="auto"/>
        <w:bottom w:val="none" w:sz="0" w:space="0" w:color="auto"/>
        <w:right w:val="none" w:sz="0" w:space="0" w:color="auto"/>
      </w:divBdr>
    </w:div>
    <w:div w:id="107822524">
      <w:bodyDiv w:val="1"/>
      <w:marLeft w:val="0"/>
      <w:marRight w:val="0"/>
      <w:marTop w:val="0"/>
      <w:marBottom w:val="0"/>
      <w:divBdr>
        <w:top w:val="none" w:sz="0" w:space="0" w:color="auto"/>
        <w:left w:val="none" w:sz="0" w:space="0" w:color="auto"/>
        <w:bottom w:val="none" w:sz="0" w:space="0" w:color="auto"/>
        <w:right w:val="none" w:sz="0" w:space="0" w:color="auto"/>
      </w:divBdr>
    </w:div>
    <w:div w:id="114254364">
      <w:bodyDiv w:val="1"/>
      <w:marLeft w:val="0"/>
      <w:marRight w:val="0"/>
      <w:marTop w:val="0"/>
      <w:marBottom w:val="0"/>
      <w:divBdr>
        <w:top w:val="none" w:sz="0" w:space="0" w:color="auto"/>
        <w:left w:val="none" w:sz="0" w:space="0" w:color="auto"/>
        <w:bottom w:val="none" w:sz="0" w:space="0" w:color="auto"/>
        <w:right w:val="none" w:sz="0" w:space="0" w:color="auto"/>
      </w:divBdr>
    </w:div>
    <w:div w:id="128478330">
      <w:bodyDiv w:val="1"/>
      <w:marLeft w:val="0"/>
      <w:marRight w:val="0"/>
      <w:marTop w:val="0"/>
      <w:marBottom w:val="0"/>
      <w:divBdr>
        <w:top w:val="none" w:sz="0" w:space="0" w:color="auto"/>
        <w:left w:val="none" w:sz="0" w:space="0" w:color="auto"/>
        <w:bottom w:val="none" w:sz="0" w:space="0" w:color="auto"/>
        <w:right w:val="none" w:sz="0" w:space="0" w:color="auto"/>
      </w:divBdr>
    </w:div>
    <w:div w:id="140318787">
      <w:bodyDiv w:val="1"/>
      <w:marLeft w:val="0"/>
      <w:marRight w:val="0"/>
      <w:marTop w:val="0"/>
      <w:marBottom w:val="0"/>
      <w:divBdr>
        <w:top w:val="none" w:sz="0" w:space="0" w:color="auto"/>
        <w:left w:val="none" w:sz="0" w:space="0" w:color="auto"/>
        <w:bottom w:val="none" w:sz="0" w:space="0" w:color="auto"/>
        <w:right w:val="none" w:sz="0" w:space="0" w:color="auto"/>
      </w:divBdr>
    </w:div>
    <w:div w:id="149105645">
      <w:bodyDiv w:val="1"/>
      <w:marLeft w:val="0"/>
      <w:marRight w:val="0"/>
      <w:marTop w:val="0"/>
      <w:marBottom w:val="0"/>
      <w:divBdr>
        <w:top w:val="none" w:sz="0" w:space="0" w:color="auto"/>
        <w:left w:val="none" w:sz="0" w:space="0" w:color="auto"/>
        <w:bottom w:val="none" w:sz="0" w:space="0" w:color="auto"/>
        <w:right w:val="none" w:sz="0" w:space="0" w:color="auto"/>
      </w:divBdr>
    </w:div>
    <w:div w:id="197862177">
      <w:bodyDiv w:val="1"/>
      <w:marLeft w:val="0"/>
      <w:marRight w:val="0"/>
      <w:marTop w:val="0"/>
      <w:marBottom w:val="0"/>
      <w:divBdr>
        <w:top w:val="none" w:sz="0" w:space="0" w:color="auto"/>
        <w:left w:val="none" w:sz="0" w:space="0" w:color="auto"/>
        <w:bottom w:val="none" w:sz="0" w:space="0" w:color="auto"/>
        <w:right w:val="none" w:sz="0" w:space="0" w:color="auto"/>
      </w:divBdr>
    </w:div>
    <w:div w:id="207493660">
      <w:bodyDiv w:val="1"/>
      <w:marLeft w:val="0"/>
      <w:marRight w:val="0"/>
      <w:marTop w:val="0"/>
      <w:marBottom w:val="0"/>
      <w:divBdr>
        <w:top w:val="none" w:sz="0" w:space="0" w:color="auto"/>
        <w:left w:val="none" w:sz="0" w:space="0" w:color="auto"/>
        <w:bottom w:val="none" w:sz="0" w:space="0" w:color="auto"/>
        <w:right w:val="none" w:sz="0" w:space="0" w:color="auto"/>
      </w:divBdr>
    </w:div>
    <w:div w:id="210503464">
      <w:bodyDiv w:val="1"/>
      <w:marLeft w:val="0"/>
      <w:marRight w:val="0"/>
      <w:marTop w:val="0"/>
      <w:marBottom w:val="0"/>
      <w:divBdr>
        <w:top w:val="none" w:sz="0" w:space="0" w:color="auto"/>
        <w:left w:val="none" w:sz="0" w:space="0" w:color="auto"/>
        <w:bottom w:val="none" w:sz="0" w:space="0" w:color="auto"/>
        <w:right w:val="none" w:sz="0" w:space="0" w:color="auto"/>
      </w:divBdr>
    </w:div>
    <w:div w:id="219052149">
      <w:bodyDiv w:val="1"/>
      <w:marLeft w:val="0"/>
      <w:marRight w:val="0"/>
      <w:marTop w:val="0"/>
      <w:marBottom w:val="0"/>
      <w:divBdr>
        <w:top w:val="none" w:sz="0" w:space="0" w:color="auto"/>
        <w:left w:val="none" w:sz="0" w:space="0" w:color="auto"/>
        <w:bottom w:val="none" w:sz="0" w:space="0" w:color="auto"/>
        <w:right w:val="none" w:sz="0" w:space="0" w:color="auto"/>
      </w:divBdr>
    </w:div>
    <w:div w:id="219944870">
      <w:bodyDiv w:val="1"/>
      <w:marLeft w:val="0"/>
      <w:marRight w:val="0"/>
      <w:marTop w:val="0"/>
      <w:marBottom w:val="0"/>
      <w:divBdr>
        <w:top w:val="none" w:sz="0" w:space="0" w:color="auto"/>
        <w:left w:val="none" w:sz="0" w:space="0" w:color="auto"/>
        <w:bottom w:val="none" w:sz="0" w:space="0" w:color="auto"/>
        <w:right w:val="none" w:sz="0" w:space="0" w:color="auto"/>
      </w:divBdr>
    </w:div>
    <w:div w:id="227425062">
      <w:bodyDiv w:val="1"/>
      <w:marLeft w:val="0"/>
      <w:marRight w:val="0"/>
      <w:marTop w:val="0"/>
      <w:marBottom w:val="0"/>
      <w:divBdr>
        <w:top w:val="none" w:sz="0" w:space="0" w:color="auto"/>
        <w:left w:val="none" w:sz="0" w:space="0" w:color="auto"/>
        <w:bottom w:val="none" w:sz="0" w:space="0" w:color="auto"/>
        <w:right w:val="none" w:sz="0" w:space="0" w:color="auto"/>
      </w:divBdr>
    </w:div>
    <w:div w:id="234555626">
      <w:bodyDiv w:val="1"/>
      <w:marLeft w:val="0"/>
      <w:marRight w:val="0"/>
      <w:marTop w:val="0"/>
      <w:marBottom w:val="0"/>
      <w:divBdr>
        <w:top w:val="none" w:sz="0" w:space="0" w:color="auto"/>
        <w:left w:val="none" w:sz="0" w:space="0" w:color="auto"/>
        <w:bottom w:val="none" w:sz="0" w:space="0" w:color="auto"/>
        <w:right w:val="none" w:sz="0" w:space="0" w:color="auto"/>
      </w:divBdr>
    </w:div>
    <w:div w:id="241332597">
      <w:bodyDiv w:val="1"/>
      <w:marLeft w:val="0"/>
      <w:marRight w:val="0"/>
      <w:marTop w:val="0"/>
      <w:marBottom w:val="0"/>
      <w:divBdr>
        <w:top w:val="none" w:sz="0" w:space="0" w:color="auto"/>
        <w:left w:val="none" w:sz="0" w:space="0" w:color="auto"/>
        <w:bottom w:val="none" w:sz="0" w:space="0" w:color="auto"/>
        <w:right w:val="none" w:sz="0" w:space="0" w:color="auto"/>
      </w:divBdr>
      <w:divsChild>
        <w:div w:id="324869102">
          <w:marLeft w:val="533"/>
          <w:marRight w:val="0"/>
          <w:marTop w:val="120"/>
          <w:marBottom w:val="0"/>
          <w:divBdr>
            <w:top w:val="none" w:sz="0" w:space="0" w:color="auto"/>
            <w:left w:val="none" w:sz="0" w:space="0" w:color="auto"/>
            <w:bottom w:val="none" w:sz="0" w:space="0" w:color="auto"/>
            <w:right w:val="none" w:sz="0" w:space="0" w:color="auto"/>
          </w:divBdr>
        </w:div>
      </w:divsChild>
    </w:div>
    <w:div w:id="266085068">
      <w:bodyDiv w:val="1"/>
      <w:marLeft w:val="0"/>
      <w:marRight w:val="0"/>
      <w:marTop w:val="0"/>
      <w:marBottom w:val="0"/>
      <w:divBdr>
        <w:top w:val="none" w:sz="0" w:space="0" w:color="auto"/>
        <w:left w:val="none" w:sz="0" w:space="0" w:color="auto"/>
        <w:bottom w:val="none" w:sz="0" w:space="0" w:color="auto"/>
        <w:right w:val="none" w:sz="0" w:space="0" w:color="auto"/>
      </w:divBdr>
      <w:divsChild>
        <w:div w:id="977614478">
          <w:marLeft w:val="533"/>
          <w:marRight w:val="0"/>
          <w:marTop w:val="120"/>
          <w:marBottom w:val="0"/>
          <w:divBdr>
            <w:top w:val="none" w:sz="0" w:space="0" w:color="auto"/>
            <w:left w:val="none" w:sz="0" w:space="0" w:color="auto"/>
            <w:bottom w:val="none" w:sz="0" w:space="0" w:color="auto"/>
            <w:right w:val="none" w:sz="0" w:space="0" w:color="auto"/>
          </w:divBdr>
        </w:div>
      </w:divsChild>
    </w:div>
    <w:div w:id="274336025">
      <w:bodyDiv w:val="1"/>
      <w:marLeft w:val="0"/>
      <w:marRight w:val="0"/>
      <w:marTop w:val="0"/>
      <w:marBottom w:val="0"/>
      <w:divBdr>
        <w:top w:val="none" w:sz="0" w:space="0" w:color="auto"/>
        <w:left w:val="none" w:sz="0" w:space="0" w:color="auto"/>
        <w:bottom w:val="none" w:sz="0" w:space="0" w:color="auto"/>
        <w:right w:val="none" w:sz="0" w:space="0" w:color="auto"/>
      </w:divBdr>
      <w:divsChild>
        <w:div w:id="1430197797">
          <w:marLeft w:val="0"/>
          <w:marRight w:val="0"/>
          <w:marTop w:val="0"/>
          <w:marBottom w:val="0"/>
          <w:divBdr>
            <w:top w:val="none" w:sz="0" w:space="0" w:color="auto"/>
            <w:left w:val="none" w:sz="0" w:space="0" w:color="auto"/>
            <w:bottom w:val="none" w:sz="0" w:space="0" w:color="auto"/>
            <w:right w:val="none" w:sz="0" w:space="0" w:color="auto"/>
          </w:divBdr>
          <w:divsChild>
            <w:div w:id="1872303054">
              <w:marLeft w:val="0"/>
              <w:marRight w:val="0"/>
              <w:marTop w:val="465"/>
              <w:marBottom w:val="300"/>
              <w:divBdr>
                <w:top w:val="none" w:sz="0" w:space="0" w:color="auto"/>
                <w:left w:val="none" w:sz="0" w:space="0" w:color="auto"/>
                <w:bottom w:val="none" w:sz="0" w:space="0" w:color="auto"/>
                <w:right w:val="none" w:sz="0" w:space="0" w:color="auto"/>
              </w:divBdr>
            </w:div>
          </w:divsChild>
        </w:div>
      </w:divsChild>
    </w:div>
    <w:div w:id="288633107">
      <w:bodyDiv w:val="1"/>
      <w:marLeft w:val="0"/>
      <w:marRight w:val="0"/>
      <w:marTop w:val="0"/>
      <w:marBottom w:val="0"/>
      <w:divBdr>
        <w:top w:val="none" w:sz="0" w:space="0" w:color="auto"/>
        <w:left w:val="none" w:sz="0" w:space="0" w:color="auto"/>
        <w:bottom w:val="none" w:sz="0" w:space="0" w:color="auto"/>
        <w:right w:val="none" w:sz="0" w:space="0" w:color="auto"/>
      </w:divBdr>
      <w:divsChild>
        <w:div w:id="715466554">
          <w:marLeft w:val="533"/>
          <w:marRight w:val="0"/>
          <w:marTop w:val="120"/>
          <w:marBottom w:val="0"/>
          <w:divBdr>
            <w:top w:val="none" w:sz="0" w:space="0" w:color="auto"/>
            <w:left w:val="none" w:sz="0" w:space="0" w:color="auto"/>
            <w:bottom w:val="none" w:sz="0" w:space="0" w:color="auto"/>
            <w:right w:val="none" w:sz="0" w:space="0" w:color="auto"/>
          </w:divBdr>
        </w:div>
        <w:div w:id="1716269990">
          <w:marLeft w:val="533"/>
          <w:marRight w:val="0"/>
          <w:marTop w:val="120"/>
          <w:marBottom w:val="0"/>
          <w:divBdr>
            <w:top w:val="none" w:sz="0" w:space="0" w:color="auto"/>
            <w:left w:val="none" w:sz="0" w:space="0" w:color="auto"/>
            <w:bottom w:val="none" w:sz="0" w:space="0" w:color="auto"/>
            <w:right w:val="none" w:sz="0" w:space="0" w:color="auto"/>
          </w:divBdr>
        </w:div>
      </w:divsChild>
    </w:div>
    <w:div w:id="325741675">
      <w:bodyDiv w:val="1"/>
      <w:marLeft w:val="0"/>
      <w:marRight w:val="0"/>
      <w:marTop w:val="0"/>
      <w:marBottom w:val="0"/>
      <w:divBdr>
        <w:top w:val="none" w:sz="0" w:space="0" w:color="auto"/>
        <w:left w:val="none" w:sz="0" w:space="0" w:color="auto"/>
        <w:bottom w:val="none" w:sz="0" w:space="0" w:color="auto"/>
        <w:right w:val="none" w:sz="0" w:space="0" w:color="auto"/>
      </w:divBdr>
    </w:div>
    <w:div w:id="345716027">
      <w:bodyDiv w:val="1"/>
      <w:marLeft w:val="0"/>
      <w:marRight w:val="0"/>
      <w:marTop w:val="0"/>
      <w:marBottom w:val="0"/>
      <w:divBdr>
        <w:top w:val="none" w:sz="0" w:space="0" w:color="auto"/>
        <w:left w:val="none" w:sz="0" w:space="0" w:color="auto"/>
        <w:bottom w:val="none" w:sz="0" w:space="0" w:color="auto"/>
        <w:right w:val="none" w:sz="0" w:space="0" w:color="auto"/>
      </w:divBdr>
    </w:div>
    <w:div w:id="353922964">
      <w:bodyDiv w:val="1"/>
      <w:marLeft w:val="0"/>
      <w:marRight w:val="0"/>
      <w:marTop w:val="0"/>
      <w:marBottom w:val="0"/>
      <w:divBdr>
        <w:top w:val="none" w:sz="0" w:space="0" w:color="auto"/>
        <w:left w:val="none" w:sz="0" w:space="0" w:color="auto"/>
        <w:bottom w:val="none" w:sz="0" w:space="0" w:color="auto"/>
        <w:right w:val="none" w:sz="0" w:space="0" w:color="auto"/>
      </w:divBdr>
    </w:div>
    <w:div w:id="381635052">
      <w:bodyDiv w:val="1"/>
      <w:marLeft w:val="0"/>
      <w:marRight w:val="0"/>
      <w:marTop w:val="0"/>
      <w:marBottom w:val="0"/>
      <w:divBdr>
        <w:top w:val="none" w:sz="0" w:space="0" w:color="auto"/>
        <w:left w:val="none" w:sz="0" w:space="0" w:color="auto"/>
        <w:bottom w:val="none" w:sz="0" w:space="0" w:color="auto"/>
        <w:right w:val="none" w:sz="0" w:space="0" w:color="auto"/>
      </w:divBdr>
    </w:div>
    <w:div w:id="384717838">
      <w:bodyDiv w:val="1"/>
      <w:marLeft w:val="0"/>
      <w:marRight w:val="0"/>
      <w:marTop w:val="0"/>
      <w:marBottom w:val="0"/>
      <w:divBdr>
        <w:top w:val="none" w:sz="0" w:space="0" w:color="auto"/>
        <w:left w:val="none" w:sz="0" w:space="0" w:color="auto"/>
        <w:bottom w:val="none" w:sz="0" w:space="0" w:color="auto"/>
        <w:right w:val="none" w:sz="0" w:space="0" w:color="auto"/>
      </w:divBdr>
    </w:div>
    <w:div w:id="393937312">
      <w:bodyDiv w:val="1"/>
      <w:marLeft w:val="0"/>
      <w:marRight w:val="0"/>
      <w:marTop w:val="0"/>
      <w:marBottom w:val="0"/>
      <w:divBdr>
        <w:top w:val="none" w:sz="0" w:space="0" w:color="auto"/>
        <w:left w:val="none" w:sz="0" w:space="0" w:color="auto"/>
        <w:bottom w:val="none" w:sz="0" w:space="0" w:color="auto"/>
        <w:right w:val="none" w:sz="0" w:space="0" w:color="auto"/>
      </w:divBdr>
      <w:divsChild>
        <w:div w:id="2069374055">
          <w:marLeft w:val="0"/>
          <w:marRight w:val="0"/>
          <w:marTop w:val="0"/>
          <w:marBottom w:val="0"/>
          <w:divBdr>
            <w:top w:val="none" w:sz="0" w:space="0" w:color="auto"/>
            <w:left w:val="none" w:sz="0" w:space="0" w:color="auto"/>
            <w:bottom w:val="none" w:sz="0" w:space="0" w:color="auto"/>
            <w:right w:val="none" w:sz="0" w:space="0" w:color="auto"/>
          </w:divBdr>
        </w:div>
      </w:divsChild>
    </w:div>
    <w:div w:id="394743066">
      <w:bodyDiv w:val="1"/>
      <w:marLeft w:val="0"/>
      <w:marRight w:val="0"/>
      <w:marTop w:val="0"/>
      <w:marBottom w:val="0"/>
      <w:divBdr>
        <w:top w:val="none" w:sz="0" w:space="0" w:color="auto"/>
        <w:left w:val="none" w:sz="0" w:space="0" w:color="auto"/>
        <w:bottom w:val="none" w:sz="0" w:space="0" w:color="auto"/>
        <w:right w:val="none" w:sz="0" w:space="0" w:color="auto"/>
      </w:divBdr>
    </w:div>
    <w:div w:id="394743696">
      <w:bodyDiv w:val="1"/>
      <w:marLeft w:val="0"/>
      <w:marRight w:val="0"/>
      <w:marTop w:val="0"/>
      <w:marBottom w:val="0"/>
      <w:divBdr>
        <w:top w:val="none" w:sz="0" w:space="0" w:color="auto"/>
        <w:left w:val="none" w:sz="0" w:space="0" w:color="auto"/>
        <w:bottom w:val="none" w:sz="0" w:space="0" w:color="auto"/>
        <w:right w:val="none" w:sz="0" w:space="0" w:color="auto"/>
      </w:divBdr>
    </w:div>
    <w:div w:id="401829362">
      <w:bodyDiv w:val="1"/>
      <w:marLeft w:val="0"/>
      <w:marRight w:val="0"/>
      <w:marTop w:val="0"/>
      <w:marBottom w:val="0"/>
      <w:divBdr>
        <w:top w:val="none" w:sz="0" w:space="0" w:color="auto"/>
        <w:left w:val="none" w:sz="0" w:space="0" w:color="auto"/>
        <w:bottom w:val="none" w:sz="0" w:space="0" w:color="auto"/>
        <w:right w:val="none" w:sz="0" w:space="0" w:color="auto"/>
      </w:divBdr>
    </w:div>
    <w:div w:id="422344079">
      <w:bodyDiv w:val="1"/>
      <w:marLeft w:val="0"/>
      <w:marRight w:val="0"/>
      <w:marTop w:val="0"/>
      <w:marBottom w:val="0"/>
      <w:divBdr>
        <w:top w:val="none" w:sz="0" w:space="0" w:color="auto"/>
        <w:left w:val="none" w:sz="0" w:space="0" w:color="auto"/>
        <w:bottom w:val="none" w:sz="0" w:space="0" w:color="auto"/>
        <w:right w:val="none" w:sz="0" w:space="0" w:color="auto"/>
      </w:divBdr>
      <w:divsChild>
        <w:div w:id="700126991">
          <w:marLeft w:val="533"/>
          <w:marRight w:val="0"/>
          <w:marTop w:val="120"/>
          <w:marBottom w:val="0"/>
          <w:divBdr>
            <w:top w:val="none" w:sz="0" w:space="0" w:color="auto"/>
            <w:left w:val="none" w:sz="0" w:space="0" w:color="auto"/>
            <w:bottom w:val="none" w:sz="0" w:space="0" w:color="auto"/>
            <w:right w:val="none" w:sz="0" w:space="0" w:color="auto"/>
          </w:divBdr>
        </w:div>
      </w:divsChild>
    </w:div>
    <w:div w:id="430392436">
      <w:bodyDiv w:val="1"/>
      <w:marLeft w:val="0"/>
      <w:marRight w:val="0"/>
      <w:marTop w:val="0"/>
      <w:marBottom w:val="0"/>
      <w:divBdr>
        <w:top w:val="none" w:sz="0" w:space="0" w:color="auto"/>
        <w:left w:val="none" w:sz="0" w:space="0" w:color="auto"/>
        <w:bottom w:val="none" w:sz="0" w:space="0" w:color="auto"/>
        <w:right w:val="none" w:sz="0" w:space="0" w:color="auto"/>
      </w:divBdr>
    </w:div>
    <w:div w:id="452286922">
      <w:bodyDiv w:val="1"/>
      <w:marLeft w:val="0"/>
      <w:marRight w:val="0"/>
      <w:marTop w:val="0"/>
      <w:marBottom w:val="0"/>
      <w:divBdr>
        <w:top w:val="none" w:sz="0" w:space="0" w:color="auto"/>
        <w:left w:val="none" w:sz="0" w:space="0" w:color="auto"/>
        <w:bottom w:val="none" w:sz="0" w:space="0" w:color="auto"/>
        <w:right w:val="none" w:sz="0" w:space="0" w:color="auto"/>
      </w:divBdr>
    </w:div>
    <w:div w:id="458954733">
      <w:bodyDiv w:val="1"/>
      <w:marLeft w:val="0"/>
      <w:marRight w:val="0"/>
      <w:marTop w:val="0"/>
      <w:marBottom w:val="0"/>
      <w:divBdr>
        <w:top w:val="none" w:sz="0" w:space="0" w:color="auto"/>
        <w:left w:val="none" w:sz="0" w:space="0" w:color="auto"/>
        <w:bottom w:val="none" w:sz="0" w:space="0" w:color="auto"/>
        <w:right w:val="none" w:sz="0" w:space="0" w:color="auto"/>
      </w:divBdr>
    </w:div>
    <w:div w:id="564724038">
      <w:bodyDiv w:val="1"/>
      <w:marLeft w:val="0"/>
      <w:marRight w:val="0"/>
      <w:marTop w:val="0"/>
      <w:marBottom w:val="0"/>
      <w:divBdr>
        <w:top w:val="none" w:sz="0" w:space="0" w:color="auto"/>
        <w:left w:val="none" w:sz="0" w:space="0" w:color="auto"/>
        <w:bottom w:val="none" w:sz="0" w:space="0" w:color="auto"/>
        <w:right w:val="none" w:sz="0" w:space="0" w:color="auto"/>
      </w:divBdr>
    </w:div>
    <w:div w:id="586579262">
      <w:bodyDiv w:val="1"/>
      <w:marLeft w:val="0"/>
      <w:marRight w:val="0"/>
      <w:marTop w:val="0"/>
      <w:marBottom w:val="0"/>
      <w:divBdr>
        <w:top w:val="none" w:sz="0" w:space="0" w:color="auto"/>
        <w:left w:val="none" w:sz="0" w:space="0" w:color="auto"/>
        <w:bottom w:val="none" w:sz="0" w:space="0" w:color="auto"/>
        <w:right w:val="none" w:sz="0" w:space="0" w:color="auto"/>
      </w:divBdr>
    </w:div>
    <w:div w:id="592320557">
      <w:bodyDiv w:val="1"/>
      <w:marLeft w:val="0"/>
      <w:marRight w:val="0"/>
      <w:marTop w:val="0"/>
      <w:marBottom w:val="0"/>
      <w:divBdr>
        <w:top w:val="none" w:sz="0" w:space="0" w:color="auto"/>
        <w:left w:val="none" w:sz="0" w:space="0" w:color="auto"/>
        <w:bottom w:val="none" w:sz="0" w:space="0" w:color="auto"/>
        <w:right w:val="none" w:sz="0" w:space="0" w:color="auto"/>
      </w:divBdr>
    </w:div>
    <w:div w:id="669910974">
      <w:bodyDiv w:val="1"/>
      <w:marLeft w:val="0"/>
      <w:marRight w:val="0"/>
      <w:marTop w:val="0"/>
      <w:marBottom w:val="0"/>
      <w:divBdr>
        <w:top w:val="none" w:sz="0" w:space="0" w:color="auto"/>
        <w:left w:val="none" w:sz="0" w:space="0" w:color="auto"/>
        <w:bottom w:val="none" w:sz="0" w:space="0" w:color="auto"/>
        <w:right w:val="none" w:sz="0" w:space="0" w:color="auto"/>
      </w:divBdr>
    </w:div>
    <w:div w:id="671227921">
      <w:bodyDiv w:val="1"/>
      <w:marLeft w:val="0"/>
      <w:marRight w:val="0"/>
      <w:marTop w:val="0"/>
      <w:marBottom w:val="0"/>
      <w:divBdr>
        <w:top w:val="none" w:sz="0" w:space="0" w:color="auto"/>
        <w:left w:val="none" w:sz="0" w:space="0" w:color="auto"/>
        <w:bottom w:val="none" w:sz="0" w:space="0" w:color="auto"/>
        <w:right w:val="none" w:sz="0" w:space="0" w:color="auto"/>
      </w:divBdr>
    </w:div>
    <w:div w:id="687369066">
      <w:bodyDiv w:val="1"/>
      <w:marLeft w:val="0"/>
      <w:marRight w:val="0"/>
      <w:marTop w:val="0"/>
      <w:marBottom w:val="0"/>
      <w:divBdr>
        <w:top w:val="none" w:sz="0" w:space="0" w:color="auto"/>
        <w:left w:val="none" w:sz="0" w:space="0" w:color="auto"/>
        <w:bottom w:val="none" w:sz="0" w:space="0" w:color="auto"/>
        <w:right w:val="none" w:sz="0" w:space="0" w:color="auto"/>
      </w:divBdr>
    </w:div>
    <w:div w:id="725839819">
      <w:bodyDiv w:val="1"/>
      <w:marLeft w:val="0"/>
      <w:marRight w:val="0"/>
      <w:marTop w:val="0"/>
      <w:marBottom w:val="0"/>
      <w:divBdr>
        <w:top w:val="none" w:sz="0" w:space="0" w:color="auto"/>
        <w:left w:val="none" w:sz="0" w:space="0" w:color="auto"/>
        <w:bottom w:val="none" w:sz="0" w:space="0" w:color="auto"/>
        <w:right w:val="none" w:sz="0" w:space="0" w:color="auto"/>
      </w:divBdr>
    </w:div>
    <w:div w:id="751194676">
      <w:bodyDiv w:val="1"/>
      <w:marLeft w:val="0"/>
      <w:marRight w:val="0"/>
      <w:marTop w:val="0"/>
      <w:marBottom w:val="0"/>
      <w:divBdr>
        <w:top w:val="none" w:sz="0" w:space="0" w:color="auto"/>
        <w:left w:val="none" w:sz="0" w:space="0" w:color="auto"/>
        <w:bottom w:val="none" w:sz="0" w:space="0" w:color="auto"/>
        <w:right w:val="none" w:sz="0" w:space="0" w:color="auto"/>
      </w:divBdr>
    </w:div>
    <w:div w:id="763692169">
      <w:bodyDiv w:val="1"/>
      <w:marLeft w:val="0"/>
      <w:marRight w:val="0"/>
      <w:marTop w:val="0"/>
      <w:marBottom w:val="0"/>
      <w:divBdr>
        <w:top w:val="none" w:sz="0" w:space="0" w:color="auto"/>
        <w:left w:val="none" w:sz="0" w:space="0" w:color="auto"/>
        <w:bottom w:val="none" w:sz="0" w:space="0" w:color="auto"/>
        <w:right w:val="none" w:sz="0" w:space="0" w:color="auto"/>
      </w:divBdr>
    </w:div>
    <w:div w:id="828517260">
      <w:bodyDiv w:val="1"/>
      <w:marLeft w:val="0"/>
      <w:marRight w:val="0"/>
      <w:marTop w:val="0"/>
      <w:marBottom w:val="0"/>
      <w:divBdr>
        <w:top w:val="none" w:sz="0" w:space="0" w:color="auto"/>
        <w:left w:val="none" w:sz="0" w:space="0" w:color="auto"/>
        <w:bottom w:val="none" w:sz="0" w:space="0" w:color="auto"/>
        <w:right w:val="none" w:sz="0" w:space="0" w:color="auto"/>
      </w:divBdr>
    </w:div>
    <w:div w:id="831338932">
      <w:bodyDiv w:val="1"/>
      <w:marLeft w:val="0"/>
      <w:marRight w:val="0"/>
      <w:marTop w:val="0"/>
      <w:marBottom w:val="0"/>
      <w:divBdr>
        <w:top w:val="none" w:sz="0" w:space="0" w:color="auto"/>
        <w:left w:val="none" w:sz="0" w:space="0" w:color="auto"/>
        <w:bottom w:val="none" w:sz="0" w:space="0" w:color="auto"/>
        <w:right w:val="none" w:sz="0" w:space="0" w:color="auto"/>
      </w:divBdr>
    </w:div>
    <w:div w:id="839350559">
      <w:bodyDiv w:val="1"/>
      <w:marLeft w:val="0"/>
      <w:marRight w:val="0"/>
      <w:marTop w:val="0"/>
      <w:marBottom w:val="0"/>
      <w:divBdr>
        <w:top w:val="none" w:sz="0" w:space="0" w:color="auto"/>
        <w:left w:val="none" w:sz="0" w:space="0" w:color="auto"/>
        <w:bottom w:val="none" w:sz="0" w:space="0" w:color="auto"/>
        <w:right w:val="none" w:sz="0" w:space="0" w:color="auto"/>
      </w:divBdr>
    </w:div>
    <w:div w:id="865557369">
      <w:bodyDiv w:val="1"/>
      <w:marLeft w:val="0"/>
      <w:marRight w:val="0"/>
      <w:marTop w:val="0"/>
      <w:marBottom w:val="0"/>
      <w:divBdr>
        <w:top w:val="none" w:sz="0" w:space="0" w:color="auto"/>
        <w:left w:val="none" w:sz="0" w:space="0" w:color="auto"/>
        <w:bottom w:val="none" w:sz="0" w:space="0" w:color="auto"/>
        <w:right w:val="none" w:sz="0" w:space="0" w:color="auto"/>
      </w:divBdr>
    </w:div>
    <w:div w:id="866721256">
      <w:bodyDiv w:val="1"/>
      <w:marLeft w:val="0"/>
      <w:marRight w:val="0"/>
      <w:marTop w:val="0"/>
      <w:marBottom w:val="0"/>
      <w:divBdr>
        <w:top w:val="none" w:sz="0" w:space="0" w:color="auto"/>
        <w:left w:val="none" w:sz="0" w:space="0" w:color="auto"/>
        <w:bottom w:val="none" w:sz="0" w:space="0" w:color="auto"/>
        <w:right w:val="none" w:sz="0" w:space="0" w:color="auto"/>
      </w:divBdr>
    </w:div>
    <w:div w:id="870651888">
      <w:bodyDiv w:val="1"/>
      <w:marLeft w:val="0"/>
      <w:marRight w:val="0"/>
      <w:marTop w:val="0"/>
      <w:marBottom w:val="0"/>
      <w:divBdr>
        <w:top w:val="none" w:sz="0" w:space="0" w:color="auto"/>
        <w:left w:val="none" w:sz="0" w:space="0" w:color="auto"/>
        <w:bottom w:val="none" w:sz="0" w:space="0" w:color="auto"/>
        <w:right w:val="none" w:sz="0" w:space="0" w:color="auto"/>
      </w:divBdr>
      <w:divsChild>
        <w:div w:id="949974996">
          <w:marLeft w:val="533"/>
          <w:marRight w:val="0"/>
          <w:marTop w:val="120"/>
          <w:marBottom w:val="0"/>
          <w:divBdr>
            <w:top w:val="none" w:sz="0" w:space="0" w:color="auto"/>
            <w:left w:val="none" w:sz="0" w:space="0" w:color="auto"/>
            <w:bottom w:val="none" w:sz="0" w:space="0" w:color="auto"/>
            <w:right w:val="none" w:sz="0" w:space="0" w:color="auto"/>
          </w:divBdr>
        </w:div>
      </w:divsChild>
    </w:div>
    <w:div w:id="872114340">
      <w:bodyDiv w:val="1"/>
      <w:marLeft w:val="0"/>
      <w:marRight w:val="0"/>
      <w:marTop w:val="0"/>
      <w:marBottom w:val="0"/>
      <w:divBdr>
        <w:top w:val="none" w:sz="0" w:space="0" w:color="auto"/>
        <w:left w:val="none" w:sz="0" w:space="0" w:color="auto"/>
        <w:bottom w:val="none" w:sz="0" w:space="0" w:color="auto"/>
        <w:right w:val="none" w:sz="0" w:space="0" w:color="auto"/>
      </w:divBdr>
    </w:div>
    <w:div w:id="885725113">
      <w:bodyDiv w:val="1"/>
      <w:marLeft w:val="0"/>
      <w:marRight w:val="0"/>
      <w:marTop w:val="0"/>
      <w:marBottom w:val="0"/>
      <w:divBdr>
        <w:top w:val="none" w:sz="0" w:space="0" w:color="auto"/>
        <w:left w:val="none" w:sz="0" w:space="0" w:color="auto"/>
        <w:bottom w:val="none" w:sz="0" w:space="0" w:color="auto"/>
        <w:right w:val="none" w:sz="0" w:space="0" w:color="auto"/>
      </w:divBdr>
    </w:div>
    <w:div w:id="916091457">
      <w:bodyDiv w:val="1"/>
      <w:marLeft w:val="0"/>
      <w:marRight w:val="0"/>
      <w:marTop w:val="0"/>
      <w:marBottom w:val="0"/>
      <w:divBdr>
        <w:top w:val="none" w:sz="0" w:space="0" w:color="auto"/>
        <w:left w:val="none" w:sz="0" w:space="0" w:color="auto"/>
        <w:bottom w:val="none" w:sz="0" w:space="0" w:color="auto"/>
        <w:right w:val="none" w:sz="0" w:space="0" w:color="auto"/>
      </w:divBdr>
    </w:div>
    <w:div w:id="931162208">
      <w:bodyDiv w:val="1"/>
      <w:marLeft w:val="0"/>
      <w:marRight w:val="0"/>
      <w:marTop w:val="0"/>
      <w:marBottom w:val="0"/>
      <w:divBdr>
        <w:top w:val="none" w:sz="0" w:space="0" w:color="auto"/>
        <w:left w:val="none" w:sz="0" w:space="0" w:color="auto"/>
        <w:bottom w:val="none" w:sz="0" w:space="0" w:color="auto"/>
        <w:right w:val="none" w:sz="0" w:space="0" w:color="auto"/>
      </w:divBdr>
      <w:divsChild>
        <w:div w:id="1223178686">
          <w:marLeft w:val="0"/>
          <w:marRight w:val="0"/>
          <w:marTop w:val="0"/>
          <w:marBottom w:val="0"/>
          <w:divBdr>
            <w:top w:val="none" w:sz="0" w:space="0" w:color="auto"/>
            <w:left w:val="none" w:sz="0" w:space="0" w:color="auto"/>
            <w:bottom w:val="none" w:sz="0" w:space="0" w:color="auto"/>
            <w:right w:val="none" w:sz="0" w:space="0" w:color="auto"/>
          </w:divBdr>
        </w:div>
      </w:divsChild>
    </w:div>
    <w:div w:id="937643826">
      <w:bodyDiv w:val="1"/>
      <w:marLeft w:val="0"/>
      <w:marRight w:val="0"/>
      <w:marTop w:val="0"/>
      <w:marBottom w:val="0"/>
      <w:divBdr>
        <w:top w:val="none" w:sz="0" w:space="0" w:color="auto"/>
        <w:left w:val="none" w:sz="0" w:space="0" w:color="auto"/>
        <w:bottom w:val="none" w:sz="0" w:space="0" w:color="auto"/>
        <w:right w:val="none" w:sz="0" w:space="0" w:color="auto"/>
      </w:divBdr>
    </w:div>
    <w:div w:id="995649443">
      <w:bodyDiv w:val="1"/>
      <w:marLeft w:val="0"/>
      <w:marRight w:val="0"/>
      <w:marTop w:val="0"/>
      <w:marBottom w:val="0"/>
      <w:divBdr>
        <w:top w:val="none" w:sz="0" w:space="0" w:color="auto"/>
        <w:left w:val="none" w:sz="0" w:space="0" w:color="auto"/>
        <w:bottom w:val="none" w:sz="0" w:space="0" w:color="auto"/>
        <w:right w:val="none" w:sz="0" w:space="0" w:color="auto"/>
      </w:divBdr>
      <w:divsChild>
        <w:div w:id="842208820">
          <w:marLeft w:val="533"/>
          <w:marRight w:val="0"/>
          <w:marTop w:val="120"/>
          <w:marBottom w:val="0"/>
          <w:divBdr>
            <w:top w:val="none" w:sz="0" w:space="0" w:color="auto"/>
            <w:left w:val="none" w:sz="0" w:space="0" w:color="auto"/>
            <w:bottom w:val="none" w:sz="0" w:space="0" w:color="auto"/>
            <w:right w:val="none" w:sz="0" w:space="0" w:color="auto"/>
          </w:divBdr>
        </w:div>
        <w:div w:id="951858792">
          <w:marLeft w:val="533"/>
          <w:marRight w:val="0"/>
          <w:marTop w:val="120"/>
          <w:marBottom w:val="0"/>
          <w:divBdr>
            <w:top w:val="none" w:sz="0" w:space="0" w:color="auto"/>
            <w:left w:val="none" w:sz="0" w:space="0" w:color="auto"/>
            <w:bottom w:val="none" w:sz="0" w:space="0" w:color="auto"/>
            <w:right w:val="none" w:sz="0" w:space="0" w:color="auto"/>
          </w:divBdr>
        </w:div>
      </w:divsChild>
    </w:div>
    <w:div w:id="1008754583">
      <w:bodyDiv w:val="1"/>
      <w:marLeft w:val="0"/>
      <w:marRight w:val="0"/>
      <w:marTop w:val="0"/>
      <w:marBottom w:val="0"/>
      <w:divBdr>
        <w:top w:val="none" w:sz="0" w:space="0" w:color="auto"/>
        <w:left w:val="none" w:sz="0" w:space="0" w:color="auto"/>
        <w:bottom w:val="none" w:sz="0" w:space="0" w:color="auto"/>
        <w:right w:val="none" w:sz="0" w:space="0" w:color="auto"/>
      </w:divBdr>
    </w:div>
    <w:div w:id="1035233045">
      <w:bodyDiv w:val="1"/>
      <w:marLeft w:val="0"/>
      <w:marRight w:val="0"/>
      <w:marTop w:val="0"/>
      <w:marBottom w:val="0"/>
      <w:divBdr>
        <w:top w:val="none" w:sz="0" w:space="0" w:color="auto"/>
        <w:left w:val="none" w:sz="0" w:space="0" w:color="auto"/>
        <w:bottom w:val="none" w:sz="0" w:space="0" w:color="auto"/>
        <w:right w:val="none" w:sz="0" w:space="0" w:color="auto"/>
      </w:divBdr>
    </w:div>
    <w:div w:id="1043362787">
      <w:bodyDiv w:val="1"/>
      <w:marLeft w:val="0"/>
      <w:marRight w:val="0"/>
      <w:marTop w:val="0"/>
      <w:marBottom w:val="0"/>
      <w:divBdr>
        <w:top w:val="none" w:sz="0" w:space="0" w:color="auto"/>
        <w:left w:val="none" w:sz="0" w:space="0" w:color="auto"/>
        <w:bottom w:val="none" w:sz="0" w:space="0" w:color="auto"/>
        <w:right w:val="none" w:sz="0" w:space="0" w:color="auto"/>
      </w:divBdr>
    </w:div>
    <w:div w:id="1064645468">
      <w:bodyDiv w:val="1"/>
      <w:marLeft w:val="0"/>
      <w:marRight w:val="0"/>
      <w:marTop w:val="0"/>
      <w:marBottom w:val="0"/>
      <w:divBdr>
        <w:top w:val="none" w:sz="0" w:space="0" w:color="auto"/>
        <w:left w:val="none" w:sz="0" w:space="0" w:color="auto"/>
        <w:bottom w:val="none" w:sz="0" w:space="0" w:color="auto"/>
        <w:right w:val="none" w:sz="0" w:space="0" w:color="auto"/>
      </w:divBdr>
    </w:div>
    <w:div w:id="1073352238">
      <w:bodyDiv w:val="1"/>
      <w:marLeft w:val="0"/>
      <w:marRight w:val="0"/>
      <w:marTop w:val="0"/>
      <w:marBottom w:val="0"/>
      <w:divBdr>
        <w:top w:val="none" w:sz="0" w:space="0" w:color="auto"/>
        <w:left w:val="none" w:sz="0" w:space="0" w:color="auto"/>
        <w:bottom w:val="none" w:sz="0" w:space="0" w:color="auto"/>
        <w:right w:val="none" w:sz="0" w:space="0" w:color="auto"/>
      </w:divBdr>
      <w:divsChild>
        <w:div w:id="799302574">
          <w:marLeft w:val="0"/>
          <w:marRight w:val="0"/>
          <w:marTop w:val="0"/>
          <w:marBottom w:val="0"/>
          <w:divBdr>
            <w:top w:val="none" w:sz="0" w:space="0" w:color="auto"/>
            <w:left w:val="none" w:sz="0" w:space="0" w:color="auto"/>
            <w:bottom w:val="none" w:sz="0" w:space="0" w:color="auto"/>
            <w:right w:val="none" w:sz="0" w:space="0" w:color="auto"/>
          </w:divBdr>
        </w:div>
      </w:divsChild>
    </w:div>
    <w:div w:id="1080910377">
      <w:bodyDiv w:val="1"/>
      <w:marLeft w:val="0"/>
      <w:marRight w:val="0"/>
      <w:marTop w:val="0"/>
      <w:marBottom w:val="0"/>
      <w:divBdr>
        <w:top w:val="none" w:sz="0" w:space="0" w:color="auto"/>
        <w:left w:val="none" w:sz="0" w:space="0" w:color="auto"/>
        <w:bottom w:val="none" w:sz="0" w:space="0" w:color="auto"/>
        <w:right w:val="none" w:sz="0" w:space="0" w:color="auto"/>
      </w:divBdr>
    </w:div>
    <w:div w:id="1085613295">
      <w:bodyDiv w:val="1"/>
      <w:marLeft w:val="0"/>
      <w:marRight w:val="0"/>
      <w:marTop w:val="0"/>
      <w:marBottom w:val="0"/>
      <w:divBdr>
        <w:top w:val="none" w:sz="0" w:space="0" w:color="auto"/>
        <w:left w:val="none" w:sz="0" w:space="0" w:color="auto"/>
        <w:bottom w:val="none" w:sz="0" w:space="0" w:color="auto"/>
        <w:right w:val="none" w:sz="0" w:space="0" w:color="auto"/>
      </w:divBdr>
    </w:div>
    <w:div w:id="1086150425">
      <w:bodyDiv w:val="1"/>
      <w:marLeft w:val="0"/>
      <w:marRight w:val="0"/>
      <w:marTop w:val="0"/>
      <w:marBottom w:val="0"/>
      <w:divBdr>
        <w:top w:val="none" w:sz="0" w:space="0" w:color="auto"/>
        <w:left w:val="none" w:sz="0" w:space="0" w:color="auto"/>
        <w:bottom w:val="none" w:sz="0" w:space="0" w:color="auto"/>
        <w:right w:val="none" w:sz="0" w:space="0" w:color="auto"/>
      </w:divBdr>
    </w:div>
    <w:div w:id="1105463493">
      <w:bodyDiv w:val="1"/>
      <w:marLeft w:val="0"/>
      <w:marRight w:val="0"/>
      <w:marTop w:val="0"/>
      <w:marBottom w:val="0"/>
      <w:divBdr>
        <w:top w:val="none" w:sz="0" w:space="0" w:color="auto"/>
        <w:left w:val="none" w:sz="0" w:space="0" w:color="auto"/>
        <w:bottom w:val="none" w:sz="0" w:space="0" w:color="auto"/>
        <w:right w:val="none" w:sz="0" w:space="0" w:color="auto"/>
      </w:divBdr>
    </w:div>
    <w:div w:id="1114053025">
      <w:bodyDiv w:val="1"/>
      <w:marLeft w:val="0"/>
      <w:marRight w:val="0"/>
      <w:marTop w:val="0"/>
      <w:marBottom w:val="0"/>
      <w:divBdr>
        <w:top w:val="none" w:sz="0" w:space="0" w:color="auto"/>
        <w:left w:val="none" w:sz="0" w:space="0" w:color="auto"/>
        <w:bottom w:val="none" w:sz="0" w:space="0" w:color="auto"/>
        <w:right w:val="none" w:sz="0" w:space="0" w:color="auto"/>
      </w:divBdr>
    </w:div>
    <w:div w:id="1119765097">
      <w:bodyDiv w:val="1"/>
      <w:marLeft w:val="0"/>
      <w:marRight w:val="0"/>
      <w:marTop w:val="0"/>
      <w:marBottom w:val="0"/>
      <w:divBdr>
        <w:top w:val="none" w:sz="0" w:space="0" w:color="auto"/>
        <w:left w:val="none" w:sz="0" w:space="0" w:color="auto"/>
        <w:bottom w:val="none" w:sz="0" w:space="0" w:color="auto"/>
        <w:right w:val="none" w:sz="0" w:space="0" w:color="auto"/>
      </w:divBdr>
    </w:div>
    <w:div w:id="1126582156">
      <w:bodyDiv w:val="1"/>
      <w:marLeft w:val="0"/>
      <w:marRight w:val="0"/>
      <w:marTop w:val="0"/>
      <w:marBottom w:val="0"/>
      <w:divBdr>
        <w:top w:val="none" w:sz="0" w:space="0" w:color="auto"/>
        <w:left w:val="none" w:sz="0" w:space="0" w:color="auto"/>
        <w:bottom w:val="none" w:sz="0" w:space="0" w:color="auto"/>
        <w:right w:val="none" w:sz="0" w:space="0" w:color="auto"/>
      </w:divBdr>
    </w:div>
    <w:div w:id="1138767164">
      <w:bodyDiv w:val="1"/>
      <w:marLeft w:val="0"/>
      <w:marRight w:val="0"/>
      <w:marTop w:val="0"/>
      <w:marBottom w:val="0"/>
      <w:divBdr>
        <w:top w:val="none" w:sz="0" w:space="0" w:color="auto"/>
        <w:left w:val="none" w:sz="0" w:space="0" w:color="auto"/>
        <w:bottom w:val="none" w:sz="0" w:space="0" w:color="auto"/>
        <w:right w:val="none" w:sz="0" w:space="0" w:color="auto"/>
      </w:divBdr>
    </w:div>
    <w:div w:id="1159541317">
      <w:bodyDiv w:val="1"/>
      <w:marLeft w:val="0"/>
      <w:marRight w:val="0"/>
      <w:marTop w:val="0"/>
      <w:marBottom w:val="0"/>
      <w:divBdr>
        <w:top w:val="none" w:sz="0" w:space="0" w:color="auto"/>
        <w:left w:val="none" w:sz="0" w:space="0" w:color="auto"/>
        <w:bottom w:val="none" w:sz="0" w:space="0" w:color="auto"/>
        <w:right w:val="none" w:sz="0" w:space="0" w:color="auto"/>
      </w:divBdr>
    </w:div>
    <w:div w:id="1174347117">
      <w:bodyDiv w:val="1"/>
      <w:marLeft w:val="0"/>
      <w:marRight w:val="0"/>
      <w:marTop w:val="0"/>
      <w:marBottom w:val="0"/>
      <w:divBdr>
        <w:top w:val="none" w:sz="0" w:space="0" w:color="auto"/>
        <w:left w:val="none" w:sz="0" w:space="0" w:color="auto"/>
        <w:bottom w:val="none" w:sz="0" w:space="0" w:color="auto"/>
        <w:right w:val="none" w:sz="0" w:space="0" w:color="auto"/>
      </w:divBdr>
      <w:divsChild>
        <w:div w:id="623077532">
          <w:marLeft w:val="0"/>
          <w:marRight w:val="0"/>
          <w:marTop w:val="0"/>
          <w:marBottom w:val="0"/>
          <w:divBdr>
            <w:top w:val="none" w:sz="0" w:space="0" w:color="auto"/>
            <w:left w:val="none" w:sz="0" w:space="0" w:color="auto"/>
            <w:bottom w:val="none" w:sz="0" w:space="0" w:color="auto"/>
            <w:right w:val="none" w:sz="0" w:space="0" w:color="auto"/>
          </w:divBdr>
        </w:div>
      </w:divsChild>
    </w:div>
    <w:div w:id="1184172945">
      <w:bodyDiv w:val="1"/>
      <w:marLeft w:val="0"/>
      <w:marRight w:val="0"/>
      <w:marTop w:val="0"/>
      <w:marBottom w:val="0"/>
      <w:divBdr>
        <w:top w:val="none" w:sz="0" w:space="0" w:color="auto"/>
        <w:left w:val="none" w:sz="0" w:space="0" w:color="auto"/>
        <w:bottom w:val="none" w:sz="0" w:space="0" w:color="auto"/>
        <w:right w:val="none" w:sz="0" w:space="0" w:color="auto"/>
      </w:divBdr>
    </w:div>
    <w:div w:id="1207570485">
      <w:bodyDiv w:val="1"/>
      <w:marLeft w:val="0"/>
      <w:marRight w:val="0"/>
      <w:marTop w:val="0"/>
      <w:marBottom w:val="0"/>
      <w:divBdr>
        <w:top w:val="none" w:sz="0" w:space="0" w:color="auto"/>
        <w:left w:val="none" w:sz="0" w:space="0" w:color="auto"/>
        <w:bottom w:val="none" w:sz="0" w:space="0" w:color="auto"/>
        <w:right w:val="none" w:sz="0" w:space="0" w:color="auto"/>
      </w:divBdr>
    </w:div>
    <w:div w:id="1280796680">
      <w:bodyDiv w:val="1"/>
      <w:marLeft w:val="0"/>
      <w:marRight w:val="0"/>
      <w:marTop w:val="0"/>
      <w:marBottom w:val="0"/>
      <w:divBdr>
        <w:top w:val="none" w:sz="0" w:space="0" w:color="auto"/>
        <w:left w:val="none" w:sz="0" w:space="0" w:color="auto"/>
        <w:bottom w:val="none" w:sz="0" w:space="0" w:color="auto"/>
        <w:right w:val="none" w:sz="0" w:space="0" w:color="auto"/>
      </w:divBdr>
    </w:div>
    <w:div w:id="1298413024">
      <w:bodyDiv w:val="1"/>
      <w:marLeft w:val="0"/>
      <w:marRight w:val="0"/>
      <w:marTop w:val="0"/>
      <w:marBottom w:val="0"/>
      <w:divBdr>
        <w:top w:val="none" w:sz="0" w:space="0" w:color="auto"/>
        <w:left w:val="none" w:sz="0" w:space="0" w:color="auto"/>
        <w:bottom w:val="none" w:sz="0" w:space="0" w:color="auto"/>
        <w:right w:val="none" w:sz="0" w:space="0" w:color="auto"/>
      </w:divBdr>
      <w:divsChild>
        <w:div w:id="1017848379">
          <w:marLeft w:val="533"/>
          <w:marRight w:val="0"/>
          <w:marTop w:val="120"/>
          <w:marBottom w:val="0"/>
          <w:divBdr>
            <w:top w:val="none" w:sz="0" w:space="0" w:color="auto"/>
            <w:left w:val="none" w:sz="0" w:space="0" w:color="auto"/>
            <w:bottom w:val="none" w:sz="0" w:space="0" w:color="auto"/>
            <w:right w:val="none" w:sz="0" w:space="0" w:color="auto"/>
          </w:divBdr>
        </w:div>
      </w:divsChild>
    </w:div>
    <w:div w:id="1304964852">
      <w:bodyDiv w:val="1"/>
      <w:marLeft w:val="0"/>
      <w:marRight w:val="0"/>
      <w:marTop w:val="0"/>
      <w:marBottom w:val="0"/>
      <w:divBdr>
        <w:top w:val="none" w:sz="0" w:space="0" w:color="auto"/>
        <w:left w:val="none" w:sz="0" w:space="0" w:color="auto"/>
        <w:bottom w:val="none" w:sz="0" w:space="0" w:color="auto"/>
        <w:right w:val="none" w:sz="0" w:space="0" w:color="auto"/>
      </w:divBdr>
    </w:div>
    <w:div w:id="1344165116">
      <w:bodyDiv w:val="1"/>
      <w:marLeft w:val="0"/>
      <w:marRight w:val="0"/>
      <w:marTop w:val="0"/>
      <w:marBottom w:val="0"/>
      <w:divBdr>
        <w:top w:val="none" w:sz="0" w:space="0" w:color="auto"/>
        <w:left w:val="none" w:sz="0" w:space="0" w:color="auto"/>
        <w:bottom w:val="none" w:sz="0" w:space="0" w:color="auto"/>
        <w:right w:val="none" w:sz="0" w:space="0" w:color="auto"/>
      </w:divBdr>
    </w:div>
    <w:div w:id="1347027026">
      <w:bodyDiv w:val="1"/>
      <w:marLeft w:val="0"/>
      <w:marRight w:val="0"/>
      <w:marTop w:val="0"/>
      <w:marBottom w:val="0"/>
      <w:divBdr>
        <w:top w:val="none" w:sz="0" w:space="0" w:color="auto"/>
        <w:left w:val="none" w:sz="0" w:space="0" w:color="auto"/>
        <w:bottom w:val="none" w:sz="0" w:space="0" w:color="auto"/>
        <w:right w:val="none" w:sz="0" w:space="0" w:color="auto"/>
      </w:divBdr>
    </w:div>
    <w:div w:id="1357196507">
      <w:bodyDiv w:val="1"/>
      <w:marLeft w:val="0"/>
      <w:marRight w:val="0"/>
      <w:marTop w:val="0"/>
      <w:marBottom w:val="0"/>
      <w:divBdr>
        <w:top w:val="none" w:sz="0" w:space="0" w:color="auto"/>
        <w:left w:val="none" w:sz="0" w:space="0" w:color="auto"/>
        <w:bottom w:val="none" w:sz="0" w:space="0" w:color="auto"/>
        <w:right w:val="none" w:sz="0" w:space="0" w:color="auto"/>
      </w:divBdr>
      <w:divsChild>
        <w:div w:id="133068627">
          <w:marLeft w:val="0"/>
          <w:marRight w:val="0"/>
          <w:marTop w:val="0"/>
          <w:marBottom w:val="0"/>
          <w:divBdr>
            <w:top w:val="none" w:sz="0" w:space="0" w:color="auto"/>
            <w:left w:val="none" w:sz="0" w:space="0" w:color="auto"/>
            <w:bottom w:val="none" w:sz="0" w:space="0" w:color="auto"/>
            <w:right w:val="none" w:sz="0" w:space="0" w:color="auto"/>
          </w:divBdr>
        </w:div>
      </w:divsChild>
    </w:div>
    <w:div w:id="1371341028">
      <w:bodyDiv w:val="1"/>
      <w:marLeft w:val="0"/>
      <w:marRight w:val="0"/>
      <w:marTop w:val="0"/>
      <w:marBottom w:val="0"/>
      <w:divBdr>
        <w:top w:val="none" w:sz="0" w:space="0" w:color="auto"/>
        <w:left w:val="none" w:sz="0" w:space="0" w:color="auto"/>
        <w:bottom w:val="none" w:sz="0" w:space="0" w:color="auto"/>
        <w:right w:val="none" w:sz="0" w:space="0" w:color="auto"/>
      </w:divBdr>
    </w:div>
    <w:div w:id="1389497229">
      <w:bodyDiv w:val="1"/>
      <w:marLeft w:val="0"/>
      <w:marRight w:val="0"/>
      <w:marTop w:val="0"/>
      <w:marBottom w:val="0"/>
      <w:divBdr>
        <w:top w:val="none" w:sz="0" w:space="0" w:color="auto"/>
        <w:left w:val="none" w:sz="0" w:space="0" w:color="auto"/>
        <w:bottom w:val="none" w:sz="0" w:space="0" w:color="auto"/>
        <w:right w:val="none" w:sz="0" w:space="0" w:color="auto"/>
      </w:divBdr>
    </w:div>
    <w:div w:id="1406148580">
      <w:bodyDiv w:val="1"/>
      <w:marLeft w:val="0"/>
      <w:marRight w:val="0"/>
      <w:marTop w:val="0"/>
      <w:marBottom w:val="0"/>
      <w:divBdr>
        <w:top w:val="none" w:sz="0" w:space="0" w:color="auto"/>
        <w:left w:val="none" w:sz="0" w:space="0" w:color="auto"/>
        <w:bottom w:val="none" w:sz="0" w:space="0" w:color="auto"/>
        <w:right w:val="none" w:sz="0" w:space="0" w:color="auto"/>
      </w:divBdr>
      <w:divsChild>
        <w:div w:id="2091074360">
          <w:marLeft w:val="533"/>
          <w:marRight w:val="0"/>
          <w:marTop w:val="120"/>
          <w:marBottom w:val="0"/>
          <w:divBdr>
            <w:top w:val="none" w:sz="0" w:space="0" w:color="auto"/>
            <w:left w:val="none" w:sz="0" w:space="0" w:color="auto"/>
            <w:bottom w:val="none" w:sz="0" w:space="0" w:color="auto"/>
            <w:right w:val="none" w:sz="0" w:space="0" w:color="auto"/>
          </w:divBdr>
        </w:div>
      </w:divsChild>
    </w:div>
    <w:div w:id="1503739994">
      <w:bodyDiv w:val="1"/>
      <w:marLeft w:val="0"/>
      <w:marRight w:val="0"/>
      <w:marTop w:val="0"/>
      <w:marBottom w:val="0"/>
      <w:divBdr>
        <w:top w:val="none" w:sz="0" w:space="0" w:color="auto"/>
        <w:left w:val="none" w:sz="0" w:space="0" w:color="auto"/>
        <w:bottom w:val="none" w:sz="0" w:space="0" w:color="auto"/>
        <w:right w:val="none" w:sz="0" w:space="0" w:color="auto"/>
      </w:divBdr>
    </w:div>
    <w:div w:id="1525437365">
      <w:bodyDiv w:val="1"/>
      <w:marLeft w:val="0"/>
      <w:marRight w:val="0"/>
      <w:marTop w:val="0"/>
      <w:marBottom w:val="0"/>
      <w:divBdr>
        <w:top w:val="none" w:sz="0" w:space="0" w:color="auto"/>
        <w:left w:val="none" w:sz="0" w:space="0" w:color="auto"/>
        <w:bottom w:val="none" w:sz="0" w:space="0" w:color="auto"/>
        <w:right w:val="none" w:sz="0" w:space="0" w:color="auto"/>
      </w:divBdr>
    </w:div>
    <w:div w:id="1533687695">
      <w:bodyDiv w:val="1"/>
      <w:marLeft w:val="0"/>
      <w:marRight w:val="0"/>
      <w:marTop w:val="0"/>
      <w:marBottom w:val="0"/>
      <w:divBdr>
        <w:top w:val="none" w:sz="0" w:space="0" w:color="auto"/>
        <w:left w:val="none" w:sz="0" w:space="0" w:color="auto"/>
        <w:bottom w:val="none" w:sz="0" w:space="0" w:color="auto"/>
        <w:right w:val="none" w:sz="0" w:space="0" w:color="auto"/>
      </w:divBdr>
    </w:div>
    <w:div w:id="1554346420">
      <w:bodyDiv w:val="1"/>
      <w:marLeft w:val="0"/>
      <w:marRight w:val="0"/>
      <w:marTop w:val="0"/>
      <w:marBottom w:val="0"/>
      <w:divBdr>
        <w:top w:val="none" w:sz="0" w:space="0" w:color="auto"/>
        <w:left w:val="none" w:sz="0" w:space="0" w:color="auto"/>
        <w:bottom w:val="none" w:sz="0" w:space="0" w:color="auto"/>
        <w:right w:val="none" w:sz="0" w:space="0" w:color="auto"/>
      </w:divBdr>
    </w:div>
    <w:div w:id="1567452836">
      <w:bodyDiv w:val="1"/>
      <w:marLeft w:val="0"/>
      <w:marRight w:val="0"/>
      <w:marTop w:val="0"/>
      <w:marBottom w:val="0"/>
      <w:divBdr>
        <w:top w:val="none" w:sz="0" w:space="0" w:color="auto"/>
        <w:left w:val="none" w:sz="0" w:space="0" w:color="auto"/>
        <w:bottom w:val="none" w:sz="0" w:space="0" w:color="auto"/>
        <w:right w:val="none" w:sz="0" w:space="0" w:color="auto"/>
      </w:divBdr>
    </w:div>
    <w:div w:id="1587768524">
      <w:bodyDiv w:val="1"/>
      <w:marLeft w:val="0"/>
      <w:marRight w:val="0"/>
      <w:marTop w:val="0"/>
      <w:marBottom w:val="0"/>
      <w:divBdr>
        <w:top w:val="none" w:sz="0" w:space="0" w:color="auto"/>
        <w:left w:val="none" w:sz="0" w:space="0" w:color="auto"/>
        <w:bottom w:val="none" w:sz="0" w:space="0" w:color="auto"/>
        <w:right w:val="none" w:sz="0" w:space="0" w:color="auto"/>
      </w:divBdr>
    </w:div>
    <w:div w:id="1589848901">
      <w:bodyDiv w:val="1"/>
      <w:marLeft w:val="0"/>
      <w:marRight w:val="0"/>
      <w:marTop w:val="0"/>
      <w:marBottom w:val="0"/>
      <w:divBdr>
        <w:top w:val="none" w:sz="0" w:space="0" w:color="auto"/>
        <w:left w:val="none" w:sz="0" w:space="0" w:color="auto"/>
        <w:bottom w:val="none" w:sz="0" w:space="0" w:color="auto"/>
        <w:right w:val="none" w:sz="0" w:space="0" w:color="auto"/>
      </w:divBdr>
    </w:div>
    <w:div w:id="1607690740">
      <w:bodyDiv w:val="1"/>
      <w:marLeft w:val="0"/>
      <w:marRight w:val="0"/>
      <w:marTop w:val="0"/>
      <w:marBottom w:val="0"/>
      <w:divBdr>
        <w:top w:val="none" w:sz="0" w:space="0" w:color="auto"/>
        <w:left w:val="none" w:sz="0" w:space="0" w:color="auto"/>
        <w:bottom w:val="none" w:sz="0" w:space="0" w:color="auto"/>
        <w:right w:val="none" w:sz="0" w:space="0" w:color="auto"/>
      </w:divBdr>
    </w:div>
    <w:div w:id="1643121107">
      <w:bodyDiv w:val="1"/>
      <w:marLeft w:val="0"/>
      <w:marRight w:val="0"/>
      <w:marTop w:val="0"/>
      <w:marBottom w:val="0"/>
      <w:divBdr>
        <w:top w:val="none" w:sz="0" w:space="0" w:color="auto"/>
        <w:left w:val="none" w:sz="0" w:space="0" w:color="auto"/>
        <w:bottom w:val="none" w:sz="0" w:space="0" w:color="auto"/>
        <w:right w:val="none" w:sz="0" w:space="0" w:color="auto"/>
      </w:divBdr>
    </w:div>
    <w:div w:id="1689597116">
      <w:bodyDiv w:val="1"/>
      <w:marLeft w:val="0"/>
      <w:marRight w:val="0"/>
      <w:marTop w:val="0"/>
      <w:marBottom w:val="0"/>
      <w:divBdr>
        <w:top w:val="none" w:sz="0" w:space="0" w:color="auto"/>
        <w:left w:val="none" w:sz="0" w:space="0" w:color="auto"/>
        <w:bottom w:val="none" w:sz="0" w:space="0" w:color="auto"/>
        <w:right w:val="none" w:sz="0" w:space="0" w:color="auto"/>
      </w:divBdr>
    </w:div>
    <w:div w:id="1715813210">
      <w:bodyDiv w:val="1"/>
      <w:marLeft w:val="0"/>
      <w:marRight w:val="0"/>
      <w:marTop w:val="0"/>
      <w:marBottom w:val="0"/>
      <w:divBdr>
        <w:top w:val="none" w:sz="0" w:space="0" w:color="auto"/>
        <w:left w:val="none" w:sz="0" w:space="0" w:color="auto"/>
        <w:bottom w:val="none" w:sz="0" w:space="0" w:color="auto"/>
        <w:right w:val="none" w:sz="0" w:space="0" w:color="auto"/>
      </w:divBdr>
    </w:div>
    <w:div w:id="1768649751">
      <w:bodyDiv w:val="1"/>
      <w:marLeft w:val="0"/>
      <w:marRight w:val="0"/>
      <w:marTop w:val="0"/>
      <w:marBottom w:val="0"/>
      <w:divBdr>
        <w:top w:val="none" w:sz="0" w:space="0" w:color="auto"/>
        <w:left w:val="none" w:sz="0" w:space="0" w:color="auto"/>
        <w:bottom w:val="none" w:sz="0" w:space="0" w:color="auto"/>
        <w:right w:val="none" w:sz="0" w:space="0" w:color="auto"/>
      </w:divBdr>
    </w:div>
    <w:div w:id="1778795599">
      <w:bodyDiv w:val="1"/>
      <w:marLeft w:val="0"/>
      <w:marRight w:val="0"/>
      <w:marTop w:val="0"/>
      <w:marBottom w:val="0"/>
      <w:divBdr>
        <w:top w:val="none" w:sz="0" w:space="0" w:color="auto"/>
        <w:left w:val="none" w:sz="0" w:space="0" w:color="auto"/>
        <w:bottom w:val="none" w:sz="0" w:space="0" w:color="auto"/>
        <w:right w:val="none" w:sz="0" w:space="0" w:color="auto"/>
      </w:divBdr>
    </w:div>
    <w:div w:id="1792163722">
      <w:bodyDiv w:val="1"/>
      <w:marLeft w:val="0"/>
      <w:marRight w:val="0"/>
      <w:marTop w:val="0"/>
      <w:marBottom w:val="0"/>
      <w:divBdr>
        <w:top w:val="none" w:sz="0" w:space="0" w:color="auto"/>
        <w:left w:val="none" w:sz="0" w:space="0" w:color="auto"/>
        <w:bottom w:val="none" w:sz="0" w:space="0" w:color="auto"/>
        <w:right w:val="none" w:sz="0" w:space="0" w:color="auto"/>
      </w:divBdr>
    </w:div>
    <w:div w:id="1802070609">
      <w:bodyDiv w:val="1"/>
      <w:marLeft w:val="0"/>
      <w:marRight w:val="0"/>
      <w:marTop w:val="0"/>
      <w:marBottom w:val="0"/>
      <w:divBdr>
        <w:top w:val="none" w:sz="0" w:space="0" w:color="auto"/>
        <w:left w:val="none" w:sz="0" w:space="0" w:color="auto"/>
        <w:bottom w:val="none" w:sz="0" w:space="0" w:color="auto"/>
        <w:right w:val="none" w:sz="0" w:space="0" w:color="auto"/>
      </w:divBdr>
    </w:div>
    <w:div w:id="1810707997">
      <w:bodyDiv w:val="1"/>
      <w:marLeft w:val="0"/>
      <w:marRight w:val="0"/>
      <w:marTop w:val="0"/>
      <w:marBottom w:val="0"/>
      <w:divBdr>
        <w:top w:val="none" w:sz="0" w:space="0" w:color="auto"/>
        <w:left w:val="none" w:sz="0" w:space="0" w:color="auto"/>
        <w:bottom w:val="none" w:sz="0" w:space="0" w:color="auto"/>
        <w:right w:val="none" w:sz="0" w:space="0" w:color="auto"/>
      </w:divBdr>
    </w:div>
    <w:div w:id="1814761323">
      <w:bodyDiv w:val="1"/>
      <w:marLeft w:val="0"/>
      <w:marRight w:val="0"/>
      <w:marTop w:val="0"/>
      <w:marBottom w:val="0"/>
      <w:divBdr>
        <w:top w:val="none" w:sz="0" w:space="0" w:color="auto"/>
        <w:left w:val="none" w:sz="0" w:space="0" w:color="auto"/>
        <w:bottom w:val="none" w:sz="0" w:space="0" w:color="auto"/>
        <w:right w:val="none" w:sz="0" w:space="0" w:color="auto"/>
      </w:divBdr>
    </w:div>
    <w:div w:id="1816945865">
      <w:bodyDiv w:val="1"/>
      <w:marLeft w:val="0"/>
      <w:marRight w:val="0"/>
      <w:marTop w:val="0"/>
      <w:marBottom w:val="0"/>
      <w:divBdr>
        <w:top w:val="none" w:sz="0" w:space="0" w:color="auto"/>
        <w:left w:val="none" w:sz="0" w:space="0" w:color="auto"/>
        <w:bottom w:val="none" w:sz="0" w:space="0" w:color="auto"/>
        <w:right w:val="none" w:sz="0" w:space="0" w:color="auto"/>
      </w:divBdr>
    </w:div>
    <w:div w:id="1819304187">
      <w:bodyDiv w:val="1"/>
      <w:marLeft w:val="0"/>
      <w:marRight w:val="0"/>
      <w:marTop w:val="0"/>
      <w:marBottom w:val="0"/>
      <w:divBdr>
        <w:top w:val="none" w:sz="0" w:space="0" w:color="auto"/>
        <w:left w:val="none" w:sz="0" w:space="0" w:color="auto"/>
        <w:bottom w:val="none" w:sz="0" w:space="0" w:color="auto"/>
        <w:right w:val="none" w:sz="0" w:space="0" w:color="auto"/>
      </w:divBdr>
    </w:div>
    <w:div w:id="1827938263">
      <w:bodyDiv w:val="1"/>
      <w:marLeft w:val="0"/>
      <w:marRight w:val="0"/>
      <w:marTop w:val="0"/>
      <w:marBottom w:val="0"/>
      <w:divBdr>
        <w:top w:val="none" w:sz="0" w:space="0" w:color="auto"/>
        <w:left w:val="none" w:sz="0" w:space="0" w:color="auto"/>
        <w:bottom w:val="none" w:sz="0" w:space="0" w:color="auto"/>
        <w:right w:val="none" w:sz="0" w:space="0" w:color="auto"/>
      </w:divBdr>
    </w:div>
    <w:div w:id="1844273121">
      <w:bodyDiv w:val="1"/>
      <w:marLeft w:val="0"/>
      <w:marRight w:val="0"/>
      <w:marTop w:val="0"/>
      <w:marBottom w:val="0"/>
      <w:divBdr>
        <w:top w:val="none" w:sz="0" w:space="0" w:color="auto"/>
        <w:left w:val="none" w:sz="0" w:space="0" w:color="auto"/>
        <w:bottom w:val="none" w:sz="0" w:space="0" w:color="auto"/>
        <w:right w:val="none" w:sz="0" w:space="0" w:color="auto"/>
      </w:divBdr>
    </w:div>
    <w:div w:id="1879973795">
      <w:bodyDiv w:val="1"/>
      <w:marLeft w:val="0"/>
      <w:marRight w:val="0"/>
      <w:marTop w:val="0"/>
      <w:marBottom w:val="0"/>
      <w:divBdr>
        <w:top w:val="none" w:sz="0" w:space="0" w:color="auto"/>
        <w:left w:val="none" w:sz="0" w:space="0" w:color="auto"/>
        <w:bottom w:val="none" w:sz="0" w:space="0" w:color="auto"/>
        <w:right w:val="none" w:sz="0" w:space="0" w:color="auto"/>
      </w:divBdr>
    </w:div>
    <w:div w:id="1904098233">
      <w:bodyDiv w:val="1"/>
      <w:marLeft w:val="0"/>
      <w:marRight w:val="0"/>
      <w:marTop w:val="0"/>
      <w:marBottom w:val="0"/>
      <w:divBdr>
        <w:top w:val="none" w:sz="0" w:space="0" w:color="auto"/>
        <w:left w:val="none" w:sz="0" w:space="0" w:color="auto"/>
        <w:bottom w:val="none" w:sz="0" w:space="0" w:color="auto"/>
        <w:right w:val="none" w:sz="0" w:space="0" w:color="auto"/>
      </w:divBdr>
      <w:divsChild>
        <w:div w:id="369652213">
          <w:marLeft w:val="533"/>
          <w:marRight w:val="0"/>
          <w:marTop w:val="120"/>
          <w:marBottom w:val="0"/>
          <w:divBdr>
            <w:top w:val="none" w:sz="0" w:space="0" w:color="auto"/>
            <w:left w:val="none" w:sz="0" w:space="0" w:color="auto"/>
            <w:bottom w:val="none" w:sz="0" w:space="0" w:color="auto"/>
            <w:right w:val="none" w:sz="0" w:space="0" w:color="auto"/>
          </w:divBdr>
        </w:div>
      </w:divsChild>
    </w:div>
    <w:div w:id="1908686704">
      <w:bodyDiv w:val="1"/>
      <w:marLeft w:val="0"/>
      <w:marRight w:val="0"/>
      <w:marTop w:val="0"/>
      <w:marBottom w:val="0"/>
      <w:divBdr>
        <w:top w:val="none" w:sz="0" w:space="0" w:color="auto"/>
        <w:left w:val="none" w:sz="0" w:space="0" w:color="auto"/>
        <w:bottom w:val="none" w:sz="0" w:space="0" w:color="auto"/>
        <w:right w:val="none" w:sz="0" w:space="0" w:color="auto"/>
      </w:divBdr>
    </w:div>
    <w:div w:id="1929970459">
      <w:bodyDiv w:val="1"/>
      <w:marLeft w:val="0"/>
      <w:marRight w:val="0"/>
      <w:marTop w:val="0"/>
      <w:marBottom w:val="0"/>
      <w:divBdr>
        <w:top w:val="none" w:sz="0" w:space="0" w:color="auto"/>
        <w:left w:val="none" w:sz="0" w:space="0" w:color="auto"/>
        <w:bottom w:val="none" w:sz="0" w:space="0" w:color="auto"/>
        <w:right w:val="none" w:sz="0" w:space="0" w:color="auto"/>
      </w:divBdr>
    </w:div>
    <w:div w:id="1946769948">
      <w:bodyDiv w:val="1"/>
      <w:marLeft w:val="0"/>
      <w:marRight w:val="0"/>
      <w:marTop w:val="0"/>
      <w:marBottom w:val="0"/>
      <w:divBdr>
        <w:top w:val="none" w:sz="0" w:space="0" w:color="auto"/>
        <w:left w:val="none" w:sz="0" w:space="0" w:color="auto"/>
        <w:bottom w:val="none" w:sz="0" w:space="0" w:color="auto"/>
        <w:right w:val="none" w:sz="0" w:space="0" w:color="auto"/>
      </w:divBdr>
    </w:div>
    <w:div w:id="1964118590">
      <w:bodyDiv w:val="1"/>
      <w:marLeft w:val="0"/>
      <w:marRight w:val="0"/>
      <w:marTop w:val="0"/>
      <w:marBottom w:val="0"/>
      <w:divBdr>
        <w:top w:val="none" w:sz="0" w:space="0" w:color="auto"/>
        <w:left w:val="none" w:sz="0" w:space="0" w:color="auto"/>
        <w:bottom w:val="none" w:sz="0" w:space="0" w:color="auto"/>
        <w:right w:val="none" w:sz="0" w:space="0" w:color="auto"/>
      </w:divBdr>
      <w:divsChild>
        <w:div w:id="2129353941">
          <w:marLeft w:val="533"/>
          <w:marRight w:val="0"/>
          <w:marTop w:val="120"/>
          <w:marBottom w:val="0"/>
          <w:divBdr>
            <w:top w:val="none" w:sz="0" w:space="0" w:color="auto"/>
            <w:left w:val="none" w:sz="0" w:space="0" w:color="auto"/>
            <w:bottom w:val="none" w:sz="0" w:space="0" w:color="auto"/>
            <w:right w:val="none" w:sz="0" w:space="0" w:color="auto"/>
          </w:divBdr>
        </w:div>
      </w:divsChild>
    </w:div>
    <w:div w:id="1971666467">
      <w:bodyDiv w:val="1"/>
      <w:marLeft w:val="0"/>
      <w:marRight w:val="0"/>
      <w:marTop w:val="0"/>
      <w:marBottom w:val="0"/>
      <w:divBdr>
        <w:top w:val="none" w:sz="0" w:space="0" w:color="auto"/>
        <w:left w:val="none" w:sz="0" w:space="0" w:color="auto"/>
        <w:bottom w:val="none" w:sz="0" w:space="0" w:color="auto"/>
        <w:right w:val="none" w:sz="0" w:space="0" w:color="auto"/>
      </w:divBdr>
    </w:div>
    <w:div w:id="1980376270">
      <w:bodyDiv w:val="1"/>
      <w:marLeft w:val="0"/>
      <w:marRight w:val="0"/>
      <w:marTop w:val="0"/>
      <w:marBottom w:val="0"/>
      <w:divBdr>
        <w:top w:val="none" w:sz="0" w:space="0" w:color="auto"/>
        <w:left w:val="none" w:sz="0" w:space="0" w:color="auto"/>
        <w:bottom w:val="none" w:sz="0" w:space="0" w:color="auto"/>
        <w:right w:val="none" w:sz="0" w:space="0" w:color="auto"/>
      </w:divBdr>
    </w:div>
    <w:div w:id="2011062938">
      <w:bodyDiv w:val="1"/>
      <w:marLeft w:val="0"/>
      <w:marRight w:val="0"/>
      <w:marTop w:val="0"/>
      <w:marBottom w:val="0"/>
      <w:divBdr>
        <w:top w:val="none" w:sz="0" w:space="0" w:color="auto"/>
        <w:left w:val="none" w:sz="0" w:space="0" w:color="auto"/>
        <w:bottom w:val="none" w:sz="0" w:space="0" w:color="auto"/>
        <w:right w:val="none" w:sz="0" w:space="0" w:color="auto"/>
      </w:divBdr>
      <w:divsChild>
        <w:div w:id="750197585">
          <w:marLeft w:val="533"/>
          <w:marRight w:val="0"/>
          <w:marTop w:val="120"/>
          <w:marBottom w:val="0"/>
          <w:divBdr>
            <w:top w:val="none" w:sz="0" w:space="0" w:color="auto"/>
            <w:left w:val="none" w:sz="0" w:space="0" w:color="auto"/>
            <w:bottom w:val="none" w:sz="0" w:space="0" w:color="auto"/>
            <w:right w:val="none" w:sz="0" w:space="0" w:color="auto"/>
          </w:divBdr>
        </w:div>
      </w:divsChild>
    </w:div>
    <w:div w:id="2029015173">
      <w:bodyDiv w:val="1"/>
      <w:marLeft w:val="0"/>
      <w:marRight w:val="0"/>
      <w:marTop w:val="0"/>
      <w:marBottom w:val="0"/>
      <w:divBdr>
        <w:top w:val="none" w:sz="0" w:space="0" w:color="auto"/>
        <w:left w:val="none" w:sz="0" w:space="0" w:color="auto"/>
        <w:bottom w:val="none" w:sz="0" w:space="0" w:color="auto"/>
        <w:right w:val="none" w:sz="0" w:space="0" w:color="auto"/>
      </w:divBdr>
    </w:div>
    <w:div w:id="2045788401">
      <w:bodyDiv w:val="1"/>
      <w:marLeft w:val="0"/>
      <w:marRight w:val="0"/>
      <w:marTop w:val="0"/>
      <w:marBottom w:val="0"/>
      <w:divBdr>
        <w:top w:val="none" w:sz="0" w:space="0" w:color="auto"/>
        <w:left w:val="none" w:sz="0" w:space="0" w:color="auto"/>
        <w:bottom w:val="none" w:sz="0" w:space="0" w:color="auto"/>
        <w:right w:val="none" w:sz="0" w:space="0" w:color="auto"/>
      </w:divBdr>
    </w:div>
    <w:div w:id="2062752289">
      <w:bodyDiv w:val="1"/>
      <w:marLeft w:val="0"/>
      <w:marRight w:val="0"/>
      <w:marTop w:val="0"/>
      <w:marBottom w:val="0"/>
      <w:divBdr>
        <w:top w:val="none" w:sz="0" w:space="0" w:color="auto"/>
        <w:left w:val="none" w:sz="0" w:space="0" w:color="auto"/>
        <w:bottom w:val="none" w:sz="0" w:space="0" w:color="auto"/>
        <w:right w:val="none" w:sz="0" w:space="0" w:color="auto"/>
      </w:divBdr>
      <w:divsChild>
        <w:div w:id="840705970">
          <w:marLeft w:val="0"/>
          <w:marRight w:val="0"/>
          <w:marTop w:val="0"/>
          <w:marBottom w:val="0"/>
          <w:divBdr>
            <w:top w:val="none" w:sz="0" w:space="0" w:color="auto"/>
            <w:left w:val="none" w:sz="0" w:space="0" w:color="auto"/>
            <w:bottom w:val="none" w:sz="0" w:space="0" w:color="auto"/>
            <w:right w:val="none" w:sz="0" w:space="0" w:color="auto"/>
          </w:divBdr>
        </w:div>
      </w:divsChild>
    </w:div>
    <w:div w:id="2071031973">
      <w:bodyDiv w:val="1"/>
      <w:marLeft w:val="0"/>
      <w:marRight w:val="0"/>
      <w:marTop w:val="0"/>
      <w:marBottom w:val="0"/>
      <w:divBdr>
        <w:top w:val="none" w:sz="0" w:space="0" w:color="auto"/>
        <w:left w:val="none" w:sz="0" w:space="0" w:color="auto"/>
        <w:bottom w:val="none" w:sz="0" w:space="0" w:color="auto"/>
        <w:right w:val="none" w:sz="0" w:space="0" w:color="auto"/>
      </w:divBdr>
    </w:div>
    <w:div w:id="2072653167">
      <w:bodyDiv w:val="1"/>
      <w:marLeft w:val="0"/>
      <w:marRight w:val="0"/>
      <w:marTop w:val="0"/>
      <w:marBottom w:val="0"/>
      <w:divBdr>
        <w:top w:val="none" w:sz="0" w:space="0" w:color="auto"/>
        <w:left w:val="none" w:sz="0" w:space="0" w:color="auto"/>
        <w:bottom w:val="none" w:sz="0" w:space="0" w:color="auto"/>
        <w:right w:val="none" w:sz="0" w:space="0" w:color="auto"/>
      </w:divBdr>
    </w:div>
    <w:div w:id="2077632041">
      <w:bodyDiv w:val="1"/>
      <w:marLeft w:val="0"/>
      <w:marRight w:val="0"/>
      <w:marTop w:val="0"/>
      <w:marBottom w:val="0"/>
      <w:divBdr>
        <w:top w:val="none" w:sz="0" w:space="0" w:color="auto"/>
        <w:left w:val="none" w:sz="0" w:space="0" w:color="auto"/>
        <w:bottom w:val="none" w:sz="0" w:space="0" w:color="auto"/>
        <w:right w:val="none" w:sz="0" w:space="0" w:color="auto"/>
      </w:divBdr>
    </w:div>
    <w:div w:id="2077891924">
      <w:bodyDiv w:val="1"/>
      <w:marLeft w:val="0"/>
      <w:marRight w:val="0"/>
      <w:marTop w:val="0"/>
      <w:marBottom w:val="0"/>
      <w:divBdr>
        <w:top w:val="none" w:sz="0" w:space="0" w:color="auto"/>
        <w:left w:val="none" w:sz="0" w:space="0" w:color="auto"/>
        <w:bottom w:val="none" w:sz="0" w:space="0" w:color="auto"/>
        <w:right w:val="none" w:sz="0" w:space="0" w:color="auto"/>
      </w:divBdr>
    </w:div>
    <w:div w:id="2089034774">
      <w:bodyDiv w:val="1"/>
      <w:marLeft w:val="0"/>
      <w:marRight w:val="0"/>
      <w:marTop w:val="0"/>
      <w:marBottom w:val="0"/>
      <w:divBdr>
        <w:top w:val="none" w:sz="0" w:space="0" w:color="auto"/>
        <w:left w:val="none" w:sz="0" w:space="0" w:color="auto"/>
        <w:bottom w:val="none" w:sz="0" w:space="0" w:color="auto"/>
        <w:right w:val="none" w:sz="0" w:space="0" w:color="auto"/>
      </w:divBdr>
      <w:divsChild>
        <w:div w:id="700591324">
          <w:marLeft w:val="0"/>
          <w:marRight w:val="0"/>
          <w:marTop w:val="0"/>
          <w:marBottom w:val="0"/>
          <w:divBdr>
            <w:top w:val="none" w:sz="0" w:space="0" w:color="auto"/>
            <w:left w:val="none" w:sz="0" w:space="0" w:color="auto"/>
            <w:bottom w:val="none" w:sz="0" w:space="0" w:color="auto"/>
            <w:right w:val="none" w:sz="0" w:space="0" w:color="auto"/>
          </w:divBdr>
        </w:div>
      </w:divsChild>
    </w:div>
    <w:div w:id="2103530604">
      <w:bodyDiv w:val="1"/>
      <w:marLeft w:val="0"/>
      <w:marRight w:val="0"/>
      <w:marTop w:val="0"/>
      <w:marBottom w:val="0"/>
      <w:divBdr>
        <w:top w:val="none" w:sz="0" w:space="0" w:color="auto"/>
        <w:left w:val="none" w:sz="0" w:space="0" w:color="auto"/>
        <w:bottom w:val="none" w:sz="0" w:space="0" w:color="auto"/>
        <w:right w:val="none" w:sz="0" w:space="0" w:color="auto"/>
      </w:divBdr>
      <w:divsChild>
        <w:div w:id="727412153">
          <w:marLeft w:val="533"/>
          <w:marRight w:val="0"/>
          <w:marTop w:val="120"/>
          <w:marBottom w:val="0"/>
          <w:divBdr>
            <w:top w:val="none" w:sz="0" w:space="0" w:color="auto"/>
            <w:left w:val="none" w:sz="0" w:space="0" w:color="auto"/>
            <w:bottom w:val="none" w:sz="0" w:space="0" w:color="auto"/>
            <w:right w:val="none" w:sz="0" w:space="0" w:color="auto"/>
          </w:divBdr>
        </w:div>
      </w:divsChild>
    </w:div>
    <w:div w:id="2109235321">
      <w:bodyDiv w:val="1"/>
      <w:marLeft w:val="0"/>
      <w:marRight w:val="0"/>
      <w:marTop w:val="0"/>
      <w:marBottom w:val="0"/>
      <w:divBdr>
        <w:top w:val="none" w:sz="0" w:space="0" w:color="auto"/>
        <w:left w:val="none" w:sz="0" w:space="0" w:color="auto"/>
        <w:bottom w:val="none" w:sz="0" w:space="0" w:color="auto"/>
        <w:right w:val="none" w:sz="0" w:space="0" w:color="auto"/>
      </w:divBdr>
      <w:divsChild>
        <w:div w:id="330455766">
          <w:marLeft w:val="0"/>
          <w:marRight w:val="0"/>
          <w:marTop w:val="0"/>
          <w:marBottom w:val="0"/>
          <w:divBdr>
            <w:top w:val="none" w:sz="0" w:space="0" w:color="auto"/>
            <w:left w:val="none" w:sz="0" w:space="0" w:color="auto"/>
            <w:bottom w:val="none" w:sz="0" w:space="0" w:color="auto"/>
            <w:right w:val="none" w:sz="0" w:space="0" w:color="auto"/>
          </w:divBdr>
          <w:divsChild>
            <w:div w:id="1348016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4671348">
      <w:bodyDiv w:val="1"/>
      <w:marLeft w:val="0"/>
      <w:marRight w:val="0"/>
      <w:marTop w:val="0"/>
      <w:marBottom w:val="0"/>
      <w:divBdr>
        <w:top w:val="none" w:sz="0" w:space="0" w:color="auto"/>
        <w:left w:val="none" w:sz="0" w:space="0" w:color="auto"/>
        <w:bottom w:val="none" w:sz="0" w:space="0" w:color="auto"/>
        <w:right w:val="none" w:sz="0" w:space="0" w:color="auto"/>
      </w:divBdr>
    </w:div>
    <w:div w:id="2126656195">
      <w:bodyDiv w:val="1"/>
      <w:marLeft w:val="0"/>
      <w:marRight w:val="0"/>
      <w:marTop w:val="0"/>
      <w:marBottom w:val="0"/>
      <w:divBdr>
        <w:top w:val="none" w:sz="0" w:space="0" w:color="auto"/>
        <w:left w:val="none" w:sz="0" w:space="0" w:color="auto"/>
        <w:bottom w:val="none" w:sz="0" w:space="0" w:color="auto"/>
        <w:right w:val="none" w:sz="0" w:space="0" w:color="auto"/>
      </w:divBdr>
    </w:div>
    <w:div w:id="2129398135">
      <w:bodyDiv w:val="1"/>
      <w:marLeft w:val="0"/>
      <w:marRight w:val="0"/>
      <w:marTop w:val="0"/>
      <w:marBottom w:val="0"/>
      <w:divBdr>
        <w:top w:val="none" w:sz="0" w:space="0" w:color="auto"/>
        <w:left w:val="none" w:sz="0" w:space="0" w:color="auto"/>
        <w:bottom w:val="none" w:sz="0" w:space="0" w:color="auto"/>
        <w:right w:val="none" w:sz="0" w:space="0" w:color="auto"/>
      </w:divBdr>
    </w:div>
    <w:div w:id="2130972390">
      <w:bodyDiv w:val="1"/>
      <w:marLeft w:val="0"/>
      <w:marRight w:val="0"/>
      <w:marTop w:val="0"/>
      <w:marBottom w:val="0"/>
      <w:divBdr>
        <w:top w:val="none" w:sz="0" w:space="0" w:color="auto"/>
        <w:left w:val="none" w:sz="0" w:space="0" w:color="auto"/>
        <w:bottom w:val="none" w:sz="0" w:space="0" w:color="auto"/>
        <w:right w:val="none" w:sz="0" w:space="0" w:color="auto"/>
      </w:divBdr>
    </w:div>
    <w:div w:id="2144225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hart" Target="charts/chart5.xml"/><Relationship Id="rId18" Type="http://schemas.openxmlformats.org/officeDocument/2006/relationships/chart" Target="charts/chart9.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footnotes" Target="footnotes.xml"/><Relationship Id="rId12" Type="http://schemas.openxmlformats.org/officeDocument/2006/relationships/chart" Target="charts/chart4.xml"/><Relationship Id="rId17" Type="http://schemas.openxmlformats.org/officeDocument/2006/relationships/chart" Target="charts/chart8.xml"/><Relationship Id="rId2" Type="http://schemas.openxmlformats.org/officeDocument/2006/relationships/numbering" Target="numbering.xml"/><Relationship Id="rId16" Type="http://schemas.openxmlformats.org/officeDocument/2006/relationships/chart" Target="charts/chart7.xml"/><Relationship Id="rId20" Type="http://schemas.openxmlformats.org/officeDocument/2006/relationships/chart" Target="charts/chart1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3.xml"/><Relationship Id="rId24" Type="http://schemas.openxmlformats.org/officeDocument/2006/relationships/theme" Target="theme/theme1.xml"/><Relationship Id="rId5" Type="http://schemas.openxmlformats.org/officeDocument/2006/relationships/settings" Target="settings.xml"/><Relationship Id="rId15" Type="http://schemas.openxmlformats.org/officeDocument/2006/relationships/image" Target="media/image1.png"/><Relationship Id="rId23" Type="http://schemas.openxmlformats.org/officeDocument/2006/relationships/fontTable" Target="fontTable.xml"/><Relationship Id="rId10" Type="http://schemas.openxmlformats.org/officeDocument/2006/relationships/chart" Target="charts/chart2.xml"/><Relationship Id="rId19" Type="http://schemas.openxmlformats.org/officeDocument/2006/relationships/chart" Target="charts/chart10.xml"/><Relationship Id="rId4" Type="http://schemas.microsoft.com/office/2007/relationships/stylesWithEffects" Target="stylesWithEffects.xml"/><Relationship Id="rId9" Type="http://schemas.openxmlformats.org/officeDocument/2006/relationships/chart" Target="charts/chart1.xml"/><Relationship Id="rId14" Type="http://schemas.openxmlformats.org/officeDocument/2006/relationships/chart" Target="charts/chart6.xm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charts/_rels/chart1.xml.rels><?xml version="1.0" encoding="UTF-8" standalone="yes"?>
<Relationships xmlns="http://schemas.openxmlformats.org/package/2006/relationships"><Relationship Id="rId1" Type="http://schemas.openxmlformats.org/officeDocument/2006/relationships/oleObject" Target="file:///F:\&#37329;&#34701;&#34903;\&#21033;&#29575;&#20538;&#20379;&#32473;&#39044;&#27979;%20-%2020210316.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F:\&#37329;&#34701;&#34903;\&#21033;&#29575;&#20538;&#20379;&#32473;&#39044;&#27979;%20-%2020210316.xlsx" TargetMode="External"/></Relationships>
</file>

<file path=word/charts/_rels/chart3.xml.rels><?xml version="1.0" encoding="UTF-8" standalone="yes"?>
<Relationships xmlns="http://schemas.openxmlformats.org/package/2006/relationships"><Relationship Id="rId3" Type="http://schemas.openxmlformats.org/officeDocument/2006/relationships/chartUserShapes" Target="../drawings/drawing1.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1.xml"/></Relationships>
</file>

<file path=word/charts/_rels/chart4.xml.rels><?xml version="1.0" encoding="UTF-8" standalone="yes"?>
<Relationships xmlns="http://schemas.openxmlformats.org/package/2006/relationships"><Relationship Id="rId3" Type="http://schemas.openxmlformats.org/officeDocument/2006/relationships/chartUserShapes" Target="../drawings/drawing2.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2.xml"/></Relationships>
</file>

<file path=word/charts/_rels/chart5.xml.rels><?xml version="1.0" encoding="UTF-8" standalone="yes"?>
<Relationships xmlns="http://schemas.openxmlformats.org/package/2006/relationships"><Relationship Id="rId3" Type="http://schemas.openxmlformats.org/officeDocument/2006/relationships/chartUserShapes" Target="../drawings/drawing3.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3.xml"/></Relationships>
</file>

<file path=word/charts/_rels/chart6.xml.rels><?xml version="1.0" encoding="UTF-8" standalone="yes"?>
<Relationships xmlns="http://schemas.openxmlformats.org/package/2006/relationships"><Relationship Id="rId3" Type="http://schemas.openxmlformats.org/officeDocument/2006/relationships/chartUserShapes" Target="../drawings/drawing4.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4.xml"/></Relationships>
</file>

<file path=word/charts/_rels/chart7.xml.rels><?xml version="1.0" encoding="UTF-8" standalone="yes"?>
<Relationships xmlns="http://schemas.openxmlformats.org/package/2006/relationships"><Relationship Id="rId3" Type="http://schemas.openxmlformats.org/officeDocument/2006/relationships/chartUserShapes" Target="../drawings/drawing5.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5.xml"/></Relationships>
</file>

<file path=word/charts/_rels/chart8.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6.xml"/></Relationships>
</file>

<file path=word/charts/_rels/chart9.xml.rels><?xml version="1.0" encoding="UTF-8" standalone="yes"?>
<Relationships xmlns="http://schemas.openxmlformats.org/package/2006/relationships"><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7.xml"/></Relationships>
</file>

<file path=word/charts/_rels/chart10.xml.rels><?xml version="1.0" encoding="UTF-8" standalone="yes"?>
<Relationships xmlns="http://schemas.openxmlformats.org/package/2006/relationships"><Relationship Id="rId3" Type="http://schemas.openxmlformats.org/officeDocument/2006/relationships/chartUserShapes" Target="../drawings/drawing6.xml"/><Relationship Id="rId2" Type="http://schemas.openxmlformats.org/officeDocument/2006/relationships/oleObject" Target="file:///F:\&#37329;&#34701;&#34903;\&#22266;&#25910;&#21608;&#25253;\&#21608;&#25253;&#25968;&#25454;&#34920;.xlsx" TargetMode="External"/><Relationship Id="rId1" Type="http://schemas.openxmlformats.org/officeDocument/2006/relationships/themeOverride" Target="../theme/themeOverride8.xml"/></Relationships>
</file>

<file path=word/charts/_rels/chart11.xml.rels><?xml version="1.0" encoding="UTF-8" standalone="yes"?>
<Relationships xmlns="http://schemas.openxmlformats.org/package/2006/relationships"><Relationship Id="rId2" Type="http://schemas.openxmlformats.org/officeDocument/2006/relationships/chartUserShapes" Target="../drawings/drawing7.xml"/><Relationship Id="rId1" Type="http://schemas.openxmlformats.org/officeDocument/2006/relationships/oleObject" Target="file:///F:\&#37329;&#34701;&#34903;\&#22266;&#25910;&#21608;&#25253;\&#21608;&#25253;&#25968;&#25454;&#34920;.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zh-CN" altLang="en-US" sz="1400" b="1"/>
              <a:t>利率债净融资节奏</a:t>
            </a:r>
          </a:p>
        </c:rich>
      </c:tx>
      <c:layout>
        <c:manualLayout>
          <c:xMode val="edge"/>
          <c:yMode val="edge"/>
          <c:x val="0.29899497487437188"/>
          <c:y val="0"/>
        </c:manualLayout>
      </c:layout>
      <c:overlay val="0"/>
      <c:spPr>
        <a:noFill/>
        <a:ln>
          <a:noFill/>
        </a:ln>
        <a:effectLst/>
      </c:spPr>
    </c:title>
    <c:autoTitleDeleted val="0"/>
    <c:plotArea>
      <c:layout>
        <c:manualLayout>
          <c:layoutTarget val="inner"/>
          <c:xMode val="edge"/>
          <c:yMode val="edge"/>
          <c:x val="0.10789606641747269"/>
          <c:y val="0.20434668913618267"/>
          <c:w val="0.86219637512684488"/>
          <c:h val="0.69561941288704243"/>
        </c:manualLayout>
      </c:layout>
      <c:barChart>
        <c:barDir val="col"/>
        <c:grouping val="stacked"/>
        <c:varyColors val="0"/>
        <c:ser>
          <c:idx val="0"/>
          <c:order val="0"/>
          <c:tx>
            <c:strRef>
              <c:f>债券供给!$AF$3</c:f>
              <c:strCache>
                <c:ptCount val="1"/>
                <c:pt idx="0">
                  <c:v>国债</c:v>
                </c:pt>
              </c:strCache>
            </c:strRef>
          </c:tx>
          <c:spPr>
            <a:solidFill>
              <a:schemeClr val="accent1"/>
            </a:solidFill>
            <a:ln>
              <a:noFill/>
            </a:ln>
            <a:effectLst/>
          </c:spPr>
          <c:invertIfNegative val="0"/>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债券供给!$AF$4:$AF$15</c:f>
              <c:numCache>
                <c:formatCode>0_ ;[Red]\-0\ </c:formatCode>
                <c:ptCount val="12"/>
                <c:pt idx="0">
                  <c:v>-678.80000000000018</c:v>
                </c:pt>
                <c:pt idx="1">
                  <c:v>505.09999999999991</c:v>
                </c:pt>
                <c:pt idx="2">
                  <c:v>1026</c:v>
                </c:pt>
                <c:pt idx="3">
                  <c:v>-136.10724760893572</c:v>
                </c:pt>
                <c:pt idx="4">
                  <c:v>3952.8230817550279</c:v>
                </c:pt>
                <c:pt idx="5">
                  <c:v>3863.0184049564191</c:v>
                </c:pt>
                <c:pt idx="6">
                  <c:v>-1562.0234301659075</c:v>
                </c:pt>
                <c:pt idx="7">
                  <c:v>4979.7910343671192</c:v>
                </c:pt>
                <c:pt idx="8">
                  <c:v>5622.8664810852479</c:v>
                </c:pt>
                <c:pt idx="9">
                  <c:v>1741.0771182977196</c:v>
                </c:pt>
                <c:pt idx="10">
                  <c:v>2097.1249934800212</c:v>
                </c:pt>
                <c:pt idx="11">
                  <c:v>4589.1295638332895</c:v>
                </c:pt>
              </c:numCache>
            </c:numRef>
          </c:val>
          <c:extLst xmlns:c16r2="http://schemas.microsoft.com/office/drawing/2015/06/chart">
            <c:ext xmlns:c16="http://schemas.microsoft.com/office/drawing/2014/chart" uri="{C3380CC4-5D6E-409C-BE32-E72D297353CC}">
              <c16:uniqueId val="{00000000-C331-4A8A-AA2A-398CDA13F47A}"/>
            </c:ext>
          </c:extLst>
        </c:ser>
        <c:ser>
          <c:idx val="2"/>
          <c:order val="1"/>
          <c:tx>
            <c:strRef>
              <c:f>债券供给!$AG$3</c:f>
              <c:strCache>
                <c:ptCount val="1"/>
                <c:pt idx="0">
                  <c:v>地方债</c:v>
                </c:pt>
              </c:strCache>
            </c:strRef>
          </c:tx>
          <c:spPr>
            <a:solidFill>
              <a:schemeClr val="accent3"/>
            </a:solidFill>
            <a:ln>
              <a:noFill/>
            </a:ln>
            <a:effectLst/>
          </c:spPr>
          <c:invertIfNegative val="0"/>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债券供给!$AG$4:$AG$15</c:f>
              <c:numCache>
                <c:formatCode>0_ ;[Red]\-0\ </c:formatCode>
                <c:ptCount val="12"/>
                <c:pt idx="0">
                  <c:v>3593.01</c:v>
                </c:pt>
                <c:pt idx="1">
                  <c:v>-42.029999999999973</c:v>
                </c:pt>
                <c:pt idx="2">
                  <c:v>2280.6299999999997</c:v>
                </c:pt>
                <c:pt idx="3">
                  <c:v>3199.0069686753673</c:v>
                </c:pt>
                <c:pt idx="4">
                  <c:v>3953.0964495039566</c:v>
                </c:pt>
                <c:pt idx="5">
                  <c:v>7531.8098633428754</c:v>
                </c:pt>
                <c:pt idx="6">
                  <c:v>8044.0232048749695</c:v>
                </c:pt>
                <c:pt idx="7">
                  <c:v>6973.3321775510476</c:v>
                </c:pt>
                <c:pt idx="8">
                  <c:v>4099.0884678298498</c:v>
                </c:pt>
                <c:pt idx="9">
                  <c:v>2664.0077992144465</c:v>
                </c:pt>
                <c:pt idx="10">
                  <c:v>2122.5719197891867</c:v>
                </c:pt>
                <c:pt idx="11">
                  <c:v>581.4531492182964</c:v>
                </c:pt>
              </c:numCache>
            </c:numRef>
          </c:val>
          <c:extLst xmlns:c16r2="http://schemas.microsoft.com/office/drawing/2015/06/chart">
            <c:ext xmlns:c16="http://schemas.microsoft.com/office/drawing/2014/chart" uri="{C3380CC4-5D6E-409C-BE32-E72D297353CC}">
              <c16:uniqueId val="{00000001-C331-4A8A-AA2A-398CDA13F47A}"/>
            </c:ext>
          </c:extLst>
        </c:ser>
        <c:ser>
          <c:idx val="3"/>
          <c:order val="2"/>
          <c:tx>
            <c:strRef>
              <c:f>债券供给!$AH$3</c:f>
              <c:strCache>
                <c:ptCount val="1"/>
                <c:pt idx="0">
                  <c:v>政金债</c:v>
                </c:pt>
              </c:strCache>
            </c:strRef>
          </c:tx>
          <c:spPr>
            <a:solidFill>
              <a:schemeClr val="accent4"/>
            </a:solidFill>
            <a:ln>
              <a:noFill/>
            </a:ln>
            <a:effectLst/>
          </c:spPr>
          <c:invertIfNegative val="0"/>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债券供给!$AH$4:$AH$15</c:f>
              <c:numCache>
                <c:formatCode>0_ ;[Red]\-0\ </c:formatCode>
                <c:ptCount val="12"/>
                <c:pt idx="0">
                  <c:v>2321.9</c:v>
                </c:pt>
                <c:pt idx="1">
                  <c:v>-79.5</c:v>
                </c:pt>
                <c:pt idx="2">
                  <c:v>2375.8000000000002</c:v>
                </c:pt>
                <c:pt idx="3">
                  <c:v>-412.24379794557535</c:v>
                </c:pt>
                <c:pt idx="4">
                  <c:v>3262.9705158634615</c:v>
                </c:pt>
                <c:pt idx="5">
                  <c:v>1183.3981742558999</c:v>
                </c:pt>
                <c:pt idx="6">
                  <c:v>2143.771482597786</c:v>
                </c:pt>
                <c:pt idx="7">
                  <c:v>3164.5466551442755</c:v>
                </c:pt>
                <c:pt idx="8">
                  <c:v>622.26034633321615</c:v>
                </c:pt>
                <c:pt idx="9">
                  <c:v>2817.0292721470314</c:v>
                </c:pt>
                <c:pt idx="10">
                  <c:v>1855.3427470206407</c:v>
                </c:pt>
                <c:pt idx="11">
                  <c:v>744.72460458326032</c:v>
                </c:pt>
              </c:numCache>
            </c:numRef>
          </c:val>
          <c:extLst xmlns:c16r2="http://schemas.microsoft.com/office/drawing/2015/06/chart">
            <c:ext xmlns:c16="http://schemas.microsoft.com/office/drawing/2014/chart" uri="{C3380CC4-5D6E-409C-BE32-E72D297353CC}">
              <c16:uniqueId val="{00000002-C331-4A8A-AA2A-398CDA13F47A}"/>
            </c:ext>
          </c:extLst>
        </c:ser>
        <c:dLbls>
          <c:showLegendKey val="0"/>
          <c:showVal val="0"/>
          <c:showCatName val="0"/>
          <c:showSerName val="0"/>
          <c:showPercent val="0"/>
          <c:showBubbleSize val="0"/>
        </c:dLbls>
        <c:gapWidth val="150"/>
        <c:overlap val="100"/>
        <c:axId val="533498880"/>
        <c:axId val="533500672"/>
      </c:barChart>
      <c:lineChart>
        <c:grouping val="standard"/>
        <c:varyColors val="0"/>
        <c:ser>
          <c:idx val="4"/>
          <c:order val="3"/>
          <c:tx>
            <c:strRef>
              <c:f>债券供给!$AI$3</c:f>
              <c:strCache>
                <c:ptCount val="1"/>
                <c:pt idx="0">
                  <c:v>净融资</c:v>
                </c:pt>
              </c:strCache>
            </c:strRef>
          </c:tx>
          <c:spPr>
            <a:ln w="28575" cap="rnd">
              <a:solidFill>
                <a:schemeClr val="accent1">
                  <a:alpha val="0"/>
                </a:schemeClr>
              </a:solidFill>
              <a:round/>
            </a:ln>
            <a:effectLst/>
          </c:spPr>
          <c:marker>
            <c:symbol val="none"/>
          </c:marker>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债券供给!$AI$4:$AI$15</c:f>
              <c:numCache>
                <c:formatCode>0_ ;[Red]\-0\ </c:formatCode>
                <c:ptCount val="12"/>
                <c:pt idx="0">
                  <c:v>5236.1100000000006</c:v>
                </c:pt>
                <c:pt idx="1">
                  <c:v>383.56999999999994</c:v>
                </c:pt>
                <c:pt idx="2">
                  <c:v>5682.43</c:v>
                </c:pt>
                <c:pt idx="3">
                  <c:v>2650.6559231208562</c:v>
                </c:pt>
                <c:pt idx="4">
                  <c:v>11168.890047122446</c:v>
                </c:pt>
                <c:pt idx="5">
                  <c:v>12578.226442555195</c:v>
                </c:pt>
                <c:pt idx="6">
                  <c:v>8625.7712573068475</c:v>
                </c:pt>
                <c:pt idx="7">
                  <c:v>15117.669867062441</c:v>
                </c:pt>
                <c:pt idx="8">
                  <c:v>10344.215295248314</c:v>
                </c:pt>
                <c:pt idx="9">
                  <c:v>7222.1141896591971</c:v>
                </c:pt>
                <c:pt idx="10">
                  <c:v>6075.0396602898491</c:v>
                </c:pt>
                <c:pt idx="11">
                  <c:v>5915.3073176348462</c:v>
                </c:pt>
              </c:numCache>
            </c:numRef>
          </c:val>
          <c:smooth val="0"/>
          <c:extLst xmlns:c16r2="http://schemas.microsoft.com/office/drawing/2015/06/chart">
            <c:ext xmlns:c16="http://schemas.microsoft.com/office/drawing/2014/chart" uri="{C3380CC4-5D6E-409C-BE32-E72D297353CC}">
              <c16:uniqueId val="{00000007-C331-4A8A-AA2A-398CDA13F47A}"/>
            </c:ext>
          </c:extLst>
        </c:ser>
        <c:dLbls>
          <c:showLegendKey val="0"/>
          <c:showVal val="0"/>
          <c:showCatName val="0"/>
          <c:showSerName val="0"/>
          <c:showPercent val="0"/>
          <c:showBubbleSize val="0"/>
        </c:dLbls>
        <c:marker val="1"/>
        <c:smooth val="0"/>
        <c:axId val="533498880"/>
        <c:axId val="533500672"/>
      </c:lineChart>
      <c:dateAx>
        <c:axId val="533498880"/>
        <c:scaling>
          <c:orientation val="minMax"/>
        </c:scaling>
        <c:delete val="0"/>
        <c:axPos val="b"/>
        <c:numFmt formatCode="m&quot;月&quot;;@" sourceLinked="0"/>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33500672"/>
        <c:crosses val="autoZero"/>
        <c:auto val="1"/>
        <c:lblOffset val="100"/>
        <c:baseTimeUnit val="months"/>
      </c:dateAx>
      <c:valAx>
        <c:axId val="533500672"/>
        <c:scaling>
          <c:orientation val="minMax"/>
        </c:scaling>
        <c:delete val="0"/>
        <c:axPos val="l"/>
        <c:majorGridlines>
          <c:spPr>
            <a:ln w="9525" cap="flat" cmpd="sng" algn="ctr">
              <a:noFill/>
              <a:round/>
            </a:ln>
            <a:effectLst/>
          </c:spPr>
        </c:majorGridlines>
        <c:numFmt formatCode="0_ ;[Red]\-0\ " sourceLinked="1"/>
        <c:majorTickMark val="out"/>
        <c:minorTickMark val="none"/>
        <c:tickLblPos val="nextTo"/>
        <c:spPr>
          <a:noFill/>
          <a:ln>
            <a:solidFill>
              <a:schemeClr val="bg1">
                <a:lumMod val="50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33498880"/>
        <c:crosses val="autoZero"/>
        <c:crossBetween val="between"/>
      </c:valAx>
      <c:spPr>
        <a:noFill/>
        <a:ln>
          <a:noFill/>
        </a:ln>
        <a:effectLst/>
      </c:spPr>
    </c:plotArea>
    <c:legend>
      <c:legendPos val="t"/>
      <c:legendEntry>
        <c:idx val="3"/>
        <c:delete val="1"/>
      </c:legendEntry>
      <c:layout>
        <c:manualLayout>
          <c:xMode val="edge"/>
          <c:yMode val="edge"/>
          <c:x val="0.25622728031752962"/>
          <c:y val="0.11875784899581279"/>
          <c:w val="0.52017186677113969"/>
          <c:h val="6.9188676138729893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1" i="0" u="none" strike="noStrike" kern="1200" spc="0" baseline="0">
                <a:solidFill>
                  <a:schemeClr val="tx1">
                    <a:lumMod val="65000"/>
                    <a:lumOff val="35000"/>
                  </a:schemeClr>
                </a:solidFill>
                <a:latin typeface="+mn-lt"/>
                <a:ea typeface="+mn-ea"/>
                <a:cs typeface="+mn-cs"/>
              </a:defRPr>
            </a:pPr>
            <a:r>
              <a:rPr lang="zh-CN" altLang="en-US" sz="1400" b="1"/>
              <a:t>利率债发行节奏</a:t>
            </a:r>
          </a:p>
        </c:rich>
      </c:tx>
      <c:layout>
        <c:manualLayout>
          <c:xMode val="edge"/>
          <c:yMode val="edge"/>
          <c:x val="0.29540559942569988"/>
          <c:y val="0"/>
        </c:manualLayout>
      </c:layout>
      <c:overlay val="0"/>
      <c:spPr>
        <a:noFill/>
        <a:ln>
          <a:noFill/>
        </a:ln>
        <a:effectLst/>
      </c:spPr>
    </c:title>
    <c:autoTitleDeleted val="0"/>
    <c:plotArea>
      <c:layout>
        <c:manualLayout>
          <c:layoutTarget val="inner"/>
          <c:xMode val="edge"/>
          <c:yMode val="edge"/>
          <c:x val="0.12447246235850264"/>
          <c:y val="0.20434659694813406"/>
          <c:w val="0.86219637512684488"/>
          <c:h val="0.69561941288704243"/>
        </c:manualLayout>
      </c:layout>
      <c:barChart>
        <c:barDir val="col"/>
        <c:grouping val="stacked"/>
        <c:varyColors val="0"/>
        <c:ser>
          <c:idx val="0"/>
          <c:order val="0"/>
          <c:tx>
            <c:strRef>
              <c:f>债券供给!$Z$3</c:f>
              <c:strCache>
                <c:ptCount val="1"/>
                <c:pt idx="0">
                  <c:v>普通国债</c:v>
                </c:pt>
              </c:strCache>
            </c:strRef>
          </c:tx>
          <c:spPr>
            <a:solidFill>
              <a:schemeClr val="accent1"/>
            </a:solidFill>
            <a:ln>
              <a:noFill/>
            </a:ln>
            <a:effectLst/>
          </c:spPr>
          <c:invertIfNegative val="0"/>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债券供给!$Z$4:$Z$15</c:f>
              <c:numCache>
                <c:formatCode>0_);[Red]\(0\)</c:formatCode>
                <c:ptCount val="12"/>
                <c:pt idx="0">
                  <c:v>5740</c:v>
                </c:pt>
                <c:pt idx="1">
                  <c:v>3730</c:v>
                </c:pt>
                <c:pt idx="2">
                  <c:v>4740</c:v>
                </c:pt>
                <c:pt idx="3">
                  <c:v>5125.3927523910643</c:v>
                </c:pt>
                <c:pt idx="4">
                  <c:v>5655.723081755028</c:v>
                </c:pt>
                <c:pt idx="5">
                  <c:v>5891.868404956419</c:v>
                </c:pt>
                <c:pt idx="6">
                  <c:v>5822.0165698340925</c:v>
                </c:pt>
                <c:pt idx="7">
                  <c:v>6339.6310343671194</c:v>
                </c:pt>
                <c:pt idx="8">
                  <c:v>6152.8664810852479</c:v>
                </c:pt>
                <c:pt idx="9">
                  <c:v>5615.7771182977194</c:v>
                </c:pt>
                <c:pt idx="10">
                  <c:v>5499.5249934800213</c:v>
                </c:pt>
                <c:pt idx="11">
                  <c:v>4589.1295638332895</c:v>
                </c:pt>
              </c:numCache>
            </c:numRef>
          </c:val>
          <c:extLst xmlns:c16r2="http://schemas.microsoft.com/office/drawing/2015/06/chart">
            <c:ext xmlns:c16="http://schemas.microsoft.com/office/drawing/2014/chart" uri="{C3380CC4-5D6E-409C-BE32-E72D297353CC}">
              <c16:uniqueId val="{00000000-099A-49C2-AA38-B616C8D518A9}"/>
            </c:ext>
          </c:extLst>
        </c:ser>
        <c:ser>
          <c:idx val="2"/>
          <c:order val="1"/>
          <c:tx>
            <c:strRef>
              <c:f>债券供给!$AA$3</c:f>
              <c:strCache>
                <c:ptCount val="1"/>
                <c:pt idx="0">
                  <c:v>地方债</c:v>
                </c:pt>
              </c:strCache>
            </c:strRef>
          </c:tx>
          <c:spPr>
            <a:solidFill>
              <a:schemeClr val="accent3"/>
            </a:solidFill>
            <a:ln>
              <a:noFill/>
            </a:ln>
            <a:effectLst/>
          </c:spPr>
          <c:invertIfNegative val="0"/>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债券供给!$AA$4:$AA$15</c:f>
              <c:numCache>
                <c:formatCode>0_);[Red]\(0\)</c:formatCode>
                <c:ptCount val="12"/>
                <c:pt idx="0">
                  <c:v>3623.36</c:v>
                </c:pt>
                <c:pt idx="1">
                  <c:v>557.24</c:v>
                </c:pt>
                <c:pt idx="2">
                  <c:v>5164.45</c:v>
                </c:pt>
                <c:pt idx="3">
                  <c:v>6962.3669686753674</c:v>
                </c:pt>
                <c:pt idx="4">
                  <c:v>6832.9964495039567</c:v>
                </c:pt>
                <c:pt idx="5">
                  <c:v>11552.179863342875</c:v>
                </c:pt>
                <c:pt idx="6">
                  <c:v>10554.333204874969</c:v>
                </c:pt>
                <c:pt idx="7">
                  <c:v>10936.792177551048</c:v>
                </c:pt>
                <c:pt idx="8">
                  <c:v>6624.9984678298497</c:v>
                </c:pt>
                <c:pt idx="9">
                  <c:v>4459.2377992144466</c:v>
                </c:pt>
                <c:pt idx="10">
                  <c:v>3513.9419197891866</c:v>
                </c:pt>
                <c:pt idx="11">
                  <c:v>897.66314921829644</c:v>
                </c:pt>
              </c:numCache>
            </c:numRef>
          </c:val>
          <c:extLst xmlns:c16r2="http://schemas.microsoft.com/office/drawing/2015/06/chart">
            <c:ext xmlns:c16="http://schemas.microsoft.com/office/drawing/2014/chart" uri="{C3380CC4-5D6E-409C-BE32-E72D297353CC}">
              <c16:uniqueId val="{00000001-099A-49C2-AA38-B616C8D518A9}"/>
            </c:ext>
          </c:extLst>
        </c:ser>
        <c:ser>
          <c:idx val="3"/>
          <c:order val="2"/>
          <c:tx>
            <c:strRef>
              <c:f>债券供给!$AB$3</c:f>
              <c:strCache>
                <c:ptCount val="1"/>
                <c:pt idx="0">
                  <c:v>政金债</c:v>
                </c:pt>
              </c:strCache>
            </c:strRef>
          </c:tx>
          <c:spPr>
            <a:solidFill>
              <a:schemeClr val="accent4"/>
            </a:solidFill>
            <a:ln>
              <a:noFill/>
            </a:ln>
            <a:effectLst/>
          </c:spPr>
          <c:invertIfNegative val="0"/>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债券供给!$AB$4:$AB$15</c:f>
              <c:numCache>
                <c:formatCode>0_);[Red]\(0\)</c:formatCode>
                <c:ptCount val="12"/>
                <c:pt idx="0">
                  <c:v>6235.3</c:v>
                </c:pt>
                <c:pt idx="1">
                  <c:v>3905.5</c:v>
                </c:pt>
                <c:pt idx="2">
                  <c:v>4600.1000000000004</c:v>
                </c:pt>
                <c:pt idx="3">
                  <c:v>5474.3362020544246</c:v>
                </c:pt>
                <c:pt idx="4">
                  <c:v>5046.4705158634615</c:v>
                </c:pt>
                <c:pt idx="5">
                  <c:v>4296.3981742558999</c:v>
                </c:pt>
                <c:pt idx="6">
                  <c:v>4832.3714825977859</c:v>
                </c:pt>
                <c:pt idx="7">
                  <c:v>4625.1466551442754</c:v>
                </c:pt>
                <c:pt idx="8">
                  <c:v>3800.7603463332161</c:v>
                </c:pt>
                <c:pt idx="9">
                  <c:v>3599.9292721470315</c:v>
                </c:pt>
                <c:pt idx="10">
                  <c:v>3969.3427470206407</c:v>
                </c:pt>
                <c:pt idx="11">
                  <c:v>2443.7246045832603</c:v>
                </c:pt>
              </c:numCache>
            </c:numRef>
          </c:val>
          <c:extLst xmlns:c16r2="http://schemas.microsoft.com/office/drawing/2015/06/chart">
            <c:ext xmlns:c16="http://schemas.microsoft.com/office/drawing/2014/chart" uri="{C3380CC4-5D6E-409C-BE32-E72D297353CC}">
              <c16:uniqueId val="{00000002-099A-49C2-AA38-B616C8D518A9}"/>
            </c:ext>
          </c:extLst>
        </c:ser>
        <c:dLbls>
          <c:showLegendKey val="0"/>
          <c:showVal val="0"/>
          <c:showCatName val="0"/>
          <c:showSerName val="0"/>
          <c:showPercent val="0"/>
          <c:showBubbleSize val="0"/>
        </c:dLbls>
        <c:gapWidth val="150"/>
        <c:overlap val="100"/>
        <c:axId val="533653376"/>
        <c:axId val="533654912"/>
      </c:barChart>
      <c:lineChart>
        <c:grouping val="standard"/>
        <c:varyColors val="0"/>
        <c:ser>
          <c:idx val="4"/>
          <c:order val="3"/>
          <c:tx>
            <c:strRef>
              <c:f>债券供给!$AJ$3</c:f>
              <c:strCache>
                <c:ptCount val="1"/>
                <c:pt idx="0">
                  <c:v>发行量</c:v>
                </c:pt>
              </c:strCache>
            </c:strRef>
          </c:tx>
          <c:spPr>
            <a:ln w="28575" cap="rnd">
              <a:noFill/>
              <a:round/>
            </a:ln>
            <a:effectLst/>
          </c:spPr>
          <c:marker>
            <c:symbol val="none"/>
          </c:marker>
          <c:cat>
            <c:numRef>
              <c:f>债券供给!$Y$4:$Y$15</c:f>
              <c:numCache>
                <c:formatCode>yyyy\-mm;@</c:formatCode>
                <c:ptCount val="12"/>
                <c:pt idx="0">
                  <c:v>44197</c:v>
                </c:pt>
                <c:pt idx="1">
                  <c:v>44228</c:v>
                </c:pt>
                <c:pt idx="2">
                  <c:v>44256</c:v>
                </c:pt>
                <c:pt idx="3">
                  <c:v>44287</c:v>
                </c:pt>
                <c:pt idx="4">
                  <c:v>44317</c:v>
                </c:pt>
                <c:pt idx="5">
                  <c:v>44348</c:v>
                </c:pt>
                <c:pt idx="6">
                  <c:v>44378</c:v>
                </c:pt>
                <c:pt idx="7">
                  <c:v>44409</c:v>
                </c:pt>
                <c:pt idx="8">
                  <c:v>44440</c:v>
                </c:pt>
                <c:pt idx="9">
                  <c:v>44470</c:v>
                </c:pt>
                <c:pt idx="10">
                  <c:v>44501</c:v>
                </c:pt>
                <c:pt idx="11">
                  <c:v>44531</c:v>
                </c:pt>
              </c:numCache>
            </c:numRef>
          </c:cat>
          <c:val>
            <c:numRef>
              <c:f>债券供给!$AJ$4:$AJ$15</c:f>
              <c:numCache>
                <c:formatCode>0_);[Red]\(0\)</c:formatCode>
                <c:ptCount val="12"/>
                <c:pt idx="0">
                  <c:v>15598.66</c:v>
                </c:pt>
                <c:pt idx="1">
                  <c:v>8192.74</c:v>
                </c:pt>
                <c:pt idx="2">
                  <c:v>14504.550000000001</c:v>
                </c:pt>
                <c:pt idx="3">
                  <c:v>17562.095923120854</c:v>
                </c:pt>
                <c:pt idx="4">
                  <c:v>17535.190047122447</c:v>
                </c:pt>
                <c:pt idx="5">
                  <c:v>21740.446442555196</c:v>
                </c:pt>
                <c:pt idx="6">
                  <c:v>21208.721257306846</c:v>
                </c:pt>
                <c:pt idx="7">
                  <c:v>21901.569867062444</c:v>
                </c:pt>
                <c:pt idx="8">
                  <c:v>16578.625295248312</c:v>
                </c:pt>
                <c:pt idx="9">
                  <c:v>13674.944189659198</c:v>
                </c:pt>
                <c:pt idx="10">
                  <c:v>12982.809660289848</c:v>
                </c:pt>
                <c:pt idx="11">
                  <c:v>7930.5173176348453</c:v>
                </c:pt>
              </c:numCache>
            </c:numRef>
          </c:val>
          <c:smooth val="0"/>
          <c:extLst xmlns:c16r2="http://schemas.microsoft.com/office/drawing/2015/06/chart">
            <c:ext xmlns:c16="http://schemas.microsoft.com/office/drawing/2014/chart" uri="{C3380CC4-5D6E-409C-BE32-E72D297353CC}">
              <c16:uniqueId val="{00000003-099A-49C2-AA38-B616C8D518A9}"/>
            </c:ext>
          </c:extLst>
        </c:ser>
        <c:dLbls>
          <c:showLegendKey val="0"/>
          <c:showVal val="0"/>
          <c:showCatName val="0"/>
          <c:showSerName val="0"/>
          <c:showPercent val="0"/>
          <c:showBubbleSize val="0"/>
        </c:dLbls>
        <c:marker val="1"/>
        <c:smooth val="0"/>
        <c:axId val="533653376"/>
        <c:axId val="533654912"/>
      </c:lineChart>
      <c:dateAx>
        <c:axId val="533653376"/>
        <c:scaling>
          <c:orientation val="minMax"/>
        </c:scaling>
        <c:delete val="0"/>
        <c:axPos val="b"/>
        <c:numFmt formatCode="m&quot;月&quot;;@" sourceLinked="0"/>
        <c:majorTickMark val="none"/>
        <c:minorTickMark val="none"/>
        <c:tickLblPos val="low"/>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33654912"/>
        <c:crosses val="autoZero"/>
        <c:auto val="1"/>
        <c:lblOffset val="100"/>
        <c:baseTimeUnit val="months"/>
      </c:dateAx>
      <c:valAx>
        <c:axId val="533654912"/>
        <c:scaling>
          <c:orientation val="minMax"/>
        </c:scaling>
        <c:delete val="0"/>
        <c:axPos val="l"/>
        <c:majorGridlines>
          <c:spPr>
            <a:ln w="9525" cap="flat" cmpd="sng" algn="ctr">
              <a:noFill/>
              <a:round/>
            </a:ln>
            <a:effectLst/>
          </c:spPr>
        </c:majorGridlines>
        <c:numFmt formatCode="0_);[Red]\(0\)" sourceLinked="1"/>
        <c:majorTickMark val="out"/>
        <c:minorTickMark val="none"/>
        <c:tickLblPos val="nextTo"/>
        <c:spPr>
          <a:noFill/>
          <a:ln>
            <a:solidFill>
              <a:schemeClr val="bg1">
                <a:lumMod val="50000"/>
              </a:schemeClr>
            </a:solid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crossAx val="533653376"/>
        <c:crosses val="autoZero"/>
        <c:crossBetween val="between"/>
      </c:valAx>
      <c:spPr>
        <a:noFill/>
        <a:ln>
          <a:noFill/>
        </a:ln>
        <a:effectLst/>
      </c:spPr>
    </c:plotArea>
    <c:legend>
      <c:legendPos val="t"/>
      <c:legendEntry>
        <c:idx val="3"/>
        <c:delete val="1"/>
      </c:legendEntry>
      <c:layout>
        <c:manualLayout>
          <c:xMode val="edge"/>
          <c:yMode val="edge"/>
          <c:x val="0.25622728031752962"/>
          <c:y val="0.11875784899581279"/>
          <c:w val="0.41420630136376452"/>
          <c:h val="7.670508231925556E-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zh-CN"/>
        </a:p>
      </c:txPr>
    </c:legend>
    <c:plotVisOnly val="1"/>
    <c:dispBlanksAs val="gap"/>
    <c:showDLblsOverMax val="0"/>
    <c:extLst xmlns:c16r2="http://schemas.microsoft.com/office/drawing/2015/06/chart">
      <c:ext xmlns:c16r3="http://schemas.microsoft.com/office/drawing/2017/03/chart" uri="{56B9EC1D-385E-4148-901F-78D8002777C0}">
        <c16r3:dataDisplayOptions16>
          <c16r3:dispNaAsBlank val="1"/>
        </c16r3:dataDisplayOptions16>
      </c:ext>
    </c:extLst>
  </c:chart>
  <c:spPr>
    <a:solidFill>
      <a:schemeClr val="bg1"/>
    </a:solidFill>
    <a:ln w="9525" cap="flat" cmpd="sng" algn="ctr">
      <a:noFill/>
      <a:round/>
    </a:ln>
    <a:effectLst/>
  </c:spPr>
  <c:txPr>
    <a:bodyPr/>
    <a:lstStyle/>
    <a:p>
      <a:pPr>
        <a:defRPr/>
      </a:pPr>
      <a:endParaRPr lang="zh-CN"/>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9.8077063283756191E-2"/>
          <c:w val="0.86467847769028872"/>
          <c:h val="0.82798009623797031"/>
        </c:manualLayout>
      </c:layout>
      <c:barChart>
        <c:barDir val="col"/>
        <c:grouping val="stacked"/>
        <c:varyColors val="0"/>
        <c:ser>
          <c:idx val="0"/>
          <c:order val="0"/>
          <c:tx>
            <c:strRef>
              <c:f>央行!$B$4</c:f>
              <c:strCache>
                <c:ptCount val="1"/>
                <c:pt idx="0">
                  <c:v>货币投放</c:v>
                </c:pt>
              </c:strCache>
            </c:strRef>
          </c:tx>
          <c:spPr>
            <a:solidFill>
              <a:srgbClr val="F8CBAD"/>
            </a:solidFill>
            <a:ln w="22225">
              <a:noFill/>
            </a:ln>
          </c:spPr>
          <c:invertIfNegative val="0"/>
          <c:cat>
            <c:numRef>
              <c:f>央行!$A$5:$A$27</c:f>
              <c:numCache>
                <c:formatCode>yyyy\-mm\-dd;@</c:formatCode>
                <c:ptCount val="23"/>
                <c:pt idx="0">
                  <c:v>44120</c:v>
                </c:pt>
                <c:pt idx="1">
                  <c:v>44127</c:v>
                </c:pt>
                <c:pt idx="2">
                  <c:v>44134</c:v>
                </c:pt>
                <c:pt idx="3">
                  <c:v>44141</c:v>
                </c:pt>
                <c:pt idx="4">
                  <c:v>44148</c:v>
                </c:pt>
                <c:pt idx="5">
                  <c:v>44155</c:v>
                </c:pt>
                <c:pt idx="6">
                  <c:v>44162</c:v>
                </c:pt>
                <c:pt idx="7">
                  <c:v>44169</c:v>
                </c:pt>
                <c:pt idx="8">
                  <c:v>44176</c:v>
                </c:pt>
                <c:pt idx="9">
                  <c:v>44183</c:v>
                </c:pt>
                <c:pt idx="10">
                  <c:v>44190</c:v>
                </c:pt>
                <c:pt idx="11">
                  <c:v>44197</c:v>
                </c:pt>
                <c:pt idx="12">
                  <c:v>44204</c:v>
                </c:pt>
                <c:pt idx="13">
                  <c:v>44211</c:v>
                </c:pt>
                <c:pt idx="14">
                  <c:v>44218</c:v>
                </c:pt>
                <c:pt idx="15">
                  <c:v>44225</c:v>
                </c:pt>
                <c:pt idx="16">
                  <c:v>44232</c:v>
                </c:pt>
                <c:pt idx="17">
                  <c:v>44239</c:v>
                </c:pt>
                <c:pt idx="18">
                  <c:v>44246</c:v>
                </c:pt>
                <c:pt idx="19">
                  <c:v>44253</c:v>
                </c:pt>
                <c:pt idx="20">
                  <c:v>44260</c:v>
                </c:pt>
                <c:pt idx="21">
                  <c:v>44267</c:v>
                </c:pt>
                <c:pt idx="22">
                  <c:v>44274</c:v>
                </c:pt>
              </c:numCache>
            </c:numRef>
          </c:cat>
          <c:val>
            <c:numRef>
              <c:f>央行!$B$5:$B$27</c:f>
              <c:numCache>
                <c:formatCode>###,###,###,###,##0.00</c:formatCode>
                <c:ptCount val="23"/>
                <c:pt idx="0">
                  <c:v>1000</c:v>
                </c:pt>
                <c:pt idx="1">
                  <c:v>3200</c:v>
                </c:pt>
                <c:pt idx="2">
                  <c:v>5150</c:v>
                </c:pt>
                <c:pt idx="3">
                  <c:v>3200</c:v>
                </c:pt>
                <c:pt idx="4">
                  <c:v>5500</c:v>
                </c:pt>
                <c:pt idx="5">
                  <c:v>3000</c:v>
                </c:pt>
                <c:pt idx="6">
                  <c:v>4350</c:v>
                </c:pt>
                <c:pt idx="7">
                  <c:v>2000</c:v>
                </c:pt>
                <c:pt idx="8">
                  <c:v>1500</c:v>
                </c:pt>
                <c:pt idx="9">
                  <c:v>600</c:v>
                </c:pt>
                <c:pt idx="10">
                  <c:v>4300</c:v>
                </c:pt>
                <c:pt idx="11">
                  <c:v>1750</c:v>
                </c:pt>
                <c:pt idx="12">
                  <c:v>550</c:v>
                </c:pt>
                <c:pt idx="13">
                  <c:v>160</c:v>
                </c:pt>
                <c:pt idx="14">
                  <c:v>6140</c:v>
                </c:pt>
                <c:pt idx="15">
                  <c:v>3890</c:v>
                </c:pt>
                <c:pt idx="16">
                  <c:v>4800</c:v>
                </c:pt>
                <c:pt idx="17">
                  <c:v>2300</c:v>
                </c:pt>
                <c:pt idx="18">
                  <c:v>400</c:v>
                </c:pt>
                <c:pt idx="19">
                  <c:v>800</c:v>
                </c:pt>
                <c:pt idx="20">
                  <c:v>550</c:v>
                </c:pt>
                <c:pt idx="21">
                  <c:v>500</c:v>
                </c:pt>
                <c:pt idx="22">
                  <c:v>500</c:v>
                </c:pt>
              </c:numCache>
            </c:numRef>
          </c:val>
          <c:extLst xmlns:c16r2="http://schemas.microsoft.com/office/drawing/2015/06/chart">
            <c:ext xmlns:c16="http://schemas.microsoft.com/office/drawing/2014/chart" uri="{C3380CC4-5D6E-409C-BE32-E72D297353CC}">
              <c16:uniqueId val="{00000000-1C5D-4FF8-89B0-A9A4B277FDB6}"/>
            </c:ext>
          </c:extLst>
        </c:ser>
        <c:ser>
          <c:idx val="2"/>
          <c:order val="1"/>
          <c:tx>
            <c:strRef>
              <c:f>央行!$C$4</c:f>
              <c:strCache>
                <c:ptCount val="1"/>
                <c:pt idx="0">
                  <c:v>货币回笼</c:v>
                </c:pt>
              </c:strCache>
            </c:strRef>
          </c:tx>
          <c:spPr>
            <a:solidFill>
              <a:srgbClr val="E7E6E6">
                <a:lumMod val="90000"/>
              </a:srgbClr>
            </a:solidFill>
            <a:ln w="22225">
              <a:noFill/>
              <a:prstDash val="sysDash"/>
            </a:ln>
          </c:spPr>
          <c:invertIfNegative val="0"/>
          <c:cat>
            <c:numRef>
              <c:f>央行!$A$5:$A$27</c:f>
              <c:numCache>
                <c:formatCode>yyyy\-mm\-dd;@</c:formatCode>
                <c:ptCount val="23"/>
                <c:pt idx="0">
                  <c:v>44120</c:v>
                </c:pt>
                <c:pt idx="1">
                  <c:v>44127</c:v>
                </c:pt>
                <c:pt idx="2">
                  <c:v>44134</c:v>
                </c:pt>
                <c:pt idx="3">
                  <c:v>44141</c:v>
                </c:pt>
                <c:pt idx="4">
                  <c:v>44148</c:v>
                </c:pt>
                <c:pt idx="5">
                  <c:v>44155</c:v>
                </c:pt>
                <c:pt idx="6">
                  <c:v>44162</c:v>
                </c:pt>
                <c:pt idx="7">
                  <c:v>44169</c:v>
                </c:pt>
                <c:pt idx="8">
                  <c:v>44176</c:v>
                </c:pt>
                <c:pt idx="9">
                  <c:v>44183</c:v>
                </c:pt>
                <c:pt idx="10">
                  <c:v>44190</c:v>
                </c:pt>
                <c:pt idx="11">
                  <c:v>44197</c:v>
                </c:pt>
                <c:pt idx="12">
                  <c:v>44204</c:v>
                </c:pt>
                <c:pt idx="13">
                  <c:v>44211</c:v>
                </c:pt>
                <c:pt idx="14">
                  <c:v>44218</c:v>
                </c:pt>
                <c:pt idx="15">
                  <c:v>44225</c:v>
                </c:pt>
                <c:pt idx="16">
                  <c:v>44232</c:v>
                </c:pt>
                <c:pt idx="17">
                  <c:v>44239</c:v>
                </c:pt>
                <c:pt idx="18">
                  <c:v>44246</c:v>
                </c:pt>
                <c:pt idx="19">
                  <c:v>44253</c:v>
                </c:pt>
                <c:pt idx="20">
                  <c:v>44260</c:v>
                </c:pt>
                <c:pt idx="21">
                  <c:v>44267</c:v>
                </c:pt>
                <c:pt idx="22">
                  <c:v>44274</c:v>
                </c:pt>
              </c:numCache>
            </c:numRef>
          </c:cat>
          <c:val>
            <c:numRef>
              <c:f>央行!$C$5:$C$27</c:f>
              <c:numCache>
                <c:formatCode>###,###,###,###,##0.00</c:formatCode>
                <c:ptCount val="23"/>
                <c:pt idx="0">
                  <c:v>-2100</c:v>
                </c:pt>
                <c:pt idx="1">
                  <c:v>-1000</c:v>
                </c:pt>
                <c:pt idx="2">
                  <c:v>-3250</c:v>
                </c:pt>
                <c:pt idx="3">
                  <c:v>-5100</c:v>
                </c:pt>
                <c:pt idx="4">
                  <c:v>-3200</c:v>
                </c:pt>
                <c:pt idx="5">
                  <c:v>-5500</c:v>
                </c:pt>
                <c:pt idx="6">
                  <c:v>-3050</c:v>
                </c:pt>
                <c:pt idx="7">
                  <c:v>-4300</c:v>
                </c:pt>
                <c:pt idx="8">
                  <c:v>-2000</c:v>
                </c:pt>
                <c:pt idx="9">
                  <c:v>-1500</c:v>
                </c:pt>
                <c:pt idx="10">
                  <c:v>-650</c:v>
                </c:pt>
                <c:pt idx="11">
                  <c:v>-800</c:v>
                </c:pt>
                <c:pt idx="12">
                  <c:v>-5200</c:v>
                </c:pt>
                <c:pt idx="13">
                  <c:v>-550</c:v>
                </c:pt>
                <c:pt idx="14">
                  <c:v>-160</c:v>
                </c:pt>
                <c:pt idx="15">
                  <c:v>-6190</c:v>
                </c:pt>
                <c:pt idx="16">
                  <c:v>-3840</c:v>
                </c:pt>
                <c:pt idx="17">
                  <c:v>-2800</c:v>
                </c:pt>
                <c:pt idx="18">
                  <c:v>-3800</c:v>
                </c:pt>
                <c:pt idx="19">
                  <c:v>-950</c:v>
                </c:pt>
                <c:pt idx="20">
                  <c:v>-800</c:v>
                </c:pt>
                <c:pt idx="21">
                  <c:v>-500</c:v>
                </c:pt>
                <c:pt idx="22">
                  <c:v>-500</c:v>
                </c:pt>
              </c:numCache>
            </c:numRef>
          </c:val>
          <c:extLst xmlns:c16r2="http://schemas.microsoft.com/office/drawing/2015/06/chart">
            <c:ext xmlns:c16="http://schemas.microsoft.com/office/drawing/2014/chart" uri="{C3380CC4-5D6E-409C-BE32-E72D297353CC}">
              <c16:uniqueId val="{00000001-1C5D-4FF8-89B0-A9A4B277FDB6}"/>
            </c:ext>
          </c:extLst>
        </c:ser>
        <c:dLbls>
          <c:showLegendKey val="0"/>
          <c:showVal val="0"/>
          <c:showCatName val="0"/>
          <c:showSerName val="0"/>
          <c:showPercent val="0"/>
          <c:showBubbleSize val="0"/>
        </c:dLbls>
        <c:gapWidth val="150"/>
        <c:overlap val="100"/>
        <c:axId val="538182784"/>
        <c:axId val="538184704"/>
      </c:barChart>
      <c:lineChart>
        <c:grouping val="standard"/>
        <c:varyColors val="0"/>
        <c:ser>
          <c:idx val="1"/>
          <c:order val="2"/>
          <c:tx>
            <c:strRef>
              <c:f>央行!$D$4</c:f>
              <c:strCache>
                <c:ptCount val="1"/>
                <c:pt idx="0">
                  <c:v>货币净投放</c:v>
                </c:pt>
              </c:strCache>
            </c:strRef>
          </c:tx>
          <c:spPr>
            <a:ln w="22225">
              <a:solidFill>
                <a:srgbClr val="BF5711"/>
              </a:solidFill>
              <a:prstDash val="sysDash"/>
            </a:ln>
          </c:spPr>
          <c:marker>
            <c:symbol val="diamond"/>
            <c:size val="7"/>
            <c:spPr>
              <a:solidFill>
                <a:sysClr val="window" lastClr="FFFFFF"/>
              </a:solidFill>
              <a:ln w="15875">
                <a:solidFill>
                  <a:srgbClr val="BF5711"/>
                </a:solidFill>
              </a:ln>
            </c:spPr>
          </c:marker>
          <c:cat>
            <c:numRef>
              <c:f>央行!$A$5:$A$27</c:f>
              <c:numCache>
                <c:formatCode>yyyy\-mm\-dd;@</c:formatCode>
                <c:ptCount val="23"/>
                <c:pt idx="0">
                  <c:v>44120</c:v>
                </c:pt>
                <c:pt idx="1">
                  <c:v>44127</c:v>
                </c:pt>
                <c:pt idx="2">
                  <c:v>44134</c:v>
                </c:pt>
                <c:pt idx="3">
                  <c:v>44141</c:v>
                </c:pt>
                <c:pt idx="4">
                  <c:v>44148</c:v>
                </c:pt>
                <c:pt idx="5">
                  <c:v>44155</c:v>
                </c:pt>
                <c:pt idx="6">
                  <c:v>44162</c:v>
                </c:pt>
                <c:pt idx="7">
                  <c:v>44169</c:v>
                </c:pt>
                <c:pt idx="8">
                  <c:v>44176</c:v>
                </c:pt>
                <c:pt idx="9">
                  <c:v>44183</c:v>
                </c:pt>
                <c:pt idx="10">
                  <c:v>44190</c:v>
                </c:pt>
                <c:pt idx="11">
                  <c:v>44197</c:v>
                </c:pt>
                <c:pt idx="12">
                  <c:v>44204</c:v>
                </c:pt>
                <c:pt idx="13">
                  <c:v>44211</c:v>
                </c:pt>
                <c:pt idx="14">
                  <c:v>44218</c:v>
                </c:pt>
                <c:pt idx="15">
                  <c:v>44225</c:v>
                </c:pt>
                <c:pt idx="16">
                  <c:v>44232</c:v>
                </c:pt>
                <c:pt idx="17">
                  <c:v>44239</c:v>
                </c:pt>
                <c:pt idx="18">
                  <c:v>44246</c:v>
                </c:pt>
                <c:pt idx="19">
                  <c:v>44253</c:v>
                </c:pt>
                <c:pt idx="20">
                  <c:v>44260</c:v>
                </c:pt>
                <c:pt idx="21">
                  <c:v>44267</c:v>
                </c:pt>
                <c:pt idx="22">
                  <c:v>44274</c:v>
                </c:pt>
              </c:numCache>
            </c:numRef>
          </c:cat>
          <c:val>
            <c:numRef>
              <c:f>央行!$D$5:$D$27</c:f>
              <c:numCache>
                <c:formatCode>###,###,###,###,##0.00</c:formatCode>
                <c:ptCount val="23"/>
                <c:pt idx="0">
                  <c:v>-1100</c:v>
                </c:pt>
                <c:pt idx="1">
                  <c:v>2200</c:v>
                </c:pt>
                <c:pt idx="2">
                  <c:v>1900</c:v>
                </c:pt>
                <c:pt idx="3">
                  <c:v>-1900</c:v>
                </c:pt>
                <c:pt idx="4">
                  <c:v>2300</c:v>
                </c:pt>
                <c:pt idx="5">
                  <c:v>-2500</c:v>
                </c:pt>
                <c:pt idx="6">
                  <c:v>1300</c:v>
                </c:pt>
                <c:pt idx="7">
                  <c:v>-2300</c:v>
                </c:pt>
                <c:pt idx="8">
                  <c:v>-500</c:v>
                </c:pt>
                <c:pt idx="9">
                  <c:v>-900</c:v>
                </c:pt>
                <c:pt idx="10">
                  <c:v>3650</c:v>
                </c:pt>
                <c:pt idx="11">
                  <c:v>950</c:v>
                </c:pt>
                <c:pt idx="12">
                  <c:v>-4650</c:v>
                </c:pt>
                <c:pt idx="13">
                  <c:v>-390</c:v>
                </c:pt>
                <c:pt idx="14">
                  <c:v>5980</c:v>
                </c:pt>
                <c:pt idx="15">
                  <c:v>-2300</c:v>
                </c:pt>
                <c:pt idx="16">
                  <c:v>960</c:v>
                </c:pt>
                <c:pt idx="17">
                  <c:v>-500</c:v>
                </c:pt>
                <c:pt idx="18">
                  <c:v>-3400</c:v>
                </c:pt>
                <c:pt idx="19">
                  <c:v>-150</c:v>
                </c:pt>
                <c:pt idx="20">
                  <c:v>-250</c:v>
                </c:pt>
                <c:pt idx="21">
                  <c:v>0</c:v>
                </c:pt>
                <c:pt idx="22">
                  <c:v>0</c:v>
                </c:pt>
              </c:numCache>
            </c:numRef>
          </c:val>
          <c:smooth val="0"/>
          <c:extLst xmlns:c16r2="http://schemas.microsoft.com/office/drawing/2015/06/chart">
            <c:ext xmlns:c16="http://schemas.microsoft.com/office/drawing/2014/chart" uri="{C3380CC4-5D6E-409C-BE32-E72D297353CC}">
              <c16:uniqueId val="{00000002-1C5D-4FF8-89B0-A9A4B277FDB6}"/>
            </c:ext>
          </c:extLst>
        </c:ser>
        <c:dLbls>
          <c:showLegendKey val="0"/>
          <c:showVal val="0"/>
          <c:showCatName val="0"/>
          <c:showSerName val="0"/>
          <c:showPercent val="0"/>
          <c:showBubbleSize val="0"/>
        </c:dLbls>
        <c:marker val="1"/>
        <c:smooth val="0"/>
        <c:axId val="538182784"/>
        <c:axId val="538184704"/>
      </c:lineChart>
      <c:catAx>
        <c:axId val="5381827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8184704"/>
        <c:crosses val="autoZero"/>
        <c:auto val="0"/>
        <c:lblAlgn val="ctr"/>
        <c:lblOffset val="0"/>
        <c:tickMarkSkip val="2"/>
        <c:noMultiLvlLbl val="0"/>
      </c:catAx>
      <c:valAx>
        <c:axId val="538184704"/>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8182784"/>
        <c:crosses val="autoZero"/>
        <c:crossBetween val="between"/>
      </c:valAx>
    </c:plotArea>
    <c:legend>
      <c:legendPos val="r"/>
      <c:layout>
        <c:manualLayout>
          <c:xMode val="edge"/>
          <c:yMode val="edge"/>
          <c:x val="0.15225"/>
          <c:y val="2.3337707786526686E-3"/>
          <c:w val="0.81834886264216977"/>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643285214348206E-2"/>
          <c:y val="0.10477958131625929"/>
          <c:w val="0.88794227346968624"/>
          <c:h val="0.80415514894989548"/>
        </c:manualLayout>
      </c:layout>
      <c:lineChart>
        <c:grouping val="standard"/>
        <c:varyColors val="0"/>
        <c:ser>
          <c:idx val="0"/>
          <c:order val="0"/>
          <c:tx>
            <c:strRef>
              <c:f>资金!$B$2</c:f>
              <c:strCache>
                <c:ptCount val="1"/>
                <c:pt idx="0">
                  <c:v>银行间质押式回购加权利率:1天</c:v>
                </c:pt>
              </c:strCache>
            </c:strRef>
          </c:tx>
          <c:spPr>
            <a:ln w="25400">
              <a:solidFill>
                <a:srgbClr val="ED7D31">
                  <a:lumMod val="75000"/>
                </a:srgbClr>
              </a:solidFill>
            </a:ln>
          </c:spPr>
          <c:marker>
            <c:symbol val="none"/>
          </c:marker>
          <c:cat>
            <c:numRef>
              <c:f>资金!$A$3:$A$61</c:f>
              <c:numCache>
                <c:formatCode>yyyy\-mm\-dd;@</c:formatCode>
                <c:ptCount val="59"/>
                <c:pt idx="0">
                  <c:v>44274</c:v>
                </c:pt>
                <c:pt idx="1">
                  <c:v>44273</c:v>
                </c:pt>
                <c:pt idx="2">
                  <c:v>44272</c:v>
                </c:pt>
                <c:pt idx="3">
                  <c:v>44271</c:v>
                </c:pt>
                <c:pt idx="4">
                  <c:v>44270</c:v>
                </c:pt>
                <c:pt idx="5">
                  <c:v>44267</c:v>
                </c:pt>
                <c:pt idx="6">
                  <c:v>44266</c:v>
                </c:pt>
                <c:pt idx="7">
                  <c:v>44265</c:v>
                </c:pt>
                <c:pt idx="8">
                  <c:v>44264</c:v>
                </c:pt>
                <c:pt idx="9">
                  <c:v>44263</c:v>
                </c:pt>
                <c:pt idx="10">
                  <c:v>44260</c:v>
                </c:pt>
                <c:pt idx="11">
                  <c:v>44259</c:v>
                </c:pt>
                <c:pt idx="12">
                  <c:v>44258</c:v>
                </c:pt>
                <c:pt idx="13">
                  <c:v>44257</c:v>
                </c:pt>
                <c:pt idx="14">
                  <c:v>44256</c:v>
                </c:pt>
                <c:pt idx="15">
                  <c:v>44253</c:v>
                </c:pt>
                <c:pt idx="16">
                  <c:v>44252</c:v>
                </c:pt>
                <c:pt idx="17">
                  <c:v>44251</c:v>
                </c:pt>
                <c:pt idx="18">
                  <c:v>44250</c:v>
                </c:pt>
                <c:pt idx="19">
                  <c:v>44249</c:v>
                </c:pt>
                <c:pt idx="20">
                  <c:v>44247</c:v>
                </c:pt>
                <c:pt idx="21">
                  <c:v>44246</c:v>
                </c:pt>
                <c:pt idx="22">
                  <c:v>44245</c:v>
                </c:pt>
                <c:pt idx="23">
                  <c:v>44237</c:v>
                </c:pt>
                <c:pt idx="24">
                  <c:v>44236</c:v>
                </c:pt>
                <c:pt idx="25">
                  <c:v>44235</c:v>
                </c:pt>
                <c:pt idx="26">
                  <c:v>44234</c:v>
                </c:pt>
                <c:pt idx="27">
                  <c:v>44232</c:v>
                </c:pt>
                <c:pt idx="28">
                  <c:v>44231</c:v>
                </c:pt>
                <c:pt idx="29">
                  <c:v>44230</c:v>
                </c:pt>
                <c:pt idx="30">
                  <c:v>44229</c:v>
                </c:pt>
                <c:pt idx="31">
                  <c:v>44228</c:v>
                </c:pt>
                <c:pt idx="32">
                  <c:v>44225</c:v>
                </c:pt>
                <c:pt idx="33">
                  <c:v>44224</c:v>
                </c:pt>
                <c:pt idx="34">
                  <c:v>44223</c:v>
                </c:pt>
                <c:pt idx="35">
                  <c:v>44222</c:v>
                </c:pt>
                <c:pt idx="36">
                  <c:v>44221</c:v>
                </c:pt>
                <c:pt idx="37">
                  <c:v>44218</c:v>
                </c:pt>
                <c:pt idx="38">
                  <c:v>44217</c:v>
                </c:pt>
                <c:pt idx="39">
                  <c:v>44216</c:v>
                </c:pt>
                <c:pt idx="40">
                  <c:v>44215</c:v>
                </c:pt>
                <c:pt idx="41">
                  <c:v>44214</c:v>
                </c:pt>
                <c:pt idx="42">
                  <c:v>44211</c:v>
                </c:pt>
                <c:pt idx="43">
                  <c:v>44210</c:v>
                </c:pt>
                <c:pt idx="44">
                  <c:v>44209</c:v>
                </c:pt>
                <c:pt idx="45">
                  <c:v>44208</c:v>
                </c:pt>
                <c:pt idx="46">
                  <c:v>44207</c:v>
                </c:pt>
                <c:pt idx="47">
                  <c:v>44204</c:v>
                </c:pt>
                <c:pt idx="48">
                  <c:v>44203</c:v>
                </c:pt>
                <c:pt idx="49">
                  <c:v>44202</c:v>
                </c:pt>
                <c:pt idx="50">
                  <c:v>44201</c:v>
                </c:pt>
                <c:pt idx="51">
                  <c:v>44200</c:v>
                </c:pt>
                <c:pt idx="52">
                  <c:v>44196</c:v>
                </c:pt>
                <c:pt idx="53">
                  <c:v>44195</c:v>
                </c:pt>
                <c:pt idx="54">
                  <c:v>44194</c:v>
                </c:pt>
                <c:pt idx="55">
                  <c:v>44193</c:v>
                </c:pt>
                <c:pt idx="56">
                  <c:v>44190</c:v>
                </c:pt>
                <c:pt idx="57">
                  <c:v>44189</c:v>
                </c:pt>
                <c:pt idx="58">
                  <c:v>44188</c:v>
                </c:pt>
              </c:numCache>
            </c:numRef>
          </c:cat>
          <c:val>
            <c:numRef>
              <c:f>资金!$B$3:$B$61</c:f>
              <c:numCache>
                <c:formatCode>###,###,###,###,##0.0000</c:formatCode>
                <c:ptCount val="59"/>
                <c:pt idx="0">
                  <c:v>2.1583999999999999</c:v>
                </c:pt>
                <c:pt idx="1">
                  <c:v>2.2496999999999998</c:v>
                </c:pt>
                <c:pt idx="2">
                  <c:v>2.024</c:v>
                </c:pt>
                <c:pt idx="3">
                  <c:v>2.1652</c:v>
                </c:pt>
                <c:pt idx="4">
                  <c:v>2.2884000000000002</c:v>
                </c:pt>
                <c:pt idx="5">
                  <c:v>1.8247</c:v>
                </c:pt>
                <c:pt idx="6">
                  <c:v>1.8349</c:v>
                </c:pt>
                <c:pt idx="7">
                  <c:v>1.7825</c:v>
                </c:pt>
                <c:pt idx="8">
                  <c:v>2.0304000000000002</c:v>
                </c:pt>
                <c:pt idx="9">
                  <c:v>1.7479</c:v>
                </c:pt>
                <c:pt idx="10">
                  <c:v>1.6113999999999999</c:v>
                </c:pt>
                <c:pt idx="11">
                  <c:v>1.9486000000000001</c:v>
                </c:pt>
                <c:pt idx="12">
                  <c:v>1.532</c:v>
                </c:pt>
                <c:pt idx="13">
                  <c:v>1.8036000000000001</c:v>
                </c:pt>
                <c:pt idx="14">
                  <c:v>2.1819999999999999</c:v>
                </c:pt>
                <c:pt idx="15">
                  <c:v>2.2122000000000002</c:v>
                </c:pt>
                <c:pt idx="16">
                  <c:v>1.7466999999999999</c:v>
                </c:pt>
                <c:pt idx="17">
                  <c:v>1.5522</c:v>
                </c:pt>
                <c:pt idx="18">
                  <c:v>1.9908999999999999</c:v>
                </c:pt>
                <c:pt idx="19">
                  <c:v>1.5585</c:v>
                </c:pt>
                <c:pt idx="20">
                  <c:v>1.4419</c:v>
                </c:pt>
                <c:pt idx="21">
                  <c:v>1.8237000000000001</c:v>
                </c:pt>
                <c:pt idx="22">
                  <c:v>2.3538999999999999</c:v>
                </c:pt>
                <c:pt idx="23">
                  <c:v>1.8607</c:v>
                </c:pt>
                <c:pt idx="24">
                  <c:v>1.7911999999999999</c:v>
                </c:pt>
                <c:pt idx="25">
                  <c:v>1.9377</c:v>
                </c:pt>
                <c:pt idx="26">
                  <c:v>1.5358000000000001</c:v>
                </c:pt>
                <c:pt idx="27">
                  <c:v>1.8911</c:v>
                </c:pt>
                <c:pt idx="28">
                  <c:v>2.1088</c:v>
                </c:pt>
                <c:pt idx="29">
                  <c:v>1.9271</c:v>
                </c:pt>
                <c:pt idx="30">
                  <c:v>2.2991999999999999</c:v>
                </c:pt>
                <c:pt idx="31">
                  <c:v>3.0550999999999999</c:v>
                </c:pt>
                <c:pt idx="32">
                  <c:v>6.5883000000000003</c:v>
                </c:pt>
                <c:pt idx="33">
                  <c:v>4.2148000000000003</c:v>
                </c:pt>
                <c:pt idx="34">
                  <c:v>3.5893999999999999</c:v>
                </c:pt>
                <c:pt idx="35">
                  <c:v>3.1797</c:v>
                </c:pt>
                <c:pt idx="36">
                  <c:v>2.6110000000000002</c:v>
                </c:pt>
                <c:pt idx="37">
                  <c:v>2.5579000000000001</c:v>
                </c:pt>
                <c:pt idx="38">
                  <c:v>2.7303000000000002</c:v>
                </c:pt>
                <c:pt idx="39">
                  <c:v>2.6476999999999999</c:v>
                </c:pt>
                <c:pt idx="40">
                  <c:v>2.4173</c:v>
                </c:pt>
                <c:pt idx="41">
                  <c:v>2.2145999999999999</c:v>
                </c:pt>
                <c:pt idx="42">
                  <c:v>1.81</c:v>
                </c:pt>
                <c:pt idx="43">
                  <c:v>1.7403999999999999</c:v>
                </c:pt>
                <c:pt idx="44">
                  <c:v>1.466</c:v>
                </c:pt>
                <c:pt idx="45">
                  <c:v>1.4098999999999999</c:v>
                </c:pt>
                <c:pt idx="46">
                  <c:v>1.2854000000000001</c:v>
                </c:pt>
                <c:pt idx="47">
                  <c:v>1.0166999999999999</c:v>
                </c:pt>
                <c:pt idx="48">
                  <c:v>0.99309999999999998</c:v>
                </c:pt>
                <c:pt idx="49">
                  <c:v>0.69089999999999996</c:v>
                </c:pt>
                <c:pt idx="50">
                  <c:v>0.80669999999999997</c:v>
                </c:pt>
                <c:pt idx="51">
                  <c:v>0.96089999999999998</c:v>
                </c:pt>
                <c:pt idx="52">
                  <c:v>1.4548000000000001</c:v>
                </c:pt>
                <c:pt idx="53">
                  <c:v>0.7712</c:v>
                </c:pt>
                <c:pt idx="54">
                  <c:v>0.71660000000000001</c:v>
                </c:pt>
                <c:pt idx="55">
                  <c:v>0.74880000000000002</c:v>
                </c:pt>
                <c:pt idx="56">
                  <c:v>0.86060000000000003</c:v>
                </c:pt>
                <c:pt idx="57">
                  <c:v>0.69410000000000005</c:v>
                </c:pt>
                <c:pt idx="58">
                  <c:v>0.68979999999999997</c:v>
                </c:pt>
              </c:numCache>
            </c:numRef>
          </c:val>
          <c:smooth val="1"/>
          <c:extLst xmlns:c16r2="http://schemas.microsoft.com/office/drawing/2015/06/chart">
            <c:ext xmlns:c16="http://schemas.microsoft.com/office/drawing/2014/chart" uri="{C3380CC4-5D6E-409C-BE32-E72D297353CC}">
              <c16:uniqueId val="{00000000-F0FC-485E-BC5D-8C5EDE58AE09}"/>
            </c:ext>
          </c:extLst>
        </c:ser>
        <c:ser>
          <c:idx val="2"/>
          <c:order val="1"/>
          <c:tx>
            <c:strRef>
              <c:f>资金!$C$2</c:f>
              <c:strCache>
                <c:ptCount val="1"/>
                <c:pt idx="0">
                  <c:v>银行间质押式回购加权利率:7天</c:v>
                </c:pt>
              </c:strCache>
            </c:strRef>
          </c:tx>
          <c:spPr>
            <a:ln w="25400">
              <a:solidFill>
                <a:srgbClr val="ED7D31"/>
              </a:solidFill>
              <a:prstDash val="sysDash"/>
            </a:ln>
          </c:spPr>
          <c:marker>
            <c:symbol val="none"/>
          </c:marker>
          <c:cat>
            <c:numRef>
              <c:f>资金!$A$3:$A$61</c:f>
              <c:numCache>
                <c:formatCode>yyyy\-mm\-dd;@</c:formatCode>
                <c:ptCount val="59"/>
                <c:pt idx="0">
                  <c:v>44274</c:v>
                </c:pt>
                <c:pt idx="1">
                  <c:v>44273</c:v>
                </c:pt>
                <c:pt idx="2">
                  <c:v>44272</c:v>
                </c:pt>
                <c:pt idx="3">
                  <c:v>44271</c:v>
                </c:pt>
                <c:pt idx="4">
                  <c:v>44270</c:v>
                </c:pt>
                <c:pt idx="5">
                  <c:v>44267</c:v>
                </c:pt>
                <c:pt idx="6">
                  <c:v>44266</c:v>
                </c:pt>
                <c:pt idx="7">
                  <c:v>44265</c:v>
                </c:pt>
                <c:pt idx="8">
                  <c:v>44264</c:v>
                </c:pt>
                <c:pt idx="9">
                  <c:v>44263</c:v>
                </c:pt>
                <c:pt idx="10">
                  <c:v>44260</c:v>
                </c:pt>
                <c:pt idx="11">
                  <c:v>44259</c:v>
                </c:pt>
                <c:pt idx="12">
                  <c:v>44258</c:v>
                </c:pt>
                <c:pt idx="13">
                  <c:v>44257</c:v>
                </c:pt>
                <c:pt idx="14">
                  <c:v>44256</c:v>
                </c:pt>
                <c:pt idx="15">
                  <c:v>44253</c:v>
                </c:pt>
                <c:pt idx="16">
                  <c:v>44252</c:v>
                </c:pt>
                <c:pt idx="17">
                  <c:v>44251</c:v>
                </c:pt>
                <c:pt idx="18">
                  <c:v>44250</c:v>
                </c:pt>
                <c:pt idx="19">
                  <c:v>44249</c:v>
                </c:pt>
                <c:pt idx="20">
                  <c:v>44247</c:v>
                </c:pt>
                <c:pt idx="21">
                  <c:v>44246</c:v>
                </c:pt>
                <c:pt idx="22">
                  <c:v>44245</c:v>
                </c:pt>
                <c:pt idx="23">
                  <c:v>44237</c:v>
                </c:pt>
                <c:pt idx="24">
                  <c:v>44236</c:v>
                </c:pt>
                <c:pt idx="25">
                  <c:v>44235</c:v>
                </c:pt>
                <c:pt idx="26">
                  <c:v>44234</c:v>
                </c:pt>
                <c:pt idx="27">
                  <c:v>44232</c:v>
                </c:pt>
                <c:pt idx="28">
                  <c:v>44231</c:v>
                </c:pt>
                <c:pt idx="29">
                  <c:v>44230</c:v>
                </c:pt>
                <c:pt idx="30">
                  <c:v>44229</c:v>
                </c:pt>
                <c:pt idx="31">
                  <c:v>44228</c:v>
                </c:pt>
                <c:pt idx="32">
                  <c:v>44225</c:v>
                </c:pt>
                <c:pt idx="33">
                  <c:v>44224</c:v>
                </c:pt>
                <c:pt idx="34">
                  <c:v>44223</c:v>
                </c:pt>
                <c:pt idx="35">
                  <c:v>44222</c:v>
                </c:pt>
                <c:pt idx="36">
                  <c:v>44221</c:v>
                </c:pt>
                <c:pt idx="37">
                  <c:v>44218</c:v>
                </c:pt>
                <c:pt idx="38">
                  <c:v>44217</c:v>
                </c:pt>
                <c:pt idx="39">
                  <c:v>44216</c:v>
                </c:pt>
                <c:pt idx="40">
                  <c:v>44215</c:v>
                </c:pt>
                <c:pt idx="41">
                  <c:v>44214</c:v>
                </c:pt>
                <c:pt idx="42">
                  <c:v>44211</c:v>
                </c:pt>
                <c:pt idx="43">
                  <c:v>44210</c:v>
                </c:pt>
                <c:pt idx="44">
                  <c:v>44209</c:v>
                </c:pt>
                <c:pt idx="45">
                  <c:v>44208</c:v>
                </c:pt>
                <c:pt idx="46">
                  <c:v>44207</c:v>
                </c:pt>
                <c:pt idx="47">
                  <c:v>44204</c:v>
                </c:pt>
                <c:pt idx="48">
                  <c:v>44203</c:v>
                </c:pt>
                <c:pt idx="49">
                  <c:v>44202</c:v>
                </c:pt>
                <c:pt idx="50">
                  <c:v>44201</c:v>
                </c:pt>
                <c:pt idx="51">
                  <c:v>44200</c:v>
                </c:pt>
                <c:pt idx="52">
                  <c:v>44196</c:v>
                </c:pt>
                <c:pt idx="53">
                  <c:v>44195</c:v>
                </c:pt>
                <c:pt idx="54">
                  <c:v>44194</c:v>
                </c:pt>
                <c:pt idx="55">
                  <c:v>44193</c:v>
                </c:pt>
                <c:pt idx="56">
                  <c:v>44190</c:v>
                </c:pt>
                <c:pt idx="57">
                  <c:v>44189</c:v>
                </c:pt>
                <c:pt idx="58">
                  <c:v>44188</c:v>
                </c:pt>
              </c:numCache>
            </c:numRef>
          </c:cat>
          <c:val>
            <c:numRef>
              <c:f>资金!$C$3:$C$61</c:f>
              <c:numCache>
                <c:formatCode>###,###,###,###,##0.0000</c:formatCode>
                <c:ptCount val="59"/>
                <c:pt idx="0">
                  <c:v>2.1913999999999998</c:v>
                </c:pt>
                <c:pt idx="1">
                  <c:v>2.1907999999999999</c:v>
                </c:pt>
                <c:pt idx="2">
                  <c:v>2.1332</c:v>
                </c:pt>
                <c:pt idx="3">
                  <c:v>2.302</c:v>
                </c:pt>
                <c:pt idx="4">
                  <c:v>2.3008000000000002</c:v>
                </c:pt>
                <c:pt idx="5">
                  <c:v>2.0649999999999999</c:v>
                </c:pt>
                <c:pt idx="6">
                  <c:v>2.0508999999999999</c:v>
                </c:pt>
                <c:pt idx="7">
                  <c:v>2.0379</c:v>
                </c:pt>
                <c:pt idx="8">
                  <c:v>2.0366</c:v>
                </c:pt>
                <c:pt idx="9">
                  <c:v>2.0465</c:v>
                </c:pt>
                <c:pt idx="10">
                  <c:v>1.9971000000000001</c:v>
                </c:pt>
                <c:pt idx="11">
                  <c:v>2.0945999999999998</c:v>
                </c:pt>
                <c:pt idx="12">
                  <c:v>1.9888999999999999</c:v>
                </c:pt>
                <c:pt idx="13">
                  <c:v>2.1551999999999998</c:v>
                </c:pt>
                <c:pt idx="14">
                  <c:v>2.2427000000000001</c:v>
                </c:pt>
                <c:pt idx="15">
                  <c:v>2.3666999999999998</c:v>
                </c:pt>
                <c:pt idx="16">
                  <c:v>2.2989999999999999</c:v>
                </c:pt>
                <c:pt idx="17">
                  <c:v>2.3325999999999998</c:v>
                </c:pt>
                <c:pt idx="18">
                  <c:v>2.4706999999999999</c:v>
                </c:pt>
                <c:pt idx="19">
                  <c:v>2.4460999999999999</c:v>
                </c:pt>
                <c:pt idx="20">
                  <c:v>2.0444</c:v>
                </c:pt>
                <c:pt idx="21">
                  <c:v>2.0552999999999999</c:v>
                </c:pt>
                <c:pt idx="22">
                  <c:v>2.294</c:v>
                </c:pt>
                <c:pt idx="23">
                  <c:v>2.1448</c:v>
                </c:pt>
                <c:pt idx="24">
                  <c:v>2.5484</c:v>
                </c:pt>
                <c:pt idx="25">
                  <c:v>2.5283000000000002</c:v>
                </c:pt>
                <c:pt idx="26">
                  <c:v>2.4319999999999999</c:v>
                </c:pt>
                <c:pt idx="27">
                  <c:v>2.2995999999999999</c:v>
                </c:pt>
                <c:pt idx="28">
                  <c:v>2.5297000000000001</c:v>
                </c:pt>
                <c:pt idx="29">
                  <c:v>2.2336</c:v>
                </c:pt>
                <c:pt idx="30">
                  <c:v>2.5807000000000002</c:v>
                </c:pt>
                <c:pt idx="31">
                  <c:v>3.7665999999999999</c:v>
                </c:pt>
                <c:pt idx="32">
                  <c:v>4.3929999999999998</c:v>
                </c:pt>
                <c:pt idx="33">
                  <c:v>4.8315000000000001</c:v>
                </c:pt>
                <c:pt idx="34">
                  <c:v>4.0193000000000003</c:v>
                </c:pt>
                <c:pt idx="35">
                  <c:v>3.3340999999999998</c:v>
                </c:pt>
                <c:pt idx="36">
                  <c:v>2.7936999999999999</c:v>
                </c:pt>
                <c:pt idx="37">
                  <c:v>2.5236000000000001</c:v>
                </c:pt>
                <c:pt idx="38">
                  <c:v>2.7056</c:v>
                </c:pt>
                <c:pt idx="39">
                  <c:v>2.8475000000000001</c:v>
                </c:pt>
                <c:pt idx="40">
                  <c:v>2.7555000000000001</c:v>
                </c:pt>
                <c:pt idx="41">
                  <c:v>2.2976000000000001</c:v>
                </c:pt>
                <c:pt idx="42">
                  <c:v>2.0333999999999999</c:v>
                </c:pt>
                <c:pt idx="43">
                  <c:v>2.0226000000000002</c:v>
                </c:pt>
                <c:pt idx="44">
                  <c:v>2.0316000000000001</c:v>
                </c:pt>
                <c:pt idx="45">
                  <c:v>1.9894000000000001</c:v>
                </c:pt>
                <c:pt idx="46">
                  <c:v>1.9881</c:v>
                </c:pt>
                <c:pt idx="47">
                  <c:v>1.9588000000000001</c:v>
                </c:pt>
                <c:pt idx="48">
                  <c:v>1.9403999999999999</c:v>
                </c:pt>
                <c:pt idx="49">
                  <c:v>1.99</c:v>
                </c:pt>
                <c:pt idx="50">
                  <c:v>1.9370000000000001</c:v>
                </c:pt>
                <c:pt idx="51">
                  <c:v>2.0960000000000001</c:v>
                </c:pt>
                <c:pt idx="52">
                  <c:v>2.5943000000000001</c:v>
                </c:pt>
                <c:pt idx="53">
                  <c:v>3.3605</c:v>
                </c:pt>
                <c:pt idx="54">
                  <c:v>2.9542000000000002</c:v>
                </c:pt>
                <c:pt idx="55">
                  <c:v>2.7515999999999998</c:v>
                </c:pt>
                <c:pt idx="56">
                  <c:v>2.4668000000000001</c:v>
                </c:pt>
                <c:pt idx="57">
                  <c:v>1.7735000000000001</c:v>
                </c:pt>
                <c:pt idx="58">
                  <c:v>2.0478000000000001</c:v>
                </c:pt>
              </c:numCache>
            </c:numRef>
          </c:val>
          <c:smooth val="1"/>
          <c:extLst xmlns:c16r2="http://schemas.microsoft.com/office/drawing/2015/06/chart">
            <c:ext xmlns:c16="http://schemas.microsoft.com/office/drawing/2014/chart" uri="{C3380CC4-5D6E-409C-BE32-E72D297353CC}">
              <c16:uniqueId val="{00000001-F0FC-485E-BC5D-8C5EDE58AE09}"/>
            </c:ext>
          </c:extLst>
        </c:ser>
        <c:dLbls>
          <c:showLegendKey val="0"/>
          <c:showVal val="0"/>
          <c:showCatName val="0"/>
          <c:showSerName val="0"/>
          <c:showPercent val="0"/>
          <c:showBubbleSize val="0"/>
        </c:dLbls>
        <c:marker val="1"/>
        <c:smooth val="0"/>
        <c:axId val="538192128"/>
        <c:axId val="538214400"/>
      </c:lineChart>
      <c:dateAx>
        <c:axId val="538192128"/>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8214400"/>
        <c:crosses val="autoZero"/>
        <c:auto val="0"/>
        <c:lblOffset val="0"/>
        <c:baseTimeUnit val="days"/>
        <c:majorUnit val="14"/>
        <c:majorTimeUnit val="days"/>
        <c:minorUnit val="7"/>
        <c:minorTimeUnit val="days"/>
      </c:dateAx>
      <c:valAx>
        <c:axId val="538214400"/>
        <c:scaling>
          <c:orientation val="minMax"/>
        </c:scaling>
        <c:delete val="0"/>
        <c:axPos val="l"/>
        <c:numFmt formatCode="#,##0.0_);[Red]\(#,##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8192128"/>
        <c:crosses val="autoZero"/>
        <c:crossBetween val="between"/>
      </c:valAx>
    </c:plotArea>
    <c:legend>
      <c:legendPos val="r"/>
      <c:layout>
        <c:manualLayout>
          <c:xMode val="edge"/>
          <c:yMode val="edge"/>
          <c:x val="0.15502777777777776"/>
          <c:y val="2.3337707786526686E-3"/>
          <c:w val="0.690571084864392"/>
          <c:h val="0.12288604549431321"/>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8363429571303587"/>
          <c:h val="0.81409120734908136"/>
        </c:manualLayout>
      </c:layout>
      <c:barChart>
        <c:barDir val="col"/>
        <c:grouping val="clustered"/>
        <c:varyColors val="0"/>
        <c:ser>
          <c:idx val="0"/>
          <c:order val="0"/>
          <c:tx>
            <c:strRef>
              <c:f>国债!$J$3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国债!$K$3:$Q$3</c:f>
              <c:numCache>
                <c:formatCode>0.0_ ;[Red]\-0.0\ </c:formatCode>
                <c:ptCount val="7"/>
                <c:pt idx="0">
                  <c:v>4.7199999999999909</c:v>
                </c:pt>
                <c:pt idx="1">
                  <c:v>-1.5299999999999869</c:v>
                </c:pt>
                <c:pt idx="2">
                  <c:v>-0.11999999999998678</c:v>
                </c:pt>
                <c:pt idx="3">
                  <c:v>-3.7700000000000067</c:v>
                </c:pt>
                <c:pt idx="4">
                  <c:v>-4.5900000000000052</c:v>
                </c:pt>
                <c:pt idx="5">
                  <c:v>-2.4399999999999977</c:v>
                </c:pt>
                <c:pt idx="6">
                  <c:v>-2.48999999999997</c:v>
                </c:pt>
              </c:numCache>
            </c:numRef>
          </c:val>
          <c:extLst xmlns:c16r2="http://schemas.microsoft.com/office/drawing/2015/06/chart">
            <c:ext xmlns:c16="http://schemas.microsoft.com/office/drawing/2014/chart" uri="{C3380CC4-5D6E-409C-BE32-E72D297353CC}">
              <c16:uniqueId val="{00000000-FD33-482D-BE81-E2992AA013AE}"/>
            </c:ext>
          </c:extLst>
        </c:ser>
        <c:dLbls>
          <c:showLegendKey val="0"/>
          <c:showVal val="0"/>
          <c:showCatName val="0"/>
          <c:showSerName val="0"/>
          <c:showPercent val="0"/>
          <c:showBubbleSize val="0"/>
        </c:dLbls>
        <c:gapWidth val="150"/>
        <c:axId val="538241664"/>
        <c:axId val="538252032"/>
      </c:barChart>
      <c:lineChart>
        <c:grouping val="standard"/>
        <c:varyColors val="0"/>
        <c:ser>
          <c:idx val="2"/>
          <c:order val="1"/>
          <c:tx>
            <c:strRef>
              <c:f>国债!$J$4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FD33-482D-BE81-E2992AA013AE}"/>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FD33-482D-BE81-E2992AA013AE}"/>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FD33-482D-BE81-E2992AA013AE}"/>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FD33-482D-BE81-E2992AA013AE}"/>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FD33-482D-BE81-E2992AA013AE}"/>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FD33-482D-BE81-E2992AA013AE}"/>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国债!$K$2:$Q$2</c:f>
              <c:strCache>
                <c:ptCount val="7"/>
                <c:pt idx="0">
                  <c:v>1M</c:v>
                </c:pt>
                <c:pt idx="1">
                  <c:v>3M</c:v>
                </c:pt>
                <c:pt idx="2">
                  <c:v>1Y</c:v>
                </c:pt>
                <c:pt idx="3">
                  <c:v>3Y</c:v>
                </c:pt>
                <c:pt idx="4">
                  <c:v>5Y</c:v>
                </c:pt>
                <c:pt idx="5">
                  <c:v>7Y</c:v>
                </c:pt>
                <c:pt idx="6">
                  <c:v>10Y</c:v>
                </c:pt>
              </c:strCache>
            </c:strRef>
          </c:cat>
          <c:val>
            <c:numRef>
              <c:f>国债!$K$4:$Q$4</c:f>
              <c:numCache>
                <c:formatCode>###,###,###,###,##0.00</c:formatCode>
                <c:ptCount val="7"/>
                <c:pt idx="0">
                  <c:v>1.8877999999999999</c:v>
                </c:pt>
                <c:pt idx="1">
                  <c:v>2.0398000000000001</c:v>
                </c:pt>
                <c:pt idx="2">
                  <c:v>2.6395</c:v>
                </c:pt>
                <c:pt idx="3">
                  <c:v>2.9205000000000001</c:v>
                </c:pt>
                <c:pt idx="4">
                  <c:v>3.0539999999999998</c:v>
                </c:pt>
                <c:pt idx="5">
                  <c:v>3.2084999999999999</c:v>
                </c:pt>
                <c:pt idx="6">
                  <c:v>3.2364000000000002</c:v>
                </c:pt>
              </c:numCache>
            </c:numRef>
          </c:val>
          <c:smooth val="0"/>
          <c:extLst xmlns:c16r2="http://schemas.microsoft.com/office/drawing/2015/06/chart">
            <c:ext xmlns:c16="http://schemas.microsoft.com/office/drawing/2014/chart" uri="{C3380CC4-5D6E-409C-BE32-E72D297353CC}">
              <c16:uniqueId val="{00000007-FD33-482D-BE81-E2992AA013AE}"/>
            </c:ext>
          </c:extLst>
        </c:ser>
        <c:ser>
          <c:idx val="1"/>
          <c:order val="2"/>
          <c:tx>
            <c:strRef>
              <c:f>国债!$J$5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国债!$K$2:$Q$2</c:f>
              <c:strCache>
                <c:ptCount val="7"/>
                <c:pt idx="0">
                  <c:v>1M</c:v>
                </c:pt>
                <c:pt idx="1">
                  <c:v>3M</c:v>
                </c:pt>
                <c:pt idx="2">
                  <c:v>1Y</c:v>
                </c:pt>
                <c:pt idx="3">
                  <c:v>3Y</c:v>
                </c:pt>
                <c:pt idx="4">
                  <c:v>5Y</c:v>
                </c:pt>
                <c:pt idx="5">
                  <c:v>7Y</c:v>
                </c:pt>
                <c:pt idx="6">
                  <c:v>10Y</c:v>
                </c:pt>
              </c:strCache>
            </c:strRef>
          </c:cat>
          <c:val>
            <c:numRef>
              <c:f>国债!$K$5:$Q$5</c:f>
              <c:numCache>
                <c:formatCode>###,###,###,###,##0.00</c:formatCode>
                <c:ptCount val="7"/>
                <c:pt idx="0">
                  <c:v>1.8406</c:v>
                </c:pt>
                <c:pt idx="1">
                  <c:v>2.0550999999999999</c:v>
                </c:pt>
                <c:pt idx="2">
                  <c:v>2.6406999999999998</c:v>
                </c:pt>
                <c:pt idx="3">
                  <c:v>2.9582000000000002</c:v>
                </c:pt>
                <c:pt idx="4">
                  <c:v>3.0998999999999999</c:v>
                </c:pt>
                <c:pt idx="5">
                  <c:v>3.2328999999999999</c:v>
                </c:pt>
                <c:pt idx="6">
                  <c:v>3.2612999999999999</c:v>
                </c:pt>
              </c:numCache>
            </c:numRef>
          </c:val>
          <c:smooth val="0"/>
          <c:extLst xmlns:c16r2="http://schemas.microsoft.com/office/drawing/2015/06/chart">
            <c:ext xmlns:c16="http://schemas.microsoft.com/office/drawing/2014/chart" uri="{C3380CC4-5D6E-409C-BE32-E72D297353CC}">
              <c16:uniqueId val="{00000008-FD33-482D-BE81-E2992AA013AE}"/>
            </c:ext>
          </c:extLst>
        </c:ser>
        <c:dLbls>
          <c:showLegendKey val="0"/>
          <c:showVal val="0"/>
          <c:showCatName val="0"/>
          <c:showSerName val="0"/>
          <c:showPercent val="0"/>
          <c:showBubbleSize val="0"/>
        </c:dLbls>
        <c:marker val="1"/>
        <c:smooth val="0"/>
        <c:axId val="538259456"/>
        <c:axId val="538253568"/>
      </c:lineChart>
      <c:dateAx>
        <c:axId val="538241664"/>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8252032"/>
        <c:crosses val="autoZero"/>
        <c:auto val="0"/>
        <c:lblOffset val="0"/>
        <c:baseTimeUnit val="days"/>
      </c:dateAx>
      <c:valAx>
        <c:axId val="538252032"/>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8241664"/>
        <c:crosses val="autoZero"/>
        <c:crossBetween val="between"/>
      </c:valAx>
      <c:valAx>
        <c:axId val="538253568"/>
        <c:scaling>
          <c:orientation val="minMax"/>
        </c:scaling>
        <c:delete val="0"/>
        <c:axPos val="r"/>
        <c:numFmt formatCode="#,##0.0_);[Red]\(#,##0.0\)" sourceLinked="0"/>
        <c:majorTickMark val="out"/>
        <c:minorTickMark val="none"/>
        <c:tickLblPos val="nextTo"/>
        <c:spPr>
          <a:ln w="3175">
            <a:solidFill>
              <a:sysClr val="windowText" lastClr="000000"/>
            </a:solidFill>
          </a:ln>
        </c:spPr>
        <c:crossAx val="538259456"/>
        <c:crosses val="max"/>
        <c:crossBetween val="between"/>
      </c:valAx>
      <c:dateAx>
        <c:axId val="538259456"/>
        <c:scaling>
          <c:orientation val="minMax"/>
        </c:scaling>
        <c:delete val="1"/>
        <c:axPos val="b"/>
        <c:numFmt formatCode="General" sourceLinked="1"/>
        <c:majorTickMark val="out"/>
        <c:minorTickMark val="none"/>
        <c:tickLblPos val="nextTo"/>
        <c:crossAx val="538253568"/>
        <c:crosses val="autoZero"/>
        <c:auto val="0"/>
        <c:lblOffset val="100"/>
        <c:baseTimeUnit val="years"/>
      </c:dateAx>
    </c:plotArea>
    <c:legend>
      <c:legendPos val="r"/>
      <c:layout>
        <c:manualLayout>
          <c:xMode val="edge"/>
          <c:yMode val="edge"/>
          <c:x val="0.10143492808687925"/>
          <c:y val="9.7059651546505445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8932852143482062E-2"/>
          <c:y val="0.11196595217264509"/>
          <c:w val="0.86463429571303585"/>
          <c:h val="0.81409120734908136"/>
        </c:manualLayout>
      </c:layout>
      <c:barChart>
        <c:barDir val="col"/>
        <c:grouping val="clustered"/>
        <c:varyColors val="0"/>
        <c:ser>
          <c:idx val="0"/>
          <c:order val="0"/>
          <c:tx>
            <c:strRef>
              <c:f>国开!$J$3</c:f>
              <c:strCache>
                <c:ptCount val="1"/>
                <c:pt idx="0">
                  <c:v>变化(左)</c:v>
                </c:pt>
              </c:strCache>
            </c:strRef>
          </c:tx>
          <c:spPr>
            <a:solidFill>
              <a:srgbClr val="E7E6E6">
                <a:lumMod val="90000"/>
              </a:srgbClr>
            </a:solidFill>
            <a:ln w="22225">
              <a:noFill/>
            </a:ln>
          </c:spPr>
          <c:invertIfNegative val="0"/>
          <c:dLbls>
            <c:spPr>
              <a:noFill/>
              <a:ln>
                <a:noFill/>
              </a:ln>
              <a:effectLst/>
            </c:spPr>
            <c:dLblPos val="inBase"/>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国开!$K$3:$Q$3</c:f>
              <c:numCache>
                <c:formatCode>0.0_ ;[Red]\-0.0\ </c:formatCode>
                <c:ptCount val="7"/>
                <c:pt idx="0">
                  <c:v>-1.5000000000000124</c:v>
                </c:pt>
                <c:pt idx="1">
                  <c:v>6.6100000000000048</c:v>
                </c:pt>
                <c:pt idx="2">
                  <c:v>3.5100000000000353</c:v>
                </c:pt>
                <c:pt idx="3">
                  <c:v>-1.8400000000000194</c:v>
                </c:pt>
                <c:pt idx="4">
                  <c:v>-1.9300000000000317</c:v>
                </c:pt>
                <c:pt idx="5">
                  <c:v>-0.47000000000001485</c:v>
                </c:pt>
                <c:pt idx="6">
                  <c:v>-2.2400000000000198</c:v>
                </c:pt>
              </c:numCache>
            </c:numRef>
          </c:val>
          <c:extLst xmlns:c16r2="http://schemas.microsoft.com/office/drawing/2015/06/chart">
            <c:ext xmlns:c16="http://schemas.microsoft.com/office/drawing/2014/chart" uri="{C3380CC4-5D6E-409C-BE32-E72D297353CC}">
              <c16:uniqueId val="{00000000-CD99-4173-809B-BEE2FB702D88}"/>
            </c:ext>
          </c:extLst>
        </c:ser>
        <c:dLbls>
          <c:showLegendKey val="0"/>
          <c:showVal val="0"/>
          <c:showCatName val="0"/>
          <c:showSerName val="0"/>
          <c:showPercent val="0"/>
          <c:showBubbleSize val="0"/>
        </c:dLbls>
        <c:gapWidth val="150"/>
        <c:axId val="538303488"/>
        <c:axId val="538322048"/>
      </c:barChart>
      <c:lineChart>
        <c:grouping val="standard"/>
        <c:varyColors val="0"/>
        <c:ser>
          <c:idx val="2"/>
          <c:order val="1"/>
          <c:tx>
            <c:strRef>
              <c:f>国开!$J$4</c:f>
              <c:strCache>
                <c:ptCount val="1"/>
                <c:pt idx="0">
                  <c:v>本周</c:v>
                </c:pt>
              </c:strCache>
            </c:strRef>
          </c:tx>
          <c:spPr>
            <a:ln w="22225">
              <a:solidFill>
                <a:srgbClr val="BF5711"/>
              </a:solidFill>
              <a:prstDash val="solid"/>
            </a:ln>
          </c:spPr>
          <c:marker>
            <c:symbol val="diamond"/>
            <c:size val="7"/>
            <c:spPr>
              <a:solidFill>
                <a:sysClr val="window" lastClr="FFFFFF"/>
              </a:solidFill>
              <a:ln w="15875">
                <a:solidFill>
                  <a:srgbClr val="BF5711"/>
                </a:solidFill>
                <a:prstDash val="solid"/>
              </a:ln>
            </c:spPr>
          </c:marker>
          <c:dLbls>
            <c:dLbl>
              <c:idx val="0"/>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1-CD99-4173-809B-BEE2FB702D88}"/>
                </c:ext>
              </c:extLst>
            </c:dLbl>
            <c:dLbl>
              <c:idx val="1"/>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2-CD99-4173-809B-BEE2FB702D88}"/>
                </c:ext>
              </c:extLst>
            </c:dLbl>
            <c:dLbl>
              <c:idx val="2"/>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3-CD99-4173-809B-BEE2FB702D88}"/>
                </c:ext>
              </c:extLst>
            </c:dLbl>
            <c:dLbl>
              <c:idx val="3"/>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4-CD99-4173-809B-BEE2FB702D88}"/>
                </c:ext>
              </c:extLst>
            </c:dLbl>
            <c:dLbl>
              <c:idx val="4"/>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5-CD99-4173-809B-BEE2FB702D88}"/>
                </c:ext>
              </c:extLst>
            </c:dLbl>
            <c:dLbl>
              <c:idx val="5"/>
              <c:delete val="1"/>
              <c:extLst xmlns:c16r2="http://schemas.microsoft.com/office/drawing/2015/06/chart">
                <c:ext xmlns:c15="http://schemas.microsoft.com/office/drawing/2012/chart" uri="{CE6537A1-D6FC-4f65-9D91-7224C49458BB}"/>
                <c:ext xmlns:c16="http://schemas.microsoft.com/office/drawing/2014/chart" uri="{C3380CC4-5D6E-409C-BE32-E72D297353CC}">
                  <c16:uniqueId val="{00000006-CD99-4173-809B-BEE2FB702D88}"/>
                </c:ext>
              </c:extLst>
            </c:dLbl>
            <c:spPr>
              <a:noFill/>
              <a:ln>
                <a:noFill/>
              </a:ln>
              <a:effectLst/>
            </c:spPr>
            <c:dLblPos val="t"/>
            <c:showLegendKey val="0"/>
            <c:showVal val="1"/>
            <c:showCatName val="0"/>
            <c:showSerName val="0"/>
            <c:showPercent val="0"/>
            <c:showBubbleSize val="0"/>
            <c:showLeaderLines val="0"/>
            <c:extLst xmlns:c16r2="http://schemas.microsoft.com/office/drawing/2015/06/chart">
              <c:ext xmlns:c15="http://schemas.microsoft.com/office/drawing/2012/chart" uri="{CE6537A1-D6FC-4f65-9D91-7224C49458BB}">
                <c15:showLeaderLines val="1"/>
              </c:ext>
            </c:extLst>
          </c:dLbls>
          <c:cat>
            <c:strRef>
              <c:f>国开!$K$2:$Q$2</c:f>
              <c:strCache>
                <c:ptCount val="7"/>
                <c:pt idx="0">
                  <c:v>1M</c:v>
                </c:pt>
                <c:pt idx="1">
                  <c:v>3M</c:v>
                </c:pt>
                <c:pt idx="2">
                  <c:v>1Y</c:v>
                </c:pt>
                <c:pt idx="3">
                  <c:v>3Y</c:v>
                </c:pt>
                <c:pt idx="4">
                  <c:v>5Y</c:v>
                </c:pt>
                <c:pt idx="5">
                  <c:v>7Y</c:v>
                </c:pt>
                <c:pt idx="6">
                  <c:v>10Y</c:v>
                </c:pt>
              </c:strCache>
            </c:strRef>
          </c:cat>
          <c:val>
            <c:numRef>
              <c:f>国开!$K$4:$Q$4</c:f>
              <c:numCache>
                <c:formatCode>###,###,###,###,##0.00</c:formatCode>
                <c:ptCount val="7"/>
                <c:pt idx="0">
                  <c:v>2.0190999999999999</c:v>
                </c:pt>
                <c:pt idx="1">
                  <c:v>2.1819999999999999</c:v>
                </c:pt>
                <c:pt idx="2">
                  <c:v>2.7629000000000001</c:v>
                </c:pt>
                <c:pt idx="3">
                  <c:v>3.2233999999999998</c:v>
                </c:pt>
                <c:pt idx="4">
                  <c:v>3.4011999999999998</c:v>
                </c:pt>
                <c:pt idx="5">
                  <c:v>3.5518000000000001</c:v>
                </c:pt>
                <c:pt idx="6">
                  <c:v>3.6375999999999999</c:v>
                </c:pt>
              </c:numCache>
            </c:numRef>
          </c:val>
          <c:smooth val="0"/>
          <c:extLst xmlns:c16r2="http://schemas.microsoft.com/office/drawing/2015/06/chart">
            <c:ext xmlns:c16="http://schemas.microsoft.com/office/drawing/2014/chart" uri="{C3380CC4-5D6E-409C-BE32-E72D297353CC}">
              <c16:uniqueId val="{00000007-CD99-4173-809B-BEE2FB702D88}"/>
            </c:ext>
          </c:extLst>
        </c:ser>
        <c:ser>
          <c:idx val="1"/>
          <c:order val="2"/>
          <c:tx>
            <c:strRef>
              <c:f>国开!$J$5</c:f>
              <c:strCache>
                <c:ptCount val="1"/>
                <c:pt idx="0">
                  <c:v>上周</c:v>
                </c:pt>
              </c:strCache>
            </c:strRef>
          </c:tx>
          <c:spPr>
            <a:ln w="22225">
              <a:solidFill>
                <a:srgbClr val="ED7D31"/>
              </a:solidFill>
              <a:prstDash val="sysDash"/>
            </a:ln>
          </c:spPr>
          <c:marker>
            <c:symbol val="diamond"/>
            <c:size val="7"/>
            <c:spPr>
              <a:solidFill>
                <a:sysClr val="window" lastClr="FFFFFF"/>
              </a:solidFill>
              <a:ln w="15875">
                <a:solidFill>
                  <a:srgbClr val="ED7D31"/>
                </a:solidFill>
              </a:ln>
            </c:spPr>
          </c:marker>
          <c:cat>
            <c:strRef>
              <c:f>国开!$K$2:$Q$2</c:f>
              <c:strCache>
                <c:ptCount val="7"/>
                <c:pt idx="0">
                  <c:v>1M</c:v>
                </c:pt>
                <c:pt idx="1">
                  <c:v>3M</c:v>
                </c:pt>
                <c:pt idx="2">
                  <c:v>1Y</c:v>
                </c:pt>
                <c:pt idx="3">
                  <c:v>3Y</c:v>
                </c:pt>
                <c:pt idx="4">
                  <c:v>5Y</c:v>
                </c:pt>
                <c:pt idx="5">
                  <c:v>7Y</c:v>
                </c:pt>
                <c:pt idx="6">
                  <c:v>10Y</c:v>
                </c:pt>
              </c:strCache>
            </c:strRef>
          </c:cat>
          <c:val>
            <c:numRef>
              <c:f>国开!$K$5:$Q$5</c:f>
              <c:numCache>
                <c:formatCode>###,###,###,###,##0.00</c:formatCode>
                <c:ptCount val="7"/>
                <c:pt idx="0">
                  <c:v>2.0341</c:v>
                </c:pt>
                <c:pt idx="1">
                  <c:v>2.1158999999999999</c:v>
                </c:pt>
                <c:pt idx="2">
                  <c:v>2.7277999999999998</c:v>
                </c:pt>
                <c:pt idx="3">
                  <c:v>3.2418</c:v>
                </c:pt>
                <c:pt idx="4">
                  <c:v>3.4205000000000001</c:v>
                </c:pt>
                <c:pt idx="5">
                  <c:v>3.5565000000000002</c:v>
                </c:pt>
                <c:pt idx="6">
                  <c:v>3.66</c:v>
                </c:pt>
              </c:numCache>
            </c:numRef>
          </c:val>
          <c:smooth val="0"/>
          <c:extLst xmlns:c16r2="http://schemas.microsoft.com/office/drawing/2015/06/chart">
            <c:ext xmlns:c16="http://schemas.microsoft.com/office/drawing/2014/chart" uri="{C3380CC4-5D6E-409C-BE32-E72D297353CC}">
              <c16:uniqueId val="{00000008-CD99-4173-809B-BEE2FB702D88}"/>
            </c:ext>
          </c:extLst>
        </c:ser>
        <c:dLbls>
          <c:showLegendKey val="0"/>
          <c:showVal val="0"/>
          <c:showCatName val="0"/>
          <c:showSerName val="0"/>
          <c:showPercent val="0"/>
          <c:showBubbleSize val="0"/>
        </c:dLbls>
        <c:marker val="1"/>
        <c:smooth val="0"/>
        <c:axId val="538325376"/>
        <c:axId val="538323584"/>
      </c:lineChart>
      <c:dateAx>
        <c:axId val="538303488"/>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8322048"/>
        <c:crosses val="autoZero"/>
        <c:auto val="0"/>
        <c:lblOffset val="0"/>
        <c:baseTimeUnit val="days"/>
      </c:dateAx>
      <c:valAx>
        <c:axId val="538322048"/>
        <c:scaling>
          <c:orientation val="minMax"/>
          <c:max val="1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8303488"/>
        <c:crosses val="autoZero"/>
        <c:crossBetween val="between"/>
      </c:valAx>
      <c:valAx>
        <c:axId val="538323584"/>
        <c:scaling>
          <c:orientation val="minMax"/>
        </c:scaling>
        <c:delete val="0"/>
        <c:axPos val="r"/>
        <c:numFmt formatCode="#,##0.0_);[Red]\(#,##0.0\)" sourceLinked="0"/>
        <c:majorTickMark val="out"/>
        <c:minorTickMark val="none"/>
        <c:tickLblPos val="nextTo"/>
        <c:spPr>
          <a:ln w="3175">
            <a:solidFill>
              <a:sysClr val="windowText" lastClr="000000"/>
            </a:solidFill>
          </a:ln>
        </c:spPr>
        <c:crossAx val="538325376"/>
        <c:crosses val="max"/>
        <c:crossBetween val="between"/>
      </c:valAx>
      <c:dateAx>
        <c:axId val="538325376"/>
        <c:scaling>
          <c:orientation val="minMax"/>
        </c:scaling>
        <c:delete val="1"/>
        <c:axPos val="b"/>
        <c:numFmt formatCode="General" sourceLinked="1"/>
        <c:majorTickMark val="out"/>
        <c:minorTickMark val="none"/>
        <c:tickLblPos val="nextTo"/>
        <c:crossAx val="538323584"/>
        <c:crosses val="autoZero"/>
        <c:auto val="0"/>
        <c:lblOffset val="100"/>
        <c:baseTimeUnit val="years"/>
      </c:dateAx>
    </c:plotArea>
    <c:legend>
      <c:legendPos val="r"/>
      <c:layout>
        <c:manualLayout>
          <c:xMode val="edge"/>
          <c:yMode val="edge"/>
          <c:x val="8.8717579298775703E-2"/>
          <c:y val="2.3336672412989793E-3"/>
          <c:w val="0.690571084864392"/>
          <c:h val="7.6589749198016921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0270669291338583"/>
          <c:w val="0.91250459317585297"/>
          <c:h val="0.81409120734908136"/>
        </c:manualLayout>
      </c:layout>
      <c:lineChart>
        <c:grouping val="standard"/>
        <c:varyColors val="0"/>
        <c:ser>
          <c:idx val="0"/>
          <c:order val="0"/>
          <c:tx>
            <c:strRef>
              <c:f>转债!$H$4</c:f>
              <c:strCache>
                <c:ptCount val="1"/>
                <c:pt idx="0">
                  <c:v>中证转债</c:v>
                </c:pt>
              </c:strCache>
            </c:strRef>
          </c:tx>
          <c:spPr>
            <a:ln w="25400">
              <a:solidFill>
                <a:srgbClr val="ED7D31">
                  <a:lumMod val="75000"/>
                </a:srgbClr>
              </a:solidFill>
            </a:ln>
          </c:spPr>
          <c:marker>
            <c:symbol val="none"/>
          </c:marker>
          <c:cat>
            <c:numRef>
              <c:f>转债!$G$5:$G$28</c:f>
              <c:numCache>
                <c:formatCode>yyyy\-mm\-dd</c:formatCode>
                <c:ptCount val="24"/>
                <c:pt idx="0">
                  <c:v>44274</c:v>
                </c:pt>
                <c:pt idx="1">
                  <c:v>44267</c:v>
                </c:pt>
                <c:pt idx="2">
                  <c:v>44260</c:v>
                </c:pt>
                <c:pt idx="3">
                  <c:v>44253</c:v>
                </c:pt>
                <c:pt idx="4">
                  <c:v>44246</c:v>
                </c:pt>
                <c:pt idx="5">
                  <c:v>44237</c:v>
                </c:pt>
                <c:pt idx="6">
                  <c:v>44232</c:v>
                </c:pt>
                <c:pt idx="7">
                  <c:v>44225</c:v>
                </c:pt>
                <c:pt idx="8">
                  <c:v>44218</c:v>
                </c:pt>
                <c:pt idx="9">
                  <c:v>44211</c:v>
                </c:pt>
                <c:pt idx="10">
                  <c:v>44204</c:v>
                </c:pt>
                <c:pt idx="11">
                  <c:v>44196</c:v>
                </c:pt>
                <c:pt idx="12">
                  <c:v>44190</c:v>
                </c:pt>
                <c:pt idx="13">
                  <c:v>44183</c:v>
                </c:pt>
                <c:pt idx="14">
                  <c:v>44176</c:v>
                </c:pt>
                <c:pt idx="15">
                  <c:v>44169</c:v>
                </c:pt>
                <c:pt idx="16">
                  <c:v>44162</c:v>
                </c:pt>
                <c:pt idx="17">
                  <c:v>44155</c:v>
                </c:pt>
                <c:pt idx="18">
                  <c:v>44148</c:v>
                </c:pt>
                <c:pt idx="19">
                  <c:v>44141</c:v>
                </c:pt>
                <c:pt idx="20">
                  <c:v>44134</c:v>
                </c:pt>
                <c:pt idx="21">
                  <c:v>44127</c:v>
                </c:pt>
                <c:pt idx="22">
                  <c:v>44120</c:v>
                </c:pt>
                <c:pt idx="23">
                  <c:v>44113</c:v>
                </c:pt>
              </c:numCache>
            </c:numRef>
          </c:cat>
          <c:val>
            <c:numRef>
              <c:f>转债!$H$5:$H$28</c:f>
              <c:numCache>
                <c:formatCode>General</c:formatCode>
                <c:ptCount val="24"/>
                <c:pt idx="0">
                  <c:v>1.5617646920980111</c:v>
                </c:pt>
                <c:pt idx="1">
                  <c:v>1.5461608295079365</c:v>
                </c:pt>
                <c:pt idx="2">
                  <c:v>1.2237728981858931</c:v>
                </c:pt>
                <c:pt idx="3">
                  <c:v>0.74774481454147335</c:v>
                </c:pt>
                <c:pt idx="4">
                  <c:v>2.2797904891976417</c:v>
                </c:pt>
                <c:pt idx="5">
                  <c:v>0.60121737696863242</c:v>
                </c:pt>
                <c:pt idx="6">
                  <c:v>-2.1978564262688627</c:v>
                </c:pt>
                <c:pt idx="7">
                  <c:v>6.7184828855126888E-2</c:v>
                </c:pt>
                <c:pt idx="8">
                  <c:v>4.0205033651687039</c:v>
                </c:pt>
                <c:pt idx="9">
                  <c:v>3.0740160675674755</c:v>
                </c:pt>
                <c:pt idx="10">
                  <c:v>3.1176296905665923</c:v>
                </c:pt>
                <c:pt idx="11">
                  <c:v>1.5358225813254744</c:v>
                </c:pt>
                <c:pt idx="12">
                  <c:v>0.33901183439946081</c:v>
                </c:pt>
                <c:pt idx="13">
                  <c:v>0.16257239875201446</c:v>
                </c:pt>
                <c:pt idx="14">
                  <c:v>3.5287887129475948E-3</c:v>
                </c:pt>
                <c:pt idx="15">
                  <c:v>1.7289961946975962</c:v>
                </c:pt>
                <c:pt idx="16">
                  <c:v>1.560248415697929</c:v>
                </c:pt>
                <c:pt idx="17">
                  <c:v>0.90579595275503966</c:v>
                </c:pt>
                <c:pt idx="18">
                  <c:v>0.93587336280056554</c:v>
                </c:pt>
                <c:pt idx="19">
                  <c:v>1.2949827516667289</c:v>
                </c:pt>
                <c:pt idx="20">
                  <c:v>0.85821244245385397</c:v>
                </c:pt>
                <c:pt idx="21">
                  <c:v>1.1363802402167833</c:v>
                </c:pt>
                <c:pt idx="22">
                  <c:v>1.5940475950891431</c:v>
                </c:pt>
                <c:pt idx="23">
                  <c:v>0</c:v>
                </c:pt>
              </c:numCache>
            </c:numRef>
          </c:val>
          <c:smooth val="1"/>
          <c:extLst xmlns:c16r2="http://schemas.microsoft.com/office/drawing/2015/06/chart">
            <c:ext xmlns:c16="http://schemas.microsoft.com/office/drawing/2014/chart" uri="{C3380CC4-5D6E-409C-BE32-E72D297353CC}">
              <c16:uniqueId val="{00000000-71F9-42BB-AB11-A4BBC72CE10D}"/>
            </c:ext>
          </c:extLst>
        </c:ser>
        <c:ser>
          <c:idx val="2"/>
          <c:order val="1"/>
          <c:tx>
            <c:strRef>
              <c:f>转债!$I$4</c:f>
              <c:strCache>
                <c:ptCount val="1"/>
                <c:pt idx="0">
                  <c:v>中债总净价</c:v>
                </c:pt>
              </c:strCache>
            </c:strRef>
          </c:tx>
          <c:spPr>
            <a:ln w="25400">
              <a:solidFill>
                <a:srgbClr val="ED7D31"/>
              </a:solidFill>
              <a:prstDash val="sysDash"/>
            </a:ln>
          </c:spPr>
          <c:marker>
            <c:symbol val="none"/>
          </c:marker>
          <c:cat>
            <c:numRef>
              <c:f>转债!$G$5:$G$28</c:f>
              <c:numCache>
                <c:formatCode>yyyy\-mm\-dd</c:formatCode>
                <c:ptCount val="24"/>
                <c:pt idx="0">
                  <c:v>44274</c:v>
                </c:pt>
                <c:pt idx="1">
                  <c:v>44267</c:v>
                </c:pt>
                <c:pt idx="2">
                  <c:v>44260</c:v>
                </c:pt>
                <c:pt idx="3">
                  <c:v>44253</c:v>
                </c:pt>
                <c:pt idx="4">
                  <c:v>44246</c:v>
                </c:pt>
                <c:pt idx="5">
                  <c:v>44237</c:v>
                </c:pt>
                <c:pt idx="6">
                  <c:v>44232</c:v>
                </c:pt>
                <c:pt idx="7">
                  <c:v>44225</c:v>
                </c:pt>
                <c:pt idx="8">
                  <c:v>44218</c:v>
                </c:pt>
                <c:pt idx="9">
                  <c:v>44211</c:v>
                </c:pt>
                <c:pt idx="10">
                  <c:v>44204</c:v>
                </c:pt>
                <c:pt idx="11">
                  <c:v>44196</c:v>
                </c:pt>
                <c:pt idx="12">
                  <c:v>44190</c:v>
                </c:pt>
                <c:pt idx="13">
                  <c:v>44183</c:v>
                </c:pt>
                <c:pt idx="14">
                  <c:v>44176</c:v>
                </c:pt>
                <c:pt idx="15">
                  <c:v>44169</c:v>
                </c:pt>
                <c:pt idx="16">
                  <c:v>44162</c:v>
                </c:pt>
                <c:pt idx="17">
                  <c:v>44155</c:v>
                </c:pt>
                <c:pt idx="18">
                  <c:v>44148</c:v>
                </c:pt>
                <c:pt idx="19">
                  <c:v>44141</c:v>
                </c:pt>
                <c:pt idx="20">
                  <c:v>44134</c:v>
                </c:pt>
                <c:pt idx="21">
                  <c:v>44127</c:v>
                </c:pt>
                <c:pt idx="22">
                  <c:v>44120</c:v>
                </c:pt>
                <c:pt idx="23">
                  <c:v>44113</c:v>
                </c:pt>
              </c:numCache>
            </c:numRef>
          </c:cat>
          <c:val>
            <c:numRef>
              <c:f>转债!$I$5:$I$28</c:f>
              <c:numCache>
                <c:formatCode>General</c:formatCode>
                <c:ptCount val="24"/>
                <c:pt idx="0">
                  <c:v>0.59097168014352608</c:v>
                </c:pt>
                <c:pt idx="1">
                  <c:v>0.50451518815211038</c:v>
                </c:pt>
                <c:pt idx="2">
                  <c:v>0.49431863458722081</c:v>
                </c:pt>
                <c:pt idx="3">
                  <c:v>0.34428363213232505</c:v>
                </c:pt>
                <c:pt idx="4">
                  <c:v>0.37127450921587979</c:v>
                </c:pt>
                <c:pt idx="5">
                  <c:v>0.44650622375350668</c:v>
                </c:pt>
                <c:pt idx="6">
                  <c:v>0.46244369403141139</c:v>
                </c:pt>
                <c:pt idx="7">
                  <c:v>0.65746349162554285</c:v>
                </c:pt>
                <c:pt idx="8">
                  <c:v>1.0397914076470727</c:v>
                </c:pt>
                <c:pt idx="9">
                  <c:v>0.96438832246128481</c:v>
                </c:pt>
                <c:pt idx="10">
                  <c:v>0.9750989879706351</c:v>
                </c:pt>
                <c:pt idx="11">
                  <c:v>0.94999318801674004</c:v>
                </c:pt>
                <c:pt idx="12">
                  <c:v>0.67160157009786836</c:v>
                </c:pt>
                <c:pt idx="13">
                  <c:v>0.34942475157682118</c:v>
                </c:pt>
                <c:pt idx="14">
                  <c:v>0.21884031768690804</c:v>
                </c:pt>
                <c:pt idx="15">
                  <c:v>0.17514080240876861</c:v>
                </c:pt>
                <c:pt idx="16">
                  <c:v>-3.4274129631084449E-4</c:v>
                </c:pt>
                <c:pt idx="17">
                  <c:v>-0.18670832115887936</c:v>
                </c:pt>
                <c:pt idx="18">
                  <c:v>8.2514967083979762E-2</c:v>
                </c:pt>
                <c:pt idx="19">
                  <c:v>0.30341173254866405</c:v>
                </c:pt>
                <c:pt idx="20">
                  <c:v>0.28190471620592739</c:v>
                </c:pt>
                <c:pt idx="21">
                  <c:v>0.17239887203839288</c:v>
                </c:pt>
                <c:pt idx="22">
                  <c:v>-7.5917197130226377E-2</c:v>
                </c:pt>
                <c:pt idx="23">
                  <c:v>0</c:v>
                </c:pt>
              </c:numCache>
            </c:numRef>
          </c:val>
          <c:smooth val="1"/>
          <c:extLst xmlns:c16r2="http://schemas.microsoft.com/office/drawing/2015/06/chart">
            <c:ext xmlns:c16="http://schemas.microsoft.com/office/drawing/2014/chart" uri="{C3380CC4-5D6E-409C-BE32-E72D297353CC}">
              <c16:uniqueId val="{00000001-71F9-42BB-AB11-A4BBC72CE10D}"/>
            </c:ext>
          </c:extLst>
        </c:ser>
        <c:ser>
          <c:idx val="1"/>
          <c:order val="2"/>
          <c:tx>
            <c:strRef>
              <c:f>转债!$J$4</c:f>
              <c:strCache>
                <c:ptCount val="1"/>
                <c:pt idx="0">
                  <c:v>沪深300</c:v>
                </c:pt>
              </c:strCache>
            </c:strRef>
          </c:tx>
          <c:spPr>
            <a:ln w="25400">
              <a:solidFill>
                <a:sysClr val="windowText" lastClr="000000">
                  <a:lumMod val="50000"/>
                  <a:lumOff val="50000"/>
                </a:sysClr>
              </a:solidFill>
              <a:prstDash val="sysDash"/>
            </a:ln>
          </c:spPr>
          <c:marker>
            <c:symbol val="none"/>
          </c:marker>
          <c:cat>
            <c:numRef>
              <c:f>转债!$G$5:$G$28</c:f>
              <c:numCache>
                <c:formatCode>yyyy\-mm\-dd</c:formatCode>
                <c:ptCount val="24"/>
                <c:pt idx="0">
                  <c:v>44274</c:v>
                </c:pt>
                <c:pt idx="1">
                  <c:v>44267</c:v>
                </c:pt>
                <c:pt idx="2">
                  <c:v>44260</c:v>
                </c:pt>
                <c:pt idx="3">
                  <c:v>44253</c:v>
                </c:pt>
                <c:pt idx="4">
                  <c:v>44246</c:v>
                </c:pt>
                <c:pt idx="5">
                  <c:v>44237</c:v>
                </c:pt>
                <c:pt idx="6">
                  <c:v>44232</c:v>
                </c:pt>
                <c:pt idx="7">
                  <c:v>44225</c:v>
                </c:pt>
                <c:pt idx="8">
                  <c:v>44218</c:v>
                </c:pt>
                <c:pt idx="9">
                  <c:v>44211</c:v>
                </c:pt>
                <c:pt idx="10">
                  <c:v>44204</c:v>
                </c:pt>
                <c:pt idx="11">
                  <c:v>44196</c:v>
                </c:pt>
                <c:pt idx="12">
                  <c:v>44190</c:v>
                </c:pt>
                <c:pt idx="13">
                  <c:v>44183</c:v>
                </c:pt>
                <c:pt idx="14">
                  <c:v>44176</c:v>
                </c:pt>
                <c:pt idx="15">
                  <c:v>44169</c:v>
                </c:pt>
                <c:pt idx="16">
                  <c:v>44162</c:v>
                </c:pt>
                <c:pt idx="17">
                  <c:v>44155</c:v>
                </c:pt>
                <c:pt idx="18">
                  <c:v>44148</c:v>
                </c:pt>
                <c:pt idx="19">
                  <c:v>44141</c:v>
                </c:pt>
                <c:pt idx="20">
                  <c:v>44134</c:v>
                </c:pt>
                <c:pt idx="21">
                  <c:v>44127</c:v>
                </c:pt>
                <c:pt idx="22">
                  <c:v>44120</c:v>
                </c:pt>
                <c:pt idx="23">
                  <c:v>44113</c:v>
                </c:pt>
              </c:numCache>
            </c:numRef>
          </c:cat>
          <c:val>
            <c:numRef>
              <c:f>转债!$J$5:$J$28</c:f>
              <c:numCache>
                <c:formatCode>General</c:formatCode>
                <c:ptCount val="24"/>
                <c:pt idx="0">
                  <c:v>6.9630349966798732</c:v>
                </c:pt>
                <c:pt idx="1">
                  <c:v>9.9385466091046268</c:v>
                </c:pt>
                <c:pt idx="2">
                  <c:v>12.425487186756934</c:v>
                </c:pt>
                <c:pt idx="3">
                  <c:v>14.005552748547734</c:v>
                </c:pt>
                <c:pt idx="4">
                  <c:v>23.449427246501344</c:v>
                </c:pt>
                <c:pt idx="5">
                  <c:v>24.066308873571263</c:v>
                </c:pt>
                <c:pt idx="6">
                  <c:v>17.138402063155024</c:v>
                </c:pt>
                <c:pt idx="7">
                  <c:v>14.330338935300645</c:v>
                </c:pt>
                <c:pt idx="8">
                  <c:v>18.983294073675872</c:v>
                </c:pt>
                <c:pt idx="9">
                  <c:v>16.597234879392218</c:v>
                </c:pt>
                <c:pt idx="10">
                  <c:v>17.395104424536466</c:v>
                </c:pt>
                <c:pt idx="11">
                  <c:v>11.325172161010656</c:v>
                </c:pt>
                <c:pt idx="12">
                  <c:v>7.7090710273811203</c:v>
                </c:pt>
                <c:pt idx="13">
                  <c:v>6.8108733827554779</c:v>
                </c:pt>
                <c:pt idx="14">
                  <c:v>4.4537857563450522</c:v>
                </c:pt>
                <c:pt idx="15">
                  <c:v>8.2196858321641706</c:v>
                </c:pt>
                <c:pt idx="16">
                  <c:v>6.400657173084201</c:v>
                </c:pt>
                <c:pt idx="17">
                  <c:v>5.6000660693593218</c:v>
                </c:pt>
                <c:pt idx="18">
                  <c:v>3.7535740216509739</c:v>
                </c:pt>
                <c:pt idx="19">
                  <c:v>4.3702292082110406</c:v>
                </c:pt>
                <c:pt idx="20">
                  <c:v>0.3031867528371146</c:v>
                </c:pt>
                <c:pt idx="21">
                  <c:v>0.79781613936360518</c:v>
                </c:pt>
                <c:pt idx="22">
                  <c:v>2.3612789120738498</c:v>
                </c:pt>
                <c:pt idx="23">
                  <c:v>0</c:v>
                </c:pt>
              </c:numCache>
            </c:numRef>
          </c:val>
          <c:smooth val="1"/>
          <c:extLst xmlns:c16r2="http://schemas.microsoft.com/office/drawing/2015/06/chart">
            <c:ext xmlns:c16="http://schemas.microsoft.com/office/drawing/2014/chart" uri="{C3380CC4-5D6E-409C-BE32-E72D297353CC}">
              <c16:uniqueId val="{00000002-71F9-42BB-AB11-A4BBC72CE10D}"/>
            </c:ext>
          </c:extLst>
        </c:ser>
        <c:dLbls>
          <c:showLegendKey val="0"/>
          <c:showVal val="0"/>
          <c:showCatName val="0"/>
          <c:showSerName val="0"/>
          <c:showPercent val="0"/>
          <c:showBubbleSize val="0"/>
        </c:dLbls>
        <c:marker val="1"/>
        <c:smooth val="0"/>
        <c:axId val="538355584"/>
        <c:axId val="538357120"/>
      </c:lineChart>
      <c:dateAx>
        <c:axId val="538355584"/>
        <c:scaling>
          <c:orientation val="minMax"/>
        </c:scaling>
        <c:delete val="0"/>
        <c:axPos val="b"/>
        <c:numFmt formatCode="mm\-dd"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8357120"/>
        <c:crosses val="autoZero"/>
        <c:auto val="0"/>
        <c:lblOffset val="0"/>
        <c:baseTimeUnit val="days"/>
        <c:majorUnit val="14"/>
        <c:majorTimeUnit val="days"/>
      </c:dateAx>
      <c:valAx>
        <c:axId val="538357120"/>
        <c:scaling>
          <c:orientation val="minMax"/>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8355584"/>
        <c:crosses val="autoZero"/>
        <c:crossBetween val="between"/>
      </c:valAx>
    </c:plotArea>
    <c:legend>
      <c:legendPos val="r"/>
      <c:layout>
        <c:manualLayout>
          <c:xMode val="edge"/>
          <c:yMode val="edge"/>
          <c:x val="9.9472222222222226E-2"/>
          <c:y val="2.3337707786526686E-3"/>
          <c:w val="0.86834886264216971"/>
          <c:h val="8.1219378827646557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8.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南华!$H$1</c:f>
              <c:strCache>
                <c:ptCount val="1"/>
                <c:pt idx="0">
                  <c:v>2019</c:v>
                </c:pt>
              </c:strCache>
            </c:strRef>
          </c:tx>
          <c:spPr>
            <a:ln w="28575">
              <a:solidFill>
                <a:srgbClr val="E7E6E6">
                  <a:lumMod val="75000"/>
                </a:srgbClr>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南华!$H$2:$H$366</c:f>
              <c:numCache>
                <c:formatCode>General</c:formatCode>
                <c:ptCount val="365"/>
                <c:pt idx="0">
                  <c:v>#N/A</c:v>
                </c:pt>
                <c:pt idx="1">
                  <c:v>#N/A</c:v>
                </c:pt>
                <c:pt idx="2">
                  <c:v>#N/A</c:v>
                </c:pt>
                <c:pt idx="3">
                  <c:v>#N/A</c:v>
                </c:pt>
                <c:pt idx="4">
                  <c:v>2048.88</c:v>
                </c:pt>
                <c:pt idx="5">
                  <c:v>#N/A</c:v>
                </c:pt>
                <c:pt idx="6">
                  <c:v>#N/A</c:v>
                </c:pt>
                <c:pt idx="7">
                  <c:v>#N/A</c:v>
                </c:pt>
                <c:pt idx="8">
                  <c:v>#N/A</c:v>
                </c:pt>
                <c:pt idx="9">
                  <c:v>#N/A</c:v>
                </c:pt>
                <c:pt idx="10">
                  <c:v>#N/A</c:v>
                </c:pt>
                <c:pt idx="11">
                  <c:v>2079.09</c:v>
                </c:pt>
                <c:pt idx="12">
                  <c:v>#N/A</c:v>
                </c:pt>
                <c:pt idx="13">
                  <c:v>#N/A</c:v>
                </c:pt>
                <c:pt idx="14">
                  <c:v>#N/A</c:v>
                </c:pt>
                <c:pt idx="15">
                  <c:v>#N/A</c:v>
                </c:pt>
                <c:pt idx="16">
                  <c:v>#N/A</c:v>
                </c:pt>
                <c:pt idx="17">
                  <c:v>#N/A</c:v>
                </c:pt>
                <c:pt idx="18">
                  <c:v>2122.16</c:v>
                </c:pt>
                <c:pt idx="19">
                  <c:v>#N/A</c:v>
                </c:pt>
                <c:pt idx="20">
                  <c:v>#N/A</c:v>
                </c:pt>
                <c:pt idx="21">
                  <c:v>#N/A</c:v>
                </c:pt>
                <c:pt idx="22">
                  <c:v>#N/A</c:v>
                </c:pt>
                <c:pt idx="23">
                  <c:v>#N/A</c:v>
                </c:pt>
                <c:pt idx="24">
                  <c:v>#N/A</c:v>
                </c:pt>
                <c:pt idx="25">
                  <c:v>2127.4299999999998</c:v>
                </c:pt>
                <c:pt idx="26">
                  <c:v>#N/A</c:v>
                </c:pt>
                <c:pt idx="27">
                  <c:v>#N/A</c:v>
                </c:pt>
                <c:pt idx="28">
                  <c:v>#N/A</c:v>
                </c:pt>
                <c:pt idx="29">
                  <c:v>#N/A</c:v>
                </c:pt>
                <c:pt idx="30">
                  <c:v>#N/A</c:v>
                </c:pt>
                <c:pt idx="31">
                  <c:v>#N/A</c:v>
                </c:pt>
                <c:pt idx="32">
                  <c:v>2191.3200000000002</c:v>
                </c:pt>
                <c:pt idx="33">
                  <c:v>#N/A</c:v>
                </c:pt>
                <c:pt idx="34">
                  <c:v>#N/A</c:v>
                </c:pt>
                <c:pt idx="35">
                  <c:v>#N/A</c:v>
                </c:pt>
                <c:pt idx="36">
                  <c:v>#N/A</c:v>
                </c:pt>
                <c:pt idx="37">
                  <c:v>#N/A</c:v>
                </c:pt>
                <c:pt idx="38">
                  <c:v>#N/A</c:v>
                </c:pt>
                <c:pt idx="39">
                  <c:v>#N/A</c:v>
                </c:pt>
                <c:pt idx="40">
                  <c:v>#N/A</c:v>
                </c:pt>
                <c:pt idx="41">
                  <c:v>#N/A</c:v>
                </c:pt>
                <c:pt idx="42">
                  <c:v>#N/A</c:v>
                </c:pt>
                <c:pt idx="43">
                  <c:v>#N/A</c:v>
                </c:pt>
                <c:pt idx="44">
                  <c:v>#N/A</c:v>
                </c:pt>
                <c:pt idx="45">
                  <c:v>#N/A</c:v>
                </c:pt>
                <c:pt idx="46">
                  <c:v>2169.5</c:v>
                </c:pt>
                <c:pt idx="47">
                  <c:v>#N/A</c:v>
                </c:pt>
                <c:pt idx="48">
                  <c:v>#N/A</c:v>
                </c:pt>
                <c:pt idx="49">
                  <c:v>#N/A</c:v>
                </c:pt>
                <c:pt idx="50">
                  <c:v>#N/A</c:v>
                </c:pt>
                <c:pt idx="51">
                  <c:v>#N/A</c:v>
                </c:pt>
                <c:pt idx="52">
                  <c:v>#N/A</c:v>
                </c:pt>
                <c:pt idx="53">
                  <c:v>2236.9299999999998</c:v>
                </c:pt>
                <c:pt idx="54">
                  <c:v>#N/A</c:v>
                </c:pt>
                <c:pt idx="55">
                  <c:v>#N/A</c:v>
                </c:pt>
                <c:pt idx="56">
                  <c:v>#N/A</c:v>
                </c:pt>
                <c:pt idx="57">
                  <c:v>#N/A</c:v>
                </c:pt>
                <c:pt idx="58">
                  <c:v>#N/A</c:v>
                </c:pt>
                <c:pt idx="59">
                  <c:v>#N/A</c:v>
                </c:pt>
                <c:pt idx="60">
                  <c:v>2261.9499999999998</c:v>
                </c:pt>
                <c:pt idx="61">
                  <c:v>#N/A</c:v>
                </c:pt>
                <c:pt idx="62">
                  <c:v>#N/A</c:v>
                </c:pt>
                <c:pt idx="63">
                  <c:v>#N/A</c:v>
                </c:pt>
                <c:pt idx="64">
                  <c:v>#N/A</c:v>
                </c:pt>
                <c:pt idx="65">
                  <c:v>#N/A</c:v>
                </c:pt>
                <c:pt idx="66">
                  <c:v>#N/A</c:v>
                </c:pt>
                <c:pt idx="67">
                  <c:v>2198.5300000000002</c:v>
                </c:pt>
                <c:pt idx="68">
                  <c:v>#N/A</c:v>
                </c:pt>
                <c:pt idx="69">
                  <c:v>#N/A</c:v>
                </c:pt>
                <c:pt idx="70">
                  <c:v>#N/A</c:v>
                </c:pt>
                <c:pt idx="71">
                  <c:v>#N/A</c:v>
                </c:pt>
                <c:pt idx="72">
                  <c:v>#N/A</c:v>
                </c:pt>
                <c:pt idx="73">
                  <c:v>#N/A</c:v>
                </c:pt>
                <c:pt idx="74">
                  <c:v>2200.92</c:v>
                </c:pt>
                <c:pt idx="75">
                  <c:v>#N/A</c:v>
                </c:pt>
                <c:pt idx="76">
                  <c:v>#N/A</c:v>
                </c:pt>
                <c:pt idx="77">
                  <c:v>#N/A</c:v>
                </c:pt>
                <c:pt idx="78">
                  <c:v>#N/A</c:v>
                </c:pt>
                <c:pt idx="79">
                  <c:v>#N/A</c:v>
                </c:pt>
                <c:pt idx="80">
                  <c:v>#N/A</c:v>
                </c:pt>
                <c:pt idx="81">
                  <c:v>2200.04</c:v>
                </c:pt>
                <c:pt idx="82">
                  <c:v>#N/A</c:v>
                </c:pt>
                <c:pt idx="83">
                  <c:v>#N/A</c:v>
                </c:pt>
                <c:pt idx="84">
                  <c:v>#N/A</c:v>
                </c:pt>
                <c:pt idx="85">
                  <c:v>#N/A</c:v>
                </c:pt>
                <c:pt idx="86">
                  <c:v>#N/A</c:v>
                </c:pt>
                <c:pt idx="87">
                  <c:v>#N/A</c:v>
                </c:pt>
                <c:pt idx="88">
                  <c:v>2191.34</c:v>
                </c:pt>
                <c:pt idx="89">
                  <c:v>#N/A</c:v>
                </c:pt>
                <c:pt idx="90">
                  <c:v>#N/A</c:v>
                </c:pt>
                <c:pt idx="91">
                  <c:v>#N/A</c:v>
                </c:pt>
                <c:pt idx="92">
                  <c:v>#N/A</c:v>
                </c:pt>
                <c:pt idx="93">
                  <c:v>#N/A</c:v>
                </c:pt>
                <c:pt idx="94">
                  <c:v>#N/A</c:v>
                </c:pt>
                <c:pt idx="95">
                  <c:v>2252.59</c:v>
                </c:pt>
                <c:pt idx="96">
                  <c:v>#N/A</c:v>
                </c:pt>
                <c:pt idx="97">
                  <c:v>#N/A</c:v>
                </c:pt>
                <c:pt idx="98">
                  <c:v>#N/A</c:v>
                </c:pt>
                <c:pt idx="99">
                  <c:v>#N/A</c:v>
                </c:pt>
                <c:pt idx="100">
                  <c:v>#N/A</c:v>
                </c:pt>
                <c:pt idx="101">
                  <c:v>#N/A</c:v>
                </c:pt>
                <c:pt idx="102">
                  <c:v>2286.11</c:v>
                </c:pt>
                <c:pt idx="103">
                  <c:v>#N/A</c:v>
                </c:pt>
                <c:pt idx="104">
                  <c:v>#N/A</c:v>
                </c:pt>
                <c:pt idx="105">
                  <c:v>#N/A</c:v>
                </c:pt>
                <c:pt idx="106">
                  <c:v>#N/A</c:v>
                </c:pt>
                <c:pt idx="107">
                  <c:v>#N/A</c:v>
                </c:pt>
                <c:pt idx="108">
                  <c:v>#N/A</c:v>
                </c:pt>
                <c:pt idx="109">
                  <c:v>2253.19</c:v>
                </c:pt>
                <c:pt idx="110">
                  <c:v>#N/A</c:v>
                </c:pt>
                <c:pt idx="111">
                  <c:v>#N/A</c:v>
                </c:pt>
                <c:pt idx="112">
                  <c:v>#N/A</c:v>
                </c:pt>
                <c:pt idx="113">
                  <c:v>#N/A</c:v>
                </c:pt>
                <c:pt idx="114">
                  <c:v>#N/A</c:v>
                </c:pt>
                <c:pt idx="115">
                  <c:v>#N/A</c:v>
                </c:pt>
                <c:pt idx="116">
                  <c:v>2250.8000000000002</c:v>
                </c:pt>
                <c:pt idx="117">
                  <c:v>#N/A</c:v>
                </c:pt>
                <c:pt idx="118">
                  <c:v>#N/A</c:v>
                </c:pt>
                <c:pt idx="119">
                  <c:v>#N/A</c:v>
                </c:pt>
                <c:pt idx="120">
                  <c:v>#N/A</c:v>
                </c:pt>
                <c:pt idx="121">
                  <c:v>#N/A</c:v>
                </c:pt>
                <c:pt idx="122">
                  <c:v>#N/A</c:v>
                </c:pt>
                <c:pt idx="123">
                  <c:v>2274.46</c:v>
                </c:pt>
                <c:pt idx="124">
                  <c:v>#N/A</c:v>
                </c:pt>
                <c:pt idx="125">
                  <c:v>#N/A</c:v>
                </c:pt>
                <c:pt idx="126">
                  <c:v>#N/A</c:v>
                </c:pt>
                <c:pt idx="127">
                  <c:v>#N/A</c:v>
                </c:pt>
                <c:pt idx="128">
                  <c:v>#N/A</c:v>
                </c:pt>
                <c:pt idx="129">
                  <c:v>#N/A</c:v>
                </c:pt>
                <c:pt idx="130">
                  <c:v>2270.42</c:v>
                </c:pt>
                <c:pt idx="131">
                  <c:v>#N/A</c:v>
                </c:pt>
                <c:pt idx="132">
                  <c:v>#N/A</c:v>
                </c:pt>
                <c:pt idx="133">
                  <c:v>#N/A</c:v>
                </c:pt>
                <c:pt idx="134">
                  <c:v>#N/A</c:v>
                </c:pt>
                <c:pt idx="135">
                  <c:v>#N/A</c:v>
                </c:pt>
                <c:pt idx="136">
                  <c:v>#N/A</c:v>
                </c:pt>
                <c:pt idx="137">
                  <c:v>2307.73</c:v>
                </c:pt>
                <c:pt idx="138">
                  <c:v>#N/A</c:v>
                </c:pt>
                <c:pt idx="139">
                  <c:v>#N/A</c:v>
                </c:pt>
                <c:pt idx="140">
                  <c:v>#N/A</c:v>
                </c:pt>
                <c:pt idx="141">
                  <c:v>#N/A</c:v>
                </c:pt>
                <c:pt idx="142">
                  <c:v>#N/A</c:v>
                </c:pt>
                <c:pt idx="143">
                  <c:v>#N/A</c:v>
                </c:pt>
                <c:pt idx="144">
                  <c:v>2309.7600000000002</c:v>
                </c:pt>
                <c:pt idx="145">
                  <c:v>#N/A</c:v>
                </c:pt>
                <c:pt idx="146">
                  <c:v>#N/A</c:v>
                </c:pt>
                <c:pt idx="147">
                  <c:v>#N/A</c:v>
                </c:pt>
                <c:pt idx="148">
                  <c:v>#N/A</c:v>
                </c:pt>
                <c:pt idx="149">
                  <c:v>#N/A</c:v>
                </c:pt>
                <c:pt idx="150">
                  <c:v>#N/A</c:v>
                </c:pt>
                <c:pt idx="151">
                  <c:v>2263.06</c:v>
                </c:pt>
                <c:pt idx="152">
                  <c:v>#N/A</c:v>
                </c:pt>
                <c:pt idx="153">
                  <c:v>#N/A</c:v>
                </c:pt>
                <c:pt idx="154">
                  <c:v>#N/A</c:v>
                </c:pt>
                <c:pt idx="155">
                  <c:v>#N/A</c:v>
                </c:pt>
                <c:pt idx="156">
                  <c:v>#N/A</c:v>
                </c:pt>
                <c:pt idx="157">
                  <c:v>#N/A</c:v>
                </c:pt>
                <c:pt idx="158">
                  <c:v>2223.44</c:v>
                </c:pt>
                <c:pt idx="159">
                  <c:v>#N/A</c:v>
                </c:pt>
                <c:pt idx="160">
                  <c:v>#N/A</c:v>
                </c:pt>
                <c:pt idx="161">
                  <c:v>#N/A</c:v>
                </c:pt>
                <c:pt idx="162">
                  <c:v>#N/A</c:v>
                </c:pt>
                <c:pt idx="163">
                  <c:v>#N/A</c:v>
                </c:pt>
                <c:pt idx="164">
                  <c:v>#N/A</c:v>
                </c:pt>
                <c:pt idx="165">
                  <c:v>2253.75</c:v>
                </c:pt>
                <c:pt idx="166">
                  <c:v>#N/A</c:v>
                </c:pt>
                <c:pt idx="167">
                  <c:v>#N/A</c:v>
                </c:pt>
                <c:pt idx="168">
                  <c:v>#N/A</c:v>
                </c:pt>
                <c:pt idx="169">
                  <c:v>#N/A</c:v>
                </c:pt>
                <c:pt idx="170">
                  <c:v>#N/A</c:v>
                </c:pt>
                <c:pt idx="171">
                  <c:v>#N/A</c:v>
                </c:pt>
                <c:pt idx="172">
                  <c:v>2290.59</c:v>
                </c:pt>
                <c:pt idx="173">
                  <c:v>#N/A</c:v>
                </c:pt>
                <c:pt idx="174">
                  <c:v>#N/A</c:v>
                </c:pt>
                <c:pt idx="175">
                  <c:v>#N/A</c:v>
                </c:pt>
                <c:pt idx="176">
                  <c:v>#N/A</c:v>
                </c:pt>
                <c:pt idx="177">
                  <c:v>#N/A</c:v>
                </c:pt>
                <c:pt idx="178">
                  <c:v>#N/A</c:v>
                </c:pt>
                <c:pt idx="179">
                  <c:v>2329.38</c:v>
                </c:pt>
                <c:pt idx="180">
                  <c:v>#N/A</c:v>
                </c:pt>
                <c:pt idx="181">
                  <c:v>#N/A</c:v>
                </c:pt>
                <c:pt idx="182">
                  <c:v>#N/A</c:v>
                </c:pt>
                <c:pt idx="183">
                  <c:v>#N/A</c:v>
                </c:pt>
                <c:pt idx="184">
                  <c:v>#N/A</c:v>
                </c:pt>
                <c:pt idx="185">
                  <c:v>#N/A</c:v>
                </c:pt>
                <c:pt idx="186">
                  <c:v>2313.8000000000002</c:v>
                </c:pt>
                <c:pt idx="187">
                  <c:v>#N/A</c:v>
                </c:pt>
                <c:pt idx="188">
                  <c:v>#N/A</c:v>
                </c:pt>
                <c:pt idx="189">
                  <c:v>#N/A</c:v>
                </c:pt>
                <c:pt idx="190">
                  <c:v>#N/A</c:v>
                </c:pt>
                <c:pt idx="191">
                  <c:v>#N/A</c:v>
                </c:pt>
                <c:pt idx="192">
                  <c:v>#N/A</c:v>
                </c:pt>
                <c:pt idx="193">
                  <c:v>2337.94</c:v>
                </c:pt>
                <c:pt idx="194">
                  <c:v>#N/A</c:v>
                </c:pt>
                <c:pt idx="195">
                  <c:v>#N/A</c:v>
                </c:pt>
                <c:pt idx="196">
                  <c:v>#N/A</c:v>
                </c:pt>
                <c:pt idx="197">
                  <c:v>#N/A</c:v>
                </c:pt>
                <c:pt idx="198">
                  <c:v>#N/A</c:v>
                </c:pt>
                <c:pt idx="199">
                  <c:v>#N/A</c:v>
                </c:pt>
                <c:pt idx="200">
                  <c:v>2369.3000000000002</c:v>
                </c:pt>
                <c:pt idx="201">
                  <c:v>#N/A</c:v>
                </c:pt>
                <c:pt idx="202">
                  <c:v>#N/A</c:v>
                </c:pt>
                <c:pt idx="203">
                  <c:v>#N/A</c:v>
                </c:pt>
                <c:pt idx="204">
                  <c:v>#N/A</c:v>
                </c:pt>
                <c:pt idx="205">
                  <c:v>#N/A</c:v>
                </c:pt>
                <c:pt idx="206">
                  <c:v>#N/A</c:v>
                </c:pt>
                <c:pt idx="207">
                  <c:v>2333.4299999999998</c:v>
                </c:pt>
                <c:pt idx="208">
                  <c:v>#N/A</c:v>
                </c:pt>
                <c:pt idx="209">
                  <c:v>#N/A</c:v>
                </c:pt>
                <c:pt idx="210">
                  <c:v>#N/A</c:v>
                </c:pt>
                <c:pt idx="211">
                  <c:v>#N/A</c:v>
                </c:pt>
                <c:pt idx="212">
                  <c:v>#N/A</c:v>
                </c:pt>
                <c:pt idx="213">
                  <c:v>#N/A</c:v>
                </c:pt>
                <c:pt idx="214">
                  <c:v>2287.13</c:v>
                </c:pt>
                <c:pt idx="215">
                  <c:v>#N/A</c:v>
                </c:pt>
                <c:pt idx="216">
                  <c:v>#N/A</c:v>
                </c:pt>
                <c:pt idx="217">
                  <c:v>#N/A</c:v>
                </c:pt>
                <c:pt idx="218">
                  <c:v>#N/A</c:v>
                </c:pt>
                <c:pt idx="219">
                  <c:v>#N/A</c:v>
                </c:pt>
                <c:pt idx="220">
                  <c:v>#N/A</c:v>
                </c:pt>
                <c:pt idx="221">
                  <c:v>2219.92</c:v>
                </c:pt>
                <c:pt idx="222">
                  <c:v>#N/A</c:v>
                </c:pt>
                <c:pt idx="223">
                  <c:v>#N/A</c:v>
                </c:pt>
                <c:pt idx="224">
                  <c:v>#N/A</c:v>
                </c:pt>
                <c:pt idx="225">
                  <c:v>#N/A</c:v>
                </c:pt>
                <c:pt idx="226">
                  <c:v>#N/A</c:v>
                </c:pt>
                <c:pt idx="227">
                  <c:v>#N/A</c:v>
                </c:pt>
                <c:pt idx="228">
                  <c:v>2231.1999999999998</c:v>
                </c:pt>
                <c:pt idx="229">
                  <c:v>#N/A</c:v>
                </c:pt>
                <c:pt idx="230">
                  <c:v>#N/A</c:v>
                </c:pt>
                <c:pt idx="231">
                  <c:v>#N/A</c:v>
                </c:pt>
                <c:pt idx="232">
                  <c:v>#N/A</c:v>
                </c:pt>
                <c:pt idx="233">
                  <c:v>#N/A</c:v>
                </c:pt>
                <c:pt idx="234">
                  <c:v>#N/A</c:v>
                </c:pt>
                <c:pt idx="235">
                  <c:v>2222.88</c:v>
                </c:pt>
                <c:pt idx="236">
                  <c:v>#N/A</c:v>
                </c:pt>
                <c:pt idx="237">
                  <c:v>#N/A</c:v>
                </c:pt>
                <c:pt idx="238">
                  <c:v>#N/A</c:v>
                </c:pt>
                <c:pt idx="239">
                  <c:v>#N/A</c:v>
                </c:pt>
                <c:pt idx="240">
                  <c:v>#N/A</c:v>
                </c:pt>
                <c:pt idx="241">
                  <c:v>#N/A</c:v>
                </c:pt>
                <c:pt idx="242">
                  <c:v>2225.21</c:v>
                </c:pt>
                <c:pt idx="243">
                  <c:v>#N/A</c:v>
                </c:pt>
                <c:pt idx="244">
                  <c:v>#N/A</c:v>
                </c:pt>
                <c:pt idx="245">
                  <c:v>#N/A</c:v>
                </c:pt>
                <c:pt idx="246">
                  <c:v>#N/A</c:v>
                </c:pt>
                <c:pt idx="247">
                  <c:v>#N/A</c:v>
                </c:pt>
                <c:pt idx="248">
                  <c:v>#N/A</c:v>
                </c:pt>
                <c:pt idx="249">
                  <c:v>2262.46</c:v>
                </c:pt>
                <c:pt idx="250">
                  <c:v>#N/A</c:v>
                </c:pt>
                <c:pt idx="251">
                  <c:v>#N/A</c:v>
                </c:pt>
                <c:pt idx="252">
                  <c:v>#N/A</c:v>
                </c:pt>
                <c:pt idx="253">
                  <c:v>#N/A</c:v>
                </c:pt>
                <c:pt idx="254">
                  <c:v>#N/A</c:v>
                </c:pt>
                <c:pt idx="255">
                  <c:v>#N/A</c:v>
                </c:pt>
                <c:pt idx="256">
                  <c:v>2325.7800000000002</c:v>
                </c:pt>
                <c:pt idx="257">
                  <c:v>#N/A</c:v>
                </c:pt>
                <c:pt idx="258">
                  <c:v>#N/A</c:v>
                </c:pt>
                <c:pt idx="259">
                  <c:v>#N/A</c:v>
                </c:pt>
                <c:pt idx="260">
                  <c:v>#N/A</c:v>
                </c:pt>
                <c:pt idx="261">
                  <c:v>#N/A</c:v>
                </c:pt>
                <c:pt idx="262">
                  <c:v>#N/A</c:v>
                </c:pt>
                <c:pt idx="263">
                  <c:v>2288.17</c:v>
                </c:pt>
                <c:pt idx="264">
                  <c:v>#N/A</c:v>
                </c:pt>
                <c:pt idx="265">
                  <c:v>#N/A</c:v>
                </c:pt>
                <c:pt idx="266">
                  <c:v>#N/A</c:v>
                </c:pt>
                <c:pt idx="267">
                  <c:v>#N/A</c:v>
                </c:pt>
                <c:pt idx="268">
                  <c:v>#N/A</c:v>
                </c:pt>
                <c:pt idx="269">
                  <c:v>#N/A</c:v>
                </c:pt>
                <c:pt idx="270">
                  <c:v>2262.38</c:v>
                </c:pt>
                <c:pt idx="271">
                  <c:v>#N/A</c:v>
                </c:pt>
                <c:pt idx="272">
                  <c:v>#N/A</c:v>
                </c:pt>
                <c:pt idx="273">
                  <c:v>#N/A</c:v>
                </c:pt>
                <c:pt idx="274">
                  <c:v>#N/A</c:v>
                </c:pt>
                <c:pt idx="275">
                  <c:v>#N/A</c:v>
                </c:pt>
                <c:pt idx="276">
                  <c:v>#N/A</c:v>
                </c:pt>
                <c:pt idx="277">
                  <c:v>2275.5</c:v>
                </c:pt>
                <c:pt idx="278">
                  <c:v>#N/A</c:v>
                </c:pt>
                <c:pt idx="279">
                  <c:v>#N/A</c:v>
                </c:pt>
                <c:pt idx="280">
                  <c:v>#N/A</c:v>
                </c:pt>
                <c:pt idx="281">
                  <c:v>#N/A</c:v>
                </c:pt>
                <c:pt idx="282">
                  <c:v>#N/A</c:v>
                </c:pt>
                <c:pt idx="283">
                  <c:v>#N/A</c:v>
                </c:pt>
                <c:pt idx="284">
                  <c:v>2258.92</c:v>
                </c:pt>
                <c:pt idx="285">
                  <c:v>#N/A</c:v>
                </c:pt>
                <c:pt idx="286">
                  <c:v>#N/A</c:v>
                </c:pt>
                <c:pt idx="287">
                  <c:v>#N/A</c:v>
                </c:pt>
                <c:pt idx="288">
                  <c:v>#N/A</c:v>
                </c:pt>
                <c:pt idx="289">
                  <c:v>#N/A</c:v>
                </c:pt>
                <c:pt idx="290">
                  <c:v>#N/A</c:v>
                </c:pt>
                <c:pt idx="291">
                  <c:v>2216.44</c:v>
                </c:pt>
                <c:pt idx="292">
                  <c:v>#N/A</c:v>
                </c:pt>
                <c:pt idx="293">
                  <c:v>#N/A</c:v>
                </c:pt>
                <c:pt idx="294">
                  <c:v>#N/A</c:v>
                </c:pt>
                <c:pt idx="295">
                  <c:v>#N/A</c:v>
                </c:pt>
                <c:pt idx="296">
                  <c:v>#N/A</c:v>
                </c:pt>
                <c:pt idx="297">
                  <c:v>#N/A</c:v>
                </c:pt>
                <c:pt idx="298">
                  <c:v>2236.38</c:v>
                </c:pt>
                <c:pt idx="299">
                  <c:v>#N/A</c:v>
                </c:pt>
                <c:pt idx="300">
                  <c:v>#N/A</c:v>
                </c:pt>
                <c:pt idx="301">
                  <c:v>#N/A</c:v>
                </c:pt>
                <c:pt idx="302">
                  <c:v>#N/A</c:v>
                </c:pt>
                <c:pt idx="303">
                  <c:v>#N/A</c:v>
                </c:pt>
                <c:pt idx="304">
                  <c:v>#N/A</c:v>
                </c:pt>
                <c:pt idx="305">
                  <c:v>2224.27</c:v>
                </c:pt>
                <c:pt idx="306">
                  <c:v>#N/A</c:v>
                </c:pt>
                <c:pt idx="307">
                  <c:v>#N/A</c:v>
                </c:pt>
                <c:pt idx="308">
                  <c:v>#N/A</c:v>
                </c:pt>
                <c:pt idx="309">
                  <c:v>#N/A</c:v>
                </c:pt>
                <c:pt idx="310">
                  <c:v>#N/A</c:v>
                </c:pt>
                <c:pt idx="311">
                  <c:v>#N/A</c:v>
                </c:pt>
                <c:pt idx="312">
                  <c:v>2214.73</c:v>
                </c:pt>
                <c:pt idx="313">
                  <c:v>#N/A</c:v>
                </c:pt>
                <c:pt idx="314">
                  <c:v>#N/A</c:v>
                </c:pt>
                <c:pt idx="315">
                  <c:v>#N/A</c:v>
                </c:pt>
                <c:pt idx="316">
                  <c:v>#N/A</c:v>
                </c:pt>
                <c:pt idx="317">
                  <c:v>#N/A</c:v>
                </c:pt>
                <c:pt idx="318">
                  <c:v>#N/A</c:v>
                </c:pt>
                <c:pt idx="319">
                  <c:v>2215.8000000000002</c:v>
                </c:pt>
                <c:pt idx="320">
                  <c:v>#N/A</c:v>
                </c:pt>
                <c:pt idx="321">
                  <c:v>#N/A</c:v>
                </c:pt>
                <c:pt idx="322">
                  <c:v>#N/A</c:v>
                </c:pt>
                <c:pt idx="323">
                  <c:v>#N/A</c:v>
                </c:pt>
                <c:pt idx="324">
                  <c:v>#N/A</c:v>
                </c:pt>
                <c:pt idx="325">
                  <c:v>#N/A</c:v>
                </c:pt>
                <c:pt idx="326">
                  <c:v>2253.58</c:v>
                </c:pt>
                <c:pt idx="327">
                  <c:v>#N/A</c:v>
                </c:pt>
                <c:pt idx="328">
                  <c:v>#N/A</c:v>
                </c:pt>
                <c:pt idx="329">
                  <c:v>#N/A</c:v>
                </c:pt>
                <c:pt idx="330">
                  <c:v>#N/A</c:v>
                </c:pt>
                <c:pt idx="331">
                  <c:v>#N/A</c:v>
                </c:pt>
                <c:pt idx="332">
                  <c:v>#N/A</c:v>
                </c:pt>
                <c:pt idx="333">
                  <c:v>2251.36</c:v>
                </c:pt>
                <c:pt idx="334">
                  <c:v>#N/A</c:v>
                </c:pt>
                <c:pt idx="335">
                  <c:v>#N/A</c:v>
                </c:pt>
                <c:pt idx="336">
                  <c:v>#N/A</c:v>
                </c:pt>
                <c:pt idx="337">
                  <c:v>#N/A</c:v>
                </c:pt>
                <c:pt idx="338">
                  <c:v>#N/A</c:v>
                </c:pt>
                <c:pt idx="339">
                  <c:v>#N/A</c:v>
                </c:pt>
                <c:pt idx="340">
                  <c:v>2270.7399999999998</c:v>
                </c:pt>
                <c:pt idx="341">
                  <c:v>#N/A</c:v>
                </c:pt>
                <c:pt idx="342">
                  <c:v>#N/A</c:v>
                </c:pt>
                <c:pt idx="343">
                  <c:v>#N/A</c:v>
                </c:pt>
                <c:pt idx="344">
                  <c:v>#N/A</c:v>
                </c:pt>
                <c:pt idx="345">
                  <c:v>#N/A</c:v>
                </c:pt>
                <c:pt idx="346">
                  <c:v>#N/A</c:v>
                </c:pt>
                <c:pt idx="347">
                  <c:v>2322.27</c:v>
                </c:pt>
                <c:pt idx="348">
                  <c:v>#N/A</c:v>
                </c:pt>
                <c:pt idx="349">
                  <c:v>#N/A</c:v>
                </c:pt>
                <c:pt idx="350">
                  <c:v>#N/A</c:v>
                </c:pt>
                <c:pt idx="351">
                  <c:v>#N/A</c:v>
                </c:pt>
                <c:pt idx="352">
                  <c:v>#N/A</c:v>
                </c:pt>
                <c:pt idx="353">
                  <c:v>#N/A</c:v>
                </c:pt>
                <c:pt idx="354">
                  <c:v>2328.02</c:v>
                </c:pt>
                <c:pt idx="355">
                  <c:v>#N/A</c:v>
                </c:pt>
                <c:pt idx="356">
                  <c:v>#N/A</c:v>
                </c:pt>
                <c:pt idx="357">
                  <c:v>#N/A</c:v>
                </c:pt>
                <c:pt idx="358">
                  <c:v>#N/A</c:v>
                </c:pt>
                <c:pt idx="359">
                  <c:v>#N/A</c:v>
                </c:pt>
                <c:pt idx="360">
                  <c:v>#N/A</c:v>
                </c:pt>
                <c:pt idx="361">
                  <c:v>2340.98</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E7CA-40A8-862F-2816FC67C68D}"/>
            </c:ext>
          </c:extLst>
        </c:ser>
        <c:ser>
          <c:idx val="2"/>
          <c:order val="1"/>
          <c:tx>
            <c:strRef>
              <c:f>南华!$I$1</c:f>
              <c:strCache>
                <c:ptCount val="1"/>
                <c:pt idx="0">
                  <c:v>2020</c:v>
                </c:pt>
              </c:strCache>
            </c:strRef>
          </c:tx>
          <c:spPr>
            <a:ln w="28575">
              <a:solidFill>
                <a:srgbClr val="F8CBAD"/>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南华!$I$2:$I$366</c:f>
              <c:numCache>
                <c:formatCode>General</c:formatCode>
                <c:ptCount val="365"/>
                <c:pt idx="0">
                  <c:v>#N/A</c:v>
                </c:pt>
                <c:pt idx="1">
                  <c:v>#N/A</c:v>
                </c:pt>
                <c:pt idx="2">
                  <c:v>#N/A</c:v>
                </c:pt>
                <c:pt idx="3">
                  <c:v>2351.6</c:v>
                </c:pt>
                <c:pt idx="4">
                  <c:v>#N/A</c:v>
                </c:pt>
                <c:pt idx="5">
                  <c:v>#N/A</c:v>
                </c:pt>
                <c:pt idx="6">
                  <c:v>#N/A</c:v>
                </c:pt>
                <c:pt idx="7">
                  <c:v>#N/A</c:v>
                </c:pt>
                <c:pt idx="8">
                  <c:v>#N/A</c:v>
                </c:pt>
                <c:pt idx="9">
                  <c:v>#N/A</c:v>
                </c:pt>
                <c:pt idx="10">
                  <c:v>2362.9699999999998</c:v>
                </c:pt>
                <c:pt idx="11">
                  <c:v>#N/A</c:v>
                </c:pt>
                <c:pt idx="12">
                  <c:v>#N/A</c:v>
                </c:pt>
                <c:pt idx="13">
                  <c:v>#N/A</c:v>
                </c:pt>
                <c:pt idx="14">
                  <c:v>#N/A</c:v>
                </c:pt>
                <c:pt idx="15">
                  <c:v>#N/A</c:v>
                </c:pt>
                <c:pt idx="16">
                  <c:v>#N/A</c:v>
                </c:pt>
                <c:pt idx="17">
                  <c:v>2355.96</c:v>
                </c:pt>
                <c:pt idx="18">
                  <c:v>#N/A</c:v>
                </c:pt>
                <c:pt idx="19">
                  <c:v>#N/A</c:v>
                </c:pt>
                <c:pt idx="20">
                  <c:v>#N/A</c:v>
                </c:pt>
                <c:pt idx="21">
                  <c:v>#N/A</c:v>
                </c:pt>
                <c:pt idx="22">
                  <c:v>#N/A</c:v>
                </c:pt>
                <c:pt idx="23">
                  <c:v>#N/A</c:v>
                </c:pt>
                <c:pt idx="24">
                  <c:v>2291.4</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2166.89</c:v>
                </c:pt>
                <c:pt idx="39">
                  <c:v>#N/A</c:v>
                </c:pt>
                <c:pt idx="40">
                  <c:v>#N/A</c:v>
                </c:pt>
                <c:pt idx="41">
                  <c:v>#N/A</c:v>
                </c:pt>
                <c:pt idx="42">
                  <c:v>#N/A</c:v>
                </c:pt>
                <c:pt idx="43">
                  <c:v>#N/A</c:v>
                </c:pt>
                <c:pt idx="44">
                  <c:v>#N/A</c:v>
                </c:pt>
                <c:pt idx="45">
                  <c:v>2209.41</c:v>
                </c:pt>
                <c:pt idx="46">
                  <c:v>#N/A</c:v>
                </c:pt>
                <c:pt idx="47">
                  <c:v>#N/A</c:v>
                </c:pt>
                <c:pt idx="48">
                  <c:v>#N/A</c:v>
                </c:pt>
                <c:pt idx="49">
                  <c:v>#N/A</c:v>
                </c:pt>
                <c:pt idx="50">
                  <c:v>#N/A</c:v>
                </c:pt>
                <c:pt idx="51">
                  <c:v>#N/A</c:v>
                </c:pt>
                <c:pt idx="52">
                  <c:v>2244.0300000000002</c:v>
                </c:pt>
                <c:pt idx="53">
                  <c:v>#N/A</c:v>
                </c:pt>
                <c:pt idx="54">
                  <c:v>#N/A</c:v>
                </c:pt>
                <c:pt idx="55">
                  <c:v>#N/A</c:v>
                </c:pt>
                <c:pt idx="56">
                  <c:v>#N/A</c:v>
                </c:pt>
                <c:pt idx="57">
                  <c:v>#N/A</c:v>
                </c:pt>
                <c:pt idx="58">
                  <c:v>#N/A</c:v>
                </c:pt>
                <c:pt idx="59">
                  <c:v>2098.98</c:v>
                </c:pt>
                <c:pt idx="60">
                  <c:v>#N/A</c:v>
                </c:pt>
                <c:pt idx="61">
                  <c:v>#N/A</c:v>
                </c:pt>
                <c:pt idx="62">
                  <c:v>#N/A</c:v>
                </c:pt>
                <c:pt idx="63">
                  <c:v>#N/A</c:v>
                </c:pt>
                <c:pt idx="64">
                  <c:v>#N/A</c:v>
                </c:pt>
                <c:pt idx="65">
                  <c:v>#N/A</c:v>
                </c:pt>
                <c:pt idx="66">
                  <c:v>2143.6799999999998</c:v>
                </c:pt>
                <c:pt idx="67">
                  <c:v>#N/A</c:v>
                </c:pt>
                <c:pt idx="68">
                  <c:v>#N/A</c:v>
                </c:pt>
                <c:pt idx="69">
                  <c:v>#N/A</c:v>
                </c:pt>
                <c:pt idx="70">
                  <c:v>#N/A</c:v>
                </c:pt>
                <c:pt idx="71">
                  <c:v>#N/A</c:v>
                </c:pt>
                <c:pt idx="72">
                  <c:v>#N/A</c:v>
                </c:pt>
                <c:pt idx="73">
                  <c:v>2061.33</c:v>
                </c:pt>
                <c:pt idx="74">
                  <c:v>#N/A</c:v>
                </c:pt>
                <c:pt idx="75">
                  <c:v>#N/A</c:v>
                </c:pt>
                <c:pt idx="76">
                  <c:v>#N/A</c:v>
                </c:pt>
                <c:pt idx="77">
                  <c:v>#N/A</c:v>
                </c:pt>
                <c:pt idx="78">
                  <c:v>#N/A</c:v>
                </c:pt>
                <c:pt idx="79">
                  <c:v>#N/A</c:v>
                </c:pt>
                <c:pt idx="80">
                  <c:v>1948.82</c:v>
                </c:pt>
                <c:pt idx="81">
                  <c:v>#N/A</c:v>
                </c:pt>
                <c:pt idx="82">
                  <c:v>#N/A</c:v>
                </c:pt>
                <c:pt idx="83">
                  <c:v>#N/A</c:v>
                </c:pt>
                <c:pt idx="84">
                  <c:v>#N/A</c:v>
                </c:pt>
                <c:pt idx="85">
                  <c:v>#N/A</c:v>
                </c:pt>
                <c:pt idx="86">
                  <c:v>#N/A</c:v>
                </c:pt>
                <c:pt idx="87">
                  <c:v>1918.97</c:v>
                </c:pt>
                <c:pt idx="88">
                  <c:v>#N/A</c:v>
                </c:pt>
                <c:pt idx="89">
                  <c:v>#N/A</c:v>
                </c:pt>
                <c:pt idx="90">
                  <c:v>#N/A</c:v>
                </c:pt>
                <c:pt idx="91">
                  <c:v>#N/A</c:v>
                </c:pt>
                <c:pt idx="92">
                  <c:v>#N/A</c:v>
                </c:pt>
                <c:pt idx="93">
                  <c:v>#N/A</c:v>
                </c:pt>
                <c:pt idx="94">
                  <c:v>1928.11</c:v>
                </c:pt>
                <c:pt idx="95">
                  <c:v>#N/A</c:v>
                </c:pt>
                <c:pt idx="96">
                  <c:v>#N/A</c:v>
                </c:pt>
                <c:pt idx="97">
                  <c:v>#N/A</c:v>
                </c:pt>
                <c:pt idx="98">
                  <c:v>#N/A</c:v>
                </c:pt>
                <c:pt idx="99">
                  <c:v>#N/A</c:v>
                </c:pt>
                <c:pt idx="100">
                  <c:v>#N/A</c:v>
                </c:pt>
                <c:pt idx="101">
                  <c:v>2020.68</c:v>
                </c:pt>
                <c:pt idx="102">
                  <c:v>#N/A</c:v>
                </c:pt>
                <c:pt idx="103">
                  <c:v>#N/A</c:v>
                </c:pt>
                <c:pt idx="104">
                  <c:v>#N/A</c:v>
                </c:pt>
                <c:pt idx="105">
                  <c:v>#N/A</c:v>
                </c:pt>
                <c:pt idx="106">
                  <c:v>#N/A</c:v>
                </c:pt>
                <c:pt idx="107">
                  <c:v>#N/A</c:v>
                </c:pt>
                <c:pt idx="108">
                  <c:v>1997.48</c:v>
                </c:pt>
                <c:pt idx="109">
                  <c:v>#N/A</c:v>
                </c:pt>
                <c:pt idx="110">
                  <c:v>#N/A</c:v>
                </c:pt>
                <c:pt idx="111">
                  <c:v>#N/A</c:v>
                </c:pt>
                <c:pt idx="112">
                  <c:v>#N/A</c:v>
                </c:pt>
                <c:pt idx="113">
                  <c:v>#N/A</c:v>
                </c:pt>
                <c:pt idx="114">
                  <c:v>#N/A</c:v>
                </c:pt>
                <c:pt idx="115">
                  <c:v>1955.36</c:v>
                </c:pt>
                <c:pt idx="116">
                  <c:v>#N/A</c:v>
                </c:pt>
                <c:pt idx="117">
                  <c:v>#N/A</c:v>
                </c:pt>
                <c:pt idx="118">
                  <c:v>#N/A</c:v>
                </c:pt>
                <c:pt idx="119">
                  <c:v>#N/A</c:v>
                </c:pt>
                <c:pt idx="120">
                  <c:v>#N/A</c:v>
                </c:pt>
                <c:pt idx="121">
                  <c:v>#N/A</c:v>
                </c:pt>
                <c:pt idx="122">
                  <c:v>1971.12</c:v>
                </c:pt>
                <c:pt idx="123">
                  <c:v>#N/A</c:v>
                </c:pt>
                <c:pt idx="124">
                  <c:v>#N/A</c:v>
                </c:pt>
                <c:pt idx="125">
                  <c:v>#N/A</c:v>
                </c:pt>
                <c:pt idx="126">
                  <c:v>#N/A</c:v>
                </c:pt>
                <c:pt idx="127">
                  <c:v>#N/A</c:v>
                </c:pt>
                <c:pt idx="128">
                  <c:v>#N/A</c:v>
                </c:pt>
                <c:pt idx="129">
                  <c:v>2027.63</c:v>
                </c:pt>
                <c:pt idx="130">
                  <c:v>#N/A</c:v>
                </c:pt>
                <c:pt idx="131">
                  <c:v>#N/A</c:v>
                </c:pt>
                <c:pt idx="132">
                  <c:v>#N/A</c:v>
                </c:pt>
                <c:pt idx="133">
                  <c:v>#N/A</c:v>
                </c:pt>
                <c:pt idx="134">
                  <c:v>#N/A</c:v>
                </c:pt>
                <c:pt idx="135">
                  <c:v>#N/A</c:v>
                </c:pt>
                <c:pt idx="136">
                  <c:v>2038.63</c:v>
                </c:pt>
                <c:pt idx="137">
                  <c:v>#N/A</c:v>
                </c:pt>
                <c:pt idx="138">
                  <c:v>#N/A</c:v>
                </c:pt>
                <c:pt idx="139">
                  <c:v>#N/A</c:v>
                </c:pt>
                <c:pt idx="140">
                  <c:v>#N/A</c:v>
                </c:pt>
                <c:pt idx="141">
                  <c:v>#N/A</c:v>
                </c:pt>
                <c:pt idx="142">
                  <c:v>#N/A</c:v>
                </c:pt>
                <c:pt idx="143">
                  <c:v>2071.16</c:v>
                </c:pt>
                <c:pt idx="144">
                  <c:v>#N/A</c:v>
                </c:pt>
                <c:pt idx="145">
                  <c:v>#N/A</c:v>
                </c:pt>
                <c:pt idx="146">
                  <c:v>#N/A</c:v>
                </c:pt>
                <c:pt idx="147">
                  <c:v>#N/A</c:v>
                </c:pt>
                <c:pt idx="148">
                  <c:v>#N/A</c:v>
                </c:pt>
                <c:pt idx="149">
                  <c:v>#N/A</c:v>
                </c:pt>
                <c:pt idx="150">
                  <c:v>2116.6799999999998</c:v>
                </c:pt>
                <c:pt idx="151">
                  <c:v>#N/A</c:v>
                </c:pt>
                <c:pt idx="152">
                  <c:v>#N/A</c:v>
                </c:pt>
                <c:pt idx="153">
                  <c:v>#N/A</c:v>
                </c:pt>
                <c:pt idx="154">
                  <c:v>#N/A</c:v>
                </c:pt>
                <c:pt idx="155">
                  <c:v>#N/A</c:v>
                </c:pt>
                <c:pt idx="156">
                  <c:v>#N/A</c:v>
                </c:pt>
                <c:pt idx="157">
                  <c:v>2166.84</c:v>
                </c:pt>
                <c:pt idx="158">
                  <c:v>#N/A</c:v>
                </c:pt>
                <c:pt idx="159">
                  <c:v>#N/A</c:v>
                </c:pt>
                <c:pt idx="160">
                  <c:v>#N/A</c:v>
                </c:pt>
                <c:pt idx="161">
                  <c:v>#N/A</c:v>
                </c:pt>
                <c:pt idx="162">
                  <c:v>#N/A</c:v>
                </c:pt>
                <c:pt idx="163">
                  <c:v>#N/A</c:v>
                </c:pt>
                <c:pt idx="164">
                  <c:v>2151.11</c:v>
                </c:pt>
                <c:pt idx="165">
                  <c:v>#N/A</c:v>
                </c:pt>
                <c:pt idx="166">
                  <c:v>#N/A</c:v>
                </c:pt>
                <c:pt idx="167">
                  <c:v>#N/A</c:v>
                </c:pt>
                <c:pt idx="168">
                  <c:v>#N/A</c:v>
                </c:pt>
                <c:pt idx="169">
                  <c:v>#N/A</c:v>
                </c:pt>
                <c:pt idx="170">
                  <c:v>#N/A</c:v>
                </c:pt>
                <c:pt idx="171">
                  <c:v>2199.9</c:v>
                </c:pt>
                <c:pt idx="172">
                  <c:v>#N/A</c:v>
                </c:pt>
                <c:pt idx="173">
                  <c:v>#N/A</c:v>
                </c:pt>
                <c:pt idx="174">
                  <c:v>#N/A</c:v>
                </c:pt>
                <c:pt idx="175">
                  <c:v>#N/A</c:v>
                </c:pt>
                <c:pt idx="176">
                  <c:v>#N/A</c:v>
                </c:pt>
                <c:pt idx="177">
                  <c:v>#N/A</c:v>
                </c:pt>
                <c:pt idx="178">
                  <c:v>2190.31</c:v>
                </c:pt>
                <c:pt idx="179">
                  <c:v>#N/A</c:v>
                </c:pt>
                <c:pt idx="180">
                  <c:v>#N/A</c:v>
                </c:pt>
                <c:pt idx="181">
                  <c:v>#N/A</c:v>
                </c:pt>
                <c:pt idx="182">
                  <c:v>#N/A</c:v>
                </c:pt>
                <c:pt idx="183">
                  <c:v>#N/A</c:v>
                </c:pt>
                <c:pt idx="184">
                  <c:v>#N/A</c:v>
                </c:pt>
                <c:pt idx="185">
                  <c:v>2191.85</c:v>
                </c:pt>
                <c:pt idx="186">
                  <c:v>#N/A</c:v>
                </c:pt>
                <c:pt idx="187">
                  <c:v>#N/A</c:v>
                </c:pt>
                <c:pt idx="188">
                  <c:v>#N/A</c:v>
                </c:pt>
                <c:pt idx="189">
                  <c:v>#N/A</c:v>
                </c:pt>
                <c:pt idx="190">
                  <c:v>#N/A</c:v>
                </c:pt>
                <c:pt idx="191">
                  <c:v>#N/A</c:v>
                </c:pt>
                <c:pt idx="192">
                  <c:v>2211.69</c:v>
                </c:pt>
                <c:pt idx="193">
                  <c:v>#N/A</c:v>
                </c:pt>
                <c:pt idx="194">
                  <c:v>#N/A</c:v>
                </c:pt>
                <c:pt idx="195">
                  <c:v>#N/A</c:v>
                </c:pt>
                <c:pt idx="196">
                  <c:v>#N/A</c:v>
                </c:pt>
                <c:pt idx="197">
                  <c:v>#N/A</c:v>
                </c:pt>
                <c:pt idx="198">
                  <c:v>#N/A</c:v>
                </c:pt>
                <c:pt idx="199">
                  <c:v>2235.16</c:v>
                </c:pt>
                <c:pt idx="200">
                  <c:v>#N/A</c:v>
                </c:pt>
                <c:pt idx="201">
                  <c:v>#N/A</c:v>
                </c:pt>
                <c:pt idx="202">
                  <c:v>#N/A</c:v>
                </c:pt>
                <c:pt idx="203">
                  <c:v>#N/A</c:v>
                </c:pt>
                <c:pt idx="204">
                  <c:v>#N/A</c:v>
                </c:pt>
                <c:pt idx="205">
                  <c:v>#N/A</c:v>
                </c:pt>
                <c:pt idx="206">
                  <c:v>2233.9699999999998</c:v>
                </c:pt>
                <c:pt idx="207">
                  <c:v>#N/A</c:v>
                </c:pt>
                <c:pt idx="208">
                  <c:v>#N/A</c:v>
                </c:pt>
                <c:pt idx="209">
                  <c:v>#N/A</c:v>
                </c:pt>
                <c:pt idx="210">
                  <c:v>#N/A</c:v>
                </c:pt>
                <c:pt idx="211">
                  <c:v>#N/A</c:v>
                </c:pt>
                <c:pt idx="212">
                  <c:v>#N/A</c:v>
                </c:pt>
                <c:pt idx="213">
                  <c:v>2250.1</c:v>
                </c:pt>
                <c:pt idx="214">
                  <c:v>#N/A</c:v>
                </c:pt>
                <c:pt idx="215">
                  <c:v>#N/A</c:v>
                </c:pt>
                <c:pt idx="216">
                  <c:v>#N/A</c:v>
                </c:pt>
                <c:pt idx="217">
                  <c:v>#N/A</c:v>
                </c:pt>
                <c:pt idx="218">
                  <c:v>#N/A</c:v>
                </c:pt>
                <c:pt idx="219">
                  <c:v>#N/A</c:v>
                </c:pt>
                <c:pt idx="220">
                  <c:v>2280.16</c:v>
                </c:pt>
                <c:pt idx="221">
                  <c:v>#N/A</c:v>
                </c:pt>
                <c:pt idx="222">
                  <c:v>#N/A</c:v>
                </c:pt>
                <c:pt idx="223">
                  <c:v>#N/A</c:v>
                </c:pt>
                <c:pt idx="224">
                  <c:v>#N/A</c:v>
                </c:pt>
                <c:pt idx="225">
                  <c:v>#N/A</c:v>
                </c:pt>
                <c:pt idx="226">
                  <c:v>#N/A</c:v>
                </c:pt>
                <c:pt idx="227">
                  <c:v>2267.69</c:v>
                </c:pt>
                <c:pt idx="228">
                  <c:v>#N/A</c:v>
                </c:pt>
                <c:pt idx="229">
                  <c:v>#N/A</c:v>
                </c:pt>
                <c:pt idx="230">
                  <c:v>#N/A</c:v>
                </c:pt>
                <c:pt idx="231">
                  <c:v>#N/A</c:v>
                </c:pt>
                <c:pt idx="232">
                  <c:v>#N/A</c:v>
                </c:pt>
                <c:pt idx="233">
                  <c:v>#N/A</c:v>
                </c:pt>
                <c:pt idx="234">
                  <c:v>2272.91</c:v>
                </c:pt>
                <c:pt idx="235">
                  <c:v>#N/A</c:v>
                </c:pt>
                <c:pt idx="236">
                  <c:v>#N/A</c:v>
                </c:pt>
                <c:pt idx="237">
                  <c:v>#N/A</c:v>
                </c:pt>
                <c:pt idx="238">
                  <c:v>#N/A</c:v>
                </c:pt>
                <c:pt idx="239">
                  <c:v>#N/A</c:v>
                </c:pt>
                <c:pt idx="240">
                  <c:v>#N/A</c:v>
                </c:pt>
                <c:pt idx="241">
                  <c:v>2299.69</c:v>
                </c:pt>
                <c:pt idx="242">
                  <c:v>#N/A</c:v>
                </c:pt>
                <c:pt idx="243">
                  <c:v>#N/A</c:v>
                </c:pt>
                <c:pt idx="244">
                  <c:v>#N/A</c:v>
                </c:pt>
                <c:pt idx="245">
                  <c:v>#N/A</c:v>
                </c:pt>
                <c:pt idx="246">
                  <c:v>#N/A</c:v>
                </c:pt>
                <c:pt idx="247">
                  <c:v>#N/A</c:v>
                </c:pt>
                <c:pt idx="248">
                  <c:v>2304.4299999999998</c:v>
                </c:pt>
                <c:pt idx="249">
                  <c:v>#N/A</c:v>
                </c:pt>
                <c:pt idx="250">
                  <c:v>#N/A</c:v>
                </c:pt>
                <c:pt idx="251">
                  <c:v>#N/A</c:v>
                </c:pt>
                <c:pt idx="252">
                  <c:v>#N/A</c:v>
                </c:pt>
                <c:pt idx="253">
                  <c:v>#N/A</c:v>
                </c:pt>
                <c:pt idx="254">
                  <c:v>#N/A</c:v>
                </c:pt>
                <c:pt idx="255">
                  <c:v>2208.3000000000002</c:v>
                </c:pt>
                <c:pt idx="256">
                  <c:v>#N/A</c:v>
                </c:pt>
                <c:pt idx="257">
                  <c:v>#N/A</c:v>
                </c:pt>
                <c:pt idx="258">
                  <c:v>#N/A</c:v>
                </c:pt>
                <c:pt idx="259">
                  <c:v>#N/A</c:v>
                </c:pt>
                <c:pt idx="260">
                  <c:v>#N/A</c:v>
                </c:pt>
                <c:pt idx="261">
                  <c:v>#N/A</c:v>
                </c:pt>
                <c:pt idx="262">
                  <c:v>2237.1</c:v>
                </c:pt>
                <c:pt idx="263">
                  <c:v>#N/A</c:v>
                </c:pt>
                <c:pt idx="264">
                  <c:v>#N/A</c:v>
                </c:pt>
                <c:pt idx="265">
                  <c:v>#N/A</c:v>
                </c:pt>
                <c:pt idx="266">
                  <c:v>#N/A</c:v>
                </c:pt>
                <c:pt idx="267">
                  <c:v>#N/A</c:v>
                </c:pt>
                <c:pt idx="268">
                  <c:v>#N/A</c:v>
                </c:pt>
                <c:pt idx="269">
                  <c:v>2170.59</c:v>
                </c:pt>
                <c:pt idx="270">
                  <c:v>#N/A</c:v>
                </c:pt>
                <c:pt idx="271">
                  <c:v>#N/A</c:v>
                </c:pt>
                <c:pt idx="272">
                  <c:v>#N/A</c:v>
                </c:pt>
                <c:pt idx="273">
                  <c:v>#N/A</c:v>
                </c:pt>
                <c:pt idx="274">
                  <c:v>#N/A</c:v>
                </c:pt>
                <c:pt idx="275">
                  <c:v>#N/A</c:v>
                </c:pt>
                <c:pt idx="276">
                  <c:v>2165.1799999999998</c:v>
                </c:pt>
                <c:pt idx="277">
                  <c:v>#N/A</c:v>
                </c:pt>
                <c:pt idx="278">
                  <c:v>#N/A</c:v>
                </c:pt>
                <c:pt idx="279">
                  <c:v>#N/A</c:v>
                </c:pt>
                <c:pt idx="280">
                  <c:v>#N/A</c:v>
                </c:pt>
                <c:pt idx="281">
                  <c:v>#N/A</c:v>
                </c:pt>
                <c:pt idx="282">
                  <c:v>#N/A</c:v>
                </c:pt>
                <c:pt idx="283">
                  <c:v>2225.67</c:v>
                </c:pt>
                <c:pt idx="284">
                  <c:v>#N/A</c:v>
                </c:pt>
                <c:pt idx="285">
                  <c:v>#N/A</c:v>
                </c:pt>
                <c:pt idx="286">
                  <c:v>#N/A</c:v>
                </c:pt>
                <c:pt idx="287">
                  <c:v>#N/A</c:v>
                </c:pt>
                <c:pt idx="288">
                  <c:v>#N/A</c:v>
                </c:pt>
                <c:pt idx="289">
                  <c:v>#N/A</c:v>
                </c:pt>
                <c:pt idx="290">
                  <c:v>2232.08</c:v>
                </c:pt>
                <c:pt idx="291">
                  <c:v>#N/A</c:v>
                </c:pt>
                <c:pt idx="292">
                  <c:v>#N/A</c:v>
                </c:pt>
                <c:pt idx="293">
                  <c:v>#N/A</c:v>
                </c:pt>
                <c:pt idx="294">
                  <c:v>#N/A</c:v>
                </c:pt>
                <c:pt idx="295">
                  <c:v>#N/A</c:v>
                </c:pt>
                <c:pt idx="296">
                  <c:v>#N/A</c:v>
                </c:pt>
                <c:pt idx="297">
                  <c:v>2229.89</c:v>
                </c:pt>
                <c:pt idx="298">
                  <c:v>#N/A</c:v>
                </c:pt>
                <c:pt idx="299">
                  <c:v>#N/A</c:v>
                </c:pt>
                <c:pt idx="300">
                  <c:v>#N/A</c:v>
                </c:pt>
                <c:pt idx="301">
                  <c:v>#N/A</c:v>
                </c:pt>
                <c:pt idx="302">
                  <c:v>#N/A</c:v>
                </c:pt>
                <c:pt idx="303">
                  <c:v>#N/A</c:v>
                </c:pt>
                <c:pt idx="304">
                  <c:v>2160.9499999999998</c:v>
                </c:pt>
                <c:pt idx="305">
                  <c:v>#N/A</c:v>
                </c:pt>
                <c:pt idx="306">
                  <c:v>#N/A</c:v>
                </c:pt>
                <c:pt idx="307">
                  <c:v>#N/A</c:v>
                </c:pt>
                <c:pt idx="308">
                  <c:v>#N/A</c:v>
                </c:pt>
                <c:pt idx="309">
                  <c:v>#N/A</c:v>
                </c:pt>
                <c:pt idx="310">
                  <c:v>#N/A</c:v>
                </c:pt>
                <c:pt idx="311">
                  <c:v>2188.46</c:v>
                </c:pt>
                <c:pt idx="312">
                  <c:v>#N/A</c:v>
                </c:pt>
                <c:pt idx="313">
                  <c:v>#N/A</c:v>
                </c:pt>
                <c:pt idx="314">
                  <c:v>#N/A</c:v>
                </c:pt>
                <c:pt idx="315">
                  <c:v>#N/A</c:v>
                </c:pt>
                <c:pt idx="316">
                  <c:v>#N/A</c:v>
                </c:pt>
                <c:pt idx="317">
                  <c:v>#N/A</c:v>
                </c:pt>
                <c:pt idx="318">
                  <c:v>2263.16</c:v>
                </c:pt>
                <c:pt idx="319">
                  <c:v>#N/A</c:v>
                </c:pt>
                <c:pt idx="320">
                  <c:v>#N/A</c:v>
                </c:pt>
                <c:pt idx="321">
                  <c:v>#N/A</c:v>
                </c:pt>
                <c:pt idx="322">
                  <c:v>#N/A</c:v>
                </c:pt>
                <c:pt idx="323">
                  <c:v>#N/A</c:v>
                </c:pt>
                <c:pt idx="324">
                  <c:v>#N/A</c:v>
                </c:pt>
                <c:pt idx="325">
                  <c:v>2317.21</c:v>
                </c:pt>
                <c:pt idx="326">
                  <c:v>#N/A</c:v>
                </c:pt>
                <c:pt idx="327">
                  <c:v>#N/A</c:v>
                </c:pt>
                <c:pt idx="328">
                  <c:v>#N/A</c:v>
                </c:pt>
                <c:pt idx="329">
                  <c:v>#N/A</c:v>
                </c:pt>
                <c:pt idx="330">
                  <c:v>#N/A</c:v>
                </c:pt>
                <c:pt idx="331">
                  <c:v>#N/A</c:v>
                </c:pt>
                <c:pt idx="332">
                  <c:v>2406.48</c:v>
                </c:pt>
                <c:pt idx="333">
                  <c:v>#N/A</c:v>
                </c:pt>
                <c:pt idx="334">
                  <c:v>#N/A</c:v>
                </c:pt>
                <c:pt idx="335">
                  <c:v>#N/A</c:v>
                </c:pt>
                <c:pt idx="336">
                  <c:v>#N/A</c:v>
                </c:pt>
                <c:pt idx="337">
                  <c:v>#N/A</c:v>
                </c:pt>
                <c:pt idx="338">
                  <c:v>#N/A</c:v>
                </c:pt>
                <c:pt idx="339">
                  <c:v>2446.02</c:v>
                </c:pt>
                <c:pt idx="340">
                  <c:v>#N/A</c:v>
                </c:pt>
                <c:pt idx="341">
                  <c:v>#N/A</c:v>
                </c:pt>
                <c:pt idx="342">
                  <c:v>#N/A</c:v>
                </c:pt>
                <c:pt idx="343">
                  <c:v>#N/A</c:v>
                </c:pt>
                <c:pt idx="344">
                  <c:v>#N/A</c:v>
                </c:pt>
                <c:pt idx="345">
                  <c:v>#N/A</c:v>
                </c:pt>
                <c:pt idx="346">
                  <c:v>2513.1</c:v>
                </c:pt>
                <c:pt idx="347">
                  <c:v>#N/A</c:v>
                </c:pt>
                <c:pt idx="348">
                  <c:v>#N/A</c:v>
                </c:pt>
                <c:pt idx="349">
                  <c:v>#N/A</c:v>
                </c:pt>
                <c:pt idx="350">
                  <c:v>#N/A</c:v>
                </c:pt>
                <c:pt idx="351">
                  <c:v>#N/A</c:v>
                </c:pt>
                <c:pt idx="352">
                  <c:v>#N/A</c:v>
                </c:pt>
                <c:pt idx="353">
                  <c:v>2623.4</c:v>
                </c:pt>
                <c:pt idx="354">
                  <c:v>#N/A</c:v>
                </c:pt>
                <c:pt idx="355">
                  <c:v>#N/A</c:v>
                </c:pt>
                <c:pt idx="356">
                  <c:v>#N/A</c:v>
                </c:pt>
                <c:pt idx="357">
                  <c:v>#N/A</c:v>
                </c:pt>
                <c:pt idx="358">
                  <c:v>#N/A</c:v>
                </c:pt>
                <c:pt idx="359">
                  <c:v>#N/A</c:v>
                </c:pt>
                <c:pt idx="360">
                  <c:v>2604.1</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E7CA-40A8-862F-2816FC67C68D}"/>
            </c:ext>
          </c:extLst>
        </c:ser>
        <c:ser>
          <c:idx val="1"/>
          <c:order val="2"/>
          <c:tx>
            <c:strRef>
              <c:f>南华!$J$1</c:f>
              <c:strCache>
                <c:ptCount val="1"/>
                <c:pt idx="0">
                  <c:v>2021</c:v>
                </c:pt>
              </c:strCache>
            </c:strRef>
          </c:tx>
          <c:spPr>
            <a:ln w="28575">
              <a:solidFill>
                <a:srgbClr val="BF5711"/>
              </a:solidFill>
              <a:prstDash val="solid"/>
            </a:ln>
          </c:spPr>
          <c:marker>
            <c:symbol val="none"/>
          </c:marker>
          <c:cat>
            <c:numRef>
              <c:f>南华!$G$2:$G$366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南华!$J$2:$J$366</c:f>
              <c:numCache>
                <c:formatCode>General</c:formatCode>
                <c:ptCount val="365"/>
                <c:pt idx="0">
                  <c:v>#N/A</c:v>
                </c:pt>
                <c:pt idx="1">
                  <c:v>2550.4899999999998</c:v>
                </c:pt>
                <c:pt idx="2">
                  <c:v>#N/A</c:v>
                </c:pt>
                <c:pt idx="3">
                  <c:v>#N/A</c:v>
                </c:pt>
                <c:pt idx="4">
                  <c:v>#N/A</c:v>
                </c:pt>
                <c:pt idx="5">
                  <c:v>#N/A</c:v>
                </c:pt>
                <c:pt idx="6">
                  <c:v>#N/A</c:v>
                </c:pt>
                <c:pt idx="7">
                  <c:v>#N/A</c:v>
                </c:pt>
                <c:pt idx="8">
                  <c:v>2690.36</c:v>
                </c:pt>
                <c:pt idx="9">
                  <c:v>#N/A</c:v>
                </c:pt>
                <c:pt idx="10">
                  <c:v>#N/A</c:v>
                </c:pt>
                <c:pt idx="11">
                  <c:v>#N/A</c:v>
                </c:pt>
                <c:pt idx="12">
                  <c:v>#N/A</c:v>
                </c:pt>
                <c:pt idx="13">
                  <c:v>#N/A</c:v>
                </c:pt>
                <c:pt idx="14">
                  <c:v>#N/A</c:v>
                </c:pt>
                <c:pt idx="15">
                  <c:v>2641.58</c:v>
                </c:pt>
                <c:pt idx="16">
                  <c:v>#N/A</c:v>
                </c:pt>
                <c:pt idx="17">
                  <c:v>#N/A</c:v>
                </c:pt>
                <c:pt idx="18">
                  <c:v>#N/A</c:v>
                </c:pt>
                <c:pt idx="19">
                  <c:v>#N/A</c:v>
                </c:pt>
                <c:pt idx="20">
                  <c:v>#N/A</c:v>
                </c:pt>
                <c:pt idx="21">
                  <c:v>#N/A</c:v>
                </c:pt>
                <c:pt idx="22">
                  <c:v>2613.9</c:v>
                </c:pt>
                <c:pt idx="23">
                  <c:v>#N/A</c:v>
                </c:pt>
                <c:pt idx="24">
                  <c:v>#N/A</c:v>
                </c:pt>
                <c:pt idx="25">
                  <c:v>#N/A</c:v>
                </c:pt>
                <c:pt idx="26">
                  <c:v>#N/A</c:v>
                </c:pt>
                <c:pt idx="27">
                  <c:v>#N/A</c:v>
                </c:pt>
                <c:pt idx="28">
                  <c:v>#N/A</c:v>
                </c:pt>
                <c:pt idx="29">
                  <c:v>2578.96</c:v>
                </c:pt>
                <c:pt idx="30">
                  <c:v>#N/A</c:v>
                </c:pt>
                <c:pt idx="31">
                  <c:v>#N/A</c:v>
                </c:pt>
                <c:pt idx="32">
                  <c:v>#N/A</c:v>
                </c:pt>
                <c:pt idx="33">
                  <c:v>#N/A</c:v>
                </c:pt>
                <c:pt idx="34">
                  <c:v>#N/A</c:v>
                </c:pt>
                <c:pt idx="35">
                  <c:v>#N/A</c:v>
                </c:pt>
                <c:pt idx="36">
                  <c:v>2643.67</c:v>
                </c:pt>
                <c:pt idx="37">
                  <c:v>#N/A</c:v>
                </c:pt>
                <c:pt idx="38">
                  <c:v>#N/A</c:v>
                </c:pt>
                <c:pt idx="39">
                  <c:v>#N/A</c:v>
                </c:pt>
                <c:pt idx="40">
                  <c:v>#N/A</c:v>
                </c:pt>
                <c:pt idx="41">
                  <c:v>#N/A</c:v>
                </c:pt>
                <c:pt idx="42">
                  <c:v>#N/A</c:v>
                </c:pt>
                <c:pt idx="43">
                  <c:v>2694.97</c:v>
                </c:pt>
                <c:pt idx="44">
                  <c:v>#N/A</c:v>
                </c:pt>
                <c:pt idx="45">
                  <c:v>#N/A</c:v>
                </c:pt>
                <c:pt idx="46">
                  <c:v>#N/A</c:v>
                </c:pt>
                <c:pt idx="47">
                  <c:v>#N/A</c:v>
                </c:pt>
                <c:pt idx="48">
                  <c:v>#N/A</c:v>
                </c:pt>
                <c:pt idx="49">
                  <c:v>#N/A</c:v>
                </c:pt>
                <c:pt idx="50">
                  <c:v>2833.05</c:v>
                </c:pt>
                <c:pt idx="51">
                  <c:v>#N/A</c:v>
                </c:pt>
                <c:pt idx="52">
                  <c:v>#N/A</c:v>
                </c:pt>
                <c:pt idx="53">
                  <c:v>#N/A</c:v>
                </c:pt>
                <c:pt idx="54">
                  <c:v>#N/A</c:v>
                </c:pt>
                <c:pt idx="55">
                  <c:v>#N/A</c:v>
                </c:pt>
                <c:pt idx="56">
                  <c:v>#N/A</c:v>
                </c:pt>
                <c:pt idx="57">
                  <c:v>2914.95</c:v>
                </c:pt>
                <c:pt idx="58">
                  <c:v>#N/A</c:v>
                </c:pt>
                <c:pt idx="59">
                  <c:v>#N/A</c:v>
                </c:pt>
                <c:pt idx="60">
                  <c:v>#N/A</c:v>
                </c:pt>
                <c:pt idx="61">
                  <c:v>#N/A</c:v>
                </c:pt>
                <c:pt idx="62">
                  <c:v>#N/A</c:v>
                </c:pt>
                <c:pt idx="63">
                  <c:v>#N/A</c:v>
                </c:pt>
                <c:pt idx="64">
                  <c:v>2879.6</c:v>
                </c:pt>
                <c:pt idx="65">
                  <c:v>#N/A</c:v>
                </c:pt>
                <c:pt idx="66">
                  <c:v>#N/A</c:v>
                </c:pt>
                <c:pt idx="67">
                  <c:v>#N/A</c:v>
                </c:pt>
                <c:pt idx="68">
                  <c:v>#N/A</c:v>
                </c:pt>
                <c:pt idx="69">
                  <c:v>#N/A</c:v>
                </c:pt>
                <c:pt idx="70">
                  <c:v>#N/A</c:v>
                </c:pt>
                <c:pt idx="71">
                  <c:v>2846.88</c:v>
                </c:pt>
                <c:pt idx="72">
                  <c:v>#N/A</c:v>
                </c:pt>
                <c:pt idx="73">
                  <c:v>#N/A</c:v>
                </c:pt>
                <c:pt idx="74">
                  <c:v>#N/A</c:v>
                </c:pt>
                <c:pt idx="75">
                  <c:v>#N/A</c:v>
                </c:pt>
                <c:pt idx="76">
                  <c:v>#N/A</c:v>
                </c:pt>
                <c:pt idx="77">
                  <c:v>#N/A</c:v>
                </c:pt>
                <c:pt idx="78">
                  <c:v>2748.48</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E7CA-40A8-862F-2816FC67C68D}"/>
            </c:ext>
          </c:extLst>
        </c:ser>
        <c:dLbls>
          <c:showLegendKey val="0"/>
          <c:showVal val="0"/>
          <c:showCatName val="0"/>
          <c:showSerName val="0"/>
          <c:showPercent val="0"/>
          <c:showBubbleSize val="0"/>
        </c:dLbls>
        <c:marker val="1"/>
        <c:smooth val="0"/>
        <c:axId val="538411008"/>
        <c:axId val="538412544"/>
      </c:lineChart>
      <c:dateAx>
        <c:axId val="538411008"/>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8412544"/>
        <c:crosses val="autoZero"/>
        <c:auto val="0"/>
        <c:lblOffset val="0"/>
        <c:baseTimeUnit val="days"/>
        <c:majorUnit val="1"/>
        <c:majorTimeUnit val="months"/>
      </c:dateAx>
      <c:valAx>
        <c:axId val="538412544"/>
        <c:scaling>
          <c:orientation val="minMax"/>
          <c:min val="170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8411008"/>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水泥!$H$1</c:f>
              <c:strCache>
                <c:ptCount val="1"/>
                <c:pt idx="0">
                  <c:v>2019</c:v>
                </c:pt>
              </c:strCache>
            </c:strRef>
          </c:tx>
          <c:spPr>
            <a:ln w="28575">
              <a:solidFill>
                <a:srgbClr val="E7E6E6">
                  <a:lumMod val="75000"/>
                </a:srgbClr>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水泥!$H$2:$H$366</c:f>
              <c:numCache>
                <c:formatCode>General</c:formatCode>
                <c:ptCount val="365"/>
                <c:pt idx="0">
                  <c:v>#N/A</c:v>
                </c:pt>
                <c:pt idx="1">
                  <c:v>161.68</c:v>
                </c:pt>
                <c:pt idx="2">
                  <c:v>161.56</c:v>
                </c:pt>
                <c:pt idx="3">
                  <c:v>161.36000000000001</c:v>
                </c:pt>
                <c:pt idx="4">
                  <c:v>#N/A</c:v>
                </c:pt>
                <c:pt idx="5">
                  <c:v>#N/A</c:v>
                </c:pt>
                <c:pt idx="6">
                  <c:v>156.93</c:v>
                </c:pt>
                <c:pt idx="7">
                  <c:v>155.94999999999999</c:v>
                </c:pt>
                <c:pt idx="8">
                  <c:v>155.59</c:v>
                </c:pt>
                <c:pt idx="9">
                  <c:v>155.55000000000001</c:v>
                </c:pt>
                <c:pt idx="10">
                  <c:v>155.54</c:v>
                </c:pt>
                <c:pt idx="11">
                  <c:v>#N/A</c:v>
                </c:pt>
                <c:pt idx="12">
                  <c:v>#N/A</c:v>
                </c:pt>
                <c:pt idx="13">
                  <c:v>155.22999999999999</c:v>
                </c:pt>
                <c:pt idx="14">
                  <c:v>155.13999999999999</c:v>
                </c:pt>
                <c:pt idx="15">
                  <c:v>154.21</c:v>
                </c:pt>
                <c:pt idx="16">
                  <c:v>153.81</c:v>
                </c:pt>
                <c:pt idx="17">
                  <c:v>153.62</c:v>
                </c:pt>
                <c:pt idx="18">
                  <c:v>#N/A</c:v>
                </c:pt>
                <c:pt idx="19">
                  <c:v>#N/A</c:v>
                </c:pt>
                <c:pt idx="20">
                  <c:v>153.5</c:v>
                </c:pt>
                <c:pt idx="21">
                  <c:v>153.5</c:v>
                </c:pt>
                <c:pt idx="22">
                  <c:v>153.34</c:v>
                </c:pt>
                <c:pt idx="23">
                  <c:v>153.30000000000001</c:v>
                </c:pt>
                <c:pt idx="24">
                  <c:v>153.29</c:v>
                </c:pt>
                <c:pt idx="25">
                  <c:v>#N/A</c:v>
                </c:pt>
                <c:pt idx="26">
                  <c:v>#N/A</c:v>
                </c:pt>
                <c:pt idx="27">
                  <c:v>153.26</c:v>
                </c:pt>
                <c:pt idx="28">
                  <c:v>152.41</c:v>
                </c:pt>
                <c:pt idx="29">
                  <c:v>152.38999999999999</c:v>
                </c:pt>
                <c:pt idx="30">
                  <c:v>152.38999999999999</c:v>
                </c:pt>
                <c:pt idx="31">
                  <c:v>151.9</c:v>
                </c:pt>
                <c:pt idx="32">
                  <c:v>#N/A</c:v>
                </c:pt>
                <c:pt idx="33">
                  <c:v>#N/A</c:v>
                </c:pt>
                <c:pt idx="34">
                  <c:v>#N/A</c:v>
                </c:pt>
                <c:pt idx="35">
                  <c:v>#N/A</c:v>
                </c:pt>
                <c:pt idx="36">
                  <c:v>#N/A</c:v>
                </c:pt>
                <c:pt idx="37">
                  <c:v>#N/A</c:v>
                </c:pt>
                <c:pt idx="38">
                  <c:v>#N/A</c:v>
                </c:pt>
                <c:pt idx="39">
                  <c:v>#N/A</c:v>
                </c:pt>
                <c:pt idx="40">
                  <c:v>#N/A</c:v>
                </c:pt>
                <c:pt idx="41">
                  <c:v>#N/A</c:v>
                </c:pt>
                <c:pt idx="42">
                  <c:v>151.87</c:v>
                </c:pt>
                <c:pt idx="43">
                  <c:v>151.84</c:v>
                </c:pt>
                <c:pt idx="44">
                  <c:v>151.84</c:v>
                </c:pt>
                <c:pt idx="45">
                  <c:v>151.84</c:v>
                </c:pt>
                <c:pt idx="46">
                  <c:v>#N/A</c:v>
                </c:pt>
                <c:pt idx="47">
                  <c:v>#N/A</c:v>
                </c:pt>
                <c:pt idx="48">
                  <c:v>151.84</c:v>
                </c:pt>
                <c:pt idx="49">
                  <c:v>150.71</c:v>
                </c:pt>
                <c:pt idx="50">
                  <c:v>149.51</c:v>
                </c:pt>
                <c:pt idx="51">
                  <c:v>149.37</c:v>
                </c:pt>
                <c:pt idx="52">
                  <c:v>148.58000000000001</c:v>
                </c:pt>
                <c:pt idx="53">
                  <c:v>#N/A</c:v>
                </c:pt>
                <c:pt idx="54">
                  <c:v>#N/A</c:v>
                </c:pt>
                <c:pt idx="55">
                  <c:v>148.32</c:v>
                </c:pt>
                <c:pt idx="56">
                  <c:v>147.97</c:v>
                </c:pt>
                <c:pt idx="57">
                  <c:v>147.58000000000001</c:v>
                </c:pt>
                <c:pt idx="58">
                  <c:v>147.47999999999999</c:v>
                </c:pt>
                <c:pt idx="59">
                  <c:v>147.27000000000001</c:v>
                </c:pt>
                <c:pt idx="60">
                  <c:v>#N/A</c:v>
                </c:pt>
                <c:pt idx="61">
                  <c:v>#N/A</c:v>
                </c:pt>
                <c:pt idx="62">
                  <c:v>147.03</c:v>
                </c:pt>
                <c:pt idx="63">
                  <c:v>146.94</c:v>
                </c:pt>
                <c:pt idx="64">
                  <c:v>146.94</c:v>
                </c:pt>
                <c:pt idx="65">
                  <c:v>146.59</c:v>
                </c:pt>
                <c:pt idx="66">
                  <c:v>146.37</c:v>
                </c:pt>
                <c:pt idx="67">
                  <c:v>#N/A</c:v>
                </c:pt>
                <c:pt idx="68">
                  <c:v>#N/A</c:v>
                </c:pt>
                <c:pt idx="69">
                  <c:v>146.31</c:v>
                </c:pt>
                <c:pt idx="70">
                  <c:v>146.02000000000001</c:v>
                </c:pt>
                <c:pt idx="71">
                  <c:v>145.69999999999999</c:v>
                </c:pt>
                <c:pt idx="72">
                  <c:v>145.4</c:v>
                </c:pt>
                <c:pt idx="73">
                  <c:v>145.09</c:v>
                </c:pt>
                <c:pt idx="74">
                  <c:v>#N/A</c:v>
                </c:pt>
                <c:pt idx="75">
                  <c:v>#N/A</c:v>
                </c:pt>
                <c:pt idx="76">
                  <c:v>145.1</c:v>
                </c:pt>
                <c:pt idx="77">
                  <c:v>145.02000000000001</c:v>
                </c:pt>
                <c:pt idx="78">
                  <c:v>144.99</c:v>
                </c:pt>
                <c:pt idx="79">
                  <c:v>145.01</c:v>
                </c:pt>
                <c:pt idx="80">
                  <c:v>145.22</c:v>
                </c:pt>
                <c:pt idx="81">
                  <c:v>#N/A</c:v>
                </c:pt>
                <c:pt idx="82">
                  <c:v>#N/A</c:v>
                </c:pt>
                <c:pt idx="83">
                  <c:v>145.44999999999999</c:v>
                </c:pt>
                <c:pt idx="84">
                  <c:v>145.47999999999999</c:v>
                </c:pt>
                <c:pt idx="85">
                  <c:v>146.15</c:v>
                </c:pt>
                <c:pt idx="86">
                  <c:v>146.59</c:v>
                </c:pt>
                <c:pt idx="87">
                  <c:v>146.71</c:v>
                </c:pt>
                <c:pt idx="88">
                  <c:v>#N/A</c:v>
                </c:pt>
                <c:pt idx="89">
                  <c:v>#N/A</c:v>
                </c:pt>
                <c:pt idx="90">
                  <c:v>147.31</c:v>
                </c:pt>
                <c:pt idx="91">
                  <c:v>147.4</c:v>
                </c:pt>
                <c:pt idx="92">
                  <c:v>147.35</c:v>
                </c:pt>
                <c:pt idx="93">
                  <c:v>147.62</c:v>
                </c:pt>
                <c:pt idx="94">
                  <c:v>#N/A</c:v>
                </c:pt>
                <c:pt idx="95">
                  <c:v>#N/A</c:v>
                </c:pt>
                <c:pt idx="96">
                  <c:v>#N/A</c:v>
                </c:pt>
                <c:pt idx="97">
                  <c:v>148.69999999999999</c:v>
                </c:pt>
                <c:pt idx="98">
                  <c:v>148.72</c:v>
                </c:pt>
                <c:pt idx="99">
                  <c:v>148.91999999999999</c:v>
                </c:pt>
                <c:pt idx="100">
                  <c:v>148.91999999999999</c:v>
                </c:pt>
                <c:pt idx="101">
                  <c:v>149.02000000000001</c:v>
                </c:pt>
                <c:pt idx="102">
                  <c:v>#N/A</c:v>
                </c:pt>
                <c:pt idx="103">
                  <c:v>#N/A</c:v>
                </c:pt>
                <c:pt idx="104">
                  <c:v>149.29</c:v>
                </c:pt>
                <c:pt idx="105">
                  <c:v>149.32</c:v>
                </c:pt>
                <c:pt idx="106">
                  <c:v>149.29</c:v>
                </c:pt>
                <c:pt idx="107">
                  <c:v>149.26</c:v>
                </c:pt>
                <c:pt idx="108">
                  <c:v>149.30000000000001</c:v>
                </c:pt>
                <c:pt idx="109">
                  <c:v>#N/A</c:v>
                </c:pt>
                <c:pt idx="110">
                  <c:v>#N/A</c:v>
                </c:pt>
                <c:pt idx="111">
                  <c:v>149.59</c:v>
                </c:pt>
                <c:pt idx="112">
                  <c:v>149.65</c:v>
                </c:pt>
                <c:pt idx="113">
                  <c:v>149.58000000000001</c:v>
                </c:pt>
                <c:pt idx="114">
                  <c:v>149.57</c:v>
                </c:pt>
                <c:pt idx="115">
                  <c:v>149.57</c:v>
                </c:pt>
                <c:pt idx="116">
                  <c:v>#N/A</c:v>
                </c:pt>
                <c:pt idx="117">
                  <c:v>#N/A</c:v>
                </c:pt>
                <c:pt idx="118">
                  <c:v>149.66999999999999</c:v>
                </c:pt>
                <c:pt idx="119">
                  <c:v>149.66999999999999</c:v>
                </c:pt>
                <c:pt idx="120">
                  <c:v>#N/A</c:v>
                </c:pt>
                <c:pt idx="121">
                  <c:v>#N/A</c:v>
                </c:pt>
                <c:pt idx="122">
                  <c:v>#N/A</c:v>
                </c:pt>
                <c:pt idx="123">
                  <c:v>#N/A</c:v>
                </c:pt>
                <c:pt idx="124">
                  <c:v>#N/A</c:v>
                </c:pt>
                <c:pt idx="125">
                  <c:v>149.93</c:v>
                </c:pt>
                <c:pt idx="126">
                  <c:v>149.97</c:v>
                </c:pt>
                <c:pt idx="127">
                  <c:v>149.97999999999999</c:v>
                </c:pt>
                <c:pt idx="128">
                  <c:v>150.03</c:v>
                </c:pt>
                <c:pt idx="129">
                  <c:v>149.96</c:v>
                </c:pt>
                <c:pt idx="130">
                  <c:v>#N/A</c:v>
                </c:pt>
                <c:pt idx="131">
                  <c:v>#N/A</c:v>
                </c:pt>
                <c:pt idx="132">
                  <c:v>149.97</c:v>
                </c:pt>
                <c:pt idx="133">
                  <c:v>150.22999999999999</c:v>
                </c:pt>
                <c:pt idx="134">
                  <c:v>150.37</c:v>
                </c:pt>
                <c:pt idx="135">
                  <c:v>150.38999999999999</c:v>
                </c:pt>
                <c:pt idx="136">
                  <c:v>150.37</c:v>
                </c:pt>
                <c:pt idx="137">
                  <c:v>#N/A</c:v>
                </c:pt>
                <c:pt idx="138">
                  <c:v>#N/A</c:v>
                </c:pt>
                <c:pt idx="139">
                  <c:v>150.37</c:v>
                </c:pt>
                <c:pt idx="140">
                  <c:v>150.37</c:v>
                </c:pt>
                <c:pt idx="141">
                  <c:v>150.36000000000001</c:v>
                </c:pt>
                <c:pt idx="142">
                  <c:v>150.41</c:v>
                </c:pt>
                <c:pt idx="143">
                  <c:v>150.38</c:v>
                </c:pt>
                <c:pt idx="144">
                  <c:v>#N/A</c:v>
                </c:pt>
                <c:pt idx="145">
                  <c:v>#N/A</c:v>
                </c:pt>
                <c:pt idx="146">
                  <c:v>150.44</c:v>
                </c:pt>
                <c:pt idx="147">
                  <c:v>150.44</c:v>
                </c:pt>
                <c:pt idx="148">
                  <c:v>150.34</c:v>
                </c:pt>
                <c:pt idx="149">
                  <c:v>150.34</c:v>
                </c:pt>
                <c:pt idx="150">
                  <c:v>150.36000000000001</c:v>
                </c:pt>
                <c:pt idx="151">
                  <c:v>#N/A</c:v>
                </c:pt>
                <c:pt idx="152">
                  <c:v>#N/A</c:v>
                </c:pt>
                <c:pt idx="153">
                  <c:v>150.37</c:v>
                </c:pt>
                <c:pt idx="154">
                  <c:v>150.36000000000001</c:v>
                </c:pt>
                <c:pt idx="155">
                  <c:v>150.35</c:v>
                </c:pt>
                <c:pt idx="156">
                  <c:v>150.21</c:v>
                </c:pt>
                <c:pt idx="157">
                  <c:v>#N/A</c:v>
                </c:pt>
                <c:pt idx="158">
                  <c:v>#N/A</c:v>
                </c:pt>
                <c:pt idx="159">
                  <c:v>#N/A</c:v>
                </c:pt>
                <c:pt idx="160">
                  <c:v>149.63</c:v>
                </c:pt>
                <c:pt idx="161">
                  <c:v>149.34</c:v>
                </c:pt>
                <c:pt idx="162">
                  <c:v>149.13</c:v>
                </c:pt>
                <c:pt idx="163">
                  <c:v>148.61000000000001</c:v>
                </c:pt>
                <c:pt idx="164">
                  <c:v>148.54</c:v>
                </c:pt>
                <c:pt idx="165">
                  <c:v>#N/A</c:v>
                </c:pt>
                <c:pt idx="166">
                  <c:v>#N/A</c:v>
                </c:pt>
                <c:pt idx="167">
                  <c:v>148.65</c:v>
                </c:pt>
                <c:pt idx="168">
                  <c:v>148.63999999999999</c:v>
                </c:pt>
                <c:pt idx="169">
                  <c:v>148.62</c:v>
                </c:pt>
                <c:pt idx="170">
                  <c:v>148.13</c:v>
                </c:pt>
                <c:pt idx="171">
                  <c:v>148.03</c:v>
                </c:pt>
                <c:pt idx="172">
                  <c:v>#N/A</c:v>
                </c:pt>
                <c:pt idx="173">
                  <c:v>#N/A</c:v>
                </c:pt>
                <c:pt idx="174">
                  <c:v>147.75</c:v>
                </c:pt>
                <c:pt idx="175">
                  <c:v>147.44999999999999</c:v>
                </c:pt>
                <c:pt idx="176">
                  <c:v>147.46</c:v>
                </c:pt>
                <c:pt idx="177">
                  <c:v>147.33000000000001</c:v>
                </c:pt>
                <c:pt idx="178">
                  <c:v>146.99</c:v>
                </c:pt>
                <c:pt idx="179">
                  <c:v>#N/A</c:v>
                </c:pt>
                <c:pt idx="180">
                  <c:v>#N/A</c:v>
                </c:pt>
                <c:pt idx="181">
                  <c:v>146.87</c:v>
                </c:pt>
                <c:pt idx="182">
                  <c:v>146.84</c:v>
                </c:pt>
                <c:pt idx="183">
                  <c:v>146.80000000000001</c:v>
                </c:pt>
                <c:pt idx="184">
                  <c:v>146.87</c:v>
                </c:pt>
                <c:pt idx="185">
                  <c:v>146.86000000000001</c:v>
                </c:pt>
                <c:pt idx="186">
                  <c:v>#N/A</c:v>
                </c:pt>
                <c:pt idx="187">
                  <c:v>#N/A</c:v>
                </c:pt>
                <c:pt idx="188">
                  <c:v>146.69999999999999</c:v>
                </c:pt>
                <c:pt idx="189">
                  <c:v>146.38999999999999</c:v>
                </c:pt>
                <c:pt idx="190">
                  <c:v>146.35</c:v>
                </c:pt>
                <c:pt idx="191">
                  <c:v>146.1</c:v>
                </c:pt>
                <c:pt idx="192">
                  <c:v>145.56</c:v>
                </c:pt>
                <c:pt idx="193">
                  <c:v>#N/A</c:v>
                </c:pt>
                <c:pt idx="194">
                  <c:v>#N/A</c:v>
                </c:pt>
                <c:pt idx="195">
                  <c:v>145.41999999999999</c:v>
                </c:pt>
                <c:pt idx="196">
                  <c:v>145.28</c:v>
                </c:pt>
                <c:pt idx="197">
                  <c:v>145.15</c:v>
                </c:pt>
                <c:pt idx="198">
                  <c:v>145.13999999999999</c:v>
                </c:pt>
                <c:pt idx="199">
                  <c:v>144.76</c:v>
                </c:pt>
                <c:pt idx="200">
                  <c:v>#N/A</c:v>
                </c:pt>
                <c:pt idx="201">
                  <c:v>#N/A</c:v>
                </c:pt>
                <c:pt idx="202">
                  <c:v>144.69</c:v>
                </c:pt>
                <c:pt idx="203">
                  <c:v>144.55000000000001</c:v>
                </c:pt>
                <c:pt idx="204">
                  <c:v>144.58000000000001</c:v>
                </c:pt>
                <c:pt idx="205">
                  <c:v>144.51</c:v>
                </c:pt>
                <c:pt idx="206">
                  <c:v>144.37</c:v>
                </c:pt>
                <c:pt idx="207">
                  <c:v>#N/A</c:v>
                </c:pt>
                <c:pt idx="208">
                  <c:v>#N/A</c:v>
                </c:pt>
                <c:pt idx="209">
                  <c:v>144.46</c:v>
                </c:pt>
                <c:pt idx="210">
                  <c:v>144.41</c:v>
                </c:pt>
                <c:pt idx="211">
                  <c:v>144.25</c:v>
                </c:pt>
                <c:pt idx="212">
                  <c:v>144.25</c:v>
                </c:pt>
                <c:pt idx="213">
                  <c:v>144.22999999999999</c:v>
                </c:pt>
                <c:pt idx="214">
                  <c:v>#N/A</c:v>
                </c:pt>
                <c:pt idx="215">
                  <c:v>#N/A</c:v>
                </c:pt>
                <c:pt idx="216">
                  <c:v>144.1</c:v>
                </c:pt>
                <c:pt idx="217">
                  <c:v>144.1</c:v>
                </c:pt>
                <c:pt idx="218">
                  <c:v>143.91999999999999</c:v>
                </c:pt>
                <c:pt idx="219">
                  <c:v>143.96</c:v>
                </c:pt>
                <c:pt idx="220">
                  <c:v>143.91</c:v>
                </c:pt>
                <c:pt idx="221">
                  <c:v>#N/A</c:v>
                </c:pt>
                <c:pt idx="222">
                  <c:v>#N/A</c:v>
                </c:pt>
                <c:pt idx="223">
                  <c:v>143.86000000000001</c:v>
                </c:pt>
                <c:pt idx="224">
                  <c:v>143.81</c:v>
                </c:pt>
                <c:pt idx="225">
                  <c:v>143.72999999999999</c:v>
                </c:pt>
                <c:pt idx="226">
                  <c:v>143.71</c:v>
                </c:pt>
                <c:pt idx="227">
                  <c:v>143.65</c:v>
                </c:pt>
                <c:pt idx="228">
                  <c:v>#N/A</c:v>
                </c:pt>
                <c:pt idx="229">
                  <c:v>#N/A</c:v>
                </c:pt>
                <c:pt idx="230">
                  <c:v>143.81</c:v>
                </c:pt>
                <c:pt idx="231">
                  <c:v>143.88999999999999</c:v>
                </c:pt>
                <c:pt idx="232">
                  <c:v>144.06</c:v>
                </c:pt>
                <c:pt idx="233">
                  <c:v>144.04</c:v>
                </c:pt>
                <c:pt idx="234">
                  <c:v>144.07</c:v>
                </c:pt>
                <c:pt idx="235">
                  <c:v>#N/A</c:v>
                </c:pt>
                <c:pt idx="236">
                  <c:v>#N/A</c:v>
                </c:pt>
                <c:pt idx="237">
                  <c:v>144.6</c:v>
                </c:pt>
                <c:pt idx="238">
                  <c:v>144.97</c:v>
                </c:pt>
                <c:pt idx="239">
                  <c:v>145.01</c:v>
                </c:pt>
                <c:pt idx="240">
                  <c:v>145.4</c:v>
                </c:pt>
                <c:pt idx="241">
                  <c:v>145.63999999999999</c:v>
                </c:pt>
                <c:pt idx="242">
                  <c:v>#N/A</c:v>
                </c:pt>
                <c:pt idx="243">
                  <c:v>#N/A</c:v>
                </c:pt>
                <c:pt idx="244">
                  <c:v>146.08000000000001</c:v>
                </c:pt>
                <c:pt idx="245">
                  <c:v>146.16999999999999</c:v>
                </c:pt>
                <c:pt idx="246">
                  <c:v>146.16999999999999</c:v>
                </c:pt>
                <c:pt idx="247">
                  <c:v>146.07</c:v>
                </c:pt>
                <c:pt idx="248">
                  <c:v>146.19</c:v>
                </c:pt>
                <c:pt idx="249">
                  <c:v>#N/A</c:v>
                </c:pt>
                <c:pt idx="250">
                  <c:v>#N/A</c:v>
                </c:pt>
                <c:pt idx="251">
                  <c:v>146.57</c:v>
                </c:pt>
                <c:pt idx="252">
                  <c:v>146.62</c:v>
                </c:pt>
                <c:pt idx="253">
                  <c:v>146.71</c:v>
                </c:pt>
                <c:pt idx="254">
                  <c:v>146.65</c:v>
                </c:pt>
                <c:pt idx="255">
                  <c:v>#N/A</c:v>
                </c:pt>
                <c:pt idx="256">
                  <c:v>#N/A</c:v>
                </c:pt>
                <c:pt idx="257">
                  <c:v>#N/A</c:v>
                </c:pt>
                <c:pt idx="258">
                  <c:v>147</c:v>
                </c:pt>
                <c:pt idx="259">
                  <c:v>147.12</c:v>
                </c:pt>
                <c:pt idx="260">
                  <c:v>147.63999999999999</c:v>
                </c:pt>
                <c:pt idx="261">
                  <c:v>147.69</c:v>
                </c:pt>
                <c:pt idx="262">
                  <c:v>148.62</c:v>
                </c:pt>
                <c:pt idx="263">
                  <c:v>#N/A</c:v>
                </c:pt>
                <c:pt idx="264">
                  <c:v>#N/A</c:v>
                </c:pt>
                <c:pt idx="265">
                  <c:v>149.29</c:v>
                </c:pt>
                <c:pt idx="266">
                  <c:v>149.30000000000001</c:v>
                </c:pt>
                <c:pt idx="267">
                  <c:v>149.6</c:v>
                </c:pt>
                <c:pt idx="268">
                  <c:v>149.58000000000001</c:v>
                </c:pt>
                <c:pt idx="269">
                  <c:v>149.91</c:v>
                </c:pt>
                <c:pt idx="270">
                  <c:v>#N/A</c:v>
                </c:pt>
                <c:pt idx="271">
                  <c:v>#N/A</c:v>
                </c:pt>
                <c:pt idx="272">
                  <c:v>150.08000000000001</c:v>
                </c:pt>
                <c:pt idx="273">
                  <c:v>#N/A</c:v>
                </c:pt>
                <c:pt idx="274">
                  <c:v>#N/A</c:v>
                </c:pt>
                <c:pt idx="275">
                  <c:v>#N/A</c:v>
                </c:pt>
                <c:pt idx="276">
                  <c:v>#N/A</c:v>
                </c:pt>
                <c:pt idx="277">
                  <c:v>#N/A</c:v>
                </c:pt>
                <c:pt idx="278">
                  <c:v>#N/A</c:v>
                </c:pt>
                <c:pt idx="279">
                  <c:v>#N/A</c:v>
                </c:pt>
                <c:pt idx="280">
                  <c:v>150.53</c:v>
                </c:pt>
                <c:pt idx="281">
                  <c:v>150.69999999999999</c:v>
                </c:pt>
                <c:pt idx="282">
                  <c:v>150.74</c:v>
                </c:pt>
                <c:pt idx="283">
                  <c:v>151.22999999999999</c:v>
                </c:pt>
                <c:pt idx="284">
                  <c:v>#N/A</c:v>
                </c:pt>
                <c:pt idx="285">
                  <c:v>#N/A</c:v>
                </c:pt>
                <c:pt idx="286">
                  <c:v>151.13</c:v>
                </c:pt>
                <c:pt idx="287">
                  <c:v>151.13999999999999</c:v>
                </c:pt>
                <c:pt idx="288">
                  <c:v>151.47</c:v>
                </c:pt>
                <c:pt idx="289">
                  <c:v>151.56</c:v>
                </c:pt>
                <c:pt idx="290">
                  <c:v>151.44</c:v>
                </c:pt>
                <c:pt idx="291">
                  <c:v>#N/A</c:v>
                </c:pt>
                <c:pt idx="292">
                  <c:v>#N/A</c:v>
                </c:pt>
                <c:pt idx="293">
                  <c:v>151.46</c:v>
                </c:pt>
                <c:pt idx="294">
                  <c:v>151.71</c:v>
                </c:pt>
                <c:pt idx="295">
                  <c:v>151.9</c:v>
                </c:pt>
                <c:pt idx="296">
                  <c:v>151.91999999999999</c:v>
                </c:pt>
                <c:pt idx="297">
                  <c:v>151.97999999999999</c:v>
                </c:pt>
                <c:pt idx="298">
                  <c:v>#N/A</c:v>
                </c:pt>
                <c:pt idx="299">
                  <c:v>#N/A</c:v>
                </c:pt>
                <c:pt idx="300">
                  <c:v>152.04</c:v>
                </c:pt>
                <c:pt idx="301">
                  <c:v>152.79</c:v>
                </c:pt>
                <c:pt idx="302">
                  <c:v>152.84</c:v>
                </c:pt>
                <c:pt idx="303">
                  <c:v>153.01</c:v>
                </c:pt>
                <c:pt idx="304">
                  <c:v>153.46</c:v>
                </c:pt>
                <c:pt idx="305">
                  <c:v>#N/A</c:v>
                </c:pt>
                <c:pt idx="306">
                  <c:v>#N/A</c:v>
                </c:pt>
                <c:pt idx="307">
                  <c:v>153.97</c:v>
                </c:pt>
                <c:pt idx="308">
                  <c:v>154.38</c:v>
                </c:pt>
                <c:pt idx="309">
                  <c:v>154.71</c:v>
                </c:pt>
                <c:pt idx="310">
                  <c:v>155.13</c:v>
                </c:pt>
                <c:pt idx="311">
                  <c:v>155.78</c:v>
                </c:pt>
                <c:pt idx="312">
                  <c:v>#N/A</c:v>
                </c:pt>
                <c:pt idx="313">
                  <c:v>#N/A</c:v>
                </c:pt>
                <c:pt idx="314">
                  <c:v>156.93</c:v>
                </c:pt>
                <c:pt idx="315">
                  <c:v>157.09</c:v>
                </c:pt>
                <c:pt idx="316">
                  <c:v>157.61000000000001</c:v>
                </c:pt>
                <c:pt idx="317">
                  <c:v>158.09</c:v>
                </c:pt>
                <c:pt idx="318">
                  <c:v>159.01</c:v>
                </c:pt>
                <c:pt idx="319">
                  <c:v>#N/A</c:v>
                </c:pt>
                <c:pt idx="320">
                  <c:v>#N/A</c:v>
                </c:pt>
                <c:pt idx="321">
                  <c:v>160.22</c:v>
                </c:pt>
                <c:pt idx="322">
                  <c:v>161</c:v>
                </c:pt>
                <c:pt idx="323">
                  <c:v>161.77000000000001</c:v>
                </c:pt>
                <c:pt idx="324">
                  <c:v>162.05000000000001</c:v>
                </c:pt>
                <c:pt idx="325">
                  <c:v>162.41</c:v>
                </c:pt>
                <c:pt idx="326">
                  <c:v>#N/A</c:v>
                </c:pt>
                <c:pt idx="327">
                  <c:v>#N/A</c:v>
                </c:pt>
                <c:pt idx="328">
                  <c:v>163.15</c:v>
                </c:pt>
                <c:pt idx="329">
                  <c:v>163.21</c:v>
                </c:pt>
                <c:pt idx="330">
                  <c:v>163.89</c:v>
                </c:pt>
                <c:pt idx="331">
                  <c:v>163.9</c:v>
                </c:pt>
                <c:pt idx="332">
                  <c:v>163.91</c:v>
                </c:pt>
                <c:pt idx="333">
                  <c:v>#N/A</c:v>
                </c:pt>
                <c:pt idx="334">
                  <c:v>#N/A</c:v>
                </c:pt>
                <c:pt idx="335">
                  <c:v>164.82</c:v>
                </c:pt>
                <c:pt idx="336">
                  <c:v>164.94</c:v>
                </c:pt>
                <c:pt idx="337">
                  <c:v>165.11</c:v>
                </c:pt>
                <c:pt idx="338">
                  <c:v>165.55</c:v>
                </c:pt>
                <c:pt idx="339">
                  <c:v>165.67</c:v>
                </c:pt>
                <c:pt idx="340">
                  <c:v>#N/A</c:v>
                </c:pt>
                <c:pt idx="341">
                  <c:v>#N/A</c:v>
                </c:pt>
                <c:pt idx="342">
                  <c:v>165.76</c:v>
                </c:pt>
                <c:pt idx="343">
                  <c:v>165.73</c:v>
                </c:pt>
                <c:pt idx="344">
                  <c:v>165.81</c:v>
                </c:pt>
                <c:pt idx="345">
                  <c:v>166.13</c:v>
                </c:pt>
                <c:pt idx="346">
                  <c:v>166.06</c:v>
                </c:pt>
                <c:pt idx="347">
                  <c:v>#N/A</c:v>
                </c:pt>
                <c:pt idx="348">
                  <c:v>#N/A</c:v>
                </c:pt>
                <c:pt idx="349">
                  <c:v>166.26</c:v>
                </c:pt>
                <c:pt idx="350">
                  <c:v>166.33</c:v>
                </c:pt>
                <c:pt idx="351">
                  <c:v>166.28</c:v>
                </c:pt>
                <c:pt idx="352">
                  <c:v>166.43</c:v>
                </c:pt>
                <c:pt idx="353">
                  <c:v>166.46</c:v>
                </c:pt>
                <c:pt idx="354">
                  <c:v>#N/A</c:v>
                </c:pt>
                <c:pt idx="355">
                  <c:v>#N/A</c:v>
                </c:pt>
                <c:pt idx="356">
                  <c:v>166.45</c:v>
                </c:pt>
                <c:pt idx="357">
                  <c:v>166.44</c:v>
                </c:pt>
                <c:pt idx="358">
                  <c:v>166.39</c:v>
                </c:pt>
                <c:pt idx="359">
                  <c:v>166.4</c:v>
                </c:pt>
                <c:pt idx="360">
                  <c:v>166.44</c:v>
                </c:pt>
                <c:pt idx="361">
                  <c:v>#N/A</c:v>
                </c:pt>
                <c:pt idx="362">
                  <c:v>#N/A</c:v>
                </c:pt>
                <c:pt idx="363">
                  <c:v>166.44</c:v>
                </c:pt>
                <c:pt idx="364">
                  <c:v>166.44</c:v>
                </c:pt>
              </c:numCache>
            </c:numRef>
          </c:val>
          <c:smooth val="1"/>
          <c:extLst xmlns:c16r2="http://schemas.microsoft.com/office/drawing/2015/06/chart">
            <c:ext xmlns:c16="http://schemas.microsoft.com/office/drawing/2014/chart" uri="{C3380CC4-5D6E-409C-BE32-E72D297353CC}">
              <c16:uniqueId val="{00000000-5FE3-4DF4-BC39-45BDB29B5671}"/>
            </c:ext>
          </c:extLst>
        </c:ser>
        <c:ser>
          <c:idx val="2"/>
          <c:order val="1"/>
          <c:tx>
            <c:strRef>
              <c:f>水泥!$I$1</c:f>
              <c:strCache>
                <c:ptCount val="1"/>
                <c:pt idx="0">
                  <c:v>2020</c:v>
                </c:pt>
              </c:strCache>
            </c:strRef>
          </c:tx>
          <c:spPr>
            <a:ln w="28575">
              <a:solidFill>
                <a:srgbClr val="F8CBAD"/>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水泥!$I$2:$I$366</c:f>
              <c:numCache>
                <c:formatCode>General</c:formatCode>
                <c:ptCount val="365"/>
                <c:pt idx="0">
                  <c:v>#N/A</c:v>
                </c:pt>
                <c:pt idx="1">
                  <c:v>166.36</c:v>
                </c:pt>
                <c:pt idx="2">
                  <c:v>165.91</c:v>
                </c:pt>
                <c:pt idx="3">
                  <c:v>#N/A</c:v>
                </c:pt>
                <c:pt idx="4">
                  <c:v>#N/A</c:v>
                </c:pt>
                <c:pt idx="5">
                  <c:v>165.96</c:v>
                </c:pt>
                <c:pt idx="6">
                  <c:v>165.81</c:v>
                </c:pt>
                <c:pt idx="7">
                  <c:v>165.67</c:v>
                </c:pt>
                <c:pt idx="8">
                  <c:v>165.57</c:v>
                </c:pt>
                <c:pt idx="9">
                  <c:v>165.36</c:v>
                </c:pt>
                <c:pt idx="10">
                  <c:v>#N/A</c:v>
                </c:pt>
                <c:pt idx="11">
                  <c:v>#N/A</c:v>
                </c:pt>
                <c:pt idx="12">
                  <c:v>164.76</c:v>
                </c:pt>
                <c:pt idx="13">
                  <c:v>164.3</c:v>
                </c:pt>
                <c:pt idx="14">
                  <c:v>164.19</c:v>
                </c:pt>
                <c:pt idx="15">
                  <c:v>164.06</c:v>
                </c:pt>
                <c:pt idx="16">
                  <c:v>164.05</c:v>
                </c:pt>
                <c:pt idx="17">
                  <c:v>#N/A</c:v>
                </c:pt>
                <c:pt idx="18">
                  <c:v>#N/A</c:v>
                </c:pt>
                <c:pt idx="19">
                  <c:v>162.75</c:v>
                </c:pt>
                <c:pt idx="20">
                  <c:v>162.72</c:v>
                </c:pt>
                <c:pt idx="21">
                  <c:v>#N/A</c:v>
                </c:pt>
                <c:pt idx="22">
                  <c:v>#N/A</c:v>
                </c:pt>
                <c:pt idx="23">
                  <c:v>#N/A</c:v>
                </c:pt>
                <c:pt idx="24">
                  <c:v>#N/A</c:v>
                </c:pt>
                <c:pt idx="25">
                  <c:v>#N/A</c:v>
                </c:pt>
                <c:pt idx="26">
                  <c:v>#N/A</c:v>
                </c:pt>
                <c:pt idx="27">
                  <c:v>#N/A</c:v>
                </c:pt>
                <c:pt idx="28">
                  <c:v>#N/A</c:v>
                </c:pt>
                <c:pt idx="29">
                  <c:v>#N/A</c:v>
                </c:pt>
                <c:pt idx="30">
                  <c:v>#N/A</c:v>
                </c:pt>
                <c:pt idx="31">
                  <c:v>#N/A</c:v>
                </c:pt>
                <c:pt idx="32">
                  <c:v>#N/A</c:v>
                </c:pt>
                <c:pt idx="33">
                  <c:v>#N/A</c:v>
                </c:pt>
                <c:pt idx="34">
                  <c:v>#N/A</c:v>
                </c:pt>
                <c:pt idx="35">
                  <c:v>#N/A</c:v>
                </c:pt>
                <c:pt idx="36">
                  <c:v>162.31</c:v>
                </c:pt>
                <c:pt idx="37">
                  <c:v>162.31</c:v>
                </c:pt>
                <c:pt idx="38">
                  <c:v>#N/A</c:v>
                </c:pt>
                <c:pt idx="39">
                  <c:v>#N/A</c:v>
                </c:pt>
                <c:pt idx="40">
                  <c:v>162.26</c:v>
                </c:pt>
                <c:pt idx="41">
                  <c:v>161.97999999999999</c:v>
                </c:pt>
                <c:pt idx="42">
                  <c:v>161.51</c:v>
                </c:pt>
                <c:pt idx="43">
                  <c:v>161.51</c:v>
                </c:pt>
                <c:pt idx="44">
                  <c:v>161.53</c:v>
                </c:pt>
                <c:pt idx="45">
                  <c:v>#N/A</c:v>
                </c:pt>
                <c:pt idx="46">
                  <c:v>#N/A</c:v>
                </c:pt>
                <c:pt idx="47">
                  <c:v>160.22</c:v>
                </c:pt>
                <c:pt idx="48">
                  <c:v>159.81</c:v>
                </c:pt>
                <c:pt idx="49">
                  <c:v>159.71</c:v>
                </c:pt>
                <c:pt idx="50">
                  <c:v>159.71</c:v>
                </c:pt>
                <c:pt idx="51">
                  <c:v>159.69999999999999</c:v>
                </c:pt>
                <c:pt idx="52">
                  <c:v>#N/A</c:v>
                </c:pt>
                <c:pt idx="53">
                  <c:v>#N/A</c:v>
                </c:pt>
                <c:pt idx="54">
                  <c:v>158.32</c:v>
                </c:pt>
                <c:pt idx="55">
                  <c:v>158.21</c:v>
                </c:pt>
                <c:pt idx="56">
                  <c:v>157.66</c:v>
                </c:pt>
                <c:pt idx="57">
                  <c:v>157.53</c:v>
                </c:pt>
                <c:pt idx="58">
                  <c:v>157.43</c:v>
                </c:pt>
                <c:pt idx="59">
                  <c:v>#N/A</c:v>
                </c:pt>
                <c:pt idx="60">
                  <c:v>#N/A</c:v>
                </c:pt>
                <c:pt idx="61">
                  <c:v>156.99</c:v>
                </c:pt>
                <c:pt idx="62">
                  <c:v>156.97</c:v>
                </c:pt>
                <c:pt idx="63">
                  <c:v>156.76</c:v>
                </c:pt>
                <c:pt idx="64">
                  <c:v>156.5</c:v>
                </c:pt>
                <c:pt idx="65">
                  <c:v>156.09</c:v>
                </c:pt>
                <c:pt idx="66">
                  <c:v>#N/A</c:v>
                </c:pt>
                <c:pt idx="67">
                  <c:v>#N/A</c:v>
                </c:pt>
                <c:pt idx="68">
                  <c:v>154.65</c:v>
                </c:pt>
                <c:pt idx="69">
                  <c:v>153.88</c:v>
                </c:pt>
                <c:pt idx="70">
                  <c:v>153.74</c:v>
                </c:pt>
                <c:pt idx="71">
                  <c:v>153.47</c:v>
                </c:pt>
                <c:pt idx="72">
                  <c:v>153.19999999999999</c:v>
                </c:pt>
                <c:pt idx="73">
                  <c:v>#N/A</c:v>
                </c:pt>
                <c:pt idx="74">
                  <c:v>#N/A</c:v>
                </c:pt>
                <c:pt idx="75">
                  <c:v>151.91</c:v>
                </c:pt>
                <c:pt idx="76">
                  <c:v>151.27000000000001</c:v>
                </c:pt>
                <c:pt idx="77">
                  <c:v>151.12</c:v>
                </c:pt>
                <c:pt idx="78">
                  <c:v>150.96</c:v>
                </c:pt>
                <c:pt idx="79">
                  <c:v>150.11000000000001</c:v>
                </c:pt>
                <c:pt idx="80">
                  <c:v>#N/A</c:v>
                </c:pt>
                <c:pt idx="81">
                  <c:v>#N/A</c:v>
                </c:pt>
                <c:pt idx="82">
                  <c:v>149.63</c:v>
                </c:pt>
                <c:pt idx="83">
                  <c:v>149.30000000000001</c:v>
                </c:pt>
                <c:pt idx="84">
                  <c:v>149.02000000000001</c:v>
                </c:pt>
                <c:pt idx="85">
                  <c:v>148.88</c:v>
                </c:pt>
                <c:pt idx="86">
                  <c:v>148.61000000000001</c:v>
                </c:pt>
                <c:pt idx="87">
                  <c:v>#N/A</c:v>
                </c:pt>
                <c:pt idx="88">
                  <c:v>#N/A</c:v>
                </c:pt>
                <c:pt idx="89">
                  <c:v>148.66</c:v>
                </c:pt>
                <c:pt idx="90">
                  <c:v>148.51</c:v>
                </c:pt>
                <c:pt idx="91">
                  <c:v>148.32</c:v>
                </c:pt>
                <c:pt idx="92">
                  <c:v>148.19</c:v>
                </c:pt>
                <c:pt idx="93">
                  <c:v>147.4</c:v>
                </c:pt>
                <c:pt idx="94">
                  <c:v>#N/A</c:v>
                </c:pt>
                <c:pt idx="95">
                  <c:v>#N/A</c:v>
                </c:pt>
                <c:pt idx="96">
                  <c:v>#N/A</c:v>
                </c:pt>
                <c:pt idx="97">
                  <c:v>147.13999999999999</c:v>
                </c:pt>
                <c:pt idx="98">
                  <c:v>146.97999999999999</c:v>
                </c:pt>
                <c:pt idx="99">
                  <c:v>146.84</c:v>
                </c:pt>
                <c:pt idx="100">
                  <c:v>146.43</c:v>
                </c:pt>
                <c:pt idx="101">
                  <c:v>#N/A</c:v>
                </c:pt>
                <c:pt idx="102">
                  <c:v>#N/A</c:v>
                </c:pt>
                <c:pt idx="103">
                  <c:v>146.24</c:v>
                </c:pt>
                <c:pt idx="104">
                  <c:v>146.19999999999999</c:v>
                </c:pt>
                <c:pt idx="105">
                  <c:v>146.19</c:v>
                </c:pt>
                <c:pt idx="106">
                  <c:v>146.24</c:v>
                </c:pt>
                <c:pt idx="107">
                  <c:v>146.08000000000001</c:v>
                </c:pt>
                <c:pt idx="108">
                  <c:v>#N/A</c:v>
                </c:pt>
                <c:pt idx="109">
                  <c:v>#N/A</c:v>
                </c:pt>
                <c:pt idx="110">
                  <c:v>146.08000000000001</c:v>
                </c:pt>
                <c:pt idx="111">
                  <c:v>146.03</c:v>
                </c:pt>
                <c:pt idx="112">
                  <c:v>145.78</c:v>
                </c:pt>
                <c:pt idx="113">
                  <c:v>145.94</c:v>
                </c:pt>
                <c:pt idx="114">
                  <c:v>145.91</c:v>
                </c:pt>
                <c:pt idx="115">
                  <c:v>#N/A</c:v>
                </c:pt>
                <c:pt idx="116">
                  <c:v>#N/A</c:v>
                </c:pt>
                <c:pt idx="117">
                  <c:v>146.43</c:v>
                </c:pt>
                <c:pt idx="118">
                  <c:v>146.46</c:v>
                </c:pt>
                <c:pt idx="119">
                  <c:v>146.41999999999999</c:v>
                </c:pt>
                <c:pt idx="120">
                  <c:v>146.31</c:v>
                </c:pt>
                <c:pt idx="121">
                  <c:v>#N/A</c:v>
                </c:pt>
                <c:pt idx="122">
                  <c:v>#N/A</c:v>
                </c:pt>
                <c:pt idx="123">
                  <c:v>#N/A</c:v>
                </c:pt>
                <c:pt idx="124">
                  <c:v>#N/A</c:v>
                </c:pt>
                <c:pt idx="125">
                  <c:v>#N/A</c:v>
                </c:pt>
                <c:pt idx="126">
                  <c:v>146.62</c:v>
                </c:pt>
                <c:pt idx="127">
                  <c:v>146.66</c:v>
                </c:pt>
                <c:pt idx="128">
                  <c:v>146.74</c:v>
                </c:pt>
                <c:pt idx="129">
                  <c:v>#N/A</c:v>
                </c:pt>
                <c:pt idx="130">
                  <c:v>#N/A</c:v>
                </c:pt>
                <c:pt idx="131">
                  <c:v>147.51</c:v>
                </c:pt>
                <c:pt idx="132">
                  <c:v>147.59</c:v>
                </c:pt>
                <c:pt idx="133">
                  <c:v>147.51</c:v>
                </c:pt>
                <c:pt idx="134">
                  <c:v>147.58000000000001</c:v>
                </c:pt>
                <c:pt idx="135">
                  <c:v>147.56</c:v>
                </c:pt>
                <c:pt idx="136">
                  <c:v>#N/A</c:v>
                </c:pt>
                <c:pt idx="137">
                  <c:v>#N/A</c:v>
                </c:pt>
                <c:pt idx="138">
                  <c:v>147.97999999999999</c:v>
                </c:pt>
                <c:pt idx="139">
                  <c:v>147.97999999999999</c:v>
                </c:pt>
                <c:pt idx="140">
                  <c:v>147.97999999999999</c:v>
                </c:pt>
                <c:pt idx="141">
                  <c:v>147.93</c:v>
                </c:pt>
                <c:pt idx="142">
                  <c:v>148.37</c:v>
                </c:pt>
                <c:pt idx="143">
                  <c:v>#N/A</c:v>
                </c:pt>
                <c:pt idx="144">
                  <c:v>#N/A</c:v>
                </c:pt>
                <c:pt idx="145">
                  <c:v>148.52000000000001</c:v>
                </c:pt>
                <c:pt idx="146">
                  <c:v>148.59</c:v>
                </c:pt>
                <c:pt idx="147">
                  <c:v>148.72999999999999</c:v>
                </c:pt>
                <c:pt idx="148">
                  <c:v>148.72999999999999</c:v>
                </c:pt>
                <c:pt idx="149">
                  <c:v>148.63999999999999</c:v>
                </c:pt>
                <c:pt idx="150">
                  <c:v>#N/A</c:v>
                </c:pt>
                <c:pt idx="151">
                  <c:v>#N/A</c:v>
                </c:pt>
                <c:pt idx="152">
                  <c:v>148.5</c:v>
                </c:pt>
                <c:pt idx="153">
                  <c:v>148.43</c:v>
                </c:pt>
                <c:pt idx="154">
                  <c:v>148.12</c:v>
                </c:pt>
                <c:pt idx="155">
                  <c:v>148.07</c:v>
                </c:pt>
                <c:pt idx="156">
                  <c:v>148.02000000000001</c:v>
                </c:pt>
                <c:pt idx="157">
                  <c:v>#N/A</c:v>
                </c:pt>
                <c:pt idx="158">
                  <c:v>#N/A</c:v>
                </c:pt>
                <c:pt idx="159">
                  <c:v>147.88</c:v>
                </c:pt>
                <c:pt idx="160">
                  <c:v>147.85</c:v>
                </c:pt>
                <c:pt idx="161">
                  <c:v>147.68</c:v>
                </c:pt>
                <c:pt idx="162">
                  <c:v>146.65</c:v>
                </c:pt>
                <c:pt idx="163">
                  <c:v>145.38999999999999</c:v>
                </c:pt>
                <c:pt idx="164">
                  <c:v>#N/A</c:v>
                </c:pt>
                <c:pt idx="165">
                  <c:v>#N/A</c:v>
                </c:pt>
                <c:pt idx="166">
                  <c:v>145.38999999999999</c:v>
                </c:pt>
                <c:pt idx="167">
                  <c:v>145.37</c:v>
                </c:pt>
                <c:pt idx="168">
                  <c:v>145.35</c:v>
                </c:pt>
                <c:pt idx="169">
                  <c:v>145.41999999999999</c:v>
                </c:pt>
                <c:pt idx="170">
                  <c:v>145.32</c:v>
                </c:pt>
                <c:pt idx="171">
                  <c:v>#N/A</c:v>
                </c:pt>
                <c:pt idx="172">
                  <c:v>#N/A</c:v>
                </c:pt>
                <c:pt idx="173">
                  <c:v>144.08000000000001</c:v>
                </c:pt>
                <c:pt idx="174">
                  <c:v>143.6</c:v>
                </c:pt>
                <c:pt idx="175">
                  <c:v>143.05000000000001</c:v>
                </c:pt>
                <c:pt idx="176">
                  <c:v>#N/A</c:v>
                </c:pt>
                <c:pt idx="177">
                  <c:v>#N/A</c:v>
                </c:pt>
                <c:pt idx="178">
                  <c:v>#N/A</c:v>
                </c:pt>
                <c:pt idx="179">
                  <c:v>#N/A</c:v>
                </c:pt>
                <c:pt idx="180">
                  <c:v>141.94999999999999</c:v>
                </c:pt>
                <c:pt idx="181">
                  <c:v>141.75</c:v>
                </c:pt>
                <c:pt idx="182">
                  <c:v>140.97</c:v>
                </c:pt>
                <c:pt idx="183">
                  <c:v>140.71</c:v>
                </c:pt>
                <c:pt idx="184">
                  <c:v>139.80000000000001</c:v>
                </c:pt>
                <c:pt idx="185">
                  <c:v>#N/A</c:v>
                </c:pt>
                <c:pt idx="186">
                  <c:v>#N/A</c:v>
                </c:pt>
                <c:pt idx="187">
                  <c:v>139.30000000000001</c:v>
                </c:pt>
                <c:pt idx="188">
                  <c:v>139.27000000000001</c:v>
                </c:pt>
                <c:pt idx="189">
                  <c:v>138.56</c:v>
                </c:pt>
                <c:pt idx="190">
                  <c:v>138.13</c:v>
                </c:pt>
                <c:pt idx="191">
                  <c:v>137.97999999999999</c:v>
                </c:pt>
                <c:pt idx="192">
                  <c:v>#N/A</c:v>
                </c:pt>
                <c:pt idx="193">
                  <c:v>#N/A</c:v>
                </c:pt>
                <c:pt idx="194">
                  <c:v>137.77000000000001</c:v>
                </c:pt>
                <c:pt idx="195">
                  <c:v>137.58000000000001</c:v>
                </c:pt>
                <c:pt idx="196">
                  <c:v>137.51</c:v>
                </c:pt>
                <c:pt idx="197">
                  <c:v>137.21</c:v>
                </c:pt>
                <c:pt idx="198">
                  <c:v>137.22</c:v>
                </c:pt>
                <c:pt idx="199">
                  <c:v>#N/A</c:v>
                </c:pt>
                <c:pt idx="200">
                  <c:v>#N/A</c:v>
                </c:pt>
                <c:pt idx="201">
                  <c:v>137.04</c:v>
                </c:pt>
                <c:pt idx="202">
                  <c:v>136.91999999999999</c:v>
                </c:pt>
                <c:pt idx="203">
                  <c:v>136.88999999999999</c:v>
                </c:pt>
                <c:pt idx="204">
                  <c:v>136.31</c:v>
                </c:pt>
                <c:pt idx="205">
                  <c:v>136.22</c:v>
                </c:pt>
                <c:pt idx="206">
                  <c:v>#N/A</c:v>
                </c:pt>
                <c:pt idx="207">
                  <c:v>#N/A</c:v>
                </c:pt>
                <c:pt idx="208">
                  <c:v>136.37</c:v>
                </c:pt>
                <c:pt idx="209">
                  <c:v>136.22999999999999</c:v>
                </c:pt>
                <c:pt idx="210">
                  <c:v>136.22999999999999</c:v>
                </c:pt>
                <c:pt idx="211">
                  <c:v>135.96</c:v>
                </c:pt>
                <c:pt idx="212">
                  <c:v>135.94999999999999</c:v>
                </c:pt>
                <c:pt idx="213">
                  <c:v>#N/A</c:v>
                </c:pt>
                <c:pt idx="214">
                  <c:v>#N/A</c:v>
                </c:pt>
                <c:pt idx="215">
                  <c:v>136</c:v>
                </c:pt>
                <c:pt idx="216">
                  <c:v>136.77000000000001</c:v>
                </c:pt>
                <c:pt idx="217">
                  <c:v>137.44999999999999</c:v>
                </c:pt>
                <c:pt idx="218">
                  <c:v>137.86000000000001</c:v>
                </c:pt>
                <c:pt idx="219">
                  <c:v>138.07</c:v>
                </c:pt>
                <c:pt idx="220">
                  <c:v>#N/A</c:v>
                </c:pt>
                <c:pt idx="221">
                  <c:v>#N/A</c:v>
                </c:pt>
                <c:pt idx="222">
                  <c:v>138.15</c:v>
                </c:pt>
                <c:pt idx="223">
                  <c:v>137.94</c:v>
                </c:pt>
                <c:pt idx="224">
                  <c:v>137.9</c:v>
                </c:pt>
                <c:pt idx="225">
                  <c:v>137.94</c:v>
                </c:pt>
                <c:pt idx="226">
                  <c:v>137.75</c:v>
                </c:pt>
                <c:pt idx="227">
                  <c:v>#N/A</c:v>
                </c:pt>
                <c:pt idx="228">
                  <c:v>#N/A</c:v>
                </c:pt>
                <c:pt idx="229">
                  <c:v>137.65</c:v>
                </c:pt>
                <c:pt idx="230">
                  <c:v>138.16</c:v>
                </c:pt>
                <c:pt idx="231">
                  <c:v>138.26</c:v>
                </c:pt>
                <c:pt idx="232">
                  <c:v>138.74</c:v>
                </c:pt>
                <c:pt idx="233">
                  <c:v>138.51</c:v>
                </c:pt>
                <c:pt idx="234">
                  <c:v>#N/A</c:v>
                </c:pt>
                <c:pt idx="235">
                  <c:v>#N/A</c:v>
                </c:pt>
                <c:pt idx="236">
                  <c:v>139.32</c:v>
                </c:pt>
                <c:pt idx="237">
                  <c:v>139.58000000000001</c:v>
                </c:pt>
                <c:pt idx="238">
                  <c:v>139.66</c:v>
                </c:pt>
                <c:pt idx="239">
                  <c:v>140.33000000000001</c:v>
                </c:pt>
                <c:pt idx="240">
                  <c:v>140.6</c:v>
                </c:pt>
                <c:pt idx="241">
                  <c:v>#N/A</c:v>
                </c:pt>
                <c:pt idx="242">
                  <c:v>#N/A</c:v>
                </c:pt>
                <c:pt idx="243">
                  <c:v>140.56</c:v>
                </c:pt>
                <c:pt idx="244">
                  <c:v>140.6</c:v>
                </c:pt>
                <c:pt idx="245">
                  <c:v>140.58000000000001</c:v>
                </c:pt>
                <c:pt idx="246">
                  <c:v>140.99</c:v>
                </c:pt>
                <c:pt idx="247">
                  <c:v>141.08000000000001</c:v>
                </c:pt>
                <c:pt idx="248">
                  <c:v>#N/A</c:v>
                </c:pt>
                <c:pt idx="249">
                  <c:v>#N/A</c:v>
                </c:pt>
                <c:pt idx="250">
                  <c:v>141.36000000000001</c:v>
                </c:pt>
                <c:pt idx="251">
                  <c:v>141.36000000000001</c:v>
                </c:pt>
                <c:pt idx="252">
                  <c:v>141.54</c:v>
                </c:pt>
                <c:pt idx="253">
                  <c:v>142.05000000000001</c:v>
                </c:pt>
                <c:pt idx="254">
                  <c:v>142.6</c:v>
                </c:pt>
                <c:pt idx="255">
                  <c:v>#N/A</c:v>
                </c:pt>
                <c:pt idx="256">
                  <c:v>#N/A</c:v>
                </c:pt>
                <c:pt idx="257">
                  <c:v>143.03</c:v>
                </c:pt>
                <c:pt idx="258">
                  <c:v>142.56</c:v>
                </c:pt>
                <c:pt idx="259">
                  <c:v>144.1</c:v>
                </c:pt>
                <c:pt idx="260">
                  <c:v>144.5</c:v>
                </c:pt>
                <c:pt idx="261">
                  <c:v>144.5</c:v>
                </c:pt>
                <c:pt idx="262">
                  <c:v>#N/A</c:v>
                </c:pt>
                <c:pt idx="263">
                  <c:v>#N/A</c:v>
                </c:pt>
                <c:pt idx="264">
                  <c:v>144.74</c:v>
                </c:pt>
                <c:pt idx="265">
                  <c:v>144.58000000000001</c:v>
                </c:pt>
                <c:pt idx="266">
                  <c:v>144.57</c:v>
                </c:pt>
                <c:pt idx="267">
                  <c:v>144.54</c:v>
                </c:pt>
                <c:pt idx="268">
                  <c:v>145.77000000000001</c:v>
                </c:pt>
                <c:pt idx="269">
                  <c:v>#N/A</c:v>
                </c:pt>
                <c:pt idx="270">
                  <c:v>#N/A</c:v>
                </c:pt>
                <c:pt idx="271">
                  <c:v>146.36000000000001</c:v>
                </c:pt>
                <c:pt idx="272">
                  <c:v>146.33000000000001</c:v>
                </c:pt>
                <c:pt idx="273">
                  <c:v>146.33000000000001</c:v>
                </c:pt>
                <c:pt idx="274">
                  <c:v>#N/A</c:v>
                </c:pt>
                <c:pt idx="275">
                  <c:v>#N/A</c:v>
                </c:pt>
                <c:pt idx="276">
                  <c:v>#N/A</c:v>
                </c:pt>
                <c:pt idx="277">
                  <c:v>#N/A</c:v>
                </c:pt>
                <c:pt idx="278">
                  <c:v>#N/A</c:v>
                </c:pt>
                <c:pt idx="279">
                  <c:v>#N/A</c:v>
                </c:pt>
                <c:pt idx="280">
                  <c:v>#N/A</c:v>
                </c:pt>
                <c:pt idx="281">
                  <c:v>#N/A</c:v>
                </c:pt>
                <c:pt idx="282">
                  <c:v>146.38</c:v>
                </c:pt>
                <c:pt idx="283">
                  <c:v>#N/A</c:v>
                </c:pt>
                <c:pt idx="284">
                  <c:v>#N/A</c:v>
                </c:pt>
                <c:pt idx="285">
                  <c:v>147.03</c:v>
                </c:pt>
                <c:pt idx="286">
                  <c:v>147.41</c:v>
                </c:pt>
                <c:pt idx="287">
                  <c:v>147.85</c:v>
                </c:pt>
                <c:pt idx="288">
                  <c:v>148.77000000000001</c:v>
                </c:pt>
                <c:pt idx="289">
                  <c:v>149.19</c:v>
                </c:pt>
                <c:pt idx="290">
                  <c:v>#N/A</c:v>
                </c:pt>
                <c:pt idx="291">
                  <c:v>#N/A</c:v>
                </c:pt>
                <c:pt idx="292">
                  <c:v>150.55000000000001</c:v>
                </c:pt>
                <c:pt idx="293">
                  <c:v>150.56</c:v>
                </c:pt>
                <c:pt idx="294">
                  <c:v>150.51</c:v>
                </c:pt>
                <c:pt idx="295">
                  <c:v>150.4</c:v>
                </c:pt>
                <c:pt idx="296">
                  <c:v>150.41</c:v>
                </c:pt>
                <c:pt idx="297">
                  <c:v>#N/A</c:v>
                </c:pt>
                <c:pt idx="298">
                  <c:v>#N/A</c:v>
                </c:pt>
                <c:pt idx="299">
                  <c:v>150.63999999999999</c:v>
                </c:pt>
                <c:pt idx="300">
                  <c:v>150.51</c:v>
                </c:pt>
                <c:pt idx="301">
                  <c:v>150.52000000000001</c:v>
                </c:pt>
                <c:pt idx="302">
                  <c:v>150.71</c:v>
                </c:pt>
                <c:pt idx="303">
                  <c:v>150.88</c:v>
                </c:pt>
                <c:pt idx="304">
                  <c:v>#N/A</c:v>
                </c:pt>
                <c:pt idx="305">
                  <c:v>#N/A</c:v>
                </c:pt>
                <c:pt idx="306">
                  <c:v>151.57</c:v>
                </c:pt>
                <c:pt idx="307">
                  <c:v>151.69</c:v>
                </c:pt>
                <c:pt idx="308">
                  <c:v>151.85</c:v>
                </c:pt>
                <c:pt idx="309">
                  <c:v>151.9</c:v>
                </c:pt>
                <c:pt idx="310">
                  <c:v>152.11000000000001</c:v>
                </c:pt>
                <c:pt idx="311">
                  <c:v>#N/A</c:v>
                </c:pt>
                <c:pt idx="312">
                  <c:v>#N/A</c:v>
                </c:pt>
                <c:pt idx="313">
                  <c:v>152.5</c:v>
                </c:pt>
                <c:pt idx="314">
                  <c:v>152.56</c:v>
                </c:pt>
                <c:pt idx="315">
                  <c:v>152.85</c:v>
                </c:pt>
                <c:pt idx="316">
                  <c:v>153.11000000000001</c:v>
                </c:pt>
                <c:pt idx="317">
                  <c:v>153.12</c:v>
                </c:pt>
                <c:pt idx="318">
                  <c:v>#N/A</c:v>
                </c:pt>
                <c:pt idx="319">
                  <c:v>#N/A</c:v>
                </c:pt>
                <c:pt idx="320">
                  <c:v>153.74</c:v>
                </c:pt>
                <c:pt idx="321">
                  <c:v>153.93</c:v>
                </c:pt>
                <c:pt idx="322">
                  <c:v>153.88</c:v>
                </c:pt>
                <c:pt idx="323">
                  <c:v>154.21</c:v>
                </c:pt>
                <c:pt idx="324">
                  <c:v>154.66999999999999</c:v>
                </c:pt>
                <c:pt idx="325">
                  <c:v>#N/A</c:v>
                </c:pt>
                <c:pt idx="326">
                  <c:v>#N/A</c:v>
                </c:pt>
                <c:pt idx="327">
                  <c:v>154.83000000000001</c:v>
                </c:pt>
                <c:pt idx="328">
                  <c:v>154.82</c:v>
                </c:pt>
                <c:pt idx="329">
                  <c:v>154.83000000000001</c:v>
                </c:pt>
                <c:pt idx="330">
                  <c:v>154.88</c:v>
                </c:pt>
                <c:pt idx="331">
                  <c:v>154.79</c:v>
                </c:pt>
                <c:pt idx="332">
                  <c:v>#N/A</c:v>
                </c:pt>
                <c:pt idx="333">
                  <c:v>#N/A</c:v>
                </c:pt>
                <c:pt idx="334">
                  <c:v>154.80000000000001</c:v>
                </c:pt>
                <c:pt idx="335">
                  <c:v>154.94999999999999</c:v>
                </c:pt>
                <c:pt idx="336">
                  <c:v>154.9</c:v>
                </c:pt>
                <c:pt idx="337">
                  <c:v>154.88</c:v>
                </c:pt>
                <c:pt idx="338">
                  <c:v>154.99</c:v>
                </c:pt>
                <c:pt idx="339">
                  <c:v>#N/A</c:v>
                </c:pt>
                <c:pt idx="340">
                  <c:v>#N/A</c:v>
                </c:pt>
                <c:pt idx="341">
                  <c:v>154.96</c:v>
                </c:pt>
                <c:pt idx="342">
                  <c:v>155.04</c:v>
                </c:pt>
                <c:pt idx="343">
                  <c:v>155.04</c:v>
                </c:pt>
                <c:pt idx="344">
                  <c:v>155.02000000000001</c:v>
                </c:pt>
                <c:pt idx="345">
                  <c:v>155.02000000000001</c:v>
                </c:pt>
                <c:pt idx="346">
                  <c:v>#N/A</c:v>
                </c:pt>
                <c:pt idx="347">
                  <c:v>#N/A</c:v>
                </c:pt>
                <c:pt idx="348">
                  <c:v>155.05000000000001</c:v>
                </c:pt>
                <c:pt idx="349">
                  <c:v>155.11000000000001</c:v>
                </c:pt>
                <c:pt idx="350">
                  <c:v>155.31</c:v>
                </c:pt>
                <c:pt idx="351">
                  <c:v>155.26</c:v>
                </c:pt>
                <c:pt idx="352">
                  <c:v>155.27000000000001</c:v>
                </c:pt>
                <c:pt idx="353">
                  <c:v>#N/A</c:v>
                </c:pt>
                <c:pt idx="354">
                  <c:v>#N/A</c:v>
                </c:pt>
                <c:pt idx="355">
                  <c:v>155.19</c:v>
                </c:pt>
                <c:pt idx="356">
                  <c:v>155.05000000000001</c:v>
                </c:pt>
                <c:pt idx="357">
                  <c:v>155.07</c:v>
                </c:pt>
                <c:pt idx="358">
                  <c:v>154.99</c:v>
                </c:pt>
                <c:pt idx="359">
                  <c:v>154.9</c:v>
                </c:pt>
                <c:pt idx="360">
                  <c:v>#N/A</c:v>
                </c:pt>
                <c:pt idx="361">
                  <c:v>#N/A</c:v>
                </c:pt>
                <c:pt idx="362">
                  <c:v>154.72</c:v>
                </c:pt>
                <c:pt idx="363">
                  <c:v>154.65</c:v>
                </c:pt>
                <c:pt idx="364">
                  <c:v>154.6</c:v>
                </c:pt>
              </c:numCache>
            </c:numRef>
          </c:val>
          <c:smooth val="1"/>
          <c:extLst xmlns:c16r2="http://schemas.microsoft.com/office/drawing/2015/06/chart">
            <c:ext xmlns:c16="http://schemas.microsoft.com/office/drawing/2014/chart" uri="{C3380CC4-5D6E-409C-BE32-E72D297353CC}">
              <c16:uniqueId val="{00000001-5FE3-4DF4-BC39-45BDB29B5671}"/>
            </c:ext>
          </c:extLst>
        </c:ser>
        <c:ser>
          <c:idx val="1"/>
          <c:order val="2"/>
          <c:tx>
            <c:strRef>
              <c:f>水泥!$J$1</c:f>
              <c:strCache>
                <c:ptCount val="1"/>
                <c:pt idx="0">
                  <c:v>2021</c:v>
                </c:pt>
              </c:strCache>
            </c:strRef>
          </c:tx>
          <c:spPr>
            <a:ln w="28575">
              <a:solidFill>
                <a:srgbClr val="BF5711"/>
              </a:solidFill>
              <a:prstDash val="solid"/>
            </a:ln>
          </c:spPr>
          <c:marker>
            <c:symbol val="none"/>
          </c:marker>
          <c:cat>
            <c:numRef>
              <c:f>水泥!$G$2:$G$366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水泥!$J$2:$J$366</c:f>
              <c:numCache>
                <c:formatCode>General</c:formatCode>
                <c:ptCount val="365"/>
                <c:pt idx="0">
                  <c:v>#N/A</c:v>
                </c:pt>
                <c:pt idx="1">
                  <c:v>#N/A</c:v>
                </c:pt>
                <c:pt idx="2">
                  <c:v>#N/A</c:v>
                </c:pt>
                <c:pt idx="3">
                  <c:v>154.13999999999999</c:v>
                </c:pt>
                <c:pt idx="4">
                  <c:v>153.87</c:v>
                </c:pt>
                <c:pt idx="5">
                  <c:v>153.79</c:v>
                </c:pt>
                <c:pt idx="6">
                  <c:v>153.74</c:v>
                </c:pt>
                <c:pt idx="7">
                  <c:v>153.63</c:v>
                </c:pt>
                <c:pt idx="8">
                  <c:v>#N/A</c:v>
                </c:pt>
                <c:pt idx="9">
                  <c:v>#N/A</c:v>
                </c:pt>
                <c:pt idx="10">
                  <c:v>153.41999999999999</c:v>
                </c:pt>
                <c:pt idx="11">
                  <c:v>153.36000000000001</c:v>
                </c:pt>
                <c:pt idx="12">
                  <c:v>153.22999999999999</c:v>
                </c:pt>
                <c:pt idx="13">
                  <c:v>153.03</c:v>
                </c:pt>
                <c:pt idx="14">
                  <c:v>152.94</c:v>
                </c:pt>
                <c:pt idx="15">
                  <c:v>#N/A</c:v>
                </c:pt>
                <c:pt idx="16">
                  <c:v>#N/A</c:v>
                </c:pt>
                <c:pt idx="17">
                  <c:v>152.44</c:v>
                </c:pt>
                <c:pt idx="18">
                  <c:v>152.34</c:v>
                </c:pt>
                <c:pt idx="19">
                  <c:v>152.25</c:v>
                </c:pt>
                <c:pt idx="20">
                  <c:v>152.21</c:v>
                </c:pt>
                <c:pt idx="21">
                  <c:v>152.28</c:v>
                </c:pt>
                <c:pt idx="22">
                  <c:v>#N/A</c:v>
                </c:pt>
                <c:pt idx="23">
                  <c:v>#N/A</c:v>
                </c:pt>
                <c:pt idx="24">
                  <c:v>151.94</c:v>
                </c:pt>
                <c:pt idx="25">
                  <c:v>151.84</c:v>
                </c:pt>
                <c:pt idx="26">
                  <c:v>151.69999999999999</c:v>
                </c:pt>
                <c:pt idx="27">
                  <c:v>151.44999999999999</c:v>
                </c:pt>
                <c:pt idx="28">
                  <c:v>150.91999999999999</c:v>
                </c:pt>
                <c:pt idx="29">
                  <c:v>#N/A</c:v>
                </c:pt>
                <c:pt idx="30">
                  <c:v>#N/A</c:v>
                </c:pt>
                <c:pt idx="31">
                  <c:v>150.91999999999999</c:v>
                </c:pt>
                <c:pt idx="32">
                  <c:v>150.81</c:v>
                </c:pt>
                <c:pt idx="33">
                  <c:v>150.30000000000001</c:v>
                </c:pt>
                <c:pt idx="34">
                  <c:v>150.4</c:v>
                </c:pt>
                <c:pt idx="35">
                  <c:v>150.01</c:v>
                </c:pt>
                <c:pt idx="36">
                  <c:v>#N/A</c:v>
                </c:pt>
                <c:pt idx="37">
                  <c:v>#N/A</c:v>
                </c:pt>
                <c:pt idx="38">
                  <c:v>149.69999999999999</c:v>
                </c:pt>
                <c:pt idx="39">
                  <c:v>#N/A</c:v>
                </c:pt>
                <c:pt idx="40">
                  <c:v>#N/A</c:v>
                </c:pt>
                <c:pt idx="41">
                  <c:v>#N/A</c:v>
                </c:pt>
                <c:pt idx="42">
                  <c:v>#N/A</c:v>
                </c:pt>
                <c:pt idx="43">
                  <c:v>#N/A</c:v>
                </c:pt>
                <c:pt idx="44">
                  <c:v>#N/A</c:v>
                </c:pt>
                <c:pt idx="45">
                  <c:v>#N/A</c:v>
                </c:pt>
                <c:pt idx="46">
                  <c:v>#N/A</c:v>
                </c:pt>
                <c:pt idx="47">
                  <c:v>#N/A</c:v>
                </c:pt>
                <c:pt idx="48">
                  <c:v>#N/A</c:v>
                </c:pt>
                <c:pt idx="49">
                  <c:v>149.66999999999999</c:v>
                </c:pt>
                <c:pt idx="50">
                  <c:v>#N/A</c:v>
                </c:pt>
                <c:pt idx="51">
                  <c:v>#N/A</c:v>
                </c:pt>
                <c:pt idx="52">
                  <c:v>147.22</c:v>
                </c:pt>
                <c:pt idx="53">
                  <c:v>146.5</c:v>
                </c:pt>
                <c:pt idx="54">
                  <c:v>146.12</c:v>
                </c:pt>
                <c:pt idx="55">
                  <c:v>146.02000000000001</c:v>
                </c:pt>
                <c:pt idx="56">
                  <c:v>145.86000000000001</c:v>
                </c:pt>
                <c:pt idx="57">
                  <c:v>#N/A</c:v>
                </c:pt>
                <c:pt idx="58">
                  <c:v>#N/A</c:v>
                </c:pt>
                <c:pt idx="59">
                  <c:v>146.13</c:v>
                </c:pt>
                <c:pt idx="60">
                  <c:v>146.04</c:v>
                </c:pt>
                <c:pt idx="61">
                  <c:v>146.02000000000001</c:v>
                </c:pt>
                <c:pt idx="62">
                  <c:v>146.02000000000001</c:v>
                </c:pt>
                <c:pt idx="63">
                  <c:v>145.46</c:v>
                </c:pt>
                <c:pt idx="64">
                  <c:v>#N/A</c:v>
                </c:pt>
                <c:pt idx="65">
                  <c:v>#N/A</c:v>
                </c:pt>
                <c:pt idx="66">
                  <c:v>145.5</c:v>
                </c:pt>
                <c:pt idx="67">
                  <c:v>145.35</c:v>
                </c:pt>
                <c:pt idx="68">
                  <c:v>145.12</c:v>
                </c:pt>
                <c:pt idx="69">
                  <c:v>145.21</c:v>
                </c:pt>
                <c:pt idx="70">
                  <c:v>144.78</c:v>
                </c:pt>
                <c:pt idx="71">
                  <c:v>#N/A</c:v>
                </c:pt>
                <c:pt idx="72">
                  <c:v>#N/A</c:v>
                </c:pt>
                <c:pt idx="73">
                  <c:v>144.74</c:v>
                </c:pt>
                <c:pt idx="74">
                  <c:v>144.78</c:v>
                </c:pt>
                <c:pt idx="75">
                  <c:v>144.82</c:v>
                </c:pt>
                <c:pt idx="76">
                  <c:v>144.82</c:v>
                </c:pt>
                <c:pt idx="77">
                  <c:v>144.86000000000001</c:v>
                </c:pt>
                <c:pt idx="78">
                  <c:v>#N/A</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2-5FE3-4DF4-BC39-45BDB29B5671}"/>
            </c:ext>
          </c:extLst>
        </c:ser>
        <c:dLbls>
          <c:showLegendKey val="0"/>
          <c:showVal val="0"/>
          <c:showCatName val="0"/>
          <c:showSerName val="0"/>
          <c:showPercent val="0"/>
          <c:showBubbleSize val="0"/>
        </c:dLbls>
        <c:marker val="1"/>
        <c:smooth val="0"/>
        <c:axId val="539164672"/>
        <c:axId val="539166208"/>
      </c:lineChart>
      <c:dateAx>
        <c:axId val="539164672"/>
        <c:scaling>
          <c:orientation val="minMax"/>
        </c:scaling>
        <c:delete val="0"/>
        <c:axPos val="b"/>
        <c:numFmt formatCode="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9166208"/>
        <c:crosses val="autoZero"/>
        <c:auto val="0"/>
        <c:lblOffset val="0"/>
        <c:baseTimeUnit val="days"/>
        <c:majorUnit val="1"/>
        <c:majorTimeUnit val="months"/>
      </c:dateAx>
      <c:valAx>
        <c:axId val="539166208"/>
        <c:scaling>
          <c:orientation val="minMax"/>
          <c:max val="170"/>
          <c:min val="90"/>
        </c:scaling>
        <c:delete val="0"/>
        <c:axPos val="l"/>
        <c:numFmt formatCode="#,##0_);[Red]\(#,##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9164672"/>
        <c:crosses val="autoZero"/>
        <c:crossBetween val="between"/>
      </c:valAx>
    </c:plotArea>
    <c:legend>
      <c:legendPos val="r"/>
      <c:layout>
        <c:manualLayout>
          <c:xMode val="edge"/>
          <c:yMode val="edge"/>
          <c:x val="0.15225"/>
          <c:y val="2.3337707786526686E-3"/>
          <c:w val="0.690571084864392"/>
          <c:h val="5.8071230679498403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0"/>
    <c:plotArea>
      <c:layout>
        <c:manualLayout>
          <c:layoutTarget val="inner"/>
          <c:xMode val="edge"/>
          <c:yMode val="edge"/>
          <c:x val="6.009951881014873E-2"/>
          <c:y val="0.11196595217264509"/>
          <c:w val="0.85830096237970255"/>
          <c:h val="0.81409120734908136"/>
        </c:manualLayout>
      </c:layout>
      <c:lineChart>
        <c:grouping val="standard"/>
        <c:varyColors val="0"/>
        <c:ser>
          <c:idx val="0"/>
          <c:order val="0"/>
          <c:tx>
            <c:strRef>
              <c:f>汇率!$B$2</c:f>
              <c:strCache>
                <c:ptCount val="1"/>
                <c:pt idx="0">
                  <c:v>美元兑人民币</c:v>
                </c:pt>
              </c:strCache>
            </c:strRef>
          </c:tx>
          <c:spPr>
            <a:ln w="25400">
              <a:solidFill>
                <a:srgbClr val="ED7D31">
                  <a:lumMod val="75000"/>
                </a:srgbClr>
              </a:solidFill>
            </a:ln>
          </c:spPr>
          <c:marker>
            <c:symbol val="none"/>
          </c:marker>
          <c:cat>
            <c:numRef>
              <c:f>汇率!$A$3:$A$28</c:f>
              <c:numCache>
                <c:formatCode>yyyy\-mm\-dd;@</c:formatCode>
                <c:ptCount val="26"/>
                <c:pt idx="0">
                  <c:v>44275</c:v>
                </c:pt>
                <c:pt idx="1">
                  <c:v>44268</c:v>
                </c:pt>
                <c:pt idx="2">
                  <c:v>44261</c:v>
                </c:pt>
                <c:pt idx="3">
                  <c:v>44254</c:v>
                </c:pt>
                <c:pt idx="4">
                  <c:v>44247</c:v>
                </c:pt>
                <c:pt idx="5">
                  <c:v>44240</c:v>
                </c:pt>
                <c:pt idx="6">
                  <c:v>44233</c:v>
                </c:pt>
                <c:pt idx="7">
                  <c:v>44226</c:v>
                </c:pt>
                <c:pt idx="8">
                  <c:v>44219</c:v>
                </c:pt>
                <c:pt idx="9">
                  <c:v>44212</c:v>
                </c:pt>
                <c:pt idx="10">
                  <c:v>44205</c:v>
                </c:pt>
                <c:pt idx="11">
                  <c:v>44198</c:v>
                </c:pt>
                <c:pt idx="12">
                  <c:v>44191</c:v>
                </c:pt>
                <c:pt idx="13">
                  <c:v>44184</c:v>
                </c:pt>
                <c:pt idx="14">
                  <c:v>44177</c:v>
                </c:pt>
                <c:pt idx="15">
                  <c:v>44170</c:v>
                </c:pt>
                <c:pt idx="16">
                  <c:v>44163</c:v>
                </c:pt>
                <c:pt idx="17">
                  <c:v>44156</c:v>
                </c:pt>
                <c:pt idx="18">
                  <c:v>44149</c:v>
                </c:pt>
                <c:pt idx="19">
                  <c:v>44142</c:v>
                </c:pt>
                <c:pt idx="20">
                  <c:v>44135</c:v>
                </c:pt>
                <c:pt idx="21">
                  <c:v>44128</c:v>
                </c:pt>
                <c:pt idx="22">
                  <c:v>44121</c:v>
                </c:pt>
                <c:pt idx="23">
                  <c:v>44114</c:v>
                </c:pt>
                <c:pt idx="24">
                  <c:v>44107</c:v>
                </c:pt>
                <c:pt idx="25">
                  <c:v>44100</c:v>
                </c:pt>
              </c:numCache>
            </c:numRef>
          </c:cat>
          <c:val>
            <c:numRef>
              <c:f>汇率!$B$3:$B$28</c:f>
              <c:numCache>
                <c:formatCode>###,###,###,###,##0.00</c:formatCode>
                <c:ptCount val="26"/>
                <c:pt idx="0">
                  <c:v>6.5045000000000002</c:v>
                </c:pt>
                <c:pt idx="1">
                  <c:v>6.5035999999999996</c:v>
                </c:pt>
                <c:pt idx="2">
                  <c:v>6.4767999999999999</c:v>
                </c:pt>
                <c:pt idx="3">
                  <c:v>6.4589999999999996</c:v>
                </c:pt>
                <c:pt idx="4">
                  <c:v>6.4574999999999996</c:v>
                </c:pt>
                <c:pt idx="5">
                  <c:v>6.4379999999999997</c:v>
                </c:pt>
                <c:pt idx="6">
                  <c:v>6.4809999999999999</c:v>
                </c:pt>
                <c:pt idx="7">
                  <c:v>6.4611999999999998</c:v>
                </c:pt>
                <c:pt idx="8">
                  <c:v>6.4776999999999996</c:v>
                </c:pt>
                <c:pt idx="9">
                  <c:v>6.4752000000000001</c:v>
                </c:pt>
                <c:pt idx="10">
                  <c:v>6.4718999999999998</c:v>
                </c:pt>
                <c:pt idx="11">
                  <c:v>6.5397999999999996</c:v>
                </c:pt>
                <c:pt idx="12">
                  <c:v>6.5240999999999998</c:v>
                </c:pt>
                <c:pt idx="13">
                  <c:v>6.5415000000000001</c:v>
                </c:pt>
                <c:pt idx="14">
                  <c:v>6.5411000000000001</c:v>
                </c:pt>
                <c:pt idx="15">
                  <c:v>6.5301999999999998</c:v>
                </c:pt>
                <c:pt idx="16">
                  <c:v>6.5823</c:v>
                </c:pt>
                <c:pt idx="17">
                  <c:v>6.5713999999999997</c:v>
                </c:pt>
                <c:pt idx="18">
                  <c:v>6.6143999999999998</c:v>
                </c:pt>
                <c:pt idx="19">
                  <c:v>6.6215000000000002</c:v>
                </c:pt>
                <c:pt idx="20">
                  <c:v>6.7001999999999997</c:v>
                </c:pt>
                <c:pt idx="21">
                  <c:v>6.6689999999999996</c:v>
                </c:pt>
                <c:pt idx="22">
                  <c:v>6.6981999999999999</c:v>
                </c:pt>
                <c:pt idx="23">
                  <c:v>6.7134999999999998</c:v>
                </c:pt>
                <c:pt idx="24">
                  <c:v>6.8106</c:v>
                </c:pt>
                <c:pt idx="25">
                  <c:v>6.8201999999999998</c:v>
                </c:pt>
              </c:numCache>
            </c:numRef>
          </c:val>
          <c:smooth val="1"/>
          <c:extLst xmlns:c16r2="http://schemas.microsoft.com/office/drawing/2015/06/chart">
            <c:ext xmlns:c16="http://schemas.microsoft.com/office/drawing/2014/chart" uri="{C3380CC4-5D6E-409C-BE32-E72D297353CC}">
              <c16:uniqueId val="{00000000-1CBF-4982-B1D5-8391DF380230}"/>
            </c:ext>
          </c:extLst>
        </c:ser>
        <c:dLbls>
          <c:showLegendKey val="0"/>
          <c:showVal val="0"/>
          <c:showCatName val="0"/>
          <c:showSerName val="0"/>
          <c:showPercent val="0"/>
          <c:showBubbleSize val="0"/>
        </c:dLbls>
        <c:marker val="1"/>
        <c:smooth val="0"/>
        <c:axId val="539206016"/>
        <c:axId val="539207552"/>
      </c:lineChart>
      <c:lineChart>
        <c:grouping val="standard"/>
        <c:varyColors val="0"/>
        <c:ser>
          <c:idx val="2"/>
          <c:order val="1"/>
          <c:tx>
            <c:strRef>
              <c:f>汇率!$C$2</c:f>
              <c:strCache>
                <c:ptCount val="1"/>
                <c:pt idx="0">
                  <c:v>中美利差</c:v>
                </c:pt>
              </c:strCache>
            </c:strRef>
          </c:tx>
          <c:spPr>
            <a:ln w="25400">
              <a:solidFill>
                <a:srgbClr val="ED7D31"/>
              </a:solidFill>
              <a:prstDash val="sysDash"/>
            </a:ln>
          </c:spPr>
          <c:marker>
            <c:symbol val="none"/>
          </c:marker>
          <c:cat>
            <c:numRef>
              <c:f>汇率!$A$3:$A$28</c:f>
              <c:numCache>
                <c:formatCode>yyyy\-mm\-dd;@</c:formatCode>
                <c:ptCount val="26"/>
                <c:pt idx="0">
                  <c:v>44275</c:v>
                </c:pt>
                <c:pt idx="1">
                  <c:v>44268</c:v>
                </c:pt>
                <c:pt idx="2">
                  <c:v>44261</c:v>
                </c:pt>
                <c:pt idx="3">
                  <c:v>44254</c:v>
                </c:pt>
                <c:pt idx="4">
                  <c:v>44247</c:v>
                </c:pt>
                <c:pt idx="5">
                  <c:v>44240</c:v>
                </c:pt>
                <c:pt idx="6">
                  <c:v>44233</c:v>
                </c:pt>
                <c:pt idx="7">
                  <c:v>44226</c:v>
                </c:pt>
                <c:pt idx="8">
                  <c:v>44219</c:v>
                </c:pt>
                <c:pt idx="9">
                  <c:v>44212</c:v>
                </c:pt>
                <c:pt idx="10">
                  <c:v>44205</c:v>
                </c:pt>
                <c:pt idx="11">
                  <c:v>44198</c:v>
                </c:pt>
                <c:pt idx="12">
                  <c:v>44191</c:v>
                </c:pt>
                <c:pt idx="13">
                  <c:v>44184</c:v>
                </c:pt>
                <c:pt idx="14">
                  <c:v>44177</c:v>
                </c:pt>
                <c:pt idx="15">
                  <c:v>44170</c:v>
                </c:pt>
                <c:pt idx="16">
                  <c:v>44163</c:v>
                </c:pt>
                <c:pt idx="17">
                  <c:v>44156</c:v>
                </c:pt>
                <c:pt idx="18">
                  <c:v>44149</c:v>
                </c:pt>
                <c:pt idx="19">
                  <c:v>44142</c:v>
                </c:pt>
                <c:pt idx="20">
                  <c:v>44135</c:v>
                </c:pt>
                <c:pt idx="21">
                  <c:v>44128</c:v>
                </c:pt>
                <c:pt idx="22">
                  <c:v>44121</c:v>
                </c:pt>
                <c:pt idx="23">
                  <c:v>44114</c:v>
                </c:pt>
                <c:pt idx="24">
                  <c:v>44107</c:v>
                </c:pt>
                <c:pt idx="25">
                  <c:v>44100</c:v>
                </c:pt>
              </c:numCache>
            </c:numRef>
          </c:cat>
          <c:val>
            <c:numRef>
              <c:f>汇率!$C$3:$C$28</c:f>
              <c:numCache>
                <c:formatCode>###,###,###,###,##0.00</c:formatCode>
                <c:ptCount val="26"/>
                <c:pt idx="0">
                  <c:v>149.64000000000001</c:v>
                </c:pt>
                <c:pt idx="1">
                  <c:v>162.13</c:v>
                </c:pt>
                <c:pt idx="2">
                  <c:v>168.56999999999996</c:v>
                </c:pt>
                <c:pt idx="3">
                  <c:v>183.98</c:v>
                </c:pt>
                <c:pt idx="4">
                  <c:v>191.78</c:v>
                </c:pt>
                <c:pt idx="5">
                  <c:v>209.49</c:v>
                </c:pt>
                <c:pt idx="6">
                  <c:v>202.64000000000001</c:v>
                </c:pt>
                <c:pt idx="7">
                  <c:v>206.86</c:v>
                </c:pt>
                <c:pt idx="8">
                  <c:v>201.85</c:v>
                </c:pt>
                <c:pt idx="9">
                  <c:v>204.07999999999998</c:v>
                </c:pt>
                <c:pt idx="10">
                  <c:v>201.56</c:v>
                </c:pt>
                <c:pt idx="11">
                  <c:v>221.29</c:v>
                </c:pt>
                <c:pt idx="12">
                  <c:v>229.03000000000003</c:v>
                </c:pt>
                <c:pt idx="13">
                  <c:v>234.02000000000004</c:v>
                </c:pt>
                <c:pt idx="14">
                  <c:v>239.51000000000002</c:v>
                </c:pt>
                <c:pt idx="15">
                  <c:v>229.50999999999996</c:v>
                </c:pt>
                <c:pt idx="16">
                  <c:v>246</c:v>
                </c:pt>
                <c:pt idx="17">
                  <c:v>248</c:v>
                </c:pt>
                <c:pt idx="18">
                  <c:v>238.15</c:v>
                </c:pt>
                <c:pt idx="19">
                  <c:v>237.63</c:v>
                </c:pt>
                <c:pt idx="20">
                  <c:v>230.10000000000002</c:v>
                </c:pt>
                <c:pt idx="21">
                  <c:v>234.57</c:v>
                </c:pt>
                <c:pt idx="22">
                  <c:v>246.02000000000004</c:v>
                </c:pt>
                <c:pt idx="23">
                  <c:v>239.73</c:v>
                </c:pt>
                <c:pt idx="24">
                  <c:v>245.82000000000002</c:v>
                </c:pt>
                <c:pt idx="25">
                  <c:v>246.95</c:v>
                </c:pt>
              </c:numCache>
            </c:numRef>
          </c:val>
          <c:smooth val="1"/>
          <c:extLst xmlns:c16r2="http://schemas.microsoft.com/office/drawing/2015/06/chart">
            <c:ext xmlns:c16="http://schemas.microsoft.com/office/drawing/2014/chart" uri="{C3380CC4-5D6E-409C-BE32-E72D297353CC}">
              <c16:uniqueId val="{00000001-1CBF-4982-B1D5-8391DF380230}"/>
            </c:ext>
          </c:extLst>
        </c:ser>
        <c:dLbls>
          <c:showLegendKey val="0"/>
          <c:showVal val="0"/>
          <c:showCatName val="0"/>
          <c:showSerName val="0"/>
          <c:showPercent val="0"/>
          <c:showBubbleSize val="0"/>
        </c:dLbls>
        <c:marker val="1"/>
        <c:smooth val="0"/>
        <c:axId val="539219072"/>
        <c:axId val="539209088"/>
      </c:lineChart>
      <c:dateAx>
        <c:axId val="539206016"/>
        <c:scaling>
          <c:orientation val="minMax"/>
        </c:scaling>
        <c:delete val="0"/>
        <c:axPos val="b"/>
        <c:numFmt formatCode="yy\-mm;@" sourceLinked="0"/>
        <c:majorTickMark val="out"/>
        <c:minorTickMark val="out"/>
        <c:tickLblPos val="low"/>
        <c:spPr>
          <a:ln w="3175">
            <a:solidFill>
              <a:sysClr val="windowText" lastClr="000000"/>
            </a:solidFill>
            <a:prstDash val="solid"/>
          </a:ln>
        </c:spPr>
        <c:txPr>
          <a:bodyPr rot="0" vert="horz"/>
          <a:lstStyle/>
          <a:p>
            <a:pPr>
              <a:defRPr/>
            </a:pPr>
            <a:endParaRPr lang="zh-CN"/>
          </a:p>
        </c:txPr>
        <c:crossAx val="539207552"/>
        <c:crosses val="autoZero"/>
        <c:auto val="0"/>
        <c:lblOffset val="0"/>
        <c:baseTimeUnit val="days"/>
      </c:dateAx>
      <c:valAx>
        <c:axId val="539207552"/>
        <c:scaling>
          <c:orientation val="minMax"/>
        </c:scaling>
        <c:delete val="0"/>
        <c:axPos val="l"/>
        <c:numFmt formatCode="#,##0.00_);[Red]\(#,##0.00\)" sourceLinked="0"/>
        <c:majorTickMark val="out"/>
        <c:minorTickMark val="none"/>
        <c:tickLblPos val="nextTo"/>
        <c:spPr>
          <a:ln w="3175">
            <a:solidFill>
              <a:sysClr val="windowText" lastClr="000000"/>
            </a:solidFill>
            <a:prstDash val="solid"/>
          </a:ln>
        </c:spPr>
        <c:txPr>
          <a:bodyPr rot="0" vert="horz"/>
          <a:lstStyle/>
          <a:p>
            <a:pPr>
              <a:defRPr/>
            </a:pPr>
            <a:endParaRPr lang="zh-CN"/>
          </a:p>
        </c:txPr>
        <c:crossAx val="539206016"/>
        <c:crosses val="autoZero"/>
        <c:crossBetween val="between"/>
      </c:valAx>
      <c:valAx>
        <c:axId val="539209088"/>
        <c:scaling>
          <c:orientation val="minMax"/>
        </c:scaling>
        <c:delete val="0"/>
        <c:axPos val="r"/>
        <c:numFmt formatCode="#,##0_);[Red]\(#,##0\)" sourceLinked="0"/>
        <c:majorTickMark val="out"/>
        <c:minorTickMark val="none"/>
        <c:tickLblPos val="nextTo"/>
        <c:spPr>
          <a:ln w="3175">
            <a:solidFill>
              <a:sysClr val="windowText" lastClr="000000"/>
            </a:solidFill>
          </a:ln>
        </c:spPr>
        <c:crossAx val="539219072"/>
        <c:crosses val="max"/>
        <c:crossBetween val="between"/>
      </c:valAx>
      <c:dateAx>
        <c:axId val="539219072"/>
        <c:scaling>
          <c:orientation val="minMax"/>
        </c:scaling>
        <c:delete val="1"/>
        <c:axPos val="b"/>
        <c:numFmt formatCode="yyyy\-mm\-dd;@" sourceLinked="1"/>
        <c:majorTickMark val="out"/>
        <c:minorTickMark val="none"/>
        <c:tickLblPos val="nextTo"/>
        <c:crossAx val="539209088"/>
        <c:crosses val="autoZero"/>
        <c:auto val="0"/>
        <c:lblOffset val="100"/>
        <c:baseTimeUnit val="years"/>
      </c:dateAx>
    </c:plotArea>
    <c:legend>
      <c:legendPos val="r"/>
      <c:layout>
        <c:manualLayout>
          <c:xMode val="edge"/>
          <c:yMode val="edge"/>
          <c:x val="0.15225"/>
          <c:y val="2.3337707786526686E-3"/>
          <c:w val="0.690571084864392"/>
          <c:h val="8.584900845727618E-2"/>
        </c:manualLayout>
      </c:layout>
      <c:overlay val="0"/>
      <c:spPr>
        <a:noFill/>
        <a:ln w="3175">
          <a:noFill/>
          <a:prstDash val="solid"/>
        </a:ln>
      </c:spPr>
    </c:legend>
    <c:plotVisOnly val="1"/>
    <c:dispBlanksAs val="span"/>
    <c:showDLblsOverMax val="0"/>
  </c:chart>
  <c:spPr>
    <a:ln>
      <a:noFill/>
    </a:ln>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2">
    <c:autoUpdate val="0"/>
  </c:externalData>
  <c:userShapes r:id="rId3"/>
</c:chartSpace>
</file>

<file path=word/charts/chart1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4"/>
    </mc:Choice>
    <mc:Fallback>
      <c:style val="4"/>
    </mc:Fallback>
  </mc:AlternateContent>
  <c:chart>
    <c:autoTitleDeleted val="0"/>
    <c:plotArea>
      <c:layout>
        <c:manualLayout>
          <c:layoutTarget val="inner"/>
          <c:xMode val="edge"/>
          <c:yMode val="edge"/>
          <c:x val="6.009951881014873E-2"/>
          <c:y val="0.11196595217264509"/>
          <c:w val="0.92723381452318465"/>
          <c:h val="0.81409120734908136"/>
        </c:manualLayout>
      </c:layout>
      <c:lineChart>
        <c:grouping val="standard"/>
        <c:varyColors val="0"/>
        <c:ser>
          <c:idx val="0"/>
          <c:order val="0"/>
          <c:tx>
            <c:strRef>
              <c:f>猪价!$H$1</c:f>
              <c:strCache>
                <c:ptCount val="1"/>
                <c:pt idx="0">
                  <c:v>2019</c:v>
                </c:pt>
              </c:strCache>
            </c:strRef>
          </c:tx>
          <c:spPr>
            <a:ln w="19050" cap="rnd" cmpd="sng" algn="ctr">
              <a:solidFill>
                <a:schemeClr val="accent2">
                  <a:shade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猪价!$H$2:$H$366</c:f>
              <c:numCache>
                <c:formatCode>General</c:formatCode>
                <c:ptCount val="365"/>
                <c:pt idx="0">
                  <c:v>#N/A</c:v>
                </c:pt>
                <c:pt idx="1">
                  <c:v>#N/A</c:v>
                </c:pt>
                <c:pt idx="2">
                  <c:v>#N/A</c:v>
                </c:pt>
                <c:pt idx="3">
                  <c:v>#N/A</c:v>
                </c:pt>
                <c:pt idx="4">
                  <c:v>19.260000000000002</c:v>
                </c:pt>
                <c:pt idx="5">
                  <c:v>#N/A</c:v>
                </c:pt>
                <c:pt idx="6">
                  <c:v>#N/A</c:v>
                </c:pt>
                <c:pt idx="7">
                  <c:v>#N/A</c:v>
                </c:pt>
                <c:pt idx="8">
                  <c:v>#N/A</c:v>
                </c:pt>
                <c:pt idx="9">
                  <c:v>#N/A</c:v>
                </c:pt>
                <c:pt idx="10">
                  <c:v>#N/A</c:v>
                </c:pt>
                <c:pt idx="11">
                  <c:v>19.13</c:v>
                </c:pt>
                <c:pt idx="12">
                  <c:v>#N/A</c:v>
                </c:pt>
                <c:pt idx="13">
                  <c:v>#N/A</c:v>
                </c:pt>
                <c:pt idx="14">
                  <c:v>#N/A</c:v>
                </c:pt>
                <c:pt idx="15">
                  <c:v>#N/A</c:v>
                </c:pt>
                <c:pt idx="16">
                  <c:v>#N/A</c:v>
                </c:pt>
                <c:pt idx="17">
                  <c:v>#N/A</c:v>
                </c:pt>
                <c:pt idx="18">
                  <c:v>19.13</c:v>
                </c:pt>
                <c:pt idx="19">
                  <c:v>#N/A</c:v>
                </c:pt>
                <c:pt idx="20">
                  <c:v>#N/A</c:v>
                </c:pt>
                <c:pt idx="21">
                  <c:v>#N/A</c:v>
                </c:pt>
                <c:pt idx="22">
                  <c:v>#N/A</c:v>
                </c:pt>
                <c:pt idx="23">
                  <c:v>#N/A</c:v>
                </c:pt>
                <c:pt idx="24">
                  <c:v>#N/A</c:v>
                </c:pt>
                <c:pt idx="25">
                  <c:v>19.12</c:v>
                </c:pt>
                <c:pt idx="26">
                  <c:v>#N/A</c:v>
                </c:pt>
                <c:pt idx="27">
                  <c:v>#N/A</c:v>
                </c:pt>
                <c:pt idx="28">
                  <c:v>#N/A</c:v>
                </c:pt>
                <c:pt idx="29">
                  <c:v>#N/A</c:v>
                </c:pt>
                <c:pt idx="30">
                  <c:v>#N/A</c:v>
                </c:pt>
                <c:pt idx="31">
                  <c:v>#N/A</c:v>
                </c:pt>
                <c:pt idx="32">
                  <c:v>18.2</c:v>
                </c:pt>
                <c:pt idx="33">
                  <c:v>#N/A</c:v>
                </c:pt>
                <c:pt idx="34">
                  <c:v>#N/A</c:v>
                </c:pt>
                <c:pt idx="35">
                  <c:v>#N/A</c:v>
                </c:pt>
                <c:pt idx="36">
                  <c:v>#N/A</c:v>
                </c:pt>
                <c:pt idx="37">
                  <c:v>#N/A</c:v>
                </c:pt>
                <c:pt idx="38">
                  <c:v>#N/A</c:v>
                </c:pt>
                <c:pt idx="39">
                  <c:v>18.73</c:v>
                </c:pt>
                <c:pt idx="40">
                  <c:v>#N/A</c:v>
                </c:pt>
                <c:pt idx="41">
                  <c:v>#N/A</c:v>
                </c:pt>
                <c:pt idx="42">
                  <c:v>#N/A</c:v>
                </c:pt>
                <c:pt idx="43">
                  <c:v>#N/A</c:v>
                </c:pt>
                <c:pt idx="44">
                  <c:v>#N/A</c:v>
                </c:pt>
                <c:pt idx="45">
                  <c:v>#N/A</c:v>
                </c:pt>
                <c:pt idx="46">
                  <c:v>18.52</c:v>
                </c:pt>
                <c:pt idx="47">
                  <c:v>#N/A</c:v>
                </c:pt>
                <c:pt idx="48">
                  <c:v>#N/A</c:v>
                </c:pt>
                <c:pt idx="49">
                  <c:v>#N/A</c:v>
                </c:pt>
                <c:pt idx="50">
                  <c:v>#N/A</c:v>
                </c:pt>
                <c:pt idx="51">
                  <c:v>#N/A</c:v>
                </c:pt>
                <c:pt idx="52">
                  <c:v>#N/A</c:v>
                </c:pt>
                <c:pt idx="53">
                  <c:v>18.260000000000002</c:v>
                </c:pt>
                <c:pt idx="54">
                  <c:v>#N/A</c:v>
                </c:pt>
                <c:pt idx="55">
                  <c:v>#N/A</c:v>
                </c:pt>
                <c:pt idx="56">
                  <c:v>#N/A</c:v>
                </c:pt>
                <c:pt idx="57">
                  <c:v>#N/A</c:v>
                </c:pt>
                <c:pt idx="58">
                  <c:v>#N/A</c:v>
                </c:pt>
                <c:pt idx="59">
                  <c:v>#N/A</c:v>
                </c:pt>
                <c:pt idx="60">
                  <c:v>18.2</c:v>
                </c:pt>
                <c:pt idx="61">
                  <c:v>#N/A</c:v>
                </c:pt>
                <c:pt idx="62">
                  <c:v>#N/A</c:v>
                </c:pt>
                <c:pt idx="63">
                  <c:v>#N/A</c:v>
                </c:pt>
                <c:pt idx="64">
                  <c:v>#N/A</c:v>
                </c:pt>
                <c:pt idx="65">
                  <c:v>#N/A</c:v>
                </c:pt>
                <c:pt idx="66">
                  <c:v>#N/A</c:v>
                </c:pt>
                <c:pt idx="67">
                  <c:v>18.02</c:v>
                </c:pt>
                <c:pt idx="68">
                  <c:v>#N/A</c:v>
                </c:pt>
                <c:pt idx="69">
                  <c:v>#N/A</c:v>
                </c:pt>
                <c:pt idx="70">
                  <c:v>#N/A</c:v>
                </c:pt>
                <c:pt idx="71">
                  <c:v>#N/A</c:v>
                </c:pt>
                <c:pt idx="72">
                  <c:v>#N/A</c:v>
                </c:pt>
                <c:pt idx="73">
                  <c:v>#N/A</c:v>
                </c:pt>
                <c:pt idx="74">
                  <c:v>19.77</c:v>
                </c:pt>
                <c:pt idx="75">
                  <c:v>#N/A</c:v>
                </c:pt>
                <c:pt idx="76">
                  <c:v>#N/A</c:v>
                </c:pt>
                <c:pt idx="77">
                  <c:v>#N/A</c:v>
                </c:pt>
                <c:pt idx="78">
                  <c:v>#N/A</c:v>
                </c:pt>
                <c:pt idx="79">
                  <c:v>#N/A</c:v>
                </c:pt>
                <c:pt idx="80">
                  <c:v>#N/A</c:v>
                </c:pt>
                <c:pt idx="81">
                  <c:v>20.43</c:v>
                </c:pt>
                <c:pt idx="82">
                  <c:v>#N/A</c:v>
                </c:pt>
                <c:pt idx="83">
                  <c:v>#N/A</c:v>
                </c:pt>
                <c:pt idx="84">
                  <c:v>#N/A</c:v>
                </c:pt>
                <c:pt idx="85">
                  <c:v>#N/A</c:v>
                </c:pt>
                <c:pt idx="86">
                  <c:v>#N/A</c:v>
                </c:pt>
                <c:pt idx="87">
                  <c:v>#N/A</c:v>
                </c:pt>
                <c:pt idx="88">
                  <c:v>20.25</c:v>
                </c:pt>
                <c:pt idx="89">
                  <c:v>#N/A</c:v>
                </c:pt>
                <c:pt idx="90">
                  <c:v>#N/A</c:v>
                </c:pt>
                <c:pt idx="91">
                  <c:v>#N/A</c:v>
                </c:pt>
                <c:pt idx="92">
                  <c:v>#N/A</c:v>
                </c:pt>
                <c:pt idx="93">
                  <c:v>#N/A</c:v>
                </c:pt>
                <c:pt idx="94">
                  <c:v>#N/A</c:v>
                </c:pt>
                <c:pt idx="95">
                  <c:v>20.39</c:v>
                </c:pt>
                <c:pt idx="96">
                  <c:v>#N/A</c:v>
                </c:pt>
                <c:pt idx="97">
                  <c:v>#N/A</c:v>
                </c:pt>
                <c:pt idx="98">
                  <c:v>#N/A</c:v>
                </c:pt>
                <c:pt idx="99">
                  <c:v>#N/A</c:v>
                </c:pt>
                <c:pt idx="100">
                  <c:v>#N/A</c:v>
                </c:pt>
                <c:pt idx="101">
                  <c:v>#N/A</c:v>
                </c:pt>
                <c:pt idx="102">
                  <c:v>20.21</c:v>
                </c:pt>
                <c:pt idx="103">
                  <c:v>#N/A</c:v>
                </c:pt>
                <c:pt idx="104">
                  <c:v>#N/A</c:v>
                </c:pt>
                <c:pt idx="105">
                  <c:v>#N/A</c:v>
                </c:pt>
                <c:pt idx="106">
                  <c:v>#N/A</c:v>
                </c:pt>
                <c:pt idx="107">
                  <c:v>#N/A</c:v>
                </c:pt>
                <c:pt idx="108">
                  <c:v>#N/A</c:v>
                </c:pt>
                <c:pt idx="109">
                  <c:v>20.12</c:v>
                </c:pt>
                <c:pt idx="110">
                  <c:v>#N/A</c:v>
                </c:pt>
                <c:pt idx="111">
                  <c:v>#N/A</c:v>
                </c:pt>
                <c:pt idx="112">
                  <c:v>#N/A</c:v>
                </c:pt>
                <c:pt idx="113">
                  <c:v>#N/A</c:v>
                </c:pt>
                <c:pt idx="114">
                  <c:v>#N/A</c:v>
                </c:pt>
                <c:pt idx="115">
                  <c:v>#N/A</c:v>
                </c:pt>
                <c:pt idx="116">
                  <c:v>20.399999999999999</c:v>
                </c:pt>
                <c:pt idx="117">
                  <c:v>#N/A</c:v>
                </c:pt>
                <c:pt idx="118">
                  <c:v>#N/A</c:v>
                </c:pt>
                <c:pt idx="119">
                  <c:v>#N/A</c:v>
                </c:pt>
                <c:pt idx="120">
                  <c:v>#N/A</c:v>
                </c:pt>
                <c:pt idx="121">
                  <c:v>#N/A</c:v>
                </c:pt>
                <c:pt idx="122">
                  <c:v>#N/A</c:v>
                </c:pt>
                <c:pt idx="123">
                  <c:v>20.5</c:v>
                </c:pt>
                <c:pt idx="124">
                  <c:v>#N/A</c:v>
                </c:pt>
                <c:pt idx="125">
                  <c:v>#N/A</c:v>
                </c:pt>
                <c:pt idx="126">
                  <c:v>#N/A</c:v>
                </c:pt>
                <c:pt idx="127">
                  <c:v>#N/A</c:v>
                </c:pt>
                <c:pt idx="128">
                  <c:v>#N/A</c:v>
                </c:pt>
                <c:pt idx="129">
                  <c:v>#N/A</c:v>
                </c:pt>
                <c:pt idx="130">
                  <c:v>20.59</c:v>
                </c:pt>
                <c:pt idx="131">
                  <c:v>#N/A</c:v>
                </c:pt>
                <c:pt idx="132">
                  <c:v>#N/A</c:v>
                </c:pt>
                <c:pt idx="133">
                  <c:v>#N/A</c:v>
                </c:pt>
                <c:pt idx="134">
                  <c:v>#N/A</c:v>
                </c:pt>
                <c:pt idx="135">
                  <c:v>#N/A</c:v>
                </c:pt>
                <c:pt idx="136">
                  <c:v>#N/A</c:v>
                </c:pt>
                <c:pt idx="137">
                  <c:v>20.75</c:v>
                </c:pt>
                <c:pt idx="138">
                  <c:v>#N/A</c:v>
                </c:pt>
                <c:pt idx="139">
                  <c:v>#N/A</c:v>
                </c:pt>
                <c:pt idx="140">
                  <c:v>#N/A</c:v>
                </c:pt>
                <c:pt idx="141">
                  <c:v>#N/A</c:v>
                </c:pt>
                <c:pt idx="142">
                  <c:v>#N/A</c:v>
                </c:pt>
                <c:pt idx="143">
                  <c:v>#N/A</c:v>
                </c:pt>
                <c:pt idx="144">
                  <c:v>20.65</c:v>
                </c:pt>
                <c:pt idx="145">
                  <c:v>#N/A</c:v>
                </c:pt>
                <c:pt idx="146">
                  <c:v>#N/A</c:v>
                </c:pt>
                <c:pt idx="147">
                  <c:v>#N/A</c:v>
                </c:pt>
                <c:pt idx="148">
                  <c:v>#N/A</c:v>
                </c:pt>
                <c:pt idx="149">
                  <c:v>#N/A</c:v>
                </c:pt>
                <c:pt idx="150">
                  <c:v>#N/A</c:v>
                </c:pt>
                <c:pt idx="151">
                  <c:v>20.45</c:v>
                </c:pt>
                <c:pt idx="152">
                  <c:v>#N/A</c:v>
                </c:pt>
                <c:pt idx="153">
                  <c:v>#N/A</c:v>
                </c:pt>
                <c:pt idx="154">
                  <c:v>#N/A</c:v>
                </c:pt>
                <c:pt idx="155">
                  <c:v>#N/A</c:v>
                </c:pt>
                <c:pt idx="156">
                  <c:v>#N/A</c:v>
                </c:pt>
                <c:pt idx="157">
                  <c:v>#N/A</c:v>
                </c:pt>
                <c:pt idx="158">
                  <c:v>21.02</c:v>
                </c:pt>
                <c:pt idx="159">
                  <c:v>#N/A</c:v>
                </c:pt>
                <c:pt idx="160">
                  <c:v>#N/A</c:v>
                </c:pt>
                <c:pt idx="161">
                  <c:v>#N/A</c:v>
                </c:pt>
                <c:pt idx="162">
                  <c:v>#N/A</c:v>
                </c:pt>
                <c:pt idx="163">
                  <c:v>#N/A</c:v>
                </c:pt>
                <c:pt idx="164">
                  <c:v>#N/A</c:v>
                </c:pt>
                <c:pt idx="165">
                  <c:v>21.06</c:v>
                </c:pt>
                <c:pt idx="166">
                  <c:v>#N/A</c:v>
                </c:pt>
                <c:pt idx="167">
                  <c:v>#N/A</c:v>
                </c:pt>
                <c:pt idx="168">
                  <c:v>#N/A</c:v>
                </c:pt>
                <c:pt idx="169">
                  <c:v>#N/A</c:v>
                </c:pt>
                <c:pt idx="170">
                  <c:v>#N/A</c:v>
                </c:pt>
                <c:pt idx="171">
                  <c:v>#N/A</c:v>
                </c:pt>
                <c:pt idx="172">
                  <c:v>21.92</c:v>
                </c:pt>
                <c:pt idx="173">
                  <c:v>#N/A</c:v>
                </c:pt>
                <c:pt idx="174">
                  <c:v>#N/A</c:v>
                </c:pt>
                <c:pt idx="175">
                  <c:v>#N/A</c:v>
                </c:pt>
                <c:pt idx="176">
                  <c:v>#N/A</c:v>
                </c:pt>
                <c:pt idx="177">
                  <c:v>#N/A</c:v>
                </c:pt>
                <c:pt idx="178">
                  <c:v>#N/A</c:v>
                </c:pt>
                <c:pt idx="179">
                  <c:v>22.93</c:v>
                </c:pt>
                <c:pt idx="180">
                  <c:v>#N/A</c:v>
                </c:pt>
                <c:pt idx="181">
                  <c:v>#N/A</c:v>
                </c:pt>
                <c:pt idx="182">
                  <c:v>#N/A</c:v>
                </c:pt>
                <c:pt idx="183">
                  <c:v>#N/A</c:v>
                </c:pt>
                <c:pt idx="184">
                  <c:v>#N/A</c:v>
                </c:pt>
                <c:pt idx="185">
                  <c:v>#N/A</c:v>
                </c:pt>
                <c:pt idx="186">
                  <c:v>23.05</c:v>
                </c:pt>
                <c:pt idx="187">
                  <c:v>#N/A</c:v>
                </c:pt>
                <c:pt idx="188">
                  <c:v>#N/A</c:v>
                </c:pt>
                <c:pt idx="189">
                  <c:v>#N/A</c:v>
                </c:pt>
                <c:pt idx="190">
                  <c:v>#N/A</c:v>
                </c:pt>
                <c:pt idx="191">
                  <c:v>#N/A</c:v>
                </c:pt>
                <c:pt idx="192">
                  <c:v>#N/A</c:v>
                </c:pt>
                <c:pt idx="193">
                  <c:v>23.27</c:v>
                </c:pt>
                <c:pt idx="194">
                  <c:v>#N/A</c:v>
                </c:pt>
                <c:pt idx="195">
                  <c:v>#N/A</c:v>
                </c:pt>
                <c:pt idx="196">
                  <c:v>#N/A</c:v>
                </c:pt>
                <c:pt idx="197">
                  <c:v>#N/A</c:v>
                </c:pt>
                <c:pt idx="198">
                  <c:v>#N/A</c:v>
                </c:pt>
                <c:pt idx="199">
                  <c:v>#N/A</c:v>
                </c:pt>
                <c:pt idx="200">
                  <c:v>23.89</c:v>
                </c:pt>
                <c:pt idx="201">
                  <c:v>#N/A</c:v>
                </c:pt>
                <c:pt idx="202">
                  <c:v>#N/A</c:v>
                </c:pt>
                <c:pt idx="203">
                  <c:v>#N/A</c:v>
                </c:pt>
                <c:pt idx="204">
                  <c:v>#N/A</c:v>
                </c:pt>
                <c:pt idx="205">
                  <c:v>#N/A</c:v>
                </c:pt>
                <c:pt idx="206">
                  <c:v>#N/A</c:v>
                </c:pt>
                <c:pt idx="207">
                  <c:v>24.05</c:v>
                </c:pt>
                <c:pt idx="208">
                  <c:v>#N/A</c:v>
                </c:pt>
                <c:pt idx="209">
                  <c:v>#N/A</c:v>
                </c:pt>
                <c:pt idx="210">
                  <c:v>#N/A</c:v>
                </c:pt>
                <c:pt idx="211">
                  <c:v>#N/A</c:v>
                </c:pt>
                <c:pt idx="212">
                  <c:v>#N/A</c:v>
                </c:pt>
                <c:pt idx="213">
                  <c:v>#N/A</c:v>
                </c:pt>
                <c:pt idx="214">
                  <c:v>24.48</c:v>
                </c:pt>
                <c:pt idx="215">
                  <c:v>#N/A</c:v>
                </c:pt>
                <c:pt idx="216">
                  <c:v>#N/A</c:v>
                </c:pt>
                <c:pt idx="217">
                  <c:v>#N/A</c:v>
                </c:pt>
                <c:pt idx="218">
                  <c:v>#N/A</c:v>
                </c:pt>
                <c:pt idx="219">
                  <c:v>#N/A</c:v>
                </c:pt>
                <c:pt idx="220">
                  <c:v>#N/A</c:v>
                </c:pt>
                <c:pt idx="221">
                  <c:v>25.78</c:v>
                </c:pt>
                <c:pt idx="222">
                  <c:v>#N/A</c:v>
                </c:pt>
                <c:pt idx="223">
                  <c:v>#N/A</c:v>
                </c:pt>
                <c:pt idx="224">
                  <c:v>#N/A</c:v>
                </c:pt>
                <c:pt idx="225">
                  <c:v>#N/A</c:v>
                </c:pt>
                <c:pt idx="226">
                  <c:v>#N/A</c:v>
                </c:pt>
                <c:pt idx="227">
                  <c:v>#N/A</c:v>
                </c:pt>
                <c:pt idx="228">
                  <c:v>28.27</c:v>
                </c:pt>
                <c:pt idx="229">
                  <c:v>#N/A</c:v>
                </c:pt>
                <c:pt idx="230">
                  <c:v>#N/A</c:v>
                </c:pt>
                <c:pt idx="231">
                  <c:v>#N/A</c:v>
                </c:pt>
                <c:pt idx="232">
                  <c:v>#N/A</c:v>
                </c:pt>
                <c:pt idx="233">
                  <c:v>#N/A</c:v>
                </c:pt>
                <c:pt idx="234">
                  <c:v>#N/A</c:v>
                </c:pt>
                <c:pt idx="235">
                  <c:v>31.09</c:v>
                </c:pt>
                <c:pt idx="236">
                  <c:v>#N/A</c:v>
                </c:pt>
                <c:pt idx="237">
                  <c:v>#N/A</c:v>
                </c:pt>
                <c:pt idx="238">
                  <c:v>#N/A</c:v>
                </c:pt>
                <c:pt idx="239">
                  <c:v>#N/A</c:v>
                </c:pt>
                <c:pt idx="240">
                  <c:v>#N/A</c:v>
                </c:pt>
                <c:pt idx="241">
                  <c:v>#N/A</c:v>
                </c:pt>
                <c:pt idx="242">
                  <c:v>33.619999999999997</c:v>
                </c:pt>
                <c:pt idx="243">
                  <c:v>#N/A</c:v>
                </c:pt>
                <c:pt idx="244">
                  <c:v>#N/A</c:v>
                </c:pt>
                <c:pt idx="245">
                  <c:v>#N/A</c:v>
                </c:pt>
                <c:pt idx="246">
                  <c:v>#N/A</c:v>
                </c:pt>
                <c:pt idx="247">
                  <c:v>#N/A</c:v>
                </c:pt>
                <c:pt idx="248">
                  <c:v>#N/A</c:v>
                </c:pt>
                <c:pt idx="249">
                  <c:v>35.119999999999997</c:v>
                </c:pt>
                <c:pt idx="250">
                  <c:v>#N/A</c:v>
                </c:pt>
                <c:pt idx="251">
                  <c:v>#N/A</c:v>
                </c:pt>
                <c:pt idx="252">
                  <c:v>#N/A</c:v>
                </c:pt>
                <c:pt idx="253">
                  <c:v>#N/A</c:v>
                </c:pt>
                <c:pt idx="254">
                  <c:v>#N/A</c:v>
                </c:pt>
                <c:pt idx="255">
                  <c:v>#N/A</c:v>
                </c:pt>
                <c:pt idx="256">
                  <c:v>35.72</c:v>
                </c:pt>
                <c:pt idx="257">
                  <c:v>#N/A</c:v>
                </c:pt>
                <c:pt idx="258">
                  <c:v>#N/A</c:v>
                </c:pt>
                <c:pt idx="259">
                  <c:v>#N/A</c:v>
                </c:pt>
                <c:pt idx="260">
                  <c:v>#N/A</c:v>
                </c:pt>
                <c:pt idx="261">
                  <c:v>#N/A</c:v>
                </c:pt>
                <c:pt idx="262">
                  <c:v>#N/A</c:v>
                </c:pt>
                <c:pt idx="263">
                  <c:v>36.14</c:v>
                </c:pt>
                <c:pt idx="264">
                  <c:v>#N/A</c:v>
                </c:pt>
                <c:pt idx="265">
                  <c:v>#N/A</c:v>
                </c:pt>
                <c:pt idx="266">
                  <c:v>#N/A</c:v>
                </c:pt>
                <c:pt idx="267">
                  <c:v>#N/A</c:v>
                </c:pt>
                <c:pt idx="268">
                  <c:v>#N/A</c:v>
                </c:pt>
                <c:pt idx="269">
                  <c:v>#N/A</c:v>
                </c:pt>
                <c:pt idx="270">
                  <c:v>36.340000000000003</c:v>
                </c:pt>
                <c:pt idx="271">
                  <c:v>#N/A</c:v>
                </c:pt>
                <c:pt idx="272">
                  <c:v>#N/A</c:v>
                </c:pt>
                <c:pt idx="273">
                  <c:v>#N/A</c:v>
                </c:pt>
                <c:pt idx="274">
                  <c:v>#N/A</c:v>
                </c:pt>
                <c:pt idx="275">
                  <c:v>#N/A</c:v>
                </c:pt>
                <c:pt idx="276">
                  <c:v>#N/A</c:v>
                </c:pt>
                <c:pt idx="277">
                  <c:v>36.79</c:v>
                </c:pt>
                <c:pt idx="278">
                  <c:v>#N/A</c:v>
                </c:pt>
                <c:pt idx="279">
                  <c:v>#N/A</c:v>
                </c:pt>
                <c:pt idx="280">
                  <c:v>#N/A</c:v>
                </c:pt>
                <c:pt idx="281">
                  <c:v>#N/A</c:v>
                </c:pt>
                <c:pt idx="282">
                  <c:v>#N/A</c:v>
                </c:pt>
                <c:pt idx="283">
                  <c:v>#N/A</c:v>
                </c:pt>
                <c:pt idx="284">
                  <c:v>42.29</c:v>
                </c:pt>
                <c:pt idx="285">
                  <c:v>#N/A</c:v>
                </c:pt>
                <c:pt idx="286">
                  <c:v>#N/A</c:v>
                </c:pt>
                <c:pt idx="287">
                  <c:v>#N/A</c:v>
                </c:pt>
                <c:pt idx="288">
                  <c:v>#N/A</c:v>
                </c:pt>
                <c:pt idx="289">
                  <c:v>#N/A</c:v>
                </c:pt>
                <c:pt idx="290">
                  <c:v>#N/A</c:v>
                </c:pt>
                <c:pt idx="291">
                  <c:v>45.57</c:v>
                </c:pt>
                <c:pt idx="292">
                  <c:v>#N/A</c:v>
                </c:pt>
                <c:pt idx="293">
                  <c:v>#N/A</c:v>
                </c:pt>
                <c:pt idx="294">
                  <c:v>#N/A</c:v>
                </c:pt>
                <c:pt idx="295">
                  <c:v>#N/A</c:v>
                </c:pt>
                <c:pt idx="296">
                  <c:v>#N/A</c:v>
                </c:pt>
                <c:pt idx="297">
                  <c:v>#N/A</c:v>
                </c:pt>
                <c:pt idx="298">
                  <c:v>51.01</c:v>
                </c:pt>
                <c:pt idx="299">
                  <c:v>#N/A</c:v>
                </c:pt>
                <c:pt idx="300">
                  <c:v>#N/A</c:v>
                </c:pt>
                <c:pt idx="301">
                  <c:v>#N/A</c:v>
                </c:pt>
                <c:pt idx="302">
                  <c:v>#N/A</c:v>
                </c:pt>
                <c:pt idx="303">
                  <c:v>#N/A</c:v>
                </c:pt>
                <c:pt idx="304">
                  <c:v>#N/A</c:v>
                </c:pt>
                <c:pt idx="305">
                  <c:v>52.4</c:v>
                </c:pt>
                <c:pt idx="306">
                  <c:v>#N/A</c:v>
                </c:pt>
                <c:pt idx="307">
                  <c:v>#N/A</c:v>
                </c:pt>
                <c:pt idx="308">
                  <c:v>#N/A</c:v>
                </c:pt>
                <c:pt idx="309">
                  <c:v>#N/A</c:v>
                </c:pt>
                <c:pt idx="310">
                  <c:v>#N/A</c:v>
                </c:pt>
                <c:pt idx="311">
                  <c:v>#N/A</c:v>
                </c:pt>
                <c:pt idx="312">
                  <c:v>51.18</c:v>
                </c:pt>
                <c:pt idx="313">
                  <c:v>#N/A</c:v>
                </c:pt>
                <c:pt idx="314">
                  <c:v>#N/A</c:v>
                </c:pt>
                <c:pt idx="315">
                  <c:v>#N/A</c:v>
                </c:pt>
                <c:pt idx="316">
                  <c:v>#N/A</c:v>
                </c:pt>
                <c:pt idx="317">
                  <c:v>#N/A</c:v>
                </c:pt>
                <c:pt idx="318">
                  <c:v>#N/A</c:v>
                </c:pt>
                <c:pt idx="319">
                  <c:v>48.13</c:v>
                </c:pt>
                <c:pt idx="320">
                  <c:v>#N/A</c:v>
                </c:pt>
                <c:pt idx="321">
                  <c:v>#N/A</c:v>
                </c:pt>
                <c:pt idx="322">
                  <c:v>#N/A</c:v>
                </c:pt>
                <c:pt idx="323">
                  <c:v>#N/A</c:v>
                </c:pt>
                <c:pt idx="324">
                  <c:v>#N/A</c:v>
                </c:pt>
                <c:pt idx="325">
                  <c:v>#N/A</c:v>
                </c:pt>
                <c:pt idx="326">
                  <c:v>43.78</c:v>
                </c:pt>
                <c:pt idx="327">
                  <c:v>#N/A</c:v>
                </c:pt>
                <c:pt idx="328">
                  <c:v>#N/A</c:v>
                </c:pt>
                <c:pt idx="329">
                  <c:v>#N/A</c:v>
                </c:pt>
                <c:pt idx="330">
                  <c:v>#N/A</c:v>
                </c:pt>
                <c:pt idx="331">
                  <c:v>#N/A</c:v>
                </c:pt>
                <c:pt idx="332">
                  <c:v>#N/A</c:v>
                </c:pt>
                <c:pt idx="333">
                  <c:v>42.06</c:v>
                </c:pt>
                <c:pt idx="334">
                  <c:v>#N/A</c:v>
                </c:pt>
                <c:pt idx="335">
                  <c:v>#N/A</c:v>
                </c:pt>
                <c:pt idx="336">
                  <c:v>#N/A</c:v>
                </c:pt>
                <c:pt idx="337">
                  <c:v>#N/A</c:v>
                </c:pt>
                <c:pt idx="338">
                  <c:v>#N/A</c:v>
                </c:pt>
                <c:pt idx="339">
                  <c:v>#N/A</c:v>
                </c:pt>
                <c:pt idx="340">
                  <c:v>43.74</c:v>
                </c:pt>
                <c:pt idx="341">
                  <c:v>#N/A</c:v>
                </c:pt>
                <c:pt idx="342">
                  <c:v>#N/A</c:v>
                </c:pt>
                <c:pt idx="343">
                  <c:v>#N/A</c:v>
                </c:pt>
                <c:pt idx="344">
                  <c:v>#N/A</c:v>
                </c:pt>
                <c:pt idx="345">
                  <c:v>#N/A</c:v>
                </c:pt>
                <c:pt idx="346">
                  <c:v>#N/A</c:v>
                </c:pt>
                <c:pt idx="347">
                  <c:v>43.7</c:v>
                </c:pt>
                <c:pt idx="348">
                  <c:v>#N/A</c:v>
                </c:pt>
                <c:pt idx="349">
                  <c:v>#N/A</c:v>
                </c:pt>
                <c:pt idx="350">
                  <c:v>#N/A</c:v>
                </c:pt>
                <c:pt idx="351">
                  <c:v>#N/A</c:v>
                </c:pt>
                <c:pt idx="352">
                  <c:v>#N/A</c:v>
                </c:pt>
                <c:pt idx="353">
                  <c:v>#N/A</c:v>
                </c:pt>
                <c:pt idx="354">
                  <c:v>43.34</c:v>
                </c:pt>
                <c:pt idx="355">
                  <c:v>#N/A</c:v>
                </c:pt>
                <c:pt idx="356">
                  <c:v>#N/A</c:v>
                </c:pt>
                <c:pt idx="357">
                  <c:v>#N/A</c:v>
                </c:pt>
                <c:pt idx="358">
                  <c:v>#N/A</c:v>
                </c:pt>
                <c:pt idx="359">
                  <c:v>#N/A</c:v>
                </c:pt>
                <c:pt idx="360">
                  <c:v>#N/A</c:v>
                </c:pt>
                <c:pt idx="361">
                  <c:v>42.89</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0-A56C-418F-BC77-CD42435CCAC2}"/>
            </c:ext>
          </c:extLst>
        </c:ser>
        <c:ser>
          <c:idx val="2"/>
          <c:order val="1"/>
          <c:tx>
            <c:strRef>
              <c:f>猪价!$I$1</c:f>
              <c:strCache>
                <c:ptCount val="1"/>
                <c:pt idx="0">
                  <c:v>2020</c:v>
                </c:pt>
              </c:strCache>
            </c:strRef>
          </c:tx>
          <c:spPr>
            <a:ln w="19050" cap="rnd" cmpd="sng" algn="ctr">
              <a:solidFill>
                <a:schemeClr val="accent2">
                  <a:tint val="65000"/>
                </a:schemeClr>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猪价!$I$2:$I$366</c:f>
              <c:numCache>
                <c:formatCode>General</c:formatCode>
                <c:ptCount val="365"/>
                <c:pt idx="0">
                  <c:v>#N/A</c:v>
                </c:pt>
                <c:pt idx="1">
                  <c:v>#N/A</c:v>
                </c:pt>
                <c:pt idx="2">
                  <c:v>#N/A</c:v>
                </c:pt>
                <c:pt idx="3">
                  <c:v>44.65</c:v>
                </c:pt>
                <c:pt idx="4">
                  <c:v>#N/A</c:v>
                </c:pt>
                <c:pt idx="5">
                  <c:v>#N/A</c:v>
                </c:pt>
                <c:pt idx="6">
                  <c:v>#N/A</c:v>
                </c:pt>
                <c:pt idx="7">
                  <c:v>#N/A</c:v>
                </c:pt>
                <c:pt idx="8">
                  <c:v>#N/A</c:v>
                </c:pt>
                <c:pt idx="9">
                  <c:v>#N/A</c:v>
                </c:pt>
                <c:pt idx="10">
                  <c:v>46.02</c:v>
                </c:pt>
                <c:pt idx="11">
                  <c:v>#N/A</c:v>
                </c:pt>
                <c:pt idx="12">
                  <c:v>#N/A</c:v>
                </c:pt>
                <c:pt idx="13">
                  <c:v>#N/A</c:v>
                </c:pt>
                <c:pt idx="14">
                  <c:v>#N/A</c:v>
                </c:pt>
                <c:pt idx="15">
                  <c:v>#N/A</c:v>
                </c:pt>
                <c:pt idx="16">
                  <c:v>#N/A</c:v>
                </c:pt>
                <c:pt idx="17">
                  <c:v>46.92</c:v>
                </c:pt>
                <c:pt idx="18">
                  <c:v>#N/A</c:v>
                </c:pt>
                <c:pt idx="19">
                  <c:v>#N/A</c:v>
                </c:pt>
                <c:pt idx="20">
                  <c:v>#N/A</c:v>
                </c:pt>
                <c:pt idx="21">
                  <c:v>#N/A</c:v>
                </c:pt>
                <c:pt idx="22">
                  <c:v>#N/A</c:v>
                </c:pt>
                <c:pt idx="23">
                  <c:v>#N/A</c:v>
                </c:pt>
                <c:pt idx="24">
                  <c:v>47.21</c:v>
                </c:pt>
                <c:pt idx="25">
                  <c:v>#N/A</c:v>
                </c:pt>
                <c:pt idx="26">
                  <c:v>#N/A</c:v>
                </c:pt>
                <c:pt idx="27">
                  <c:v>#N/A</c:v>
                </c:pt>
                <c:pt idx="28">
                  <c:v>#N/A</c:v>
                </c:pt>
                <c:pt idx="29">
                  <c:v>#N/A</c:v>
                </c:pt>
                <c:pt idx="30">
                  <c:v>#N/A</c:v>
                </c:pt>
                <c:pt idx="31">
                  <c:v>#N/A</c:v>
                </c:pt>
                <c:pt idx="32">
                  <c:v>#N/A</c:v>
                </c:pt>
                <c:pt idx="33">
                  <c:v>#N/A</c:v>
                </c:pt>
                <c:pt idx="34">
                  <c:v>#N/A</c:v>
                </c:pt>
                <c:pt idx="35">
                  <c:v>#N/A</c:v>
                </c:pt>
                <c:pt idx="36">
                  <c:v>#N/A</c:v>
                </c:pt>
                <c:pt idx="37">
                  <c:v>#N/A</c:v>
                </c:pt>
                <c:pt idx="38">
                  <c:v>#N/A</c:v>
                </c:pt>
                <c:pt idx="39">
                  <c:v>#N/A</c:v>
                </c:pt>
                <c:pt idx="40">
                  <c:v>#N/A</c:v>
                </c:pt>
                <c:pt idx="41">
                  <c:v>#N/A</c:v>
                </c:pt>
                <c:pt idx="42">
                  <c:v>#N/A</c:v>
                </c:pt>
                <c:pt idx="43">
                  <c:v>#N/A</c:v>
                </c:pt>
                <c:pt idx="44">
                  <c:v>#N/A</c:v>
                </c:pt>
                <c:pt idx="45">
                  <c:v>50.09</c:v>
                </c:pt>
                <c:pt idx="46">
                  <c:v>#N/A</c:v>
                </c:pt>
                <c:pt idx="47">
                  <c:v>#N/A</c:v>
                </c:pt>
                <c:pt idx="48">
                  <c:v>#N/A</c:v>
                </c:pt>
                <c:pt idx="49">
                  <c:v>#N/A</c:v>
                </c:pt>
                <c:pt idx="50">
                  <c:v>#N/A</c:v>
                </c:pt>
                <c:pt idx="51">
                  <c:v>#N/A</c:v>
                </c:pt>
                <c:pt idx="52">
                  <c:v>50.21</c:v>
                </c:pt>
                <c:pt idx="53">
                  <c:v>#N/A</c:v>
                </c:pt>
                <c:pt idx="54">
                  <c:v>#N/A</c:v>
                </c:pt>
                <c:pt idx="55">
                  <c:v>#N/A</c:v>
                </c:pt>
                <c:pt idx="56">
                  <c:v>#N/A</c:v>
                </c:pt>
                <c:pt idx="57">
                  <c:v>#N/A</c:v>
                </c:pt>
                <c:pt idx="58">
                  <c:v>#N/A</c:v>
                </c:pt>
                <c:pt idx="59">
                  <c:v>48.92</c:v>
                </c:pt>
                <c:pt idx="60">
                  <c:v>#N/A</c:v>
                </c:pt>
                <c:pt idx="61">
                  <c:v>#N/A</c:v>
                </c:pt>
                <c:pt idx="62">
                  <c:v>#N/A</c:v>
                </c:pt>
                <c:pt idx="63">
                  <c:v>#N/A</c:v>
                </c:pt>
                <c:pt idx="64">
                  <c:v>#N/A</c:v>
                </c:pt>
                <c:pt idx="65">
                  <c:v>#N/A</c:v>
                </c:pt>
                <c:pt idx="66">
                  <c:v>48.49</c:v>
                </c:pt>
                <c:pt idx="67">
                  <c:v>#N/A</c:v>
                </c:pt>
                <c:pt idx="68">
                  <c:v>#N/A</c:v>
                </c:pt>
                <c:pt idx="69">
                  <c:v>#N/A</c:v>
                </c:pt>
                <c:pt idx="70">
                  <c:v>#N/A</c:v>
                </c:pt>
                <c:pt idx="71">
                  <c:v>#N/A</c:v>
                </c:pt>
                <c:pt idx="72">
                  <c:v>#N/A</c:v>
                </c:pt>
                <c:pt idx="73">
                  <c:v>48.1</c:v>
                </c:pt>
                <c:pt idx="74">
                  <c:v>#N/A</c:v>
                </c:pt>
                <c:pt idx="75">
                  <c:v>#N/A</c:v>
                </c:pt>
                <c:pt idx="76">
                  <c:v>#N/A</c:v>
                </c:pt>
                <c:pt idx="77">
                  <c:v>#N/A</c:v>
                </c:pt>
                <c:pt idx="78">
                  <c:v>#N/A</c:v>
                </c:pt>
                <c:pt idx="79">
                  <c:v>#N/A</c:v>
                </c:pt>
                <c:pt idx="80">
                  <c:v>47.47</c:v>
                </c:pt>
                <c:pt idx="81">
                  <c:v>#N/A</c:v>
                </c:pt>
                <c:pt idx="82">
                  <c:v>#N/A</c:v>
                </c:pt>
                <c:pt idx="83">
                  <c:v>#N/A</c:v>
                </c:pt>
                <c:pt idx="84">
                  <c:v>#N/A</c:v>
                </c:pt>
                <c:pt idx="85">
                  <c:v>#N/A</c:v>
                </c:pt>
                <c:pt idx="86">
                  <c:v>#N/A</c:v>
                </c:pt>
                <c:pt idx="87">
                  <c:v>46.89</c:v>
                </c:pt>
                <c:pt idx="88">
                  <c:v>#N/A</c:v>
                </c:pt>
                <c:pt idx="89">
                  <c:v>#N/A</c:v>
                </c:pt>
                <c:pt idx="90">
                  <c:v>#N/A</c:v>
                </c:pt>
                <c:pt idx="91">
                  <c:v>#N/A</c:v>
                </c:pt>
                <c:pt idx="92">
                  <c:v>#N/A</c:v>
                </c:pt>
                <c:pt idx="93">
                  <c:v>#N/A</c:v>
                </c:pt>
                <c:pt idx="94">
                  <c:v>46.28</c:v>
                </c:pt>
                <c:pt idx="95">
                  <c:v>#N/A</c:v>
                </c:pt>
                <c:pt idx="96">
                  <c:v>#N/A</c:v>
                </c:pt>
                <c:pt idx="97">
                  <c:v>#N/A</c:v>
                </c:pt>
                <c:pt idx="98">
                  <c:v>#N/A</c:v>
                </c:pt>
                <c:pt idx="99">
                  <c:v>#N/A</c:v>
                </c:pt>
                <c:pt idx="100">
                  <c:v>#N/A</c:v>
                </c:pt>
                <c:pt idx="101">
                  <c:v>44.72</c:v>
                </c:pt>
                <c:pt idx="102">
                  <c:v>#N/A</c:v>
                </c:pt>
                <c:pt idx="103">
                  <c:v>#N/A</c:v>
                </c:pt>
                <c:pt idx="104">
                  <c:v>#N/A</c:v>
                </c:pt>
                <c:pt idx="105">
                  <c:v>#N/A</c:v>
                </c:pt>
                <c:pt idx="106">
                  <c:v>#N/A</c:v>
                </c:pt>
                <c:pt idx="107">
                  <c:v>#N/A</c:v>
                </c:pt>
                <c:pt idx="108">
                  <c:v>44.7</c:v>
                </c:pt>
                <c:pt idx="109">
                  <c:v>#N/A</c:v>
                </c:pt>
                <c:pt idx="110">
                  <c:v>#N/A</c:v>
                </c:pt>
                <c:pt idx="111">
                  <c:v>#N/A</c:v>
                </c:pt>
                <c:pt idx="112">
                  <c:v>#N/A</c:v>
                </c:pt>
                <c:pt idx="113">
                  <c:v>#N/A</c:v>
                </c:pt>
                <c:pt idx="114">
                  <c:v>#N/A</c:v>
                </c:pt>
                <c:pt idx="115">
                  <c:v>44.15</c:v>
                </c:pt>
                <c:pt idx="116">
                  <c:v>#N/A</c:v>
                </c:pt>
                <c:pt idx="117">
                  <c:v>#N/A</c:v>
                </c:pt>
                <c:pt idx="118">
                  <c:v>#N/A</c:v>
                </c:pt>
                <c:pt idx="119">
                  <c:v>#N/A</c:v>
                </c:pt>
                <c:pt idx="120">
                  <c:v>#N/A</c:v>
                </c:pt>
                <c:pt idx="121">
                  <c:v>#N/A</c:v>
                </c:pt>
                <c:pt idx="122">
                  <c:v>43.53</c:v>
                </c:pt>
                <c:pt idx="123">
                  <c:v>#N/A</c:v>
                </c:pt>
                <c:pt idx="124">
                  <c:v>#N/A</c:v>
                </c:pt>
                <c:pt idx="125">
                  <c:v>#N/A</c:v>
                </c:pt>
                <c:pt idx="126">
                  <c:v>#N/A</c:v>
                </c:pt>
                <c:pt idx="127">
                  <c:v>#N/A</c:v>
                </c:pt>
                <c:pt idx="128">
                  <c:v>#N/A</c:v>
                </c:pt>
                <c:pt idx="129">
                  <c:v>42.28</c:v>
                </c:pt>
                <c:pt idx="130">
                  <c:v>#N/A</c:v>
                </c:pt>
                <c:pt idx="131">
                  <c:v>#N/A</c:v>
                </c:pt>
                <c:pt idx="132">
                  <c:v>#N/A</c:v>
                </c:pt>
                <c:pt idx="133">
                  <c:v>#N/A</c:v>
                </c:pt>
                <c:pt idx="134">
                  <c:v>#N/A</c:v>
                </c:pt>
                <c:pt idx="135">
                  <c:v>#N/A</c:v>
                </c:pt>
                <c:pt idx="136">
                  <c:v>39.53</c:v>
                </c:pt>
                <c:pt idx="137">
                  <c:v>#N/A</c:v>
                </c:pt>
                <c:pt idx="138">
                  <c:v>#N/A</c:v>
                </c:pt>
                <c:pt idx="139">
                  <c:v>#N/A</c:v>
                </c:pt>
                <c:pt idx="140">
                  <c:v>#N/A</c:v>
                </c:pt>
                <c:pt idx="141">
                  <c:v>#N/A</c:v>
                </c:pt>
                <c:pt idx="142">
                  <c:v>#N/A</c:v>
                </c:pt>
                <c:pt idx="143">
                  <c:v>38.770000000000003</c:v>
                </c:pt>
                <c:pt idx="144">
                  <c:v>#N/A</c:v>
                </c:pt>
                <c:pt idx="145">
                  <c:v>#N/A</c:v>
                </c:pt>
                <c:pt idx="146">
                  <c:v>#N/A</c:v>
                </c:pt>
                <c:pt idx="147">
                  <c:v>#N/A</c:v>
                </c:pt>
                <c:pt idx="148">
                  <c:v>#N/A</c:v>
                </c:pt>
                <c:pt idx="149">
                  <c:v>#N/A</c:v>
                </c:pt>
                <c:pt idx="150">
                  <c:v>38.65</c:v>
                </c:pt>
                <c:pt idx="151">
                  <c:v>#N/A</c:v>
                </c:pt>
                <c:pt idx="152">
                  <c:v>#N/A</c:v>
                </c:pt>
                <c:pt idx="153">
                  <c:v>#N/A</c:v>
                </c:pt>
                <c:pt idx="154">
                  <c:v>#N/A</c:v>
                </c:pt>
                <c:pt idx="155">
                  <c:v>#N/A</c:v>
                </c:pt>
                <c:pt idx="156">
                  <c:v>#N/A</c:v>
                </c:pt>
                <c:pt idx="157">
                  <c:v>39.81</c:v>
                </c:pt>
                <c:pt idx="158">
                  <c:v>#N/A</c:v>
                </c:pt>
                <c:pt idx="159">
                  <c:v>#N/A</c:v>
                </c:pt>
                <c:pt idx="160">
                  <c:v>#N/A</c:v>
                </c:pt>
                <c:pt idx="161">
                  <c:v>#N/A</c:v>
                </c:pt>
                <c:pt idx="162">
                  <c:v>#N/A</c:v>
                </c:pt>
                <c:pt idx="163">
                  <c:v>#N/A</c:v>
                </c:pt>
                <c:pt idx="164">
                  <c:v>40.6</c:v>
                </c:pt>
                <c:pt idx="165">
                  <c:v>#N/A</c:v>
                </c:pt>
                <c:pt idx="166">
                  <c:v>#N/A</c:v>
                </c:pt>
                <c:pt idx="167">
                  <c:v>#N/A</c:v>
                </c:pt>
                <c:pt idx="168">
                  <c:v>#N/A</c:v>
                </c:pt>
                <c:pt idx="169">
                  <c:v>#N/A</c:v>
                </c:pt>
                <c:pt idx="170">
                  <c:v>#N/A</c:v>
                </c:pt>
                <c:pt idx="171">
                  <c:v>43.25</c:v>
                </c:pt>
                <c:pt idx="172">
                  <c:v>#N/A</c:v>
                </c:pt>
                <c:pt idx="173">
                  <c:v>#N/A</c:v>
                </c:pt>
                <c:pt idx="174">
                  <c:v>#N/A</c:v>
                </c:pt>
                <c:pt idx="175">
                  <c:v>#N/A</c:v>
                </c:pt>
                <c:pt idx="176">
                  <c:v>#N/A</c:v>
                </c:pt>
                <c:pt idx="177">
                  <c:v>#N/A</c:v>
                </c:pt>
                <c:pt idx="178">
                  <c:v>44.67</c:v>
                </c:pt>
                <c:pt idx="179">
                  <c:v>#N/A</c:v>
                </c:pt>
                <c:pt idx="180">
                  <c:v>#N/A</c:v>
                </c:pt>
                <c:pt idx="181">
                  <c:v>#N/A</c:v>
                </c:pt>
                <c:pt idx="182">
                  <c:v>#N/A</c:v>
                </c:pt>
                <c:pt idx="183">
                  <c:v>#N/A</c:v>
                </c:pt>
                <c:pt idx="184">
                  <c:v>#N/A</c:v>
                </c:pt>
                <c:pt idx="185">
                  <c:v>46.05</c:v>
                </c:pt>
                <c:pt idx="186">
                  <c:v>#N/A</c:v>
                </c:pt>
                <c:pt idx="187">
                  <c:v>#N/A</c:v>
                </c:pt>
                <c:pt idx="188">
                  <c:v>#N/A</c:v>
                </c:pt>
                <c:pt idx="189">
                  <c:v>#N/A</c:v>
                </c:pt>
                <c:pt idx="190">
                  <c:v>#N/A</c:v>
                </c:pt>
                <c:pt idx="191">
                  <c:v>#N/A</c:v>
                </c:pt>
                <c:pt idx="192">
                  <c:v>48.02</c:v>
                </c:pt>
                <c:pt idx="193">
                  <c:v>#N/A</c:v>
                </c:pt>
                <c:pt idx="194">
                  <c:v>#N/A</c:v>
                </c:pt>
                <c:pt idx="195">
                  <c:v>#N/A</c:v>
                </c:pt>
                <c:pt idx="196">
                  <c:v>#N/A</c:v>
                </c:pt>
                <c:pt idx="197">
                  <c:v>#N/A</c:v>
                </c:pt>
                <c:pt idx="198">
                  <c:v>#N/A</c:v>
                </c:pt>
                <c:pt idx="199">
                  <c:v>48.53</c:v>
                </c:pt>
                <c:pt idx="200">
                  <c:v>#N/A</c:v>
                </c:pt>
                <c:pt idx="201">
                  <c:v>#N/A</c:v>
                </c:pt>
                <c:pt idx="202">
                  <c:v>#N/A</c:v>
                </c:pt>
                <c:pt idx="203">
                  <c:v>#N/A</c:v>
                </c:pt>
                <c:pt idx="204">
                  <c:v>#N/A</c:v>
                </c:pt>
                <c:pt idx="205">
                  <c:v>#N/A</c:v>
                </c:pt>
                <c:pt idx="206">
                  <c:v>48.67</c:v>
                </c:pt>
                <c:pt idx="207">
                  <c:v>#N/A</c:v>
                </c:pt>
                <c:pt idx="208">
                  <c:v>#N/A</c:v>
                </c:pt>
                <c:pt idx="209">
                  <c:v>#N/A</c:v>
                </c:pt>
                <c:pt idx="210">
                  <c:v>#N/A</c:v>
                </c:pt>
                <c:pt idx="211">
                  <c:v>#N/A</c:v>
                </c:pt>
                <c:pt idx="212">
                  <c:v>#N/A</c:v>
                </c:pt>
                <c:pt idx="213">
                  <c:v>48.34</c:v>
                </c:pt>
                <c:pt idx="214">
                  <c:v>#N/A</c:v>
                </c:pt>
                <c:pt idx="215">
                  <c:v>#N/A</c:v>
                </c:pt>
                <c:pt idx="216">
                  <c:v>#N/A</c:v>
                </c:pt>
                <c:pt idx="217">
                  <c:v>#N/A</c:v>
                </c:pt>
                <c:pt idx="218">
                  <c:v>#N/A</c:v>
                </c:pt>
                <c:pt idx="219">
                  <c:v>#N/A</c:v>
                </c:pt>
                <c:pt idx="220">
                  <c:v>48.47</c:v>
                </c:pt>
                <c:pt idx="221">
                  <c:v>#N/A</c:v>
                </c:pt>
                <c:pt idx="222">
                  <c:v>#N/A</c:v>
                </c:pt>
                <c:pt idx="223">
                  <c:v>#N/A</c:v>
                </c:pt>
                <c:pt idx="224">
                  <c:v>#N/A</c:v>
                </c:pt>
                <c:pt idx="225">
                  <c:v>#N/A</c:v>
                </c:pt>
                <c:pt idx="226">
                  <c:v>#N/A</c:v>
                </c:pt>
                <c:pt idx="227">
                  <c:v>48.25</c:v>
                </c:pt>
                <c:pt idx="228">
                  <c:v>#N/A</c:v>
                </c:pt>
                <c:pt idx="229">
                  <c:v>#N/A</c:v>
                </c:pt>
                <c:pt idx="230">
                  <c:v>#N/A</c:v>
                </c:pt>
                <c:pt idx="231">
                  <c:v>#N/A</c:v>
                </c:pt>
                <c:pt idx="232">
                  <c:v>#N/A</c:v>
                </c:pt>
                <c:pt idx="233">
                  <c:v>#N/A</c:v>
                </c:pt>
                <c:pt idx="234">
                  <c:v>48.4</c:v>
                </c:pt>
                <c:pt idx="235">
                  <c:v>#N/A</c:v>
                </c:pt>
                <c:pt idx="236">
                  <c:v>#N/A</c:v>
                </c:pt>
                <c:pt idx="237">
                  <c:v>#N/A</c:v>
                </c:pt>
                <c:pt idx="238">
                  <c:v>#N/A</c:v>
                </c:pt>
                <c:pt idx="239">
                  <c:v>#N/A</c:v>
                </c:pt>
                <c:pt idx="240">
                  <c:v>#N/A</c:v>
                </c:pt>
                <c:pt idx="241">
                  <c:v>48.41</c:v>
                </c:pt>
                <c:pt idx="242">
                  <c:v>#N/A</c:v>
                </c:pt>
                <c:pt idx="243">
                  <c:v>#N/A</c:v>
                </c:pt>
                <c:pt idx="244">
                  <c:v>#N/A</c:v>
                </c:pt>
                <c:pt idx="245">
                  <c:v>#N/A</c:v>
                </c:pt>
                <c:pt idx="246">
                  <c:v>#N/A</c:v>
                </c:pt>
                <c:pt idx="247">
                  <c:v>#N/A</c:v>
                </c:pt>
                <c:pt idx="248">
                  <c:v>47.95</c:v>
                </c:pt>
                <c:pt idx="249">
                  <c:v>#N/A</c:v>
                </c:pt>
                <c:pt idx="250">
                  <c:v>#N/A</c:v>
                </c:pt>
                <c:pt idx="251">
                  <c:v>#N/A</c:v>
                </c:pt>
                <c:pt idx="252">
                  <c:v>#N/A</c:v>
                </c:pt>
                <c:pt idx="253">
                  <c:v>#N/A</c:v>
                </c:pt>
                <c:pt idx="254">
                  <c:v>#N/A</c:v>
                </c:pt>
                <c:pt idx="255">
                  <c:v>47.85</c:v>
                </c:pt>
                <c:pt idx="256">
                  <c:v>#N/A</c:v>
                </c:pt>
                <c:pt idx="257">
                  <c:v>#N/A</c:v>
                </c:pt>
                <c:pt idx="258">
                  <c:v>#N/A</c:v>
                </c:pt>
                <c:pt idx="259">
                  <c:v>#N/A</c:v>
                </c:pt>
                <c:pt idx="260">
                  <c:v>#N/A</c:v>
                </c:pt>
                <c:pt idx="261">
                  <c:v>#N/A</c:v>
                </c:pt>
                <c:pt idx="262">
                  <c:v>47.28</c:v>
                </c:pt>
                <c:pt idx="263">
                  <c:v>#N/A</c:v>
                </c:pt>
                <c:pt idx="264">
                  <c:v>#N/A</c:v>
                </c:pt>
                <c:pt idx="265">
                  <c:v>#N/A</c:v>
                </c:pt>
                <c:pt idx="266">
                  <c:v>#N/A</c:v>
                </c:pt>
                <c:pt idx="267">
                  <c:v>#N/A</c:v>
                </c:pt>
                <c:pt idx="268">
                  <c:v>#N/A</c:v>
                </c:pt>
                <c:pt idx="269">
                  <c:v>46.57</c:v>
                </c:pt>
                <c:pt idx="270">
                  <c:v>#N/A</c:v>
                </c:pt>
                <c:pt idx="271">
                  <c:v>#N/A</c:v>
                </c:pt>
                <c:pt idx="272">
                  <c:v>#N/A</c:v>
                </c:pt>
                <c:pt idx="273">
                  <c:v>#N/A</c:v>
                </c:pt>
                <c:pt idx="274">
                  <c:v>#N/A</c:v>
                </c:pt>
                <c:pt idx="275">
                  <c:v>#N/A</c:v>
                </c:pt>
                <c:pt idx="276">
                  <c:v>45.41</c:v>
                </c:pt>
                <c:pt idx="277">
                  <c:v>#N/A</c:v>
                </c:pt>
                <c:pt idx="278">
                  <c:v>#N/A</c:v>
                </c:pt>
                <c:pt idx="279">
                  <c:v>#N/A</c:v>
                </c:pt>
                <c:pt idx="280">
                  <c:v>#N/A</c:v>
                </c:pt>
                <c:pt idx="281">
                  <c:v>#N/A</c:v>
                </c:pt>
                <c:pt idx="282">
                  <c:v>#N/A</c:v>
                </c:pt>
                <c:pt idx="283">
                  <c:v>43.96</c:v>
                </c:pt>
                <c:pt idx="284">
                  <c:v>#N/A</c:v>
                </c:pt>
                <c:pt idx="285">
                  <c:v>#N/A</c:v>
                </c:pt>
                <c:pt idx="286">
                  <c:v>#N/A</c:v>
                </c:pt>
                <c:pt idx="287">
                  <c:v>#N/A</c:v>
                </c:pt>
                <c:pt idx="288">
                  <c:v>#N/A</c:v>
                </c:pt>
                <c:pt idx="289">
                  <c:v>#N/A</c:v>
                </c:pt>
                <c:pt idx="290">
                  <c:v>42.41</c:v>
                </c:pt>
                <c:pt idx="291">
                  <c:v>#N/A</c:v>
                </c:pt>
                <c:pt idx="292">
                  <c:v>#N/A</c:v>
                </c:pt>
                <c:pt idx="293">
                  <c:v>#N/A</c:v>
                </c:pt>
                <c:pt idx="294">
                  <c:v>#N/A</c:v>
                </c:pt>
                <c:pt idx="295">
                  <c:v>#N/A</c:v>
                </c:pt>
                <c:pt idx="296">
                  <c:v>#N/A</c:v>
                </c:pt>
                <c:pt idx="297">
                  <c:v>40.44</c:v>
                </c:pt>
                <c:pt idx="298">
                  <c:v>#N/A</c:v>
                </c:pt>
                <c:pt idx="299">
                  <c:v>#N/A</c:v>
                </c:pt>
                <c:pt idx="300">
                  <c:v>#N/A</c:v>
                </c:pt>
                <c:pt idx="301">
                  <c:v>#N/A</c:v>
                </c:pt>
                <c:pt idx="302">
                  <c:v>#N/A</c:v>
                </c:pt>
                <c:pt idx="303">
                  <c:v>#N/A</c:v>
                </c:pt>
                <c:pt idx="304">
                  <c:v>38.85</c:v>
                </c:pt>
                <c:pt idx="305">
                  <c:v>#N/A</c:v>
                </c:pt>
                <c:pt idx="306">
                  <c:v>#N/A</c:v>
                </c:pt>
                <c:pt idx="307">
                  <c:v>#N/A</c:v>
                </c:pt>
                <c:pt idx="308">
                  <c:v>#N/A</c:v>
                </c:pt>
                <c:pt idx="309">
                  <c:v>#N/A</c:v>
                </c:pt>
                <c:pt idx="310">
                  <c:v>#N/A</c:v>
                </c:pt>
                <c:pt idx="311">
                  <c:v>39.369999999999997</c:v>
                </c:pt>
                <c:pt idx="312">
                  <c:v>#N/A</c:v>
                </c:pt>
                <c:pt idx="313">
                  <c:v>#N/A</c:v>
                </c:pt>
                <c:pt idx="314">
                  <c:v>#N/A</c:v>
                </c:pt>
                <c:pt idx="315">
                  <c:v>#N/A</c:v>
                </c:pt>
                <c:pt idx="316">
                  <c:v>#N/A</c:v>
                </c:pt>
                <c:pt idx="317">
                  <c:v>#N/A</c:v>
                </c:pt>
                <c:pt idx="318">
                  <c:v>39.26</c:v>
                </c:pt>
                <c:pt idx="319">
                  <c:v>#N/A</c:v>
                </c:pt>
                <c:pt idx="320">
                  <c:v>#N/A</c:v>
                </c:pt>
                <c:pt idx="321">
                  <c:v>#N/A</c:v>
                </c:pt>
                <c:pt idx="322">
                  <c:v>#N/A</c:v>
                </c:pt>
                <c:pt idx="323">
                  <c:v>#N/A</c:v>
                </c:pt>
                <c:pt idx="324">
                  <c:v>#N/A</c:v>
                </c:pt>
                <c:pt idx="325">
                  <c:v>39.36</c:v>
                </c:pt>
                <c:pt idx="326">
                  <c:v>#N/A</c:v>
                </c:pt>
                <c:pt idx="327">
                  <c:v>#N/A</c:v>
                </c:pt>
                <c:pt idx="328">
                  <c:v>#N/A</c:v>
                </c:pt>
                <c:pt idx="329">
                  <c:v>#N/A</c:v>
                </c:pt>
                <c:pt idx="330">
                  <c:v>#N/A</c:v>
                </c:pt>
                <c:pt idx="331">
                  <c:v>#N/A</c:v>
                </c:pt>
                <c:pt idx="332">
                  <c:v>39.1</c:v>
                </c:pt>
                <c:pt idx="333">
                  <c:v>#N/A</c:v>
                </c:pt>
                <c:pt idx="334">
                  <c:v>#N/A</c:v>
                </c:pt>
                <c:pt idx="335">
                  <c:v>#N/A</c:v>
                </c:pt>
                <c:pt idx="336">
                  <c:v>#N/A</c:v>
                </c:pt>
                <c:pt idx="337">
                  <c:v>#N/A</c:v>
                </c:pt>
                <c:pt idx="338">
                  <c:v>#N/A</c:v>
                </c:pt>
                <c:pt idx="339">
                  <c:v>41.79</c:v>
                </c:pt>
                <c:pt idx="340">
                  <c:v>#N/A</c:v>
                </c:pt>
                <c:pt idx="341">
                  <c:v>#N/A</c:v>
                </c:pt>
                <c:pt idx="342">
                  <c:v>#N/A</c:v>
                </c:pt>
                <c:pt idx="343">
                  <c:v>#N/A</c:v>
                </c:pt>
                <c:pt idx="344">
                  <c:v>#N/A</c:v>
                </c:pt>
                <c:pt idx="345">
                  <c:v>#N/A</c:v>
                </c:pt>
                <c:pt idx="346">
                  <c:v>42.84</c:v>
                </c:pt>
                <c:pt idx="347">
                  <c:v>#N/A</c:v>
                </c:pt>
                <c:pt idx="348">
                  <c:v>#N/A</c:v>
                </c:pt>
                <c:pt idx="349">
                  <c:v>#N/A</c:v>
                </c:pt>
                <c:pt idx="350">
                  <c:v>#N/A</c:v>
                </c:pt>
                <c:pt idx="351">
                  <c:v>#N/A</c:v>
                </c:pt>
                <c:pt idx="352">
                  <c:v>#N/A</c:v>
                </c:pt>
                <c:pt idx="353">
                  <c:v>43.83</c:v>
                </c:pt>
                <c:pt idx="354">
                  <c:v>#N/A</c:v>
                </c:pt>
                <c:pt idx="355">
                  <c:v>#N/A</c:v>
                </c:pt>
                <c:pt idx="356">
                  <c:v>#N/A</c:v>
                </c:pt>
                <c:pt idx="357">
                  <c:v>#N/A</c:v>
                </c:pt>
                <c:pt idx="358">
                  <c:v>#N/A</c:v>
                </c:pt>
                <c:pt idx="359">
                  <c:v>#N/A</c:v>
                </c:pt>
                <c:pt idx="360">
                  <c:v>44.12</c:v>
                </c:pt>
                <c:pt idx="361">
                  <c:v>#N/A</c:v>
                </c:pt>
                <c:pt idx="362">
                  <c:v>#N/A</c:v>
                </c:pt>
                <c:pt idx="363">
                  <c:v>#N/A</c:v>
                </c:pt>
                <c:pt idx="364">
                  <c:v>#N/A</c:v>
                </c:pt>
              </c:numCache>
            </c:numRef>
          </c:val>
          <c:smooth val="1"/>
          <c:extLst xmlns:c16r2="http://schemas.microsoft.com/office/drawing/2015/06/chart">
            <c:ext xmlns:c16="http://schemas.microsoft.com/office/drawing/2014/chart" uri="{C3380CC4-5D6E-409C-BE32-E72D297353CC}">
              <c16:uniqueId val="{00000001-A56C-418F-BC77-CD42435CCAC2}"/>
            </c:ext>
          </c:extLst>
        </c:ser>
        <c:ser>
          <c:idx val="1"/>
          <c:order val="2"/>
          <c:tx>
            <c:strRef>
              <c:f>猪价!$J$1</c:f>
              <c:strCache>
                <c:ptCount val="1"/>
                <c:pt idx="0">
                  <c:v>2021</c:v>
                </c:pt>
              </c:strCache>
            </c:strRef>
          </c:tx>
          <c:spPr>
            <a:ln w="19050" cap="rnd" cmpd="sng" algn="ctr">
              <a:solidFill>
                <a:schemeClr val="accent2"/>
              </a:solidFill>
              <a:prstDash val="solid"/>
              <a:round/>
            </a:ln>
            <a:effectLst/>
          </c:spPr>
          <c:marker>
            <c:symbol val="none"/>
          </c:marker>
          <c:cat>
            <c:numRef>
              <c:f>猪价!$G$2:$G$366</c:f>
              <c:numCache>
                <c:formatCode>m/d/yyyy</c:formatCode>
                <c:ptCount val="365"/>
                <c:pt idx="0" formatCode="m&quot;月&quot;d&quot;日&quot;">
                  <c:v>44197</c:v>
                </c:pt>
                <c:pt idx="1">
                  <c:v>44198</c:v>
                </c:pt>
                <c:pt idx="2">
                  <c:v>44199</c:v>
                </c:pt>
                <c:pt idx="3">
                  <c:v>44200</c:v>
                </c:pt>
                <c:pt idx="4">
                  <c:v>44201</c:v>
                </c:pt>
                <c:pt idx="5">
                  <c:v>44202</c:v>
                </c:pt>
                <c:pt idx="6">
                  <c:v>44203</c:v>
                </c:pt>
                <c:pt idx="7">
                  <c:v>44204</c:v>
                </c:pt>
                <c:pt idx="8">
                  <c:v>44205</c:v>
                </c:pt>
                <c:pt idx="9">
                  <c:v>44206</c:v>
                </c:pt>
                <c:pt idx="10">
                  <c:v>44207</c:v>
                </c:pt>
                <c:pt idx="11">
                  <c:v>44208</c:v>
                </c:pt>
                <c:pt idx="12">
                  <c:v>44209</c:v>
                </c:pt>
                <c:pt idx="13">
                  <c:v>44210</c:v>
                </c:pt>
                <c:pt idx="14">
                  <c:v>44211</c:v>
                </c:pt>
                <c:pt idx="15">
                  <c:v>44212</c:v>
                </c:pt>
                <c:pt idx="16">
                  <c:v>44213</c:v>
                </c:pt>
                <c:pt idx="17">
                  <c:v>44214</c:v>
                </c:pt>
                <c:pt idx="18">
                  <c:v>44215</c:v>
                </c:pt>
                <c:pt idx="19">
                  <c:v>44216</c:v>
                </c:pt>
                <c:pt idx="20">
                  <c:v>44217</c:v>
                </c:pt>
                <c:pt idx="21">
                  <c:v>44218</c:v>
                </c:pt>
                <c:pt idx="22">
                  <c:v>44219</c:v>
                </c:pt>
                <c:pt idx="23">
                  <c:v>44220</c:v>
                </c:pt>
                <c:pt idx="24">
                  <c:v>44221</c:v>
                </c:pt>
                <c:pt idx="25">
                  <c:v>44222</c:v>
                </c:pt>
                <c:pt idx="26">
                  <c:v>44223</c:v>
                </c:pt>
                <c:pt idx="27">
                  <c:v>44224</c:v>
                </c:pt>
                <c:pt idx="28">
                  <c:v>44225</c:v>
                </c:pt>
                <c:pt idx="29">
                  <c:v>44226</c:v>
                </c:pt>
                <c:pt idx="30">
                  <c:v>44227</c:v>
                </c:pt>
                <c:pt idx="31">
                  <c:v>44228</c:v>
                </c:pt>
                <c:pt idx="32">
                  <c:v>44229</c:v>
                </c:pt>
                <c:pt idx="33">
                  <c:v>44230</c:v>
                </c:pt>
                <c:pt idx="34">
                  <c:v>44231</c:v>
                </c:pt>
                <c:pt idx="35">
                  <c:v>44232</c:v>
                </c:pt>
                <c:pt idx="36">
                  <c:v>44233</c:v>
                </c:pt>
                <c:pt idx="37">
                  <c:v>44234</c:v>
                </c:pt>
                <c:pt idx="38">
                  <c:v>44235</c:v>
                </c:pt>
                <c:pt idx="39">
                  <c:v>44236</c:v>
                </c:pt>
                <c:pt idx="40">
                  <c:v>44237</c:v>
                </c:pt>
                <c:pt idx="41">
                  <c:v>44238</c:v>
                </c:pt>
                <c:pt idx="42">
                  <c:v>44239</c:v>
                </c:pt>
                <c:pt idx="43">
                  <c:v>44240</c:v>
                </c:pt>
                <c:pt idx="44">
                  <c:v>44241</c:v>
                </c:pt>
                <c:pt idx="45">
                  <c:v>44242</c:v>
                </c:pt>
                <c:pt idx="46">
                  <c:v>44243</c:v>
                </c:pt>
                <c:pt idx="47">
                  <c:v>44244</c:v>
                </c:pt>
                <c:pt idx="48">
                  <c:v>44245</c:v>
                </c:pt>
                <c:pt idx="49">
                  <c:v>44246</c:v>
                </c:pt>
                <c:pt idx="50">
                  <c:v>44247</c:v>
                </c:pt>
                <c:pt idx="51">
                  <c:v>44248</c:v>
                </c:pt>
                <c:pt idx="52">
                  <c:v>44249</c:v>
                </c:pt>
                <c:pt idx="53">
                  <c:v>44250</c:v>
                </c:pt>
                <c:pt idx="54">
                  <c:v>44251</c:v>
                </c:pt>
                <c:pt idx="55">
                  <c:v>44252</c:v>
                </c:pt>
                <c:pt idx="56">
                  <c:v>44253</c:v>
                </c:pt>
                <c:pt idx="57">
                  <c:v>44254</c:v>
                </c:pt>
                <c:pt idx="58">
                  <c:v>44255</c:v>
                </c:pt>
                <c:pt idx="59">
                  <c:v>44256</c:v>
                </c:pt>
                <c:pt idx="60">
                  <c:v>44257</c:v>
                </c:pt>
                <c:pt idx="61">
                  <c:v>44258</c:v>
                </c:pt>
                <c:pt idx="62">
                  <c:v>44259</c:v>
                </c:pt>
                <c:pt idx="63">
                  <c:v>44260</c:v>
                </c:pt>
                <c:pt idx="64">
                  <c:v>44261</c:v>
                </c:pt>
                <c:pt idx="65">
                  <c:v>44262</c:v>
                </c:pt>
                <c:pt idx="66">
                  <c:v>44263</c:v>
                </c:pt>
                <c:pt idx="67">
                  <c:v>44264</c:v>
                </c:pt>
                <c:pt idx="68">
                  <c:v>44265</c:v>
                </c:pt>
                <c:pt idx="69">
                  <c:v>44266</c:v>
                </c:pt>
                <c:pt idx="70">
                  <c:v>44267</c:v>
                </c:pt>
                <c:pt idx="71">
                  <c:v>44268</c:v>
                </c:pt>
                <c:pt idx="72">
                  <c:v>44269</c:v>
                </c:pt>
                <c:pt idx="73">
                  <c:v>44270</c:v>
                </c:pt>
                <c:pt idx="74">
                  <c:v>44271</c:v>
                </c:pt>
                <c:pt idx="75">
                  <c:v>44272</c:v>
                </c:pt>
                <c:pt idx="76">
                  <c:v>44273</c:v>
                </c:pt>
                <c:pt idx="77">
                  <c:v>44274</c:v>
                </c:pt>
                <c:pt idx="78">
                  <c:v>44275</c:v>
                </c:pt>
                <c:pt idx="79">
                  <c:v>44276</c:v>
                </c:pt>
                <c:pt idx="80">
                  <c:v>44277</c:v>
                </c:pt>
                <c:pt idx="81">
                  <c:v>44278</c:v>
                </c:pt>
                <c:pt idx="82">
                  <c:v>44279</c:v>
                </c:pt>
                <c:pt idx="83">
                  <c:v>44280</c:v>
                </c:pt>
                <c:pt idx="84">
                  <c:v>44281</c:v>
                </c:pt>
                <c:pt idx="85">
                  <c:v>44282</c:v>
                </c:pt>
                <c:pt idx="86">
                  <c:v>44283</c:v>
                </c:pt>
                <c:pt idx="87">
                  <c:v>44284</c:v>
                </c:pt>
                <c:pt idx="88">
                  <c:v>44285</c:v>
                </c:pt>
                <c:pt idx="89">
                  <c:v>44286</c:v>
                </c:pt>
                <c:pt idx="90">
                  <c:v>44287</c:v>
                </c:pt>
                <c:pt idx="91">
                  <c:v>44288</c:v>
                </c:pt>
                <c:pt idx="92">
                  <c:v>44289</c:v>
                </c:pt>
                <c:pt idx="93">
                  <c:v>44290</c:v>
                </c:pt>
                <c:pt idx="94">
                  <c:v>44291</c:v>
                </c:pt>
                <c:pt idx="95">
                  <c:v>44292</c:v>
                </c:pt>
                <c:pt idx="96">
                  <c:v>44293</c:v>
                </c:pt>
                <c:pt idx="97">
                  <c:v>44294</c:v>
                </c:pt>
                <c:pt idx="98">
                  <c:v>44295</c:v>
                </c:pt>
                <c:pt idx="99">
                  <c:v>44296</c:v>
                </c:pt>
                <c:pt idx="100">
                  <c:v>44297</c:v>
                </c:pt>
                <c:pt idx="101">
                  <c:v>44298</c:v>
                </c:pt>
                <c:pt idx="102">
                  <c:v>44299</c:v>
                </c:pt>
                <c:pt idx="103">
                  <c:v>44300</c:v>
                </c:pt>
                <c:pt idx="104">
                  <c:v>44301</c:v>
                </c:pt>
                <c:pt idx="105">
                  <c:v>44302</c:v>
                </c:pt>
                <c:pt idx="106">
                  <c:v>44303</c:v>
                </c:pt>
                <c:pt idx="107">
                  <c:v>44304</c:v>
                </c:pt>
                <c:pt idx="108">
                  <c:v>44305</c:v>
                </c:pt>
                <c:pt idx="109">
                  <c:v>44306</c:v>
                </c:pt>
                <c:pt idx="110">
                  <c:v>44307</c:v>
                </c:pt>
                <c:pt idx="111">
                  <c:v>44308</c:v>
                </c:pt>
                <c:pt idx="112">
                  <c:v>44309</c:v>
                </c:pt>
                <c:pt idx="113">
                  <c:v>44310</c:v>
                </c:pt>
                <c:pt idx="114">
                  <c:v>44311</c:v>
                </c:pt>
                <c:pt idx="115">
                  <c:v>44312</c:v>
                </c:pt>
                <c:pt idx="116">
                  <c:v>44313</c:v>
                </c:pt>
                <c:pt idx="117">
                  <c:v>44314</c:v>
                </c:pt>
                <c:pt idx="118">
                  <c:v>44315</c:v>
                </c:pt>
                <c:pt idx="119">
                  <c:v>44316</c:v>
                </c:pt>
                <c:pt idx="120">
                  <c:v>44317</c:v>
                </c:pt>
                <c:pt idx="121">
                  <c:v>44318</c:v>
                </c:pt>
                <c:pt idx="122">
                  <c:v>44319</c:v>
                </c:pt>
                <c:pt idx="123">
                  <c:v>44320</c:v>
                </c:pt>
                <c:pt idx="124">
                  <c:v>44321</c:v>
                </c:pt>
                <c:pt idx="125">
                  <c:v>44322</c:v>
                </c:pt>
                <c:pt idx="126">
                  <c:v>44323</c:v>
                </c:pt>
                <c:pt idx="127">
                  <c:v>44324</c:v>
                </c:pt>
                <c:pt idx="128">
                  <c:v>44325</c:v>
                </c:pt>
                <c:pt idx="129">
                  <c:v>44326</c:v>
                </c:pt>
                <c:pt idx="130">
                  <c:v>44327</c:v>
                </c:pt>
                <c:pt idx="131">
                  <c:v>44328</c:v>
                </c:pt>
                <c:pt idx="132">
                  <c:v>44329</c:v>
                </c:pt>
                <c:pt idx="133">
                  <c:v>44330</c:v>
                </c:pt>
                <c:pt idx="134">
                  <c:v>44331</c:v>
                </c:pt>
                <c:pt idx="135">
                  <c:v>44332</c:v>
                </c:pt>
                <c:pt idx="136">
                  <c:v>44333</c:v>
                </c:pt>
                <c:pt idx="137">
                  <c:v>44334</c:v>
                </c:pt>
                <c:pt idx="138">
                  <c:v>44335</c:v>
                </c:pt>
                <c:pt idx="139">
                  <c:v>44336</c:v>
                </c:pt>
                <c:pt idx="140">
                  <c:v>44337</c:v>
                </c:pt>
                <c:pt idx="141">
                  <c:v>44338</c:v>
                </c:pt>
                <c:pt idx="142">
                  <c:v>44339</c:v>
                </c:pt>
                <c:pt idx="143">
                  <c:v>44340</c:v>
                </c:pt>
                <c:pt idx="144">
                  <c:v>44341</c:v>
                </c:pt>
                <c:pt idx="145">
                  <c:v>44342</c:v>
                </c:pt>
                <c:pt idx="146">
                  <c:v>44343</c:v>
                </c:pt>
                <c:pt idx="147">
                  <c:v>44344</c:v>
                </c:pt>
                <c:pt idx="148">
                  <c:v>44345</c:v>
                </c:pt>
                <c:pt idx="149">
                  <c:v>44346</c:v>
                </c:pt>
                <c:pt idx="150">
                  <c:v>44347</c:v>
                </c:pt>
                <c:pt idx="151">
                  <c:v>44348</c:v>
                </c:pt>
                <c:pt idx="152">
                  <c:v>44349</c:v>
                </c:pt>
                <c:pt idx="153">
                  <c:v>44350</c:v>
                </c:pt>
                <c:pt idx="154">
                  <c:v>44351</c:v>
                </c:pt>
                <c:pt idx="155">
                  <c:v>44352</c:v>
                </c:pt>
                <c:pt idx="156">
                  <c:v>44353</c:v>
                </c:pt>
                <c:pt idx="157">
                  <c:v>44354</c:v>
                </c:pt>
                <c:pt idx="158">
                  <c:v>44355</c:v>
                </c:pt>
                <c:pt idx="159">
                  <c:v>44356</c:v>
                </c:pt>
                <c:pt idx="160">
                  <c:v>44357</c:v>
                </c:pt>
                <c:pt idx="161">
                  <c:v>44358</c:v>
                </c:pt>
                <c:pt idx="162">
                  <c:v>44359</c:v>
                </c:pt>
                <c:pt idx="163">
                  <c:v>44360</c:v>
                </c:pt>
                <c:pt idx="164">
                  <c:v>44361</c:v>
                </c:pt>
                <c:pt idx="165">
                  <c:v>44362</c:v>
                </c:pt>
                <c:pt idx="166">
                  <c:v>44363</c:v>
                </c:pt>
                <c:pt idx="167">
                  <c:v>44364</c:v>
                </c:pt>
                <c:pt idx="168">
                  <c:v>44365</c:v>
                </c:pt>
                <c:pt idx="169">
                  <c:v>44366</c:v>
                </c:pt>
                <c:pt idx="170">
                  <c:v>44367</c:v>
                </c:pt>
                <c:pt idx="171">
                  <c:v>44368</c:v>
                </c:pt>
                <c:pt idx="172">
                  <c:v>44369</c:v>
                </c:pt>
                <c:pt idx="173">
                  <c:v>44370</c:v>
                </c:pt>
                <c:pt idx="174">
                  <c:v>44371</c:v>
                </c:pt>
                <c:pt idx="175">
                  <c:v>44372</c:v>
                </c:pt>
                <c:pt idx="176">
                  <c:v>44373</c:v>
                </c:pt>
                <c:pt idx="177">
                  <c:v>44374</c:v>
                </c:pt>
                <c:pt idx="178">
                  <c:v>44375</c:v>
                </c:pt>
                <c:pt idx="179">
                  <c:v>44376</c:v>
                </c:pt>
                <c:pt idx="180">
                  <c:v>44377</c:v>
                </c:pt>
                <c:pt idx="181">
                  <c:v>44378</c:v>
                </c:pt>
                <c:pt idx="182">
                  <c:v>44379</c:v>
                </c:pt>
                <c:pt idx="183">
                  <c:v>44380</c:v>
                </c:pt>
                <c:pt idx="184">
                  <c:v>44381</c:v>
                </c:pt>
                <c:pt idx="185">
                  <c:v>44382</c:v>
                </c:pt>
                <c:pt idx="186">
                  <c:v>44383</c:v>
                </c:pt>
                <c:pt idx="187">
                  <c:v>44384</c:v>
                </c:pt>
                <c:pt idx="188">
                  <c:v>44385</c:v>
                </c:pt>
                <c:pt idx="189">
                  <c:v>44386</c:v>
                </c:pt>
                <c:pt idx="190">
                  <c:v>44387</c:v>
                </c:pt>
                <c:pt idx="191">
                  <c:v>44388</c:v>
                </c:pt>
                <c:pt idx="192">
                  <c:v>44389</c:v>
                </c:pt>
                <c:pt idx="193">
                  <c:v>44390</c:v>
                </c:pt>
                <c:pt idx="194">
                  <c:v>44391</c:v>
                </c:pt>
                <c:pt idx="195">
                  <c:v>44392</c:v>
                </c:pt>
                <c:pt idx="196">
                  <c:v>44393</c:v>
                </c:pt>
                <c:pt idx="197">
                  <c:v>44394</c:v>
                </c:pt>
                <c:pt idx="198">
                  <c:v>44395</c:v>
                </c:pt>
                <c:pt idx="199">
                  <c:v>44396</c:v>
                </c:pt>
                <c:pt idx="200">
                  <c:v>44397</c:v>
                </c:pt>
                <c:pt idx="201">
                  <c:v>44398</c:v>
                </c:pt>
                <c:pt idx="202">
                  <c:v>44399</c:v>
                </c:pt>
                <c:pt idx="203">
                  <c:v>44400</c:v>
                </c:pt>
                <c:pt idx="204">
                  <c:v>44401</c:v>
                </c:pt>
                <c:pt idx="205">
                  <c:v>44402</c:v>
                </c:pt>
                <c:pt idx="206">
                  <c:v>44403</c:v>
                </c:pt>
                <c:pt idx="207">
                  <c:v>44404</c:v>
                </c:pt>
                <c:pt idx="208">
                  <c:v>44405</c:v>
                </c:pt>
                <c:pt idx="209">
                  <c:v>44406</c:v>
                </c:pt>
                <c:pt idx="210">
                  <c:v>44407</c:v>
                </c:pt>
                <c:pt idx="211">
                  <c:v>44408</c:v>
                </c:pt>
                <c:pt idx="212">
                  <c:v>44409</c:v>
                </c:pt>
                <c:pt idx="213">
                  <c:v>44410</c:v>
                </c:pt>
                <c:pt idx="214">
                  <c:v>44411</c:v>
                </c:pt>
                <c:pt idx="215">
                  <c:v>44412</c:v>
                </c:pt>
                <c:pt idx="216">
                  <c:v>44413</c:v>
                </c:pt>
                <c:pt idx="217">
                  <c:v>44414</c:v>
                </c:pt>
                <c:pt idx="218">
                  <c:v>44415</c:v>
                </c:pt>
                <c:pt idx="219">
                  <c:v>44416</c:v>
                </c:pt>
                <c:pt idx="220">
                  <c:v>44417</c:v>
                </c:pt>
                <c:pt idx="221">
                  <c:v>44418</c:v>
                </c:pt>
                <c:pt idx="222">
                  <c:v>44419</c:v>
                </c:pt>
                <c:pt idx="223">
                  <c:v>44420</c:v>
                </c:pt>
                <c:pt idx="224">
                  <c:v>44421</c:v>
                </c:pt>
                <c:pt idx="225">
                  <c:v>44422</c:v>
                </c:pt>
                <c:pt idx="226">
                  <c:v>44423</c:v>
                </c:pt>
                <c:pt idx="227">
                  <c:v>44424</c:v>
                </c:pt>
                <c:pt idx="228">
                  <c:v>44425</c:v>
                </c:pt>
                <c:pt idx="229">
                  <c:v>44426</c:v>
                </c:pt>
                <c:pt idx="230">
                  <c:v>44427</c:v>
                </c:pt>
                <c:pt idx="231">
                  <c:v>44428</c:v>
                </c:pt>
                <c:pt idx="232">
                  <c:v>44429</c:v>
                </c:pt>
                <c:pt idx="233">
                  <c:v>44430</c:v>
                </c:pt>
                <c:pt idx="234">
                  <c:v>44431</c:v>
                </c:pt>
                <c:pt idx="235">
                  <c:v>44432</c:v>
                </c:pt>
                <c:pt idx="236">
                  <c:v>44433</c:v>
                </c:pt>
                <c:pt idx="237">
                  <c:v>44434</c:v>
                </c:pt>
                <c:pt idx="238">
                  <c:v>44435</c:v>
                </c:pt>
                <c:pt idx="239">
                  <c:v>44436</c:v>
                </c:pt>
                <c:pt idx="240">
                  <c:v>44437</c:v>
                </c:pt>
                <c:pt idx="241">
                  <c:v>44438</c:v>
                </c:pt>
                <c:pt idx="242">
                  <c:v>44439</c:v>
                </c:pt>
                <c:pt idx="243">
                  <c:v>44440</c:v>
                </c:pt>
                <c:pt idx="244">
                  <c:v>44441</c:v>
                </c:pt>
                <c:pt idx="245">
                  <c:v>44442</c:v>
                </c:pt>
                <c:pt idx="246">
                  <c:v>44443</c:v>
                </c:pt>
                <c:pt idx="247">
                  <c:v>44444</c:v>
                </c:pt>
                <c:pt idx="248">
                  <c:v>44445</c:v>
                </c:pt>
                <c:pt idx="249">
                  <c:v>44446</c:v>
                </c:pt>
                <c:pt idx="250">
                  <c:v>44447</c:v>
                </c:pt>
                <c:pt idx="251">
                  <c:v>44448</c:v>
                </c:pt>
                <c:pt idx="252">
                  <c:v>44449</c:v>
                </c:pt>
                <c:pt idx="253">
                  <c:v>44450</c:v>
                </c:pt>
                <c:pt idx="254">
                  <c:v>44451</c:v>
                </c:pt>
                <c:pt idx="255">
                  <c:v>44452</c:v>
                </c:pt>
                <c:pt idx="256">
                  <c:v>44453</c:v>
                </c:pt>
                <c:pt idx="257">
                  <c:v>44454</c:v>
                </c:pt>
                <c:pt idx="258">
                  <c:v>44455</c:v>
                </c:pt>
                <c:pt idx="259">
                  <c:v>44456</c:v>
                </c:pt>
                <c:pt idx="260">
                  <c:v>44457</c:v>
                </c:pt>
                <c:pt idx="261">
                  <c:v>44458</c:v>
                </c:pt>
                <c:pt idx="262">
                  <c:v>44459</c:v>
                </c:pt>
                <c:pt idx="263">
                  <c:v>44460</c:v>
                </c:pt>
                <c:pt idx="264">
                  <c:v>44461</c:v>
                </c:pt>
                <c:pt idx="265">
                  <c:v>44462</c:v>
                </c:pt>
                <c:pt idx="266">
                  <c:v>44463</c:v>
                </c:pt>
                <c:pt idx="267">
                  <c:v>44464</c:v>
                </c:pt>
                <c:pt idx="268">
                  <c:v>44465</c:v>
                </c:pt>
                <c:pt idx="269">
                  <c:v>44466</c:v>
                </c:pt>
                <c:pt idx="270">
                  <c:v>44467</c:v>
                </c:pt>
                <c:pt idx="271">
                  <c:v>44468</c:v>
                </c:pt>
                <c:pt idx="272">
                  <c:v>44469</c:v>
                </c:pt>
                <c:pt idx="273">
                  <c:v>44470</c:v>
                </c:pt>
                <c:pt idx="274">
                  <c:v>44471</c:v>
                </c:pt>
                <c:pt idx="275">
                  <c:v>44472</c:v>
                </c:pt>
                <c:pt idx="276">
                  <c:v>44473</c:v>
                </c:pt>
                <c:pt idx="277">
                  <c:v>44474</c:v>
                </c:pt>
                <c:pt idx="278">
                  <c:v>44475</c:v>
                </c:pt>
                <c:pt idx="279">
                  <c:v>44476</c:v>
                </c:pt>
                <c:pt idx="280">
                  <c:v>44477</c:v>
                </c:pt>
                <c:pt idx="281">
                  <c:v>44478</c:v>
                </c:pt>
                <c:pt idx="282">
                  <c:v>44479</c:v>
                </c:pt>
                <c:pt idx="283">
                  <c:v>44480</c:v>
                </c:pt>
                <c:pt idx="284">
                  <c:v>44481</c:v>
                </c:pt>
                <c:pt idx="285">
                  <c:v>44482</c:v>
                </c:pt>
                <c:pt idx="286">
                  <c:v>44483</c:v>
                </c:pt>
                <c:pt idx="287">
                  <c:v>44484</c:v>
                </c:pt>
                <c:pt idx="288">
                  <c:v>44485</c:v>
                </c:pt>
                <c:pt idx="289">
                  <c:v>44486</c:v>
                </c:pt>
                <c:pt idx="290">
                  <c:v>44487</c:v>
                </c:pt>
                <c:pt idx="291">
                  <c:v>44488</c:v>
                </c:pt>
                <c:pt idx="292">
                  <c:v>44489</c:v>
                </c:pt>
                <c:pt idx="293">
                  <c:v>44490</c:v>
                </c:pt>
                <c:pt idx="294">
                  <c:v>44491</c:v>
                </c:pt>
                <c:pt idx="295">
                  <c:v>44492</c:v>
                </c:pt>
                <c:pt idx="296">
                  <c:v>44493</c:v>
                </c:pt>
                <c:pt idx="297">
                  <c:v>44494</c:v>
                </c:pt>
                <c:pt idx="298">
                  <c:v>44495</c:v>
                </c:pt>
                <c:pt idx="299">
                  <c:v>44496</c:v>
                </c:pt>
                <c:pt idx="300">
                  <c:v>44497</c:v>
                </c:pt>
                <c:pt idx="301">
                  <c:v>44498</c:v>
                </c:pt>
                <c:pt idx="302">
                  <c:v>44499</c:v>
                </c:pt>
                <c:pt idx="303">
                  <c:v>44500</c:v>
                </c:pt>
                <c:pt idx="304">
                  <c:v>44501</c:v>
                </c:pt>
                <c:pt idx="305">
                  <c:v>44502</c:v>
                </c:pt>
                <c:pt idx="306">
                  <c:v>44503</c:v>
                </c:pt>
                <c:pt idx="307">
                  <c:v>44504</c:v>
                </c:pt>
                <c:pt idx="308">
                  <c:v>44505</c:v>
                </c:pt>
                <c:pt idx="309">
                  <c:v>44506</c:v>
                </c:pt>
                <c:pt idx="310">
                  <c:v>44507</c:v>
                </c:pt>
                <c:pt idx="311">
                  <c:v>44508</c:v>
                </c:pt>
                <c:pt idx="312">
                  <c:v>44509</c:v>
                </c:pt>
                <c:pt idx="313">
                  <c:v>44510</c:v>
                </c:pt>
                <c:pt idx="314">
                  <c:v>44511</c:v>
                </c:pt>
                <c:pt idx="315">
                  <c:v>44512</c:v>
                </c:pt>
                <c:pt idx="316">
                  <c:v>44513</c:v>
                </c:pt>
                <c:pt idx="317">
                  <c:v>44514</c:v>
                </c:pt>
                <c:pt idx="318">
                  <c:v>44515</c:v>
                </c:pt>
                <c:pt idx="319">
                  <c:v>44516</c:v>
                </c:pt>
                <c:pt idx="320">
                  <c:v>44517</c:v>
                </c:pt>
                <c:pt idx="321">
                  <c:v>44518</c:v>
                </c:pt>
                <c:pt idx="322">
                  <c:v>44519</c:v>
                </c:pt>
                <c:pt idx="323">
                  <c:v>44520</c:v>
                </c:pt>
                <c:pt idx="324">
                  <c:v>44521</c:v>
                </c:pt>
                <c:pt idx="325">
                  <c:v>44522</c:v>
                </c:pt>
                <c:pt idx="326">
                  <c:v>44523</c:v>
                </c:pt>
                <c:pt idx="327">
                  <c:v>44524</c:v>
                </c:pt>
                <c:pt idx="328">
                  <c:v>44525</c:v>
                </c:pt>
                <c:pt idx="329">
                  <c:v>44526</c:v>
                </c:pt>
                <c:pt idx="330">
                  <c:v>44527</c:v>
                </c:pt>
                <c:pt idx="331">
                  <c:v>44528</c:v>
                </c:pt>
                <c:pt idx="332">
                  <c:v>44529</c:v>
                </c:pt>
                <c:pt idx="333">
                  <c:v>44530</c:v>
                </c:pt>
                <c:pt idx="334">
                  <c:v>44531</c:v>
                </c:pt>
                <c:pt idx="335">
                  <c:v>44532</c:v>
                </c:pt>
                <c:pt idx="336">
                  <c:v>44533</c:v>
                </c:pt>
                <c:pt idx="337">
                  <c:v>44534</c:v>
                </c:pt>
                <c:pt idx="338">
                  <c:v>44535</c:v>
                </c:pt>
                <c:pt idx="339">
                  <c:v>44536</c:v>
                </c:pt>
                <c:pt idx="340">
                  <c:v>44537</c:v>
                </c:pt>
                <c:pt idx="341">
                  <c:v>44538</c:v>
                </c:pt>
                <c:pt idx="342">
                  <c:v>44539</c:v>
                </c:pt>
                <c:pt idx="343">
                  <c:v>44540</c:v>
                </c:pt>
                <c:pt idx="344">
                  <c:v>44541</c:v>
                </c:pt>
                <c:pt idx="345">
                  <c:v>44542</c:v>
                </c:pt>
                <c:pt idx="346">
                  <c:v>44543</c:v>
                </c:pt>
                <c:pt idx="347">
                  <c:v>44544</c:v>
                </c:pt>
                <c:pt idx="348">
                  <c:v>44545</c:v>
                </c:pt>
                <c:pt idx="349">
                  <c:v>44546</c:v>
                </c:pt>
                <c:pt idx="350">
                  <c:v>44547</c:v>
                </c:pt>
                <c:pt idx="351">
                  <c:v>44548</c:v>
                </c:pt>
                <c:pt idx="352">
                  <c:v>44549</c:v>
                </c:pt>
                <c:pt idx="353">
                  <c:v>44550</c:v>
                </c:pt>
                <c:pt idx="354">
                  <c:v>44551</c:v>
                </c:pt>
                <c:pt idx="355">
                  <c:v>44552</c:v>
                </c:pt>
                <c:pt idx="356">
                  <c:v>44553</c:v>
                </c:pt>
                <c:pt idx="357">
                  <c:v>44554</c:v>
                </c:pt>
                <c:pt idx="358">
                  <c:v>44555</c:v>
                </c:pt>
                <c:pt idx="359">
                  <c:v>44556</c:v>
                </c:pt>
                <c:pt idx="360">
                  <c:v>44557</c:v>
                </c:pt>
                <c:pt idx="361">
                  <c:v>44558</c:v>
                </c:pt>
                <c:pt idx="362">
                  <c:v>44559</c:v>
                </c:pt>
                <c:pt idx="363">
                  <c:v>44560</c:v>
                </c:pt>
                <c:pt idx="364">
                  <c:v>44561</c:v>
                </c:pt>
              </c:numCache>
            </c:numRef>
          </c:cat>
          <c:val>
            <c:numRef>
              <c:f>猪价!$J$2:$J$366</c:f>
              <c:numCache>
                <c:formatCode>General</c:formatCode>
                <c:ptCount val="365"/>
                <c:pt idx="0">
                  <c:v>#N/A</c:v>
                </c:pt>
                <c:pt idx="1">
                  <c:v>45.4</c:v>
                </c:pt>
                <c:pt idx="2">
                  <c:v>#N/A</c:v>
                </c:pt>
                <c:pt idx="3">
                  <c:v>#N/A</c:v>
                </c:pt>
                <c:pt idx="4">
                  <c:v>#N/A</c:v>
                </c:pt>
                <c:pt idx="5">
                  <c:v>#N/A</c:v>
                </c:pt>
                <c:pt idx="6">
                  <c:v>#N/A</c:v>
                </c:pt>
                <c:pt idx="7">
                  <c:v>#N/A</c:v>
                </c:pt>
                <c:pt idx="8">
                  <c:v>46.26</c:v>
                </c:pt>
                <c:pt idx="9">
                  <c:v>#N/A</c:v>
                </c:pt>
                <c:pt idx="10">
                  <c:v>#N/A</c:v>
                </c:pt>
                <c:pt idx="11">
                  <c:v>#N/A</c:v>
                </c:pt>
                <c:pt idx="12">
                  <c:v>#N/A</c:v>
                </c:pt>
                <c:pt idx="13">
                  <c:v>#N/A</c:v>
                </c:pt>
                <c:pt idx="14">
                  <c:v>#N/A</c:v>
                </c:pt>
                <c:pt idx="15">
                  <c:v>47.58</c:v>
                </c:pt>
                <c:pt idx="16">
                  <c:v>#N/A</c:v>
                </c:pt>
                <c:pt idx="17">
                  <c:v>#N/A</c:v>
                </c:pt>
                <c:pt idx="18">
                  <c:v>#N/A</c:v>
                </c:pt>
                <c:pt idx="19">
                  <c:v>#N/A</c:v>
                </c:pt>
                <c:pt idx="20">
                  <c:v>#N/A</c:v>
                </c:pt>
                <c:pt idx="21">
                  <c:v>#N/A</c:v>
                </c:pt>
                <c:pt idx="22">
                  <c:v>47</c:v>
                </c:pt>
                <c:pt idx="23">
                  <c:v>#N/A</c:v>
                </c:pt>
                <c:pt idx="24">
                  <c:v>#N/A</c:v>
                </c:pt>
                <c:pt idx="25">
                  <c:v>#N/A</c:v>
                </c:pt>
                <c:pt idx="26">
                  <c:v>#N/A</c:v>
                </c:pt>
                <c:pt idx="27">
                  <c:v>#N/A</c:v>
                </c:pt>
                <c:pt idx="28">
                  <c:v>#N/A</c:v>
                </c:pt>
                <c:pt idx="29">
                  <c:v>46.37</c:v>
                </c:pt>
                <c:pt idx="30">
                  <c:v>#N/A</c:v>
                </c:pt>
                <c:pt idx="31">
                  <c:v>#N/A</c:v>
                </c:pt>
                <c:pt idx="32">
                  <c:v>#N/A</c:v>
                </c:pt>
                <c:pt idx="33">
                  <c:v>#N/A</c:v>
                </c:pt>
                <c:pt idx="34">
                  <c:v>#N/A</c:v>
                </c:pt>
                <c:pt idx="35">
                  <c:v>#N/A</c:v>
                </c:pt>
                <c:pt idx="36">
                  <c:v>45.23</c:v>
                </c:pt>
                <c:pt idx="37">
                  <c:v>#N/A</c:v>
                </c:pt>
                <c:pt idx="38">
                  <c:v>#N/A</c:v>
                </c:pt>
                <c:pt idx="39">
                  <c:v>#N/A</c:v>
                </c:pt>
                <c:pt idx="40">
                  <c:v>#N/A</c:v>
                </c:pt>
                <c:pt idx="41">
                  <c:v>#N/A</c:v>
                </c:pt>
                <c:pt idx="42">
                  <c:v>#N/A</c:v>
                </c:pt>
                <c:pt idx="43">
                  <c:v>45.39</c:v>
                </c:pt>
                <c:pt idx="44">
                  <c:v>#N/A</c:v>
                </c:pt>
                <c:pt idx="45">
                  <c:v>#N/A</c:v>
                </c:pt>
                <c:pt idx="46">
                  <c:v>#N/A</c:v>
                </c:pt>
                <c:pt idx="47">
                  <c:v>#N/A</c:v>
                </c:pt>
                <c:pt idx="48">
                  <c:v>#N/A</c:v>
                </c:pt>
                <c:pt idx="49">
                  <c:v>#N/A</c:v>
                </c:pt>
                <c:pt idx="50">
                  <c:v>42.18</c:v>
                </c:pt>
                <c:pt idx="51">
                  <c:v>#N/A</c:v>
                </c:pt>
                <c:pt idx="52">
                  <c:v>#N/A</c:v>
                </c:pt>
                <c:pt idx="53">
                  <c:v>#N/A</c:v>
                </c:pt>
                <c:pt idx="54">
                  <c:v>#N/A</c:v>
                </c:pt>
                <c:pt idx="55">
                  <c:v>#N/A</c:v>
                </c:pt>
                <c:pt idx="56">
                  <c:v>#N/A</c:v>
                </c:pt>
                <c:pt idx="57">
                  <c:v>39.049999999999997</c:v>
                </c:pt>
                <c:pt idx="58">
                  <c:v>#N/A</c:v>
                </c:pt>
                <c:pt idx="59">
                  <c:v>#N/A</c:v>
                </c:pt>
                <c:pt idx="60">
                  <c:v>#N/A</c:v>
                </c:pt>
                <c:pt idx="61">
                  <c:v>#N/A</c:v>
                </c:pt>
                <c:pt idx="62">
                  <c:v>#N/A</c:v>
                </c:pt>
                <c:pt idx="63">
                  <c:v>#N/A</c:v>
                </c:pt>
                <c:pt idx="64">
                  <c:v>38.57</c:v>
                </c:pt>
                <c:pt idx="65">
                  <c:v>#N/A</c:v>
                </c:pt>
                <c:pt idx="66">
                  <c:v>#N/A</c:v>
                </c:pt>
                <c:pt idx="67">
                  <c:v>#N/A</c:v>
                </c:pt>
                <c:pt idx="68">
                  <c:v>#N/A</c:v>
                </c:pt>
                <c:pt idx="69">
                  <c:v>#N/A</c:v>
                </c:pt>
                <c:pt idx="70">
                  <c:v>#N/A</c:v>
                </c:pt>
                <c:pt idx="71">
                  <c:v>38</c:v>
                </c:pt>
                <c:pt idx="72">
                  <c:v>#N/A</c:v>
                </c:pt>
                <c:pt idx="73">
                  <c:v>#N/A</c:v>
                </c:pt>
                <c:pt idx="74">
                  <c:v>#N/A</c:v>
                </c:pt>
                <c:pt idx="75">
                  <c:v>#N/A</c:v>
                </c:pt>
                <c:pt idx="76">
                  <c:v>#N/A</c:v>
                </c:pt>
                <c:pt idx="77">
                  <c:v>#N/A</c:v>
                </c:pt>
                <c:pt idx="78">
                  <c:v>37.299999999999997</c:v>
                </c:pt>
                <c:pt idx="79">
                  <c:v>#N/A</c:v>
                </c:pt>
                <c:pt idx="80">
                  <c:v>#N/A</c:v>
                </c:pt>
                <c:pt idx="81">
                  <c:v>#N/A</c:v>
                </c:pt>
                <c:pt idx="82">
                  <c:v>#N/A</c:v>
                </c:pt>
                <c:pt idx="83">
                  <c:v>#N/A</c:v>
                </c:pt>
                <c:pt idx="84">
                  <c:v>#N/A</c:v>
                </c:pt>
                <c:pt idx="85">
                  <c:v>#N/A</c:v>
                </c:pt>
                <c:pt idx="86">
                  <c:v>#N/A</c:v>
                </c:pt>
                <c:pt idx="87">
                  <c:v>#N/A</c:v>
                </c:pt>
                <c:pt idx="88">
                  <c:v>#N/A</c:v>
                </c:pt>
                <c:pt idx="89">
                  <c:v>#N/A</c:v>
                </c:pt>
                <c:pt idx="90">
                  <c:v>#N/A</c:v>
                </c:pt>
                <c:pt idx="91">
                  <c:v>#N/A</c:v>
                </c:pt>
                <c:pt idx="92">
                  <c:v>#N/A</c:v>
                </c:pt>
                <c:pt idx="93">
                  <c:v>#N/A</c:v>
                </c:pt>
                <c:pt idx="94">
                  <c:v>#N/A</c:v>
                </c:pt>
                <c:pt idx="95">
                  <c:v>#N/A</c:v>
                </c:pt>
                <c:pt idx="96">
                  <c:v>#N/A</c:v>
                </c:pt>
                <c:pt idx="97">
                  <c:v>#N/A</c:v>
                </c:pt>
                <c:pt idx="98">
                  <c:v>#N/A</c:v>
                </c:pt>
                <c:pt idx="99">
                  <c:v>#N/A</c:v>
                </c:pt>
                <c:pt idx="100">
                  <c:v>#N/A</c:v>
                </c:pt>
                <c:pt idx="101">
                  <c:v>#N/A</c:v>
                </c:pt>
                <c:pt idx="102">
                  <c:v>#N/A</c:v>
                </c:pt>
                <c:pt idx="103">
                  <c:v>#N/A</c:v>
                </c:pt>
                <c:pt idx="104">
                  <c:v>#N/A</c:v>
                </c:pt>
                <c:pt idx="105">
                  <c:v>#N/A</c:v>
                </c:pt>
                <c:pt idx="106">
                  <c:v>#N/A</c:v>
                </c:pt>
                <c:pt idx="107">
                  <c:v>#N/A</c:v>
                </c:pt>
                <c:pt idx="108">
                  <c:v>#N/A</c:v>
                </c:pt>
                <c:pt idx="109">
                  <c:v>#N/A</c:v>
                </c:pt>
                <c:pt idx="110">
                  <c:v>#N/A</c:v>
                </c:pt>
                <c:pt idx="111">
                  <c:v>#N/A</c:v>
                </c:pt>
                <c:pt idx="112">
                  <c:v>#N/A</c:v>
                </c:pt>
                <c:pt idx="113">
                  <c:v>#N/A</c:v>
                </c:pt>
                <c:pt idx="114">
                  <c:v>#N/A</c:v>
                </c:pt>
                <c:pt idx="115">
                  <c:v>#N/A</c:v>
                </c:pt>
                <c:pt idx="116">
                  <c:v>#N/A</c:v>
                </c:pt>
                <c:pt idx="117">
                  <c:v>#N/A</c:v>
                </c:pt>
                <c:pt idx="118">
                  <c:v>#N/A</c:v>
                </c:pt>
                <c:pt idx="119">
                  <c:v>#N/A</c:v>
                </c:pt>
                <c:pt idx="120">
                  <c:v>#N/A</c:v>
                </c:pt>
                <c:pt idx="121">
                  <c:v>#N/A</c:v>
                </c:pt>
                <c:pt idx="122">
                  <c:v>#N/A</c:v>
                </c:pt>
                <c:pt idx="123">
                  <c:v>#N/A</c:v>
                </c:pt>
                <c:pt idx="124">
                  <c:v>#N/A</c:v>
                </c:pt>
                <c:pt idx="125">
                  <c:v>#N/A</c:v>
                </c:pt>
                <c:pt idx="126">
                  <c:v>#N/A</c:v>
                </c:pt>
                <c:pt idx="127">
                  <c:v>#N/A</c:v>
                </c:pt>
                <c:pt idx="128">
                  <c:v>#N/A</c:v>
                </c:pt>
                <c:pt idx="129">
                  <c:v>#N/A</c:v>
                </c:pt>
                <c:pt idx="130">
                  <c:v>#N/A</c:v>
                </c:pt>
                <c:pt idx="131">
                  <c:v>#N/A</c:v>
                </c:pt>
                <c:pt idx="132">
                  <c:v>#N/A</c:v>
                </c:pt>
                <c:pt idx="133">
                  <c:v>#N/A</c:v>
                </c:pt>
                <c:pt idx="134">
                  <c:v>#N/A</c:v>
                </c:pt>
                <c:pt idx="135">
                  <c:v>#N/A</c:v>
                </c:pt>
                <c:pt idx="136">
                  <c:v>#N/A</c:v>
                </c:pt>
                <c:pt idx="137">
                  <c:v>#N/A</c:v>
                </c:pt>
                <c:pt idx="138">
                  <c:v>#N/A</c:v>
                </c:pt>
                <c:pt idx="139">
                  <c:v>#N/A</c:v>
                </c:pt>
                <c:pt idx="140">
                  <c:v>#N/A</c:v>
                </c:pt>
                <c:pt idx="141">
                  <c:v>#N/A</c:v>
                </c:pt>
                <c:pt idx="142">
                  <c:v>#N/A</c:v>
                </c:pt>
                <c:pt idx="143">
                  <c:v>#N/A</c:v>
                </c:pt>
                <c:pt idx="144">
                  <c:v>#N/A</c:v>
                </c:pt>
                <c:pt idx="145">
                  <c:v>#N/A</c:v>
                </c:pt>
                <c:pt idx="146">
                  <c:v>#N/A</c:v>
                </c:pt>
                <c:pt idx="147">
                  <c:v>#N/A</c:v>
                </c:pt>
                <c:pt idx="148">
                  <c:v>#N/A</c:v>
                </c:pt>
                <c:pt idx="149">
                  <c:v>#N/A</c:v>
                </c:pt>
                <c:pt idx="150">
                  <c:v>#N/A</c:v>
                </c:pt>
                <c:pt idx="151">
                  <c:v>#N/A</c:v>
                </c:pt>
                <c:pt idx="152">
                  <c:v>#N/A</c:v>
                </c:pt>
                <c:pt idx="153">
                  <c:v>#N/A</c:v>
                </c:pt>
                <c:pt idx="154">
                  <c:v>#N/A</c:v>
                </c:pt>
                <c:pt idx="155">
                  <c:v>#N/A</c:v>
                </c:pt>
                <c:pt idx="156">
                  <c:v>#N/A</c:v>
                </c:pt>
                <c:pt idx="157">
                  <c:v>#N/A</c:v>
                </c:pt>
                <c:pt idx="158">
                  <c:v>#N/A</c:v>
                </c:pt>
                <c:pt idx="159">
                  <c:v>#N/A</c:v>
                </c:pt>
                <c:pt idx="160">
                  <c:v>#N/A</c:v>
                </c:pt>
                <c:pt idx="161">
                  <c:v>#N/A</c:v>
                </c:pt>
                <c:pt idx="162">
                  <c:v>#N/A</c:v>
                </c:pt>
                <c:pt idx="163">
                  <c:v>#N/A</c:v>
                </c:pt>
                <c:pt idx="164">
                  <c:v>#N/A</c:v>
                </c:pt>
                <c:pt idx="165">
                  <c:v>#N/A</c:v>
                </c:pt>
                <c:pt idx="166">
                  <c:v>#N/A</c:v>
                </c:pt>
                <c:pt idx="167">
                  <c:v>#N/A</c:v>
                </c:pt>
                <c:pt idx="168">
                  <c:v>#N/A</c:v>
                </c:pt>
                <c:pt idx="169">
                  <c:v>#N/A</c:v>
                </c:pt>
                <c:pt idx="170">
                  <c:v>#N/A</c:v>
                </c:pt>
                <c:pt idx="171">
                  <c:v>#N/A</c:v>
                </c:pt>
                <c:pt idx="172">
                  <c:v>#N/A</c:v>
                </c:pt>
                <c:pt idx="173">
                  <c:v>#N/A</c:v>
                </c:pt>
                <c:pt idx="174">
                  <c:v>#N/A</c:v>
                </c:pt>
                <c:pt idx="175">
                  <c:v>#N/A</c:v>
                </c:pt>
                <c:pt idx="176">
                  <c:v>#N/A</c:v>
                </c:pt>
                <c:pt idx="177">
                  <c:v>#N/A</c:v>
                </c:pt>
                <c:pt idx="178">
                  <c:v>#N/A</c:v>
                </c:pt>
                <c:pt idx="179">
                  <c:v>#N/A</c:v>
                </c:pt>
                <c:pt idx="180">
                  <c:v>#N/A</c:v>
                </c:pt>
                <c:pt idx="181">
                  <c:v>#N/A</c:v>
                </c:pt>
                <c:pt idx="182">
                  <c:v>#N/A</c:v>
                </c:pt>
                <c:pt idx="183">
                  <c:v>#N/A</c:v>
                </c:pt>
                <c:pt idx="184">
                  <c:v>#N/A</c:v>
                </c:pt>
                <c:pt idx="185">
                  <c:v>#N/A</c:v>
                </c:pt>
                <c:pt idx="186">
                  <c:v>#N/A</c:v>
                </c:pt>
                <c:pt idx="187">
                  <c:v>#N/A</c:v>
                </c:pt>
                <c:pt idx="188">
                  <c:v>#N/A</c:v>
                </c:pt>
                <c:pt idx="189">
                  <c:v>#N/A</c:v>
                </c:pt>
                <c:pt idx="190">
                  <c:v>#N/A</c:v>
                </c:pt>
                <c:pt idx="191">
                  <c:v>#N/A</c:v>
                </c:pt>
                <c:pt idx="192">
                  <c:v>#N/A</c:v>
                </c:pt>
                <c:pt idx="193">
                  <c:v>#N/A</c:v>
                </c:pt>
                <c:pt idx="194">
                  <c:v>#N/A</c:v>
                </c:pt>
                <c:pt idx="195">
                  <c:v>#N/A</c:v>
                </c:pt>
                <c:pt idx="196">
                  <c:v>#N/A</c:v>
                </c:pt>
                <c:pt idx="197">
                  <c:v>#N/A</c:v>
                </c:pt>
                <c:pt idx="198">
                  <c:v>#N/A</c:v>
                </c:pt>
                <c:pt idx="199">
                  <c:v>#N/A</c:v>
                </c:pt>
                <c:pt idx="200">
                  <c:v>#N/A</c:v>
                </c:pt>
                <c:pt idx="201">
                  <c:v>#N/A</c:v>
                </c:pt>
                <c:pt idx="202">
                  <c:v>#N/A</c:v>
                </c:pt>
                <c:pt idx="203">
                  <c:v>#N/A</c:v>
                </c:pt>
                <c:pt idx="204">
                  <c:v>#N/A</c:v>
                </c:pt>
                <c:pt idx="205">
                  <c:v>#N/A</c:v>
                </c:pt>
                <c:pt idx="206">
                  <c:v>#N/A</c:v>
                </c:pt>
                <c:pt idx="207">
                  <c:v>#N/A</c:v>
                </c:pt>
                <c:pt idx="208">
                  <c:v>#N/A</c:v>
                </c:pt>
                <c:pt idx="209">
                  <c:v>#N/A</c:v>
                </c:pt>
                <c:pt idx="210">
                  <c:v>#N/A</c:v>
                </c:pt>
                <c:pt idx="211">
                  <c:v>#N/A</c:v>
                </c:pt>
                <c:pt idx="212">
                  <c:v>#N/A</c:v>
                </c:pt>
                <c:pt idx="213">
                  <c:v>#N/A</c:v>
                </c:pt>
                <c:pt idx="214">
                  <c:v>#N/A</c:v>
                </c:pt>
                <c:pt idx="215">
                  <c:v>#N/A</c:v>
                </c:pt>
                <c:pt idx="216">
                  <c:v>#N/A</c:v>
                </c:pt>
                <c:pt idx="217">
                  <c:v>#N/A</c:v>
                </c:pt>
                <c:pt idx="218">
                  <c:v>#N/A</c:v>
                </c:pt>
                <c:pt idx="219">
                  <c:v>#N/A</c:v>
                </c:pt>
                <c:pt idx="220">
                  <c:v>#N/A</c:v>
                </c:pt>
                <c:pt idx="221">
                  <c:v>#N/A</c:v>
                </c:pt>
                <c:pt idx="222">
                  <c:v>#N/A</c:v>
                </c:pt>
                <c:pt idx="223">
                  <c:v>#N/A</c:v>
                </c:pt>
                <c:pt idx="224">
                  <c:v>#N/A</c:v>
                </c:pt>
                <c:pt idx="225">
                  <c:v>#N/A</c:v>
                </c:pt>
                <c:pt idx="226">
                  <c:v>#N/A</c:v>
                </c:pt>
                <c:pt idx="227">
                  <c:v>#N/A</c:v>
                </c:pt>
                <c:pt idx="228">
                  <c:v>#N/A</c:v>
                </c:pt>
                <c:pt idx="229">
                  <c:v>#N/A</c:v>
                </c:pt>
                <c:pt idx="230">
                  <c:v>#N/A</c:v>
                </c:pt>
                <c:pt idx="231">
                  <c:v>#N/A</c:v>
                </c:pt>
                <c:pt idx="232">
                  <c:v>#N/A</c:v>
                </c:pt>
                <c:pt idx="233">
                  <c:v>#N/A</c:v>
                </c:pt>
                <c:pt idx="234">
                  <c:v>#N/A</c:v>
                </c:pt>
                <c:pt idx="235">
                  <c:v>#N/A</c:v>
                </c:pt>
                <c:pt idx="236">
                  <c:v>#N/A</c:v>
                </c:pt>
                <c:pt idx="237">
                  <c:v>#N/A</c:v>
                </c:pt>
                <c:pt idx="238">
                  <c:v>#N/A</c:v>
                </c:pt>
                <c:pt idx="239">
                  <c:v>#N/A</c:v>
                </c:pt>
                <c:pt idx="240">
                  <c:v>#N/A</c:v>
                </c:pt>
                <c:pt idx="241">
                  <c:v>#N/A</c:v>
                </c:pt>
                <c:pt idx="242">
                  <c:v>#N/A</c:v>
                </c:pt>
                <c:pt idx="243">
                  <c:v>#N/A</c:v>
                </c:pt>
                <c:pt idx="244">
                  <c:v>#N/A</c:v>
                </c:pt>
                <c:pt idx="245">
                  <c:v>#N/A</c:v>
                </c:pt>
                <c:pt idx="246">
                  <c:v>#N/A</c:v>
                </c:pt>
                <c:pt idx="247">
                  <c:v>#N/A</c:v>
                </c:pt>
                <c:pt idx="248">
                  <c:v>#N/A</c:v>
                </c:pt>
                <c:pt idx="249">
                  <c:v>#N/A</c:v>
                </c:pt>
                <c:pt idx="250">
                  <c:v>#N/A</c:v>
                </c:pt>
                <c:pt idx="251">
                  <c:v>#N/A</c:v>
                </c:pt>
                <c:pt idx="252">
                  <c:v>#N/A</c:v>
                </c:pt>
                <c:pt idx="253">
                  <c:v>#N/A</c:v>
                </c:pt>
                <c:pt idx="254">
                  <c:v>#N/A</c:v>
                </c:pt>
                <c:pt idx="255">
                  <c:v>#N/A</c:v>
                </c:pt>
                <c:pt idx="256">
                  <c:v>#N/A</c:v>
                </c:pt>
                <c:pt idx="257">
                  <c:v>#N/A</c:v>
                </c:pt>
                <c:pt idx="258">
                  <c:v>#N/A</c:v>
                </c:pt>
                <c:pt idx="259">
                  <c:v>#N/A</c:v>
                </c:pt>
                <c:pt idx="260">
                  <c:v>#N/A</c:v>
                </c:pt>
                <c:pt idx="261">
                  <c:v>#N/A</c:v>
                </c:pt>
                <c:pt idx="262">
                  <c:v>#N/A</c:v>
                </c:pt>
                <c:pt idx="263">
                  <c:v>#N/A</c:v>
                </c:pt>
                <c:pt idx="264">
                  <c:v>#N/A</c:v>
                </c:pt>
                <c:pt idx="265">
                  <c:v>#N/A</c:v>
                </c:pt>
                <c:pt idx="266">
                  <c:v>#N/A</c:v>
                </c:pt>
                <c:pt idx="267">
                  <c:v>#N/A</c:v>
                </c:pt>
                <c:pt idx="268">
                  <c:v>#N/A</c:v>
                </c:pt>
                <c:pt idx="269">
                  <c:v>#N/A</c:v>
                </c:pt>
                <c:pt idx="270">
                  <c:v>#N/A</c:v>
                </c:pt>
                <c:pt idx="271">
                  <c:v>#N/A</c:v>
                </c:pt>
                <c:pt idx="272">
                  <c:v>#N/A</c:v>
                </c:pt>
                <c:pt idx="273">
                  <c:v>#N/A</c:v>
                </c:pt>
                <c:pt idx="274">
                  <c:v>#N/A</c:v>
                </c:pt>
                <c:pt idx="275">
                  <c:v>#N/A</c:v>
                </c:pt>
                <c:pt idx="276">
                  <c:v>#N/A</c:v>
                </c:pt>
                <c:pt idx="277">
                  <c:v>#N/A</c:v>
                </c:pt>
                <c:pt idx="278">
                  <c:v>#N/A</c:v>
                </c:pt>
                <c:pt idx="279">
                  <c:v>#N/A</c:v>
                </c:pt>
                <c:pt idx="280">
                  <c:v>#N/A</c:v>
                </c:pt>
                <c:pt idx="281">
                  <c:v>#N/A</c:v>
                </c:pt>
                <c:pt idx="282">
                  <c:v>#N/A</c:v>
                </c:pt>
                <c:pt idx="283">
                  <c:v>#N/A</c:v>
                </c:pt>
                <c:pt idx="284">
                  <c:v>#N/A</c:v>
                </c:pt>
                <c:pt idx="285">
                  <c:v>#N/A</c:v>
                </c:pt>
                <c:pt idx="286">
                  <c:v>#N/A</c:v>
                </c:pt>
                <c:pt idx="287">
                  <c:v>#N/A</c:v>
                </c:pt>
                <c:pt idx="288">
                  <c:v>#N/A</c:v>
                </c:pt>
                <c:pt idx="289">
                  <c:v>#N/A</c:v>
                </c:pt>
                <c:pt idx="290">
                  <c:v>#N/A</c:v>
                </c:pt>
                <c:pt idx="291">
                  <c:v>#N/A</c:v>
                </c:pt>
                <c:pt idx="292">
                  <c:v>#N/A</c:v>
                </c:pt>
                <c:pt idx="293">
                  <c:v>#N/A</c:v>
                </c:pt>
                <c:pt idx="294">
                  <c:v>#N/A</c:v>
                </c:pt>
                <c:pt idx="295">
                  <c:v>#N/A</c:v>
                </c:pt>
                <c:pt idx="296">
                  <c:v>#N/A</c:v>
                </c:pt>
                <c:pt idx="297">
                  <c:v>#N/A</c:v>
                </c:pt>
                <c:pt idx="298">
                  <c:v>#N/A</c:v>
                </c:pt>
                <c:pt idx="299">
                  <c:v>#N/A</c:v>
                </c:pt>
                <c:pt idx="300">
                  <c:v>#N/A</c:v>
                </c:pt>
                <c:pt idx="301">
                  <c:v>#N/A</c:v>
                </c:pt>
                <c:pt idx="302">
                  <c:v>#N/A</c:v>
                </c:pt>
                <c:pt idx="303">
                  <c:v>#N/A</c:v>
                </c:pt>
                <c:pt idx="304">
                  <c:v>#N/A</c:v>
                </c:pt>
                <c:pt idx="305">
                  <c:v>#N/A</c:v>
                </c:pt>
                <c:pt idx="306">
                  <c:v>#N/A</c:v>
                </c:pt>
                <c:pt idx="307">
                  <c:v>#N/A</c:v>
                </c:pt>
                <c:pt idx="308">
                  <c:v>#N/A</c:v>
                </c:pt>
                <c:pt idx="309">
                  <c:v>#N/A</c:v>
                </c:pt>
                <c:pt idx="310">
                  <c:v>#N/A</c:v>
                </c:pt>
                <c:pt idx="311">
                  <c:v>#N/A</c:v>
                </c:pt>
                <c:pt idx="312">
                  <c:v>#N/A</c:v>
                </c:pt>
                <c:pt idx="313">
                  <c:v>#N/A</c:v>
                </c:pt>
                <c:pt idx="314">
                  <c:v>#N/A</c:v>
                </c:pt>
                <c:pt idx="315">
                  <c:v>#N/A</c:v>
                </c:pt>
                <c:pt idx="316">
                  <c:v>#N/A</c:v>
                </c:pt>
                <c:pt idx="317">
                  <c:v>#N/A</c:v>
                </c:pt>
                <c:pt idx="318">
                  <c:v>#N/A</c:v>
                </c:pt>
                <c:pt idx="319">
                  <c:v>#N/A</c:v>
                </c:pt>
                <c:pt idx="320">
                  <c:v>#N/A</c:v>
                </c:pt>
                <c:pt idx="321">
                  <c:v>#N/A</c:v>
                </c:pt>
                <c:pt idx="322">
                  <c:v>#N/A</c:v>
                </c:pt>
                <c:pt idx="323">
                  <c:v>#N/A</c:v>
                </c:pt>
                <c:pt idx="324">
                  <c:v>#N/A</c:v>
                </c:pt>
                <c:pt idx="325">
                  <c:v>#N/A</c:v>
                </c:pt>
                <c:pt idx="326">
                  <c:v>#N/A</c:v>
                </c:pt>
                <c:pt idx="327">
                  <c:v>#N/A</c:v>
                </c:pt>
                <c:pt idx="328">
                  <c:v>#N/A</c:v>
                </c:pt>
                <c:pt idx="329">
                  <c:v>#N/A</c:v>
                </c:pt>
                <c:pt idx="330">
                  <c:v>#N/A</c:v>
                </c:pt>
                <c:pt idx="331">
                  <c:v>#N/A</c:v>
                </c:pt>
                <c:pt idx="332">
                  <c:v>#N/A</c:v>
                </c:pt>
                <c:pt idx="333">
                  <c:v>#N/A</c:v>
                </c:pt>
                <c:pt idx="334">
                  <c:v>#N/A</c:v>
                </c:pt>
                <c:pt idx="335">
                  <c:v>#N/A</c:v>
                </c:pt>
                <c:pt idx="336">
                  <c:v>#N/A</c:v>
                </c:pt>
                <c:pt idx="337">
                  <c:v>#N/A</c:v>
                </c:pt>
                <c:pt idx="338">
                  <c:v>#N/A</c:v>
                </c:pt>
                <c:pt idx="339">
                  <c:v>#N/A</c:v>
                </c:pt>
                <c:pt idx="340">
                  <c:v>#N/A</c:v>
                </c:pt>
                <c:pt idx="341">
                  <c:v>#N/A</c:v>
                </c:pt>
                <c:pt idx="342">
                  <c:v>#N/A</c:v>
                </c:pt>
                <c:pt idx="343">
                  <c:v>#N/A</c:v>
                </c:pt>
                <c:pt idx="344">
                  <c:v>#N/A</c:v>
                </c:pt>
                <c:pt idx="345">
                  <c:v>#N/A</c:v>
                </c:pt>
                <c:pt idx="346">
                  <c:v>#N/A</c:v>
                </c:pt>
                <c:pt idx="347">
                  <c:v>#N/A</c:v>
                </c:pt>
                <c:pt idx="348">
                  <c:v>#N/A</c:v>
                </c:pt>
                <c:pt idx="349">
                  <c:v>#N/A</c:v>
                </c:pt>
                <c:pt idx="350">
                  <c:v>#N/A</c:v>
                </c:pt>
                <c:pt idx="351">
                  <c:v>#N/A</c:v>
                </c:pt>
                <c:pt idx="352">
                  <c:v>#N/A</c:v>
                </c:pt>
                <c:pt idx="353">
                  <c:v>#N/A</c:v>
                </c:pt>
                <c:pt idx="354">
                  <c:v>#N/A</c:v>
                </c:pt>
                <c:pt idx="355">
                  <c:v>#N/A</c:v>
                </c:pt>
                <c:pt idx="356">
                  <c:v>#N/A</c:v>
                </c:pt>
                <c:pt idx="357">
                  <c:v>#N/A</c:v>
                </c:pt>
                <c:pt idx="358">
                  <c:v>#N/A</c:v>
                </c:pt>
                <c:pt idx="359">
                  <c:v>#N/A</c:v>
                </c:pt>
                <c:pt idx="360">
                  <c:v>#N/A</c:v>
                </c:pt>
                <c:pt idx="361">
                  <c:v>#N/A</c:v>
                </c:pt>
                <c:pt idx="362">
                  <c:v>#N/A</c:v>
                </c:pt>
                <c:pt idx="363">
                  <c:v>#N/A</c:v>
                </c:pt>
                <c:pt idx="364">
                  <c:v>#N/A</c:v>
                </c:pt>
              </c:numCache>
            </c:numRef>
          </c:val>
          <c:smooth val="0"/>
          <c:extLst xmlns:c16r2="http://schemas.microsoft.com/office/drawing/2015/06/chart">
            <c:ext xmlns:c16="http://schemas.microsoft.com/office/drawing/2014/chart" uri="{C3380CC4-5D6E-409C-BE32-E72D297353CC}">
              <c16:uniqueId val="{00000002-A56C-418F-BC77-CD42435CCAC2}"/>
            </c:ext>
          </c:extLst>
        </c:ser>
        <c:dLbls>
          <c:showLegendKey val="0"/>
          <c:showVal val="0"/>
          <c:showCatName val="0"/>
          <c:showSerName val="0"/>
          <c:showPercent val="0"/>
          <c:showBubbleSize val="0"/>
        </c:dLbls>
        <c:marker val="1"/>
        <c:smooth val="0"/>
        <c:axId val="539631616"/>
        <c:axId val="539633152"/>
      </c:lineChart>
      <c:dateAx>
        <c:axId val="539631616"/>
        <c:scaling>
          <c:orientation val="minMax"/>
        </c:scaling>
        <c:delete val="0"/>
        <c:axPos val="b"/>
        <c:numFmt formatCode="m" sourceLinked="0"/>
        <c:majorTickMark val="out"/>
        <c:minorTickMark val="out"/>
        <c:tickLblPos val="low"/>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539633152"/>
        <c:crosses val="autoZero"/>
        <c:auto val="0"/>
        <c:lblOffset val="0"/>
        <c:baseTimeUnit val="days"/>
        <c:majorUnit val="1"/>
        <c:majorTimeUnit val="months"/>
      </c:dateAx>
      <c:valAx>
        <c:axId val="539633152"/>
        <c:scaling>
          <c:orientation val="minMax"/>
          <c:min val="14"/>
        </c:scaling>
        <c:delete val="0"/>
        <c:axPos val="l"/>
        <c:numFmt formatCode="#,##0_);[Red]\(#,##0\)" sourceLinked="0"/>
        <c:majorTickMark val="out"/>
        <c:minorTickMark val="none"/>
        <c:tickLblPos val="nextTo"/>
        <c:spPr>
          <a:noFill/>
          <a:ln w="3175" cap="flat" cmpd="sng" algn="ctr">
            <a:solidFill>
              <a:sysClr val="windowText" lastClr="000000"/>
            </a:solidFill>
            <a:prstDash val="solid"/>
            <a:round/>
          </a:ln>
          <a:effectLst/>
        </c:spPr>
        <c:txPr>
          <a:bodyPr rot="0" spcFirstLastPara="1" vertOverflow="ellipsis"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crossAx val="539631616"/>
        <c:crosses val="autoZero"/>
        <c:crossBetween val="between"/>
      </c:valAx>
      <c:spPr>
        <a:solidFill>
          <a:schemeClr val="bg1"/>
        </a:solidFill>
        <a:ln>
          <a:noFill/>
        </a:ln>
        <a:effectLst/>
      </c:spPr>
    </c:plotArea>
    <c:legend>
      <c:legendPos val="r"/>
      <c:layout>
        <c:manualLayout>
          <c:xMode val="edge"/>
          <c:yMode val="edge"/>
          <c:x val="0.18028742510211015"/>
          <c:y val="2.3337433036748094E-3"/>
          <c:w val="0.65753266189324733"/>
          <c:h val="6.9633695298181753E-2"/>
        </c:manualLayout>
      </c:layout>
      <c:overlay val="0"/>
      <c:spPr>
        <a:noFill/>
        <a:ln w="3175">
          <a:noFill/>
          <a:prstDash val="solid"/>
        </a:ln>
        <a:effectLst/>
      </c:spPr>
      <c:txPr>
        <a:bodyPr rot="0" spcFirstLastPara="1" vertOverflow="ellipsis" vert="horz" wrap="square" anchor="ctr" anchorCtr="1"/>
        <a:lstStyle/>
        <a:p>
          <a:pPr>
            <a:defRPr sz="700" b="0" i="0" u="none" strike="noStrike" kern="1200"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legend>
    <c:plotVisOnly val="1"/>
    <c:dispBlanksAs val="span"/>
    <c:showDLblsOverMax val="0"/>
  </c:chart>
  <c:spPr>
    <a:solidFill>
      <a:schemeClr val="bg1"/>
    </a:solidFill>
    <a:ln w="6350" cap="flat" cmpd="sng" algn="ctr">
      <a:noFill/>
      <a:prstDash val="solid"/>
      <a:round/>
    </a:ln>
    <a:effectLst/>
  </c:spPr>
  <c:txPr>
    <a:bodyPr/>
    <a:lstStyle/>
    <a:p>
      <a:pPr>
        <a:defRPr sz="700" b="0" i="0" u="none" strike="noStrike" baseline="0">
          <a:solidFill>
            <a:srgbClr val="000000"/>
          </a:solidFill>
          <a:latin typeface="微软雅黑" panose="020B0503020204020204" pitchFamily="34" charset="-122"/>
          <a:ea typeface="微软雅黑" panose="020B0503020204020204" pitchFamily="34" charset="-122"/>
          <a:cs typeface="Times New Roman" panose="02020603050405020304" pitchFamily="18" charset="0"/>
        </a:defRPr>
      </a:pPr>
      <a:endParaRPr lang="zh-CN"/>
    </a:p>
  </c:txPr>
  <c:externalData r:id="rId1">
    <c:autoUpdate val="0"/>
  </c:externalData>
  <c:userShapes r:id="rId2"/>
</c:chartSpace>
</file>

<file path=word/drawings/drawing1.xml><?xml version="1.0" encoding="utf-8"?>
<c:userShapes xmlns:c="http://schemas.openxmlformats.org/drawingml/2006/chart">
  <cdr:relSizeAnchor xmlns:cdr="http://schemas.openxmlformats.org/drawingml/2006/chartDrawing">
    <cdr:from>
      <cdr:x>0</cdr:x>
      <cdr:y>0</cdr:y>
    </cdr:from>
    <cdr:to>
      <cdr:x>0.12698</cdr:x>
      <cdr:y>0.09987</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580570" cy="273958"/>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亿元</a:t>
          </a:r>
        </a:p>
      </cdr:txBody>
    </cdr:sp>
  </cdr:relSizeAnchor>
</c:userShapes>
</file>

<file path=word/drawings/drawing2.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3.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4.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5.xml><?xml version="1.0" encoding="utf-8"?>
<c:userShapes xmlns:c="http://schemas.openxmlformats.org/drawingml/2006/chart">
  <cdr:relSizeAnchor xmlns:cdr="http://schemas.openxmlformats.org/drawingml/2006/chartDrawing">
    <cdr:from>
      <cdr:x>0</cdr:x>
      <cdr:y>0</cdr:y>
    </cdr:from>
    <cdr:to>
      <cdr:x>0.05754</cdr:x>
      <cdr:y>0.08333</cdr:y>
    </cdr:to>
    <cdr:sp macro="" textlink="">
      <cdr:nvSpPr>
        <cdr:cNvPr id="5" name="Text Box 1"/>
        <cdr:cNvSpPr txBox="1">
          <a:spLocks xmlns:a="http://schemas.openxmlformats.org/drawingml/2006/main" noChangeArrowheads="1"/>
        </cdr:cNvSpPr>
      </cdr:nvSpPr>
      <cdr:spPr bwMode="auto">
        <a:xfrm xmlns:a="http://schemas.openxmlformats.org/drawingml/2006/main">
          <a:off x="0"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6.xml><?xml version="1.0" encoding="utf-8"?>
<c:userShapes xmlns:c="http://schemas.openxmlformats.org/drawingml/2006/chart">
  <cdr:relSizeAnchor xmlns:cdr="http://schemas.openxmlformats.org/drawingml/2006/chartDrawing">
    <cdr:from>
      <cdr:x>0.94246</cdr:x>
      <cdr:y>0</cdr:y>
    </cdr:from>
    <cdr:to>
      <cdr:x>1</cdr:x>
      <cdr:y>0.08333</cdr:y>
    </cdr:to>
    <cdr:sp macro="" textlink="">
      <cdr:nvSpPr>
        <cdr:cNvPr id="7" name="Text Box 1">
          <a:extLst xmlns:a="http://schemas.openxmlformats.org/drawingml/2006/main">
            <a:ext uri="{FF2B5EF4-FFF2-40B4-BE49-F238E27FC236}">
              <a16:creationId xmlns="" xmlns:a16="http://schemas.microsoft.com/office/drawing/2014/main" id="{5B0F0180-5CCA-4817-93EB-22F610D6EE79}"/>
            </a:ext>
          </a:extLst>
        </cdr:cNvPr>
        <cdr:cNvSpPr txBox="1">
          <a:spLocks xmlns:a="http://schemas.openxmlformats.org/drawingml/2006/main" noChangeArrowheads="1"/>
        </cdr:cNvSpPr>
      </cdr:nvSpPr>
      <cdr:spPr bwMode="auto">
        <a:xfrm xmlns:a="http://schemas.openxmlformats.org/drawingml/2006/main">
          <a:off x="4308929" y="0"/>
          <a:ext cx="263071" cy="228599"/>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wrap="square" lIns="0" tIns="0" rIns="0" bIns="0" anchor="t" upright="1"/>
        <a:lstStyle xmlns:a="http://schemas.openxmlformats.org/drawingml/2006/main">
          <a:lvl1pPr marL="0" indent="0">
            <a:defRPr sz="1100">
              <a:latin typeface="+mn-lt"/>
              <a:ea typeface="+mn-ea"/>
              <a:cs typeface="+mn-cs"/>
            </a:defRPr>
          </a:lvl1pPr>
          <a:lvl2pPr marL="457200" indent="0">
            <a:defRPr sz="1100">
              <a:latin typeface="+mn-lt"/>
              <a:ea typeface="+mn-ea"/>
              <a:cs typeface="+mn-cs"/>
            </a:defRPr>
          </a:lvl2pPr>
          <a:lvl3pPr marL="914400" indent="0">
            <a:defRPr sz="1100">
              <a:latin typeface="+mn-lt"/>
              <a:ea typeface="+mn-ea"/>
              <a:cs typeface="+mn-cs"/>
            </a:defRPr>
          </a:lvl3pPr>
          <a:lvl4pPr marL="1371600" indent="0">
            <a:defRPr sz="1100">
              <a:latin typeface="+mn-lt"/>
              <a:ea typeface="+mn-ea"/>
              <a:cs typeface="+mn-cs"/>
            </a:defRPr>
          </a:lvl4pPr>
          <a:lvl5pPr marL="1828800" indent="0">
            <a:defRPr sz="1100">
              <a:latin typeface="+mn-lt"/>
              <a:ea typeface="+mn-ea"/>
              <a:cs typeface="+mn-cs"/>
            </a:defRPr>
          </a:lvl5pPr>
          <a:lvl6pPr marL="2286000" indent="0">
            <a:defRPr sz="1100">
              <a:latin typeface="+mn-lt"/>
              <a:ea typeface="+mn-ea"/>
              <a:cs typeface="+mn-cs"/>
            </a:defRPr>
          </a:lvl6pPr>
          <a:lvl7pPr marL="2743200" indent="0">
            <a:defRPr sz="1100">
              <a:latin typeface="+mn-lt"/>
              <a:ea typeface="+mn-ea"/>
              <a:cs typeface="+mn-cs"/>
            </a:defRPr>
          </a:lvl7pPr>
          <a:lvl8pPr marL="3200400" indent="0">
            <a:defRPr sz="1100">
              <a:latin typeface="+mn-lt"/>
              <a:ea typeface="+mn-ea"/>
              <a:cs typeface="+mn-cs"/>
            </a:defRPr>
          </a:lvl8pPr>
          <a:lvl9pPr marL="3657600" indent="0">
            <a:defRPr sz="1100">
              <a:latin typeface="+mn-lt"/>
              <a:ea typeface="+mn-ea"/>
              <a:cs typeface="+mn-cs"/>
            </a:defRPr>
          </a:lvl9pPr>
        </a:lstStyle>
        <a:p xmlns:a="http://schemas.openxmlformats.org/drawingml/2006/main">
          <a:pPr algn="l" rtl="0">
            <a:defRPr sz="1000"/>
          </a:pPr>
          <a:r>
            <a:rPr lang="en-US" altLang="zh-CN" sz="700" b="0" i="0" u="none" strike="noStrike" baseline="0">
              <a:solidFill>
                <a:srgbClr val="000000"/>
              </a:solidFill>
              <a:latin typeface="微软雅黑" panose="020B0503020204020204" pitchFamily="34" charset="-122"/>
              <a:ea typeface="微软雅黑" panose="020B0503020204020204" pitchFamily="34" charset="-122"/>
            </a:rPr>
            <a:t>BP</a:t>
          </a:r>
          <a:endParaRPr lang="zh-CN" altLang="en-US" sz="700" b="0" i="0" u="none" strike="noStrike" baseline="0">
            <a:solidFill>
              <a:srgbClr val="000000"/>
            </a:solidFill>
            <a:latin typeface="微软雅黑" panose="020B0503020204020204" pitchFamily="34" charset="-122"/>
            <a:ea typeface="微软雅黑" panose="020B0503020204020204" pitchFamily="34" charset="-122"/>
          </a:endParaRPr>
        </a:p>
      </cdr:txBody>
    </cdr:sp>
  </cdr:relSizeAnchor>
</c:userShapes>
</file>

<file path=word/drawings/drawing7.xml><?xml version="1.0" encoding="utf-8"?>
<c:userShapes xmlns:c="http://schemas.openxmlformats.org/drawingml/2006/chart">
  <cdr:relSizeAnchor xmlns:cdr="http://schemas.openxmlformats.org/drawingml/2006/chartDrawing">
    <cdr:from>
      <cdr:x>0</cdr:x>
      <cdr:y>5.20941E-7</cdr:y>
    </cdr:from>
    <cdr:to>
      <cdr:x>0.15115</cdr:x>
      <cdr:y>0.07456</cdr:y>
    </cdr:to>
    <cdr:sp macro="" textlink="">
      <cdr:nvSpPr>
        <cdr:cNvPr id="5" name="Text Box 1"/>
        <cdr:cNvSpPr txBox="1">
          <a:spLocks xmlns:a="http://schemas.openxmlformats.org/drawingml/2006/main" noChangeArrowheads="1"/>
        </cdr:cNvSpPr>
      </cdr:nvSpPr>
      <cdr:spPr bwMode="auto">
        <a:xfrm xmlns:a="http://schemas.openxmlformats.org/drawingml/2006/main">
          <a:off x="0" y="1"/>
          <a:ext cx="453224" cy="143122"/>
        </a:xfrm>
        <a:prstGeom xmlns:a="http://schemas.openxmlformats.org/drawingml/2006/main" prst="rect">
          <a:avLst/>
        </a:prstGeom>
        <a:noFill xmlns:a="http://schemas.openxmlformats.org/drawingml/2006/main"/>
        <a:ln xmlns:a="http://schemas.openxmlformats.org/drawingml/2006/main">
          <a:noFill/>
        </a:ln>
      </cdr:spPr>
      <cdr:txBody>
        <a:bodyPr xmlns:a="http://schemas.openxmlformats.org/drawingml/2006/main" vertOverflow="clip" wrap="square" lIns="0" tIns="0" rIns="0" bIns="0" anchor="t" upright="1"/>
        <a:lstStyle xmlns:a="http://schemas.openxmlformats.org/drawingml/2006/main"/>
        <a:p xmlns:a="http://schemas.openxmlformats.org/drawingml/2006/main">
          <a:pPr algn="r" rtl="0">
            <a:defRPr sz="1000"/>
          </a:pPr>
          <a:r>
            <a:rPr lang="zh-CN" altLang="en-US" sz="700" b="0" i="0" u="none" strike="noStrike" baseline="0">
              <a:solidFill>
                <a:srgbClr val="000000"/>
              </a:solidFill>
              <a:latin typeface="楷体" panose="02010609060101010101" pitchFamily="49" charset="-122"/>
              <a:ea typeface="楷体" panose="02010609060101010101" pitchFamily="49" charset="-122"/>
            </a:rPr>
            <a:t>元</a:t>
          </a:r>
          <a:r>
            <a:rPr lang="en-US" altLang="zh-CN" sz="700" b="0" i="0" u="none" strike="noStrike" baseline="0">
              <a:solidFill>
                <a:srgbClr val="000000"/>
              </a:solidFill>
              <a:latin typeface="楷体" panose="02010609060101010101" pitchFamily="49" charset="-122"/>
              <a:ea typeface="楷体" panose="02010609060101010101" pitchFamily="49" charset="-122"/>
            </a:rPr>
            <a:t>/</a:t>
          </a:r>
          <a:r>
            <a:rPr lang="zh-CN" altLang="en-US" sz="700" b="0" i="0" u="none" strike="noStrike" baseline="0">
              <a:solidFill>
                <a:srgbClr val="000000"/>
              </a:solidFill>
              <a:latin typeface="楷体" panose="02010609060101010101" pitchFamily="49" charset="-122"/>
              <a:ea typeface="楷体" panose="02010609060101010101" pitchFamily="49" charset="-122"/>
            </a:rPr>
            <a:t>千克</a:t>
          </a:r>
        </a:p>
      </cdr:txBody>
    </cdr:sp>
  </cdr:relSizeAnchor>
</c:userShap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1F0305-6CA7-42E4-8C4F-CE09CD7E7C9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738</Words>
  <Characters>4212</Characters>
  <Application>Microsoft Office Word</Application>
  <DocSecurity>0</DocSecurity>
  <Lines>35</Lines>
  <Paragraphs>9</Paragraphs>
  <ScaleCrop>false</ScaleCrop>
  <Company>Microsoft</Company>
  <LinksUpToDate>false</LinksUpToDate>
  <CharactersWithSpaces>4941</CharactersWithSpaces>
  <SharedDoc>false</SharedDoc>
  <HLinks>
    <vt:vector size="6" baseType="variant">
      <vt:variant>
        <vt:i4>5767249</vt:i4>
      </vt:variant>
      <vt:variant>
        <vt:i4>0</vt:i4>
      </vt:variant>
      <vt:variant>
        <vt:i4>0</vt:i4>
      </vt:variant>
      <vt:variant>
        <vt:i4>5</vt:i4>
      </vt:variant>
      <vt:variant>
        <vt:lpwstr>http://180.96.8.44/SmartReaderWeb/SmartReader/?type=1&amp;id=451784584&amp;fav=1</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User</dc:title>
  <dc:creator>钱伟</dc:creator>
  <cp:lastModifiedBy>Administrator</cp:lastModifiedBy>
  <cp:revision>2</cp:revision>
  <cp:lastPrinted>2019-06-26T06:05:00Z</cp:lastPrinted>
  <dcterms:created xsi:type="dcterms:W3CDTF">2021-03-22T06:05:00Z</dcterms:created>
  <dcterms:modified xsi:type="dcterms:W3CDTF">2021-03-22T06:05:00Z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2052-8.1.0.3477</vt:lpwstr>
  </property>
</Properties>
</file>