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富荣基金</w:t>
      </w:r>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7CA31727"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414307">
        <w:rPr>
          <w:rFonts w:ascii="楷体" w:eastAsia="楷体" w:hAnsi="楷体" w:hint="eastAsia"/>
          <w:sz w:val="28"/>
          <w:szCs w:val="28"/>
        </w:rPr>
        <w:t>短期利空落尽</w:t>
      </w:r>
      <w:r w:rsidR="00CD02EA">
        <w:rPr>
          <w:rFonts w:ascii="楷体" w:eastAsia="楷体" w:hAnsi="楷体" w:hint="eastAsia"/>
          <w:sz w:val="28"/>
          <w:szCs w:val="28"/>
        </w:rPr>
        <w:t>，</w:t>
      </w:r>
      <w:r w:rsidR="000E3145">
        <w:rPr>
          <w:rFonts w:ascii="楷体" w:eastAsia="楷体" w:hAnsi="楷体" w:hint="eastAsia"/>
          <w:sz w:val="28"/>
          <w:szCs w:val="28"/>
        </w:rPr>
        <w:t>债市</w:t>
      </w:r>
      <w:r w:rsidR="00414307">
        <w:rPr>
          <w:rFonts w:ascii="楷体" w:eastAsia="楷体" w:hAnsi="楷体" w:hint="eastAsia"/>
          <w:sz w:val="28"/>
          <w:szCs w:val="28"/>
        </w:rPr>
        <w:t>阶段性回暖</w:t>
      </w:r>
      <w:r w:rsidR="007F77B5" w:rsidRPr="00541553">
        <w:rPr>
          <w:rFonts w:ascii="楷体" w:eastAsia="楷体" w:hAnsi="楷体"/>
          <w:sz w:val="28"/>
          <w:szCs w:val="28"/>
        </w:rPr>
        <w:t xml:space="preserve"> </w:t>
      </w:r>
    </w:p>
    <w:p w14:paraId="0A7A9383" w14:textId="34C7312E"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6E4B59">
        <w:rPr>
          <w:rFonts w:ascii="楷体" w:eastAsia="楷体" w:hAnsi="楷体" w:hint="eastAsia"/>
          <w:sz w:val="28"/>
          <w:szCs w:val="28"/>
        </w:rPr>
        <w:t>3</w:t>
      </w:r>
      <w:r w:rsidR="009C30E2" w:rsidRPr="00FA6C01">
        <w:rPr>
          <w:rFonts w:ascii="楷体" w:eastAsia="楷体" w:hAnsi="楷体"/>
          <w:sz w:val="28"/>
          <w:szCs w:val="28"/>
        </w:rPr>
        <w:t>月</w:t>
      </w:r>
      <w:r w:rsidR="00414307">
        <w:rPr>
          <w:rFonts w:ascii="楷体" w:eastAsia="楷体" w:hAnsi="楷体" w:hint="eastAsia"/>
          <w:sz w:val="28"/>
          <w:szCs w:val="28"/>
        </w:rPr>
        <w:t>26</w:t>
      </w:r>
      <w:r w:rsidR="00F82A54">
        <w:rPr>
          <w:rFonts w:ascii="楷体" w:eastAsia="楷体" w:hAnsi="楷体" w:hint="eastAsia"/>
          <w:sz w:val="28"/>
          <w:szCs w:val="28"/>
        </w:rPr>
        <w:t>日</w:t>
      </w:r>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601CE608" w14:textId="1F55F07C" w:rsidR="00B559CF" w:rsidRDefault="001A0EBD" w:rsidP="003402AD">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上周央行召开货币政策委员会一季度例会，</w:t>
      </w:r>
      <w:r w:rsidR="003402AD">
        <w:rPr>
          <w:rFonts w:ascii="华文楷体" w:hAnsi="华文楷体" w:hint="eastAsia"/>
          <w:b w:val="0"/>
          <w:smallCaps w:val="0"/>
          <w:color w:val="auto"/>
          <w:sz w:val="24"/>
          <w:szCs w:val="24"/>
        </w:rPr>
        <w:t>从表述看对经济形势的恢复情况仍相对积极，并持续表示保持货币供应量和社会融资规模增速同名义经济增速基本匹配，保持宏观杠杆率基本稳定。</w:t>
      </w:r>
    </w:p>
    <w:p w14:paraId="711A770C" w14:textId="111DE5D0" w:rsidR="003402AD" w:rsidRDefault="003402AD" w:rsidP="003402AD">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具体来看，对国内外形势的表述为国内经济发展动力不断增强，积极因素明显增多，但经济恢复进程仍不平衡。境外疫情和世界经济趋于好转但形势依然复杂严峻。</w:t>
      </w:r>
    </w:p>
    <w:p w14:paraId="43061C1A" w14:textId="0E919296" w:rsidR="003402AD" w:rsidRDefault="003402AD" w:rsidP="003402AD">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政策基调上，经济政策与上次例会表述类似，主要是要加强国内外经济形势的研判分析，加强国际宏观经济政策协调，集中精力办好自己的事，搞好跨周期政策设计，支持经济高质量发展。货币政策方面有所精减，主要是文件的货币政策要灵活精准、合理适度，把握好政策时度效，保持流动性合理充裕，保持货币供应量</w:t>
      </w:r>
      <w:r w:rsidRPr="003402AD">
        <w:rPr>
          <w:rFonts w:ascii="华文楷体" w:hAnsi="华文楷体" w:hint="eastAsia"/>
          <w:b w:val="0"/>
          <w:smallCaps w:val="0"/>
          <w:color w:val="auto"/>
          <w:sz w:val="24"/>
          <w:szCs w:val="24"/>
        </w:rPr>
        <w:t>和社会融资规模增速同名义经济增速基本匹配，保持宏观杠杆率基本稳定。</w:t>
      </w:r>
    </w:p>
    <w:p w14:paraId="01B14A7B" w14:textId="1DEFA65F" w:rsidR="003402AD" w:rsidRDefault="003402AD" w:rsidP="003402AD">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市场化”方面的表述，适度修改，利率市场化方面表示健全市场化利率形成和传导机制，完善央行政策利率体系，继续释放改革促进降低贷款利率的潜力，优化存款利率监管，推动实际贷款利率进一步降低。汇率市场化方面表示深化汇率市场化改革，增强人民币汇率弹性，引导企业和金融机构坚持“风险中性”理念，加强与其管理，保持人民币汇率在合理均衡水平上的基本稳定。</w:t>
      </w:r>
    </w:p>
    <w:p w14:paraId="0DCE493B" w14:textId="2303E652" w:rsidR="003402AD" w:rsidRDefault="003402AD" w:rsidP="003402AD">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总体要求上，删除了“不急转弯”和“守住不发生系统性金融风险的底线”，此次表述为坚持稳中求进工作总基调，稳字当头，立足新发展阶段，贯彻新发展理念，构建新发展格局，以推动高质量发展为主题，以深化供给侧结构性改革为主题，坚持扩大内需战略，巩固拓展疫情防控鹤经济社会发展成果，扎实做好“六稳”工作，全面落实“六保”人物，灵活精准实施货币政策，处理好恢复经济与防范风险的关系，努力保持经济运行在合理区间，以高质量发展为“十四五”开好局，以优异成绩庆祝中国共产党成立100周年。</w:t>
      </w:r>
    </w:p>
    <w:p w14:paraId="67A7AE08" w14:textId="5B9960E2" w:rsidR="003402AD" w:rsidRDefault="003402AD" w:rsidP="003402AD">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从今年以来央行的政策调控和表述来看，</w:t>
      </w:r>
      <w:r w:rsidR="003A0290">
        <w:rPr>
          <w:rFonts w:ascii="华文楷体" w:hAnsi="华文楷体" w:hint="eastAsia"/>
          <w:b w:val="0"/>
          <w:smallCaps w:val="0"/>
          <w:color w:val="auto"/>
          <w:sz w:val="24"/>
          <w:szCs w:val="24"/>
        </w:rPr>
        <w:t>信贷管控预计将持续当前强监管状态，尤其是房地产方面信贷管控。</w:t>
      </w:r>
      <w:r w:rsidR="003A0290" w:rsidRPr="003A0290">
        <w:rPr>
          <w:rFonts w:ascii="华文楷体" w:hAnsi="华文楷体" w:hint="eastAsia"/>
          <w:b w:val="0"/>
          <w:smallCaps w:val="0"/>
          <w:color w:val="auto"/>
          <w:sz w:val="24"/>
          <w:szCs w:val="24"/>
        </w:rPr>
        <w:t>3月22日中国人民银行召开的全国24家主要银行信贷结构优化调整座谈会，指出重点领域和薄弱环节信贷结构仍需调整优化，保持贷款平稳增长、合理适度，把握好节奏，一方面坚持“房子是用来住的、不是用来炒的”定位，保持房地产金融政策的连续性、一致性、稳定性，实施好房地产金融审慎管理制度，另一方面撬动更多金融资源向绿色低碳产业倾斜，加大对科技创新、制造业的支持，增加经济困难省份信贷投放，对于信贷投放的结构和节奏做出了指示。</w:t>
      </w:r>
    </w:p>
    <w:p w14:paraId="262694DF" w14:textId="2CAF82F2" w:rsidR="003A0290" w:rsidRDefault="003A0290" w:rsidP="003402AD">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lastRenderedPageBreak/>
        <w:t>对经济的表述，体现了对当前经济运行状态的肯定，但同时也持续表示经济恢复进程仍不平衡，国内外疫情和政治环境以及国内内需持续修复情况仍有待观察。进一步表示，要推动实际贷款利率进一步降低，这已经在央行例会中持续多次出现，降低实体经济融资成本仍是当前的工作之一。</w:t>
      </w:r>
    </w:p>
    <w:p w14:paraId="643F3AD4" w14:textId="65FDF055" w:rsidR="003A0290" w:rsidRPr="003A0290" w:rsidRDefault="003A0290" w:rsidP="003402AD">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从央行今年以来的公开市场操作情况，明显较去年尤其是去年下半年要适度收紧，疫情后逆周期政策调节仍是主调，货币政策将持续保持常态化状态，总量政策难见大起大落，更多集中于公开市场操作、MLF等货币政策工具实施，结构性地调整为主，以保持整体流动性合理充裕</w:t>
      </w:r>
      <w:r w:rsidR="007104C0">
        <w:rPr>
          <w:rFonts w:ascii="华文楷体" w:hAnsi="华文楷体" w:hint="eastAsia"/>
          <w:b w:val="0"/>
          <w:smallCaps w:val="0"/>
          <w:color w:val="auto"/>
          <w:sz w:val="24"/>
          <w:szCs w:val="24"/>
        </w:rPr>
        <w:t>，这里央行可能更多关注的是实体经济和金融市场两方面的整体流动性。</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5186B41C"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r w:rsidR="000E3145">
        <w:rPr>
          <w:rFonts w:ascii="华文楷体" w:hAnsi="华文楷体" w:hint="eastAsia"/>
          <w:sz w:val="24"/>
          <w:szCs w:val="24"/>
          <w:lang w:eastAsia="zh-CN"/>
        </w:rPr>
        <w:t>维持</w:t>
      </w:r>
      <w:r w:rsidR="002D361C">
        <w:rPr>
          <w:rFonts w:ascii="华文楷体" w:hAnsi="华文楷体" w:hint="eastAsia"/>
          <w:sz w:val="24"/>
          <w:szCs w:val="24"/>
          <w:lang w:eastAsia="zh-CN"/>
        </w:rPr>
        <w:t>零</w:t>
      </w:r>
      <w:r w:rsidR="000E3145">
        <w:rPr>
          <w:rFonts w:ascii="华文楷体" w:hAnsi="华文楷体" w:hint="eastAsia"/>
          <w:sz w:val="24"/>
          <w:szCs w:val="24"/>
          <w:lang w:eastAsia="zh-CN"/>
        </w:rPr>
        <w:t>净</w:t>
      </w:r>
      <w:r w:rsidR="002D361C">
        <w:rPr>
          <w:rFonts w:ascii="华文楷体" w:hAnsi="华文楷体" w:hint="eastAsia"/>
          <w:sz w:val="24"/>
          <w:szCs w:val="24"/>
          <w:lang w:eastAsia="zh-CN"/>
        </w:rPr>
        <w:t>投放</w:t>
      </w:r>
      <w:r w:rsidR="006E4B59">
        <w:rPr>
          <w:rFonts w:ascii="华文楷体" w:hAnsi="华文楷体" w:hint="eastAsia"/>
          <w:sz w:val="24"/>
          <w:szCs w:val="24"/>
          <w:lang w:eastAsia="zh-CN"/>
        </w:rPr>
        <w:t>，</w:t>
      </w:r>
      <w:r w:rsidR="003E35B0">
        <w:rPr>
          <w:rFonts w:ascii="华文楷体" w:hAnsi="华文楷体" w:hint="eastAsia"/>
          <w:sz w:val="24"/>
          <w:szCs w:val="24"/>
          <w:lang w:eastAsia="zh-CN"/>
        </w:rPr>
        <w:t>资金面</w:t>
      </w:r>
      <w:r w:rsidR="000E3145">
        <w:rPr>
          <w:rFonts w:ascii="华文楷体" w:hAnsi="华文楷体" w:hint="eastAsia"/>
          <w:sz w:val="24"/>
          <w:szCs w:val="24"/>
          <w:lang w:eastAsia="zh-CN"/>
        </w:rPr>
        <w:t>持续相对</w:t>
      </w:r>
      <w:r w:rsidR="003E35B0">
        <w:rPr>
          <w:rFonts w:ascii="华文楷体" w:hAnsi="华文楷体" w:hint="eastAsia"/>
          <w:sz w:val="24"/>
          <w:szCs w:val="24"/>
          <w:lang w:eastAsia="zh-CN"/>
        </w:rPr>
        <w:t>平稳</w:t>
      </w:r>
      <w:r w:rsidR="002D361C">
        <w:rPr>
          <w:rFonts w:ascii="华文楷体" w:hAnsi="华文楷体" w:hint="eastAsia"/>
          <w:sz w:val="24"/>
          <w:szCs w:val="24"/>
          <w:lang w:eastAsia="zh-CN"/>
        </w:rPr>
        <w:t>，</w:t>
      </w:r>
      <w:r w:rsidR="00414307">
        <w:rPr>
          <w:rFonts w:ascii="华文楷体" w:hAnsi="华文楷体" w:hint="eastAsia"/>
          <w:sz w:val="24"/>
          <w:szCs w:val="24"/>
          <w:lang w:eastAsia="zh-CN"/>
        </w:rPr>
        <w:t>受跨季影响7天价格小幅上行</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414307">
        <w:rPr>
          <w:rFonts w:ascii="华文楷体" w:hAnsi="华文楷体" w:hint="eastAsia"/>
          <w:sz w:val="24"/>
          <w:szCs w:val="24"/>
          <w:lang w:eastAsia="zh-CN"/>
        </w:rPr>
        <w:t>下行35</w:t>
      </w:r>
      <w:r w:rsidR="002D361C">
        <w:rPr>
          <w:rFonts w:ascii="华文楷体" w:hAnsi="华文楷体" w:hint="eastAsia"/>
          <w:sz w:val="24"/>
          <w:szCs w:val="24"/>
          <w:lang w:eastAsia="zh-CN"/>
        </w:rPr>
        <w:t>BP至</w:t>
      </w:r>
      <w:r w:rsidR="00414307">
        <w:rPr>
          <w:rFonts w:ascii="华文楷体" w:hAnsi="华文楷体" w:hint="eastAsia"/>
          <w:sz w:val="24"/>
          <w:szCs w:val="24"/>
          <w:lang w:eastAsia="zh-CN"/>
        </w:rPr>
        <w:t>1.81</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2D361C">
        <w:rPr>
          <w:rFonts w:ascii="华文楷体" w:hAnsi="华文楷体" w:hint="eastAsia"/>
          <w:sz w:val="24"/>
          <w:szCs w:val="24"/>
          <w:lang w:eastAsia="zh-CN"/>
        </w:rPr>
        <w:t>上</w:t>
      </w:r>
      <w:r w:rsidR="009C77AF">
        <w:rPr>
          <w:rFonts w:ascii="华文楷体" w:hAnsi="华文楷体" w:hint="eastAsia"/>
          <w:sz w:val="24"/>
          <w:szCs w:val="24"/>
          <w:lang w:eastAsia="zh-CN"/>
        </w:rPr>
        <w:t>行</w:t>
      </w:r>
      <w:r w:rsidR="00414307">
        <w:rPr>
          <w:rFonts w:ascii="华文楷体" w:hAnsi="华文楷体" w:hint="eastAsia"/>
          <w:sz w:val="24"/>
          <w:szCs w:val="24"/>
          <w:lang w:eastAsia="zh-CN"/>
        </w:rPr>
        <w:t>28</w:t>
      </w:r>
      <w:r w:rsidR="00D9413F">
        <w:rPr>
          <w:rFonts w:ascii="华文楷体" w:hAnsi="华文楷体" w:hint="eastAsia"/>
          <w:sz w:val="24"/>
          <w:szCs w:val="24"/>
          <w:lang w:eastAsia="zh-CN"/>
        </w:rPr>
        <w:t>BP至</w:t>
      </w:r>
      <w:r w:rsidR="00DA0B17">
        <w:rPr>
          <w:rFonts w:ascii="华文楷体" w:hAnsi="华文楷体"/>
          <w:sz w:val="24"/>
          <w:szCs w:val="24"/>
          <w:lang w:eastAsia="zh-CN"/>
        </w:rPr>
        <w:t>2.</w:t>
      </w:r>
      <w:r w:rsidR="00414307">
        <w:rPr>
          <w:rFonts w:ascii="华文楷体" w:hAnsi="华文楷体" w:hint="eastAsia"/>
          <w:sz w:val="24"/>
          <w:szCs w:val="24"/>
          <w:lang w:eastAsia="zh-CN"/>
        </w:rPr>
        <w:t>47</w:t>
      </w:r>
      <w:r>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w:t>
      </w:r>
      <w:r w:rsidR="00DA0B17">
        <w:rPr>
          <w:rFonts w:ascii="华文楷体" w:hAnsi="华文楷体" w:hint="eastAsia"/>
          <w:sz w:val="24"/>
          <w:szCs w:val="24"/>
          <w:lang w:eastAsia="zh-CN"/>
        </w:rPr>
        <w:t>未变化</w:t>
      </w:r>
      <w:r w:rsidR="00414307">
        <w:rPr>
          <w:rFonts w:ascii="华文楷体" w:hAnsi="华文楷体" w:hint="eastAsia"/>
          <w:sz w:val="24"/>
          <w:szCs w:val="24"/>
          <w:lang w:eastAsia="zh-CN"/>
        </w:rPr>
        <w:t>，整体仍维持相对稳定，边际稍有收敛</w:t>
      </w:r>
      <w:r w:rsidR="002D361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414307">
        <w:tblPrEx>
          <w:tblCellMar>
            <w:left w:w="108" w:type="dxa"/>
            <w:right w:w="108" w:type="dxa"/>
          </w:tblCellMar>
        </w:tblPrEx>
        <w:trPr>
          <w:jc w:val="center"/>
        </w:trPr>
        <w:tc>
          <w:tcPr>
            <w:tcW w:w="4939" w:type="dxa"/>
            <w:vAlign w:val="center"/>
          </w:tcPr>
          <w:p w14:paraId="60AEAEDC" w14:textId="2DDDD51A" w:rsidR="00E0626C" w:rsidRPr="003C6AC1" w:rsidRDefault="00414307" w:rsidP="009A2BA0">
            <w:pPr>
              <w:jc w:val="center"/>
              <w:rPr>
                <w:noProof/>
                <w:sz w:val="20"/>
              </w:rPr>
            </w:pPr>
            <w:r>
              <w:rPr>
                <w:noProof/>
              </w:rPr>
              <w:drawing>
                <wp:inline distT="0" distB="0" distL="0" distR="0" wp14:anchorId="32450649" wp14:editId="3CB65A0C">
                  <wp:extent cx="2999105" cy="1749646"/>
                  <wp:effectExtent l="0" t="0" r="0" b="3175"/>
                  <wp:docPr id="1" name="图表 1">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c>
        <w:tc>
          <w:tcPr>
            <w:tcW w:w="4938" w:type="dxa"/>
            <w:vAlign w:val="center"/>
          </w:tcPr>
          <w:p w14:paraId="287706CA" w14:textId="0C62ED3B" w:rsidR="00E0626C" w:rsidRPr="00F62F43" w:rsidRDefault="00414307" w:rsidP="009A2BA0">
            <w:pPr>
              <w:jc w:val="center"/>
              <w:rPr>
                <w:noProof/>
                <w:sz w:val="16"/>
                <w:szCs w:val="18"/>
              </w:rPr>
            </w:pPr>
            <w:r>
              <w:rPr>
                <w:noProof/>
              </w:rPr>
              <w:drawing>
                <wp:inline distT="0" distB="0" distL="0" distR="0" wp14:anchorId="4A33966C" wp14:editId="31811DBA">
                  <wp:extent cx="3116912" cy="1749425"/>
                  <wp:effectExtent l="0" t="0" r="7620" b="3175"/>
                  <wp:docPr id="2" name="图表 2">
                    <a:extLst xmlns:a="http://schemas.openxmlformats.org/drawingml/2006/main">
                      <a:ext uri="{FF2B5EF4-FFF2-40B4-BE49-F238E27FC236}">
                        <a16:creationId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2DA4B9A6" w:rsidR="00A917BC" w:rsidRPr="00A917BC" w:rsidRDefault="00F45C6B"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国债品种</w:t>
      </w:r>
      <w:r w:rsidR="003C0E83">
        <w:rPr>
          <w:rFonts w:ascii="华文楷体" w:hAnsi="华文楷体" w:hint="eastAsia"/>
          <w:sz w:val="24"/>
          <w:szCs w:val="24"/>
          <w:lang w:eastAsia="zh-CN"/>
        </w:rPr>
        <w:t>多数期限适度下行，尤其是5年以上中长期限品种近期持续下行为主</w:t>
      </w:r>
      <w:r w:rsidR="00012CA5">
        <w:rPr>
          <w:rFonts w:ascii="华文楷体" w:hAnsi="华文楷体" w:hint="eastAsia"/>
          <w:sz w:val="24"/>
          <w:szCs w:val="24"/>
          <w:lang w:eastAsia="zh-CN"/>
        </w:rPr>
        <w:t>，本周</w:t>
      </w:r>
      <w:r w:rsidR="003C0E83">
        <w:rPr>
          <w:rFonts w:ascii="华文楷体" w:hAnsi="华文楷体" w:hint="eastAsia"/>
          <w:sz w:val="24"/>
          <w:szCs w:val="24"/>
          <w:lang w:eastAsia="zh-CN"/>
        </w:rPr>
        <w:t>证金债表现稍好于国债品种</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3C0E83">
        <w:rPr>
          <w:rFonts w:ascii="华文楷体" w:hAnsi="华文楷体" w:hint="eastAsia"/>
          <w:sz w:val="24"/>
          <w:szCs w:val="24"/>
          <w:lang w:eastAsia="zh-CN"/>
        </w:rPr>
        <w:t>59</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，国开债10Y与1Y利差在</w:t>
      </w:r>
      <w:r w:rsidR="00B20149">
        <w:rPr>
          <w:rFonts w:ascii="华文楷体" w:hAnsi="华文楷体"/>
          <w:sz w:val="24"/>
          <w:szCs w:val="24"/>
          <w:lang w:eastAsia="zh-CN"/>
        </w:rPr>
        <w:t>8</w:t>
      </w:r>
      <w:r w:rsidR="003C0E83">
        <w:rPr>
          <w:rFonts w:ascii="华文楷体" w:hAnsi="华文楷体" w:hint="eastAsia"/>
          <w:sz w:val="24"/>
          <w:szCs w:val="24"/>
          <w:lang w:eastAsia="zh-CN"/>
        </w:rPr>
        <w:t>0</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B20149">
        <w:rPr>
          <w:rFonts w:ascii="华文楷体" w:hAnsi="华文楷体" w:hint="eastAsia"/>
          <w:sz w:val="24"/>
          <w:szCs w:val="24"/>
          <w:lang w:eastAsia="zh-CN"/>
        </w:rPr>
        <w:t>下行</w:t>
      </w:r>
      <w:r w:rsidR="003C0E83">
        <w:rPr>
          <w:rFonts w:ascii="华文楷体" w:hAnsi="华文楷体" w:hint="eastAsia"/>
          <w:sz w:val="24"/>
          <w:szCs w:val="24"/>
          <w:lang w:eastAsia="zh-CN"/>
        </w:rPr>
        <w:t>3.8</w:t>
      </w:r>
      <w:r w:rsidR="00087119">
        <w:rPr>
          <w:rFonts w:ascii="华文楷体" w:hAnsi="华文楷体"/>
          <w:sz w:val="24"/>
          <w:szCs w:val="24"/>
          <w:lang w:eastAsia="zh-CN"/>
        </w:rPr>
        <w:t>B</w:t>
      </w:r>
      <w:r w:rsidR="0092340D">
        <w:rPr>
          <w:rFonts w:ascii="华文楷体" w:hAnsi="华文楷体" w:hint="eastAsia"/>
          <w:sz w:val="24"/>
          <w:szCs w:val="24"/>
          <w:lang w:eastAsia="zh-CN"/>
        </w:rPr>
        <w:t>P，10Y</w:t>
      </w:r>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6E4B59">
        <w:rPr>
          <w:rFonts w:ascii="华文楷体" w:hAnsi="华文楷体" w:hint="eastAsia"/>
          <w:sz w:val="24"/>
          <w:szCs w:val="24"/>
          <w:lang w:eastAsia="zh-CN"/>
        </w:rPr>
        <w:t>下行</w:t>
      </w:r>
      <w:r w:rsidR="003C0E83">
        <w:rPr>
          <w:rFonts w:ascii="华文楷体" w:hAnsi="华文楷体" w:hint="eastAsia"/>
          <w:sz w:val="24"/>
          <w:szCs w:val="24"/>
          <w:lang w:eastAsia="zh-CN"/>
        </w:rPr>
        <w:t>5.8</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10Y期限国开债和国债利差</w:t>
      </w:r>
      <w:r w:rsidR="00B20149">
        <w:rPr>
          <w:rFonts w:ascii="华文楷体" w:hAnsi="华文楷体" w:hint="eastAsia"/>
          <w:sz w:val="24"/>
          <w:szCs w:val="24"/>
          <w:lang w:eastAsia="zh-CN"/>
        </w:rPr>
        <w:t>维持在</w:t>
      </w:r>
      <w:r w:rsidR="003C0E83">
        <w:rPr>
          <w:rFonts w:ascii="华文楷体" w:hAnsi="华文楷体" w:hint="eastAsia"/>
          <w:sz w:val="24"/>
          <w:szCs w:val="24"/>
          <w:lang w:eastAsia="zh-CN"/>
        </w:rPr>
        <w:t>38</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lastRenderedPageBreak/>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r>
              <w:rPr>
                <w:rFonts w:hint="eastAsia"/>
              </w:rPr>
              <w:t>国开债收益率曲线和变化</w:t>
            </w:r>
          </w:p>
        </w:tc>
      </w:tr>
      <w:tr w:rsidR="00E0626C" w:rsidRPr="006A5F34" w14:paraId="1094FBBD" w14:textId="77777777" w:rsidTr="003C0E83">
        <w:tblPrEx>
          <w:tblCellMar>
            <w:left w:w="108" w:type="dxa"/>
            <w:right w:w="108" w:type="dxa"/>
          </w:tblCellMar>
        </w:tblPrEx>
        <w:trPr>
          <w:jc w:val="center"/>
        </w:trPr>
        <w:tc>
          <w:tcPr>
            <w:tcW w:w="4939" w:type="dxa"/>
            <w:vAlign w:val="center"/>
          </w:tcPr>
          <w:p w14:paraId="678C97B0" w14:textId="4F2C2AD0" w:rsidR="00E0626C" w:rsidRPr="007E0340" w:rsidRDefault="003C0E83" w:rsidP="002104B2">
            <w:pPr>
              <w:rPr>
                <w:noProof/>
              </w:rPr>
            </w:pPr>
            <w:r>
              <w:rPr>
                <w:noProof/>
              </w:rPr>
              <w:drawing>
                <wp:inline distT="0" distB="0" distL="0" distR="0" wp14:anchorId="6C733D95" wp14:editId="4FE41FCA">
                  <wp:extent cx="2999105" cy="1710939"/>
                  <wp:effectExtent l="0" t="0" r="0" b="3810"/>
                  <wp:docPr id="3" name="图表 3">
                    <a:extLst xmlns:a="http://schemas.openxmlformats.org/drawingml/2006/main">
                      <a:ext uri="{FF2B5EF4-FFF2-40B4-BE49-F238E27FC236}">
                        <a16:creationId xmlns:a16="http://schemas.microsoft.com/office/drawing/2014/main"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c>
          <w:tcPr>
            <w:tcW w:w="4938" w:type="dxa"/>
            <w:vAlign w:val="center"/>
          </w:tcPr>
          <w:p w14:paraId="17A42E68" w14:textId="19ADBD66" w:rsidR="00E0626C" w:rsidRPr="007E0340" w:rsidRDefault="003C0E83" w:rsidP="009A2BA0">
            <w:pPr>
              <w:jc w:val="center"/>
              <w:rPr>
                <w:noProof/>
                <w:szCs w:val="18"/>
              </w:rPr>
            </w:pPr>
            <w:r>
              <w:rPr>
                <w:noProof/>
              </w:rPr>
              <w:drawing>
                <wp:inline distT="0" distB="0" distL="0" distR="0" wp14:anchorId="3947BC3C" wp14:editId="66484CEE">
                  <wp:extent cx="2998470" cy="1713700"/>
                  <wp:effectExtent l="0" t="0" r="0" b="1270"/>
                  <wp:docPr id="7" name="图表 7">
                    <a:extLst xmlns:a="http://schemas.openxmlformats.org/drawingml/2006/main">
                      <a:ext uri="{FF2B5EF4-FFF2-40B4-BE49-F238E27FC236}">
                        <a16:creationId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2D102A7B"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9E4AE5" w:rsidRPr="009E4AE5">
        <w:rPr>
          <w:rFonts w:ascii="华文楷体" w:hAnsi="华文楷体" w:hint="eastAsia"/>
          <w:sz w:val="24"/>
          <w:szCs w:val="24"/>
          <w:lang w:eastAsia="zh-CN"/>
        </w:rPr>
        <w:t>主要期限品种适度下行为主，其中1年期限品种适度下行0-5BP；3年中票下行4-6BP；3年企业债下行0-1.5BP，5年企业债下行6BP，7年企业债上下1BP左右幅度震荡；城投债品种适度调整，3Y品种下行6-7BP，5年城投债AA+评级下行约6BP，AAA评级下行约3BP，略弱于同期限AA+品种，7年品种上行2-3BP。</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A55DFD">
        <w:rPr>
          <w:rFonts w:ascii="华文楷体" w:hAnsi="华文楷体"/>
          <w:sz w:val="24"/>
          <w:szCs w:val="24"/>
          <w:lang w:eastAsia="zh-CN"/>
        </w:rPr>
        <w:t>2</w:t>
      </w:r>
      <w:r w:rsidR="009E4AE5">
        <w:rPr>
          <w:rFonts w:ascii="华文楷体" w:hAnsi="华文楷体" w:hint="eastAsia"/>
          <w:sz w:val="24"/>
          <w:szCs w:val="24"/>
          <w:lang w:eastAsia="zh-CN"/>
        </w:rPr>
        <w:t>3</w:t>
      </w:r>
      <w:r w:rsidR="00A55DFD">
        <w:rPr>
          <w:rFonts w:ascii="华文楷体" w:hAnsi="华文楷体" w:hint="eastAsia"/>
          <w:sz w:val="24"/>
          <w:szCs w:val="24"/>
          <w:lang w:eastAsia="zh-CN"/>
        </w:rPr>
        <w:t>-</w:t>
      </w:r>
      <w:r w:rsidR="00A55DFD">
        <w:rPr>
          <w:rFonts w:ascii="华文楷体" w:hAnsi="华文楷体"/>
          <w:sz w:val="24"/>
          <w:szCs w:val="24"/>
          <w:lang w:eastAsia="zh-CN"/>
        </w:rPr>
        <w:t>28</w:t>
      </w:r>
      <w:r w:rsidR="00DA6CA4">
        <w:rPr>
          <w:rFonts w:ascii="华文楷体" w:hAnsi="华文楷体" w:hint="eastAsia"/>
          <w:sz w:val="24"/>
          <w:szCs w:val="24"/>
          <w:lang w:eastAsia="zh-CN"/>
        </w:rPr>
        <w:t>%</w:t>
      </w:r>
      <w:r w:rsidR="009111E9">
        <w:rPr>
          <w:rFonts w:ascii="华文楷体" w:hAnsi="华文楷体" w:hint="eastAsia"/>
          <w:sz w:val="24"/>
          <w:szCs w:val="24"/>
          <w:lang w:eastAsia="zh-CN"/>
        </w:rPr>
        <w:t>以内</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EF3B44">
        <w:rPr>
          <w:rFonts w:ascii="华文楷体" w:hAnsi="华文楷体"/>
          <w:sz w:val="24"/>
          <w:szCs w:val="24"/>
          <w:lang w:eastAsia="zh-CN"/>
        </w:rPr>
        <w:t>2</w:t>
      </w:r>
      <w:r w:rsidR="009111E9">
        <w:rPr>
          <w:rFonts w:ascii="华文楷体" w:hAnsi="华文楷体"/>
          <w:sz w:val="24"/>
          <w:szCs w:val="24"/>
          <w:lang w:eastAsia="zh-CN"/>
        </w:rPr>
        <w:t>0</w:t>
      </w:r>
      <w:r w:rsidR="00EF3B44">
        <w:rPr>
          <w:rFonts w:ascii="华文楷体" w:hAnsi="华文楷体" w:hint="eastAsia"/>
          <w:sz w:val="24"/>
          <w:szCs w:val="24"/>
          <w:lang w:eastAsia="zh-CN"/>
        </w:rPr>
        <w:t>-</w:t>
      </w:r>
      <w:r w:rsidR="00EF3B44">
        <w:rPr>
          <w:rFonts w:ascii="华文楷体" w:hAnsi="华文楷体"/>
          <w:sz w:val="24"/>
          <w:szCs w:val="24"/>
          <w:lang w:eastAsia="zh-CN"/>
        </w:rPr>
        <w:t>3</w:t>
      </w:r>
      <w:r w:rsidR="0077705A">
        <w:rPr>
          <w:rFonts w:ascii="华文楷体" w:hAnsi="华文楷体" w:hint="eastAsia"/>
          <w:sz w:val="24"/>
          <w:szCs w:val="24"/>
          <w:lang w:eastAsia="zh-CN"/>
        </w:rPr>
        <w:t>0</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中长期限品种处于</w:t>
      </w:r>
      <w:r w:rsidR="009E4AE5">
        <w:rPr>
          <w:rFonts w:ascii="华文楷体" w:hAnsi="华文楷体" w:hint="eastAsia"/>
          <w:sz w:val="24"/>
          <w:szCs w:val="24"/>
          <w:lang w:eastAsia="zh-CN"/>
        </w:rPr>
        <w:t>7</w:t>
      </w:r>
      <w:r w:rsidR="004F1AB3">
        <w:rPr>
          <w:rFonts w:ascii="华文楷体" w:hAnsi="华文楷体" w:hint="eastAsia"/>
          <w:sz w:val="24"/>
          <w:szCs w:val="24"/>
          <w:lang w:eastAsia="zh-CN"/>
        </w:rPr>
        <w:t>-2</w:t>
      </w:r>
      <w:r w:rsidR="009111E9">
        <w:rPr>
          <w:rFonts w:ascii="华文楷体" w:hAnsi="华文楷体"/>
          <w:sz w:val="24"/>
          <w:szCs w:val="24"/>
          <w:lang w:eastAsia="zh-CN"/>
        </w:rPr>
        <w:t>5</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A55DFD">
        <w:rPr>
          <w:rFonts w:ascii="华文楷体" w:hAnsi="华文楷体" w:hint="eastAsia"/>
          <w:sz w:val="24"/>
          <w:szCs w:val="24"/>
          <w:lang w:eastAsia="zh-CN"/>
        </w:rPr>
        <w:t>。</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316"/>
              <w:gridCol w:w="899"/>
              <w:gridCol w:w="900"/>
              <w:gridCol w:w="900"/>
              <w:gridCol w:w="899"/>
              <w:gridCol w:w="1128"/>
              <w:gridCol w:w="899"/>
              <w:gridCol w:w="899"/>
              <w:gridCol w:w="899"/>
              <w:gridCol w:w="899"/>
            </w:tblGrid>
            <w:tr w:rsidR="009E4AE5" w:rsidRPr="009E4AE5" w14:paraId="4AC841AC" w14:textId="77777777" w:rsidTr="009E4AE5">
              <w:trPr>
                <w:trHeight w:val="285"/>
              </w:trPr>
              <w:tc>
                <w:tcPr>
                  <w:tcW w:w="1350" w:type="dxa"/>
                  <w:tcBorders>
                    <w:top w:val="nil"/>
                    <w:left w:val="nil"/>
                    <w:bottom w:val="single" w:sz="12" w:space="0" w:color="FFFFFF"/>
                    <w:right w:val="single" w:sz="8" w:space="0" w:color="FFFFFF"/>
                  </w:tcBorders>
                  <w:shd w:val="clear" w:color="000000" w:fill="F79646"/>
                  <w:noWrap/>
                  <w:vAlign w:val="center"/>
                  <w:hideMark/>
                </w:tcPr>
                <w:p w14:paraId="09E1C85C"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收益率(%)</w:t>
                  </w:r>
                </w:p>
              </w:tc>
              <w:tc>
                <w:tcPr>
                  <w:tcW w:w="920" w:type="dxa"/>
                  <w:tcBorders>
                    <w:top w:val="nil"/>
                    <w:left w:val="nil"/>
                    <w:bottom w:val="single" w:sz="12" w:space="0" w:color="FFFFFF"/>
                    <w:right w:val="single" w:sz="8" w:space="0" w:color="FFFFFF"/>
                  </w:tcBorders>
                  <w:shd w:val="clear" w:color="000000" w:fill="F79646"/>
                  <w:noWrap/>
                  <w:vAlign w:val="center"/>
                  <w:hideMark/>
                </w:tcPr>
                <w:p w14:paraId="35D0250C"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D2A1CF9"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3A6273E"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83C4480"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7B1CA735"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15478BC0"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4C90303"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E85881E"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3C3D4D1"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r>
            <w:tr w:rsidR="009E4AE5" w:rsidRPr="009E4AE5" w14:paraId="281E9161" w14:textId="77777777" w:rsidTr="009E4AE5">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7F8C44F6"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433E9DA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3.05 </w:t>
                  </w:r>
                </w:p>
              </w:tc>
              <w:tc>
                <w:tcPr>
                  <w:tcW w:w="921" w:type="dxa"/>
                  <w:tcBorders>
                    <w:top w:val="nil"/>
                    <w:left w:val="nil"/>
                    <w:bottom w:val="single" w:sz="8" w:space="0" w:color="FFFFFF"/>
                    <w:right w:val="single" w:sz="8" w:space="0" w:color="FFFFFF"/>
                  </w:tcBorders>
                  <w:shd w:val="clear" w:color="000000" w:fill="FCD5B4"/>
                  <w:noWrap/>
                  <w:vAlign w:val="center"/>
                  <w:hideMark/>
                </w:tcPr>
                <w:p w14:paraId="54322AE3"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3.21 </w:t>
                  </w:r>
                </w:p>
              </w:tc>
              <w:tc>
                <w:tcPr>
                  <w:tcW w:w="921" w:type="dxa"/>
                  <w:tcBorders>
                    <w:top w:val="nil"/>
                    <w:left w:val="nil"/>
                    <w:bottom w:val="single" w:sz="8" w:space="0" w:color="FFFFFF"/>
                    <w:right w:val="single" w:sz="8" w:space="0" w:color="FFFFFF"/>
                  </w:tcBorders>
                  <w:shd w:val="clear" w:color="000000" w:fill="FCD5B4"/>
                  <w:noWrap/>
                  <w:vAlign w:val="center"/>
                  <w:hideMark/>
                </w:tcPr>
                <w:p w14:paraId="23A43AE8"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3.59 </w:t>
                  </w:r>
                </w:p>
              </w:tc>
              <w:tc>
                <w:tcPr>
                  <w:tcW w:w="921" w:type="dxa"/>
                  <w:tcBorders>
                    <w:top w:val="nil"/>
                    <w:left w:val="nil"/>
                    <w:bottom w:val="single" w:sz="8" w:space="0" w:color="FFFFFF"/>
                    <w:right w:val="single" w:sz="8" w:space="0" w:color="FFFFFF"/>
                  </w:tcBorders>
                  <w:shd w:val="clear" w:color="000000" w:fill="FCD5B4"/>
                  <w:noWrap/>
                  <w:vAlign w:val="center"/>
                  <w:hideMark/>
                </w:tcPr>
                <w:p w14:paraId="6E749418"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5.77 </w:t>
                  </w:r>
                </w:p>
              </w:tc>
              <w:tc>
                <w:tcPr>
                  <w:tcW w:w="1157" w:type="dxa"/>
                  <w:tcBorders>
                    <w:top w:val="nil"/>
                    <w:left w:val="nil"/>
                    <w:bottom w:val="single" w:sz="8" w:space="0" w:color="FFFFFF"/>
                    <w:right w:val="single" w:sz="8" w:space="0" w:color="FFFFFF"/>
                  </w:tcBorders>
                  <w:shd w:val="clear" w:color="000000" w:fill="FCD5B4"/>
                  <w:noWrap/>
                  <w:vAlign w:val="center"/>
                  <w:hideMark/>
                </w:tcPr>
                <w:p w14:paraId="0962574E"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1CBC051C"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0.45 </w:t>
                  </w:r>
                </w:p>
              </w:tc>
              <w:tc>
                <w:tcPr>
                  <w:tcW w:w="921" w:type="dxa"/>
                  <w:tcBorders>
                    <w:top w:val="nil"/>
                    <w:left w:val="nil"/>
                    <w:bottom w:val="single" w:sz="8" w:space="0" w:color="FFFFFF"/>
                    <w:right w:val="single" w:sz="8" w:space="0" w:color="FFFFFF"/>
                  </w:tcBorders>
                  <w:shd w:val="clear" w:color="000000" w:fill="FCD5B4"/>
                  <w:noWrap/>
                  <w:vAlign w:val="center"/>
                  <w:hideMark/>
                </w:tcPr>
                <w:p w14:paraId="741CB85E"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0.60 </w:t>
                  </w:r>
                </w:p>
              </w:tc>
              <w:tc>
                <w:tcPr>
                  <w:tcW w:w="921" w:type="dxa"/>
                  <w:tcBorders>
                    <w:top w:val="nil"/>
                    <w:left w:val="nil"/>
                    <w:bottom w:val="single" w:sz="8" w:space="0" w:color="FFFFFF"/>
                    <w:right w:val="single" w:sz="8" w:space="0" w:color="FFFFFF"/>
                  </w:tcBorders>
                  <w:shd w:val="clear" w:color="000000" w:fill="FCD5B4"/>
                  <w:noWrap/>
                  <w:vAlign w:val="center"/>
                  <w:hideMark/>
                </w:tcPr>
                <w:p w14:paraId="0CD9ED01"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0.98 </w:t>
                  </w:r>
                </w:p>
              </w:tc>
              <w:tc>
                <w:tcPr>
                  <w:tcW w:w="921" w:type="dxa"/>
                  <w:tcBorders>
                    <w:top w:val="nil"/>
                    <w:left w:val="nil"/>
                    <w:bottom w:val="single" w:sz="8" w:space="0" w:color="FFFFFF"/>
                    <w:right w:val="single" w:sz="8" w:space="0" w:color="FFFFFF"/>
                  </w:tcBorders>
                  <w:shd w:val="clear" w:color="000000" w:fill="FCD5B4"/>
                  <w:noWrap/>
                  <w:vAlign w:val="center"/>
                  <w:hideMark/>
                </w:tcPr>
                <w:p w14:paraId="1F6606C6"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3.16 </w:t>
                  </w:r>
                </w:p>
              </w:tc>
            </w:tr>
            <w:tr w:rsidR="009E4AE5" w:rsidRPr="009E4AE5" w14:paraId="0D8B13DF" w14:textId="77777777" w:rsidTr="009E4AE5">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37BBF99A"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416347BC"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3.58 </w:t>
                  </w:r>
                </w:p>
              </w:tc>
              <w:tc>
                <w:tcPr>
                  <w:tcW w:w="921" w:type="dxa"/>
                  <w:tcBorders>
                    <w:top w:val="nil"/>
                    <w:left w:val="nil"/>
                    <w:bottom w:val="single" w:sz="8" w:space="0" w:color="FFFFFF"/>
                    <w:right w:val="single" w:sz="8" w:space="0" w:color="FFFFFF"/>
                  </w:tcBorders>
                  <w:shd w:val="clear" w:color="000000" w:fill="FDE9D9"/>
                  <w:noWrap/>
                  <w:vAlign w:val="center"/>
                  <w:hideMark/>
                </w:tcPr>
                <w:p w14:paraId="18C3D961"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3.83 </w:t>
                  </w:r>
                </w:p>
              </w:tc>
              <w:tc>
                <w:tcPr>
                  <w:tcW w:w="921" w:type="dxa"/>
                  <w:tcBorders>
                    <w:top w:val="nil"/>
                    <w:left w:val="nil"/>
                    <w:bottom w:val="single" w:sz="8" w:space="0" w:color="FFFFFF"/>
                    <w:right w:val="single" w:sz="8" w:space="0" w:color="FFFFFF"/>
                  </w:tcBorders>
                  <w:shd w:val="clear" w:color="000000" w:fill="FDE9D9"/>
                  <w:noWrap/>
                  <w:vAlign w:val="center"/>
                  <w:hideMark/>
                </w:tcPr>
                <w:p w14:paraId="2C772F2A"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4.31 </w:t>
                  </w:r>
                </w:p>
              </w:tc>
              <w:tc>
                <w:tcPr>
                  <w:tcW w:w="921" w:type="dxa"/>
                  <w:tcBorders>
                    <w:top w:val="nil"/>
                    <w:left w:val="nil"/>
                    <w:bottom w:val="single" w:sz="8" w:space="0" w:color="FFFFFF"/>
                    <w:right w:val="single" w:sz="8" w:space="0" w:color="FFFFFF"/>
                  </w:tcBorders>
                  <w:shd w:val="clear" w:color="000000" w:fill="FDE9D9"/>
                  <w:noWrap/>
                  <w:vAlign w:val="center"/>
                  <w:hideMark/>
                </w:tcPr>
                <w:p w14:paraId="73591853"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6.48 </w:t>
                  </w:r>
                </w:p>
              </w:tc>
              <w:tc>
                <w:tcPr>
                  <w:tcW w:w="1157" w:type="dxa"/>
                  <w:tcBorders>
                    <w:top w:val="nil"/>
                    <w:left w:val="nil"/>
                    <w:bottom w:val="single" w:sz="8" w:space="0" w:color="FFFFFF"/>
                    <w:right w:val="single" w:sz="8" w:space="0" w:color="FFFFFF"/>
                  </w:tcBorders>
                  <w:shd w:val="clear" w:color="000000" w:fill="FDE9D9"/>
                  <w:noWrap/>
                  <w:vAlign w:val="center"/>
                  <w:hideMark/>
                </w:tcPr>
                <w:p w14:paraId="3C071F97"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7853AC0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0.69 </w:t>
                  </w:r>
                </w:p>
              </w:tc>
              <w:tc>
                <w:tcPr>
                  <w:tcW w:w="921" w:type="dxa"/>
                  <w:tcBorders>
                    <w:top w:val="nil"/>
                    <w:left w:val="nil"/>
                    <w:bottom w:val="single" w:sz="8" w:space="0" w:color="FFFFFF"/>
                    <w:right w:val="single" w:sz="8" w:space="0" w:color="FFFFFF"/>
                  </w:tcBorders>
                  <w:shd w:val="clear" w:color="000000" w:fill="FDE9D9"/>
                  <w:noWrap/>
                  <w:vAlign w:val="center"/>
                  <w:hideMark/>
                </w:tcPr>
                <w:p w14:paraId="3CFAC5DB"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0.94 </w:t>
                  </w:r>
                </w:p>
              </w:tc>
              <w:tc>
                <w:tcPr>
                  <w:tcW w:w="921" w:type="dxa"/>
                  <w:tcBorders>
                    <w:top w:val="nil"/>
                    <w:left w:val="nil"/>
                    <w:bottom w:val="single" w:sz="8" w:space="0" w:color="FFFFFF"/>
                    <w:right w:val="single" w:sz="8" w:space="0" w:color="FFFFFF"/>
                  </w:tcBorders>
                  <w:shd w:val="clear" w:color="000000" w:fill="FDE9D9"/>
                  <w:noWrap/>
                  <w:vAlign w:val="center"/>
                  <w:hideMark/>
                </w:tcPr>
                <w:p w14:paraId="7B854995"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1.42 </w:t>
                  </w:r>
                </w:p>
              </w:tc>
              <w:tc>
                <w:tcPr>
                  <w:tcW w:w="921" w:type="dxa"/>
                  <w:tcBorders>
                    <w:top w:val="nil"/>
                    <w:left w:val="nil"/>
                    <w:bottom w:val="single" w:sz="8" w:space="0" w:color="FFFFFF"/>
                    <w:right w:val="single" w:sz="8" w:space="0" w:color="FFFFFF"/>
                  </w:tcBorders>
                  <w:shd w:val="clear" w:color="000000" w:fill="FDE9D9"/>
                  <w:noWrap/>
                  <w:vAlign w:val="center"/>
                  <w:hideMark/>
                </w:tcPr>
                <w:p w14:paraId="4364CFF7"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3.59 </w:t>
                  </w:r>
                </w:p>
              </w:tc>
            </w:tr>
            <w:tr w:rsidR="009E4AE5" w:rsidRPr="009E4AE5" w14:paraId="2BA5524E" w14:textId="77777777" w:rsidTr="009E4AE5">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2B85FD06"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4E488CB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3.79 </w:t>
                  </w:r>
                </w:p>
              </w:tc>
              <w:tc>
                <w:tcPr>
                  <w:tcW w:w="921" w:type="dxa"/>
                  <w:tcBorders>
                    <w:top w:val="nil"/>
                    <w:left w:val="nil"/>
                    <w:bottom w:val="single" w:sz="8" w:space="0" w:color="FFFFFF"/>
                    <w:right w:val="single" w:sz="8" w:space="0" w:color="FFFFFF"/>
                  </w:tcBorders>
                  <w:shd w:val="clear" w:color="000000" w:fill="FCD5B4"/>
                  <w:noWrap/>
                  <w:vAlign w:val="center"/>
                  <w:hideMark/>
                </w:tcPr>
                <w:p w14:paraId="504A675F"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4.16 </w:t>
                  </w:r>
                </w:p>
              </w:tc>
              <w:tc>
                <w:tcPr>
                  <w:tcW w:w="921" w:type="dxa"/>
                  <w:tcBorders>
                    <w:top w:val="nil"/>
                    <w:left w:val="nil"/>
                    <w:bottom w:val="single" w:sz="8" w:space="0" w:color="FFFFFF"/>
                    <w:right w:val="single" w:sz="8" w:space="0" w:color="FFFFFF"/>
                  </w:tcBorders>
                  <w:shd w:val="clear" w:color="000000" w:fill="FCD5B4"/>
                  <w:noWrap/>
                  <w:vAlign w:val="center"/>
                  <w:hideMark/>
                </w:tcPr>
                <w:p w14:paraId="516C9821"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4.65 </w:t>
                  </w:r>
                </w:p>
              </w:tc>
              <w:tc>
                <w:tcPr>
                  <w:tcW w:w="921" w:type="dxa"/>
                  <w:tcBorders>
                    <w:top w:val="nil"/>
                    <w:left w:val="nil"/>
                    <w:bottom w:val="single" w:sz="8" w:space="0" w:color="FFFFFF"/>
                    <w:right w:val="single" w:sz="8" w:space="0" w:color="FFFFFF"/>
                  </w:tcBorders>
                  <w:shd w:val="clear" w:color="000000" w:fill="FCD5B4"/>
                  <w:noWrap/>
                  <w:vAlign w:val="center"/>
                  <w:hideMark/>
                </w:tcPr>
                <w:p w14:paraId="4E15040D"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6.82 </w:t>
                  </w:r>
                </w:p>
              </w:tc>
              <w:tc>
                <w:tcPr>
                  <w:tcW w:w="1157" w:type="dxa"/>
                  <w:tcBorders>
                    <w:top w:val="nil"/>
                    <w:left w:val="nil"/>
                    <w:bottom w:val="single" w:sz="8" w:space="0" w:color="FFFFFF"/>
                    <w:right w:val="single" w:sz="8" w:space="0" w:color="FFFFFF"/>
                  </w:tcBorders>
                  <w:shd w:val="clear" w:color="000000" w:fill="FCD5B4"/>
                  <w:noWrap/>
                  <w:vAlign w:val="center"/>
                  <w:hideMark/>
                </w:tcPr>
                <w:p w14:paraId="17494D4D"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72274FFF"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0.78 </w:t>
                  </w:r>
                </w:p>
              </w:tc>
              <w:tc>
                <w:tcPr>
                  <w:tcW w:w="921" w:type="dxa"/>
                  <w:tcBorders>
                    <w:top w:val="nil"/>
                    <w:left w:val="nil"/>
                    <w:bottom w:val="single" w:sz="8" w:space="0" w:color="FFFFFF"/>
                    <w:right w:val="single" w:sz="8" w:space="0" w:color="FFFFFF"/>
                  </w:tcBorders>
                  <w:shd w:val="clear" w:color="000000" w:fill="FCD5B4"/>
                  <w:noWrap/>
                  <w:vAlign w:val="center"/>
                  <w:hideMark/>
                </w:tcPr>
                <w:p w14:paraId="6934DF59"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1.15 </w:t>
                  </w:r>
                </w:p>
              </w:tc>
              <w:tc>
                <w:tcPr>
                  <w:tcW w:w="921" w:type="dxa"/>
                  <w:tcBorders>
                    <w:top w:val="nil"/>
                    <w:left w:val="nil"/>
                    <w:bottom w:val="single" w:sz="8" w:space="0" w:color="FFFFFF"/>
                    <w:right w:val="single" w:sz="8" w:space="0" w:color="FFFFFF"/>
                  </w:tcBorders>
                  <w:shd w:val="clear" w:color="000000" w:fill="FCD5B4"/>
                  <w:noWrap/>
                  <w:vAlign w:val="center"/>
                  <w:hideMark/>
                </w:tcPr>
                <w:p w14:paraId="2C6940F6"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1.64 </w:t>
                  </w:r>
                </w:p>
              </w:tc>
              <w:tc>
                <w:tcPr>
                  <w:tcW w:w="921" w:type="dxa"/>
                  <w:tcBorders>
                    <w:top w:val="nil"/>
                    <w:left w:val="nil"/>
                    <w:bottom w:val="single" w:sz="8" w:space="0" w:color="FFFFFF"/>
                    <w:right w:val="single" w:sz="8" w:space="0" w:color="FFFFFF"/>
                  </w:tcBorders>
                  <w:shd w:val="clear" w:color="000000" w:fill="FCD5B4"/>
                  <w:noWrap/>
                  <w:vAlign w:val="center"/>
                  <w:hideMark/>
                </w:tcPr>
                <w:p w14:paraId="5CEDD8DC"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3.81 </w:t>
                  </w:r>
                </w:p>
              </w:tc>
            </w:tr>
            <w:tr w:rsidR="009E4AE5" w:rsidRPr="009E4AE5" w14:paraId="68CC4587" w14:textId="77777777" w:rsidTr="009E4AE5">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005340C6"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14E89585"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3.56 </w:t>
                  </w:r>
                </w:p>
              </w:tc>
              <w:tc>
                <w:tcPr>
                  <w:tcW w:w="921" w:type="dxa"/>
                  <w:tcBorders>
                    <w:top w:val="nil"/>
                    <w:left w:val="nil"/>
                    <w:bottom w:val="single" w:sz="8" w:space="0" w:color="FFFFFF"/>
                    <w:right w:val="single" w:sz="8" w:space="0" w:color="FFFFFF"/>
                  </w:tcBorders>
                  <w:shd w:val="clear" w:color="000000" w:fill="FDE9D9"/>
                  <w:noWrap/>
                  <w:vAlign w:val="center"/>
                  <w:hideMark/>
                </w:tcPr>
                <w:p w14:paraId="39BCBB87"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3.78 </w:t>
                  </w:r>
                </w:p>
              </w:tc>
              <w:tc>
                <w:tcPr>
                  <w:tcW w:w="921" w:type="dxa"/>
                  <w:tcBorders>
                    <w:top w:val="nil"/>
                    <w:left w:val="nil"/>
                    <w:bottom w:val="single" w:sz="8" w:space="0" w:color="FFFFFF"/>
                    <w:right w:val="single" w:sz="8" w:space="0" w:color="FFFFFF"/>
                  </w:tcBorders>
                  <w:shd w:val="clear" w:color="000000" w:fill="FDE9D9"/>
                  <w:noWrap/>
                  <w:vAlign w:val="center"/>
                  <w:hideMark/>
                </w:tcPr>
                <w:p w14:paraId="1872F255"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4.28 </w:t>
                  </w:r>
                </w:p>
              </w:tc>
              <w:tc>
                <w:tcPr>
                  <w:tcW w:w="921" w:type="dxa"/>
                  <w:tcBorders>
                    <w:top w:val="nil"/>
                    <w:left w:val="nil"/>
                    <w:bottom w:val="single" w:sz="8" w:space="0" w:color="FFFFFF"/>
                    <w:right w:val="single" w:sz="8" w:space="0" w:color="FFFFFF"/>
                  </w:tcBorders>
                  <w:shd w:val="clear" w:color="000000" w:fill="FDE9D9"/>
                  <w:noWrap/>
                  <w:vAlign w:val="center"/>
                  <w:hideMark/>
                </w:tcPr>
                <w:p w14:paraId="0CC76D17"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6.48 </w:t>
                  </w:r>
                </w:p>
              </w:tc>
              <w:tc>
                <w:tcPr>
                  <w:tcW w:w="1157" w:type="dxa"/>
                  <w:tcBorders>
                    <w:top w:val="nil"/>
                    <w:left w:val="nil"/>
                    <w:bottom w:val="single" w:sz="8" w:space="0" w:color="FFFFFF"/>
                    <w:right w:val="single" w:sz="8" w:space="0" w:color="FFFFFF"/>
                  </w:tcBorders>
                  <w:shd w:val="clear" w:color="000000" w:fill="FDE9D9"/>
                  <w:noWrap/>
                  <w:vAlign w:val="center"/>
                  <w:hideMark/>
                </w:tcPr>
                <w:p w14:paraId="59B0C666"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6DB815FD"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0.67 </w:t>
                  </w:r>
                </w:p>
              </w:tc>
              <w:tc>
                <w:tcPr>
                  <w:tcW w:w="921" w:type="dxa"/>
                  <w:tcBorders>
                    <w:top w:val="nil"/>
                    <w:left w:val="nil"/>
                    <w:bottom w:val="single" w:sz="8" w:space="0" w:color="FFFFFF"/>
                    <w:right w:val="single" w:sz="8" w:space="0" w:color="FFFFFF"/>
                  </w:tcBorders>
                  <w:shd w:val="clear" w:color="000000" w:fill="FDE9D9"/>
                  <w:noWrap/>
                  <w:vAlign w:val="center"/>
                  <w:hideMark/>
                </w:tcPr>
                <w:p w14:paraId="4A306A1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0.89 </w:t>
                  </w:r>
                </w:p>
              </w:tc>
              <w:tc>
                <w:tcPr>
                  <w:tcW w:w="921" w:type="dxa"/>
                  <w:tcBorders>
                    <w:top w:val="nil"/>
                    <w:left w:val="nil"/>
                    <w:bottom w:val="single" w:sz="8" w:space="0" w:color="FFFFFF"/>
                    <w:right w:val="single" w:sz="8" w:space="0" w:color="FFFFFF"/>
                  </w:tcBorders>
                  <w:shd w:val="clear" w:color="000000" w:fill="FDE9D9"/>
                  <w:noWrap/>
                  <w:vAlign w:val="center"/>
                  <w:hideMark/>
                </w:tcPr>
                <w:p w14:paraId="3E620264"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1.39 </w:t>
                  </w:r>
                </w:p>
              </w:tc>
              <w:tc>
                <w:tcPr>
                  <w:tcW w:w="921" w:type="dxa"/>
                  <w:tcBorders>
                    <w:top w:val="nil"/>
                    <w:left w:val="nil"/>
                    <w:bottom w:val="single" w:sz="8" w:space="0" w:color="FFFFFF"/>
                    <w:right w:val="single" w:sz="8" w:space="0" w:color="FFFFFF"/>
                  </w:tcBorders>
                  <w:shd w:val="clear" w:color="000000" w:fill="FDE9D9"/>
                  <w:noWrap/>
                  <w:vAlign w:val="center"/>
                  <w:hideMark/>
                </w:tcPr>
                <w:p w14:paraId="5102859A"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3.59 </w:t>
                  </w:r>
                </w:p>
              </w:tc>
            </w:tr>
            <w:tr w:rsidR="009E4AE5" w:rsidRPr="009E4AE5" w14:paraId="5770C232" w14:textId="77777777" w:rsidTr="009E4AE5">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7F942B0C"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724477D9"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3.74 </w:t>
                  </w:r>
                </w:p>
              </w:tc>
              <w:tc>
                <w:tcPr>
                  <w:tcW w:w="921" w:type="dxa"/>
                  <w:tcBorders>
                    <w:top w:val="nil"/>
                    <w:left w:val="nil"/>
                    <w:bottom w:val="single" w:sz="8" w:space="0" w:color="FFFFFF"/>
                    <w:right w:val="single" w:sz="8" w:space="0" w:color="FFFFFF"/>
                  </w:tcBorders>
                  <w:shd w:val="clear" w:color="000000" w:fill="FCD5B4"/>
                  <w:noWrap/>
                  <w:vAlign w:val="center"/>
                  <w:hideMark/>
                </w:tcPr>
                <w:p w14:paraId="47B6AFDA"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4.00 </w:t>
                  </w:r>
                </w:p>
              </w:tc>
              <w:tc>
                <w:tcPr>
                  <w:tcW w:w="921" w:type="dxa"/>
                  <w:tcBorders>
                    <w:top w:val="nil"/>
                    <w:left w:val="nil"/>
                    <w:bottom w:val="single" w:sz="8" w:space="0" w:color="FFFFFF"/>
                    <w:right w:val="single" w:sz="8" w:space="0" w:color="FFFFFF"/>
                  </w:tcBorders>
                  <w:shd w:val="clear" w:color="000000" w:fill="FCD5B4"/>
                  <w:noWrap/>
                  <w:vAlign w:val="center"/>
                  <w:hideMark/>
                </w:tcPr>
                <w:p w14:paraId="468506F3"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4.50 </w:t>
                  </w:r>
                </w:p>
              </w:tc>
              <w:tc>
                <w:tcPr>
                  <w:tcW w:w="921" w:type="dxa"/>
                  <w:tcBorders>
                    <w:top w:val="nil"/>
                    <w:left w:val="nil"/>
                    <w:bottom w:val="single" w:sz="8" w:space="0" w:color="FFFFFF"/>
                    <w:right w:val="single" w:sz="8" w:space="0" w:color="FFFFFF"/>
                  </w:tcBorders>
                  <w:shd w:val="clear" w:color="000000" w:fill="FCD5B4"/>
                  <w:noWrap/>
                  <w:vAlign w:val="center"/>
                  <w:hideMark/>
                </w:tcPr>
                <w:p w14:paraId="7868806D"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6.70 </w:t>
                  </w:r>
                </w:p>
              </w:tc>
              <w:tc>
                <w:tcPr>
                  <w:tcW w:w="1157" w:type="dxa"/>
                  <w:tcBorders>
                    <w:top w:val="nil"/>
                    <w:left w:val="nil"/>
                    <w:bottom w:val="single" w:sz="8" w:space="0" w:color="FFFFFF"/>
                    <w:right w:val="single" w:sz="8" w:space="0" w:color="FFFFFF"/>
                  </w:tcBorders>
                  <w:shd w:val="clear" w:color="000000" w:fill="FCD5B4"/>
                  <w:noWrap/>
                  <w:vAlign w:val="center"/>
                  <w:hideMark/>
                </w:tcPr>
                <w:p w14:paraId="5C13C1DE"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7D014D9E"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0.73 </w:t>
                  </w:r>
                </w:p>
              </w:tc>
              <w:tc>
                <w:tcPr>
                  <w:tcW w:w="921" w:type="dxa"/>
                  <w:tcBorders>
                    <w:top w:val="nil"/>
                    <w:left w:val="nil"/>
                    <w:bottom w:val="single" w:sz="8" w:space="0" w:color="FFFFFF"/>
                    <w:right w:val="single" w:sz="8" w:space="0" w:color="FFFFFF"/>
                  </w:tcBorders>
                  <w:shd w:val="clear" w:color="000000" w:fill="FCD5B4"/>
                  <w:noWrap/>
                  <w:vAlign w:val="center"/>
                  <w:hideMark/>
                </w:tcPr>
                <w:p w14:paraId="360B9CC9"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0.99 </w:t>
                  </w:r>
                </w:p>
              </w:tc>
              <w:tc>
                <w:tcPr>
                  <w:tcW w:w="921" w:type="dxa"/>
                  <w:tcBorders>
                    <w:top w:val="nil"/>
                    <w:left w:val="nil"/>
                    <w:bottom w:val="single" w:sz="8" w:space="0" w:color="FFFFFF"/>
                    <w:right w:val="single" w:sz="8" w:space="0" w:color="FFFFFF"/>
                  </w:tcBorders>
                  <w:shd w:val="clear" w:color="000000" w:fill="FCD5B4"/>
                  <w:noWrap/>
                  <w:vAlign w:val="center"/>
                  <w:hideMark/>
                </w:tcPr>
                <w:p w14:paraId="768AA48E"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1.49 </w:t>
                  </w:r>
                </w:p>
              </w:tc>
              <w:tc>
                <w:tcPr>
                  <w:tcW w:w="921" w:type="dxa"/>
                  <w:tcBorders>
                    <w:top w:val="nil"/>
                    <w:left w:val="nil"/>
                    <w:bottom w:val="single" w:sz="8" w:space="0" w:color="FFFFFF"/>
                    <w:right w:val="single" w:sz="8" w:space="0" w:color="FFFFFF"/>
                  </w:tcBorders>
                  <w:shd w:val="clear" w:color="000000" w:fill="FCD5B4"/>
                  <w:noWrap/>
                  <w:vAlign w:val="center"/>
                  <w:hideMark/>
                </w:tcPr>
                <w:p w14:paraId="3FD7DE1D"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3.69 </w:t>
                  </w:r>
                </w:p>
              </w:tc>
            </w:tr>
            <w:tr w:rsidR="009E4AE5" w:rsidRPr="009E4AE5" w14:paraId="5F485988" w14:textId="77777777" w:rsidTr="009E4AE5">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1BD6D2D4"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1B62E09D"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3.89 </w:t>
                  </w:r>
                </w:p>
              </w:tc>
              <w:tc>
                <w:tcPr>
                  <w:tcW w:w="921" w:type="dxa"/>
                  <w:tcBorders>
                    <w:top w:val="nil"/>
                    <w:left w:val="nil"/>
                    <w:bottom w:val="single" w:sz="8" w:space="0" w:color="FFFFFF"/>
                    <w:right w:val="single" w:sz="8" w:space="0" w:color="FFFFFF"/>
                  </w:tcBorders>
                  <w:shd w:val="clear" w:color="000000" w:fill="FDE9D9"/>
                  <w:noWrap/>
                  <w:vAlign w:val="center"/>
                  <w:hideMark/>
                </w:tcPr>
                <w:p w14:paraId="3B4FB975"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4.17 </w:t>
                  </w:r>
                </w:p>
              </w:tc>
              <w:tc>
                <w:tcPr>
                  <w:tcW w:w="921" w:type="dxa"/>
                  <w:tcBorders>
                    <w:top w:val="nil"/>
                    <w:left w:val="nil"/>
                    <w:bottom w:val="single" w:sz="8" w:space="0" w:color="FFFFFF"/>
                    <w:right w:val="single" w:sz="8" w:space="0" w:color="FFFFFF"/>
                  </w:tcBorders>
                  <w:shd w:val="clear" w:color="000000" w:fill="FDE9D9"/>
                  <w:noWrap/>
                  <w:vAlign w:val="center"/>
                  <w:hideMark/>
                </w:tcPr>
                <w:p w14:paraId="7C8A8FD9"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4.67 </w:t>
                  </w:r>
                </w:p>
              </w:tc>
              <w:tc>
                <w:tcPr>
                  <w:tcW w:w="921" w:type="dxa"/>
                  <w:tcBorders>
                    <w:top w:val="nil"/>
                    <w:left w:val="nil"/>
                    <w:bottom w:val="single" w:sz="8" w:space="0" w:color="FFFFFF"/>
                    <w:right w:val="single" w:sz="8" w:space="0" w:color="FFFFFF"/>
                  </w:tcBorders>
                  <w:shd w:val="clear" w:color="000000" w:fill="FDE9D9"/>
                  <w:noWrap/>
                  <w:vAlign w:val="center"/>
                  <w:hideMark/>
                </w:tcPr>
                <w:p w14:paraId="6ABD699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6.87 </w:t>
                  </w:r>
                </w:p>
              </w:tc>
              <w:tc>
                <w:tcPr>
                  <w:tcW w:w="1157" w:type="dxa"/>
                  <w:tcBorders>
                    <w:top w:val="nil"/>
                    <w:left w:val="nil"/>
                    <w:bottom w:val="single" w:sz="8" w:space="0" w:color="FFFFFF"/>
                    <w:right w:val="single" w:sz="8" w:space="0" w:color="FFFFFF"/>
                  </w:tcBorders>
                  <w:shd w:val="clear" w:color="000000" w:fill="FDE9D9"/>
                  <w:noWrap/>
                  <w:vAlign w:val="center"/>
                  <w:hideMark/>
                </w:tcPr>
                <w:p w14:paraId="7F87FC0C"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1EDD5BC9"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0.71 </w:t>
                  </w:r>
                </w:p>
              </w:tc>
              <w:tc>
                <w:tcPr>
                  <w:tcW w:w="921" w:type="dxa"/>
                  <w:tcBorders>
                    <w:top w:val="nil"/>
                    <w:left w:val="nil"/>
                    <w:bottom w:val="single" w:sz="8" w:space="0" w:color="FFFFFF"/>
                    <w:right w:val="single" w:sz="8" w:space="0" w:color="FFFFFF"/>
                  </w:tcBorders>
                  <w:shd w:val="clear" w:color="000000" w:fill="FDE9D9"/>
                  <w:noWrap/>
                  <w:vAlign w:val="center"/>
                  <w:hideMark/>
                </w:tcPr>
                <w:p w14:paraId="2D16F893"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0.99 </w:t>
                  </w:r>
                </w:p>
              </w:tc>
              <w:tc>
                <w:tcPr>
                  <w:tcW w:w="921" w:type="dxa"/>
                  <w:tcBorders>
                    <w:top w:val="nil"/>
                    <w:left w:val="nil"/>
                    <w:bottom w:val="single" w:sz="8" w:space="0" w:color="FFFFFF"/>
                    <w:right w:val="single" w:sz="8" w:space="0" w:color="FFFFFF"/>
                  </w:tcBorders>
                  <w:shd w:val="clear" w:color="000000" w:fill="FDE9D9"/>
                  <w:noWrap/>
                  <w:vAlign w:val="center"/>
                  <w:hideMark/>
                </w:tcPr>
                <w:p w14:paraId="654AEEF9"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1.49 </w:t>
                  </w:r>
                </w:p>
              </w:tc>
              <w:tc>
                <w:tcPr>
                  <w:tcW w:w="921" w:type="dxa"/>
                  <w:tcBorders>
                    <w:top w:val="nil"/>
                    <w:left w:val="nil"/>
                    <w:bottom w:val="single" w:sz="8" w:space="0" w:color="FFFFFF"/>
                    <w:right w:val="single" w:sz="8" w:space="0" w:color="FFFFFF"/>
                  </w:tcBorders>
                  <w:shd w:val="clear" w:color="000000" w:fill="FDE9D9"/>
                  <w:noWrap/>
                  <w:vAlign w:val="center"/>
                  <w:hideMark/>
                </w:tcPr>
                <w:p w14:paraId="06BEC2EB"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3.69 </w:t>
                  </w:r>
                </w:p>
              </w:tc>
            </w:tr>
            <w:tr w:rsidR="009E4AE5" w:rsidRPr="009E4AE5" w14:paraId="3CE4DEF2" w14:textId="77777777" w:rsidTr="009E4AE5">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759F9E07"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城投债3Y</w:t>
                  </w:r>
                </w:p>
              </w:tc>
              <w:tc>
                <w:tcPr>
                  <w:tcW w:w="920" w:type="dxa"/>
                  <w:tcBorders>
                    <w:top w:val="nil"/>
                    <w:left w:val="nil"/>
                    <w:bottom w:val="single" w:sz="8" w:space="0" w:color="FFFFFF"/>
                    <w:right w:val="single" w:sz="8" w:space="0" w:color="FFFFFF"/>
                  </w:tcBorders>
                  <w:shd w:val="clear" w:color="000000" w:fill="FCD5B4"/>
                  <w:noWrap/>
                  <w:vAlign w:val="center"/>
                  <w:hideMark/>
                </w:tcPr>
                <w:p w14:paraId="077E7AC4"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3.60 </w:t>
                  </w:r>
                </w:p>
              </w:tc>
              <w:tc>
                <w:tcPr>
                  <w:tcW w:w="921" w:type="dxa"/>
                  <w:tcBorders>
                    <w:top w:val="nil"/>
                    <w:left w:val="nil"/>
                    <w:bottom w:val="single" w:sz="8" w:space="0" w:color="FFFFFF"/>
                    <w:right w:val="single" w:sz="8" w:space="0" w:color="FFFFFF"/>
                  </w:tcBorders>
                  <w:shd w:val="clear" w:color="000000" w:fill="FCD5B4"/>
                  <w:noWrap/>
                  <w:vAlign w:val="center"/>
                  <w:hideMark/>
                </w:tcPr>
                <w:p w14:paraId="1A386D60"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3.76 </w:t>
                  </w:r>
                </w:p>
              </w:tc>
              <w:tc>
                <w:tcPr>
                  <w:tcW w:w="921" w:type="dxa"/>
                  <w:tcBorders>
                    <w:top w:val="nil"/>
                    <w:left w:val="nil"/>
                    <w:bottom w:val="single" w:sz="8" w:space="0" w:color="FFFFFF"/>
                    <w:right w:val="single" w:sz="8" w:space="0" w:color="FFFFFF"/>
                  </w:tcBorders>
                  <w:shd w:val="clear" w:color="000000" w:fill="FCD5B4"/>
                  <w:noWrap/>
                  <w:vAlign w:val="center"/>
                  <w:hideMark/>
                </w:tcPr>
                <w:p w14:paraId="01C8A9E3"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3.97 </w:t>
                  </w:r>
                </w:p>
              </w:tc>
              <w:tc>
                <w:tcPr>
                  <w:tcW w:w="921" w:type="dxa"/>
                  <w:tcBorders>
                    <w:top w:val="nil"/>
                    <w:left w:val="nil"/>
                    <w:bottom w:val="single" w:sz="8" w:space="0" w:color="FFFFFF"/>
                    <w:right w:val="single" w:sz="8" w:space="0" w:color="FFFFFF"/>
                  </w:tcBorders>
                  <w:shd w:val="clear" w:color="000000" w:fill="FCD5B4"/>
                  <w:noWrap/>
                  <w:vAlign w:val="center"/>
                  <w:hideMark/>
                </w:tcPr>
                <w:p w14:paraId="0A2A0AD0"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6.47 </w:t>
                  </w:r>
                </w:p>
              </w:tc>
              <w:tc>
                <w:tcPr>
                  <w:tcW w:w="1157" w:type="dxa"/>
                  <w:tcBorders>
                    <w:top w:val="nil"/>
                    <w:left w:val="nil"/>
                    <w:bottom w:val="single" w:sz="8" w:space="0" w:color="FFFFFF"/>
                    <w:right w:val="single" w:sz="8" w:space="0" w:color="FFFFFF"/>
                  </w:tcBorders>
                  <w:shd w:val="clear" w:color="000000" w:fill="FCD5B4"/>
                  <w:noWrap/>
                  <w:vAlign w:val="center"/>
                  <w:hideMark/>
                </w:tcPr>
                <w:p w14:paraId="09ED7A87"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城投债3Y</w:t>
                  </w:r>
                </w:p>
              </w:tc>
              <w:tc>
                <w:tcPr>
                  <w:tcW w:w="921" w:type="dxa"/>
                  <w:tcBorders>
                    <w:top w:val="nil"/>
                    <w:left w:val="nil"/>
                    <w:bottom w:val="single" w:sz="8" w:space="0" w:color="FFFFFF"/>
                    <w:right w:val="single" w:sz="8" w:space="0" w:color="FFFFFF"/>
                  </w:tcBorders>
                  <w:shd w:val="clear" w:color="000000" w:fill="FCD5B4"/>
                  <w:noWrap/>
                  <w:vAlign w:val="center"/>
                  <w:hideMark/>
                </w:tcPr>
                <w:p w14:paraId="7682308C"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0.71 </w:t>
                  </w:r>
                </w:p>
              </w:tc>
              <w:tc>
                <w:tcPr>
                  <w:tcW w:w="921" w:type="dxa"/>
                  <w:tcBorders>
                    <w:top w:val="nil"/>
                    <w:left w:val="nil"/>
                    <w:bottom w:val="single" w:sz="8" w:space="0" w:color="FFFFFF"/>
                    <w:right w:val="single" w:sz="8" w:space="0" w:color="FFFFFF"/>
                  </w:tcBorders>
                  <w:shd w:val="clear" w:color="000000" w:fill="FCD5B4"/>
                  <w:noWrap/>
                  <w:vAlign w:val="center"/>
                  <w:hideMark/>
                </w:tcPr>
                <w:p w14:paraId="7B8D5F8C"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0.87 </w:t>
                  </w:r>
                </w:p>
              </w:tc>
              <w:tc>
                <w:tcPr>
                  <w:tcW w:w="921" w:type="dxa"/>
                  <w:tcBorders>
                    <w:top w:val="nil"/>
                    <w:left w:val="nil"/>
                    <w:bottom w:val="single" w:sz="8" w:space="0" w:color="FFFFFF"/>
                    <w:right w:val="single" w:sz="8" w:space="0" w:color="FFFFFF"/>
                  </w:tcBorders>
                  <w:shd w:val="clear" w:color="000000" w:fill="FCD5B4"/>
                  <w:noWrap/>
                  <w:vAlign w:val="center"/>
                  <w:hideMark/>
                </w:tcPr>
                <w:p w14:paraId="79977E5C"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1.09 </w:t>
                  </w:r>
                </w:p>
              </w:tc>
              <w:tc>
                <w:tcPr>
                  <w:tcW w:w="921" w:type="dxa"/>
                  <w:tcBorders>
                    <w:top w:val="nil"/>
                    <w:left w:val="nil"/>
                    <w:bottom w:val="single" w:sz="8" w:space="0" w:color="FFFFFF"/>
                    <w:right w:val="single" w:sz="8" w:space="0" w:color="FFFFFF"/>
                  </w:tcBorders>
                  <w:shd w:val="clear" w:color="000000" w:fill="FCD5B4"/>
                  <w:noWrap/>
                  <w:vAlign w:val="center"/>
                  <w:hideMark/>
                </w:tcPr>
                <w:p w14:paraId="43D77D0B"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3.59 </w:t>
                  </w:r>
                </w:p>
              </w:tc>
            </w:tr>
            <w:tr w:rsidR="009E4AE5" w:rsidRPr="009E4AE5" w14:paraId="301E784B" w14:textId="77777777" w:rsidTr="009E4AE5">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3349BC7C"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城投债5Y</w:t>
                  </w:r>
                </w:p>
              </w:tc>
              <w:tc>
                <w:tcPr>
                  <w:tcW w:w="920" w:type="dxa"/>
                  <w:tcBorders>
                    <w:top w:val="nil"/>
                    <w:left w:val="nil"/>
                    <w:bottom w:val="single" w:sz="8" w:space="0" w:color="FFFFFF"/>
                    <w:right w:val="single" w:sz="8" w:space="0" w:color="FFFFFF"/>
                  </w:tcBorders>
                  <w:shd w:val="clear" w:color="000000" w:fill="FDE9D9"/>
                  <w:noWrap/>
                  <w:vAlign w:val="center"/>
                  <w:hideMark/>
                </w:tcPr>
                <w:p w14:paraId="2ED0C155"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3.86 </w:t>
                  </w:r>
                </w:p>
              </w:tc>
              <w:tc>
                <w:tcPr>
                  <w:tcW w:w="921" w:type="dxa"/>
                  <w:tcBorders>
                    <w:top w:val="nil"/>
                    <w:left w:val="nil"/>
                    <w:bottom w:val="single" w:sz="8" w:space="0" w:color="FFFFFF"/>
                    <w:right w:val="single" w:sz="8" w:space="0" w:color="FFFFFF"/>
                  </w:tcBorders>
                  <w:shd w:val="clear" w:color="000000" w:fill="FDE9D9"/>
                  <w:noWrap/>
                  <w:vAlign w:val="center"/>
                  <w:hideMark/>
                </w:tcPr>
                <w:p w14:paraId="19959D04"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4.14 </w:t>
                  </w:r>
                </w:p>
              </w:tc>
              <w:tc>
                <w:tcPr>
                  <w:tcW w:w="921" w:type="dxa"/>
                  <w:tcBorders>
                    <w:top w:val="nil"/>
                    <w:left w:val="nil"/>
                    <w:bottom w:val="single" w:sz="8" w:space="0" w:color="FFFFFF"/>
                    <w:right w:val="single" w:sz="8" w:space="0" w:color="FFFFFF"/>
                  </w:tcBorders>
                  <w:shd w:val="clear" w:color="000000" w:fill="FDE9D9"/>
                  <w:noWrap/>
                  <w:vAlign w:val="center"/>
                  <w:hideMark/>
                </w:tcPr>
                <w:p w14:paraId="1BB572B4"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4.59 </w:t>
                  </w:r>
                </w:p>
              </w:tc>
              <w:tc>
                <w:tcPr>
                  <w:tcW w:w="921" w:type="dxa"/>
                  <w:tcBorders>
                    <w:top w:val="nil"/>
                    <w:left w:val="nil"/>
                    <w:bottom w:val="single" w:sz="8" w:space="0" w:color="FFFFFF"/>
                    <w:right w:val="single" w:sz="8" w:space="0" w:color="FFFFFF"/>
                  </w:tcBorders>
                  <w:shd w:val="clear" w:color="000000" w:fill="FDE9D9"/>
                  <w:noWrap/>
                  <w:vAlign w:val="center"/>
                  <w:hideMark/>
                </w:tcPr>
                <w:p w14:paraId="1AFE2B79"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7.26 </w:t>
                  </w:r>
                </w:p>
              </w:tc>
              <w:tc>
                <w:tcPr>
                  <w:tcW w:w="1157" w:type="dxa"/>
                  <w:tcBorders>
                    <w:top w:val="nil"/>
                    <w:left w:val="nil"/>
                    <w:bottom w:val="single" w:sz="8" w:space="0" w:color="FFFFFF"/>
                    <w:right w:val="single" w:sz="8" w:space="0" w:color="FFFFFF"/>
                  </w:tcBorders>
                  <w:shd w:val="clear" w:color="000000" w:fill="FDE9D9"/>
                  <w:noWrap/>
                  <w:vAlign w:val="center"/>
                  <w:hideMark/>
                </w:tcPr>
                <w:p w14:paraId="23D690C2"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城投债5Y</w:t>
                  </w:r>
                </w:p>
              </w:tc>
              <w:tc>
                <w:tcPr>
                  <w:tcW w:w="921" w:type="dxa"/>
                  <w:tcBorders>
                    <w:top w:val="nil"/>
                    <w:left w:val="nil"/>
                    <w:bottom w:val="single" w:sz="8" w:space="0" w:color="FFFFFF"/>
                    <w:right w:val="single" w:sz="8" w:space="0" w:color="FFFFFF"/>
                  </w:tcBorders>
                  <w:shd w:val="clear" w:color="000000" w:fill="FDE9D9"/>
                  <w:noWrap/>
                  <w:vAlign w:val="center"/>
                  <w:hideMark/>
                </w:tcPr>
                <w:p w14:paraId="797C271C"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0.85 </w:t>
                  </w:r>
                </w:p>
              </w:tc>
              <w:tc>
                <w:tcPr>
                  <w:tcW w:w="921" w:type="dxa"/>
                  <w:tcBorders>
                    <w:top w:val="nil"/>
                    <w:left w:val="nil"/>
                    <w:bottom w:val="single" w:sz="8" w:space="0" w:color="FFFFFF"/>
                    <w:right w:val="single" w:sz="8" w:space="0" w:color="FFFFFF"/>
                  </w:tcBorders>
                  <w:shd w:val="clear" w:color="000000" w:fill="FDE9D9"/>
                  <w:noWrap/>
                  <w:vAlign w:val="center"/>
                  <w:hideMark/>
                </w:tcPr>
                <w:p w14:paraId="2AF545B3"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1.13 </w:t>
                  </w:r>
                </w:p>
              </w:tc>
              <w:tc>
                <w:tcPr>
                  <w:tcW w:w="921" w:type="dxa"/>
                  <w:tcBorders>
                    <w:top w:val="nil"/>
                    <w:left w:val="nil"/>
                    <w:bottom w:val="single" w:sz="8" w:space="0" w:color="FFFFFF"/>
                    <w:right w:val="single" w:sz="8" w:space="0" w:color="FFFFFF"/>
                  </w:tcBorders>
                  <w:shd w:val="clear" w:color="000000" w:fill="FDE9D9"/>
                  <w:noWrap/>
                  <w:vAlign w:val="center"/>
                  <w:hideMark/>
                </w:tcPr>
                <w:p w14:paraId="1E7FA67E"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1.58 </w:t>
                  </w:r>
                </w:p>
              </w:tc>
              <w:tc>
                <w:tcPr>
                  <w:tcW w:w="921" w:type="dxa"/>
                  <w:tcBorders>
                    <w:top w:val="nil"/>
                    <w:left w:val="nil"/>
                    <w:bottom w:val="single" w:sz="8" w:space="0" w:color="FFFFFF"/>
                    <w:right w:val="single" w:sz="8" w:space="0" w:color="FFFFFF"/>
                  </w:tcBorders>
                  <w:shd w:val="clear" w:color="000000" w:fill="FDE9D9"/>
                  <w:noWrap/>
                  <w:vAlign w:val="center"/>
                  <w:hideMark/>
                </w:tcPr>
                <w:p w14:paraId="2222E7AC"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4.25 </w:t>
                  </w:r>
                </w:p>
              </w:tc>
            </w:tr>
            <w:tr w:rsidR="009E4AE5" w:rsidRPr="009E4AE5" w14:paraId="1D66C0C3" w14:textId="77777777" w:rsidTr="009E4AE5">
              <w:trPr>
                <w:trHeight w:val="300"/>
              </w:trPr>
              <w:tc>
                <w:tcPr>
                  <w:tcW w:w="1350" w:type="dxa"/>
                  <w:tcBorders>
                    <w:top w:val="nil"/>
                    <w:left w:val="nil"/>
                    <w:bottom w:val="nil"/>
                    <w:right w:val="nil"/>
                  </w:tcBorders>
                  <w:shd w:val="clear" w:color="000000" w:fill="FCD5B4"/>
                  <w:noWrap/>
                  <w:vAlign w:val="center"/>
                  <w:hideMark/>
                </w:tcPr>
                <w:p w14:paraId="1BF9A1AD"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城投债7Y</w:t>
                  </w:r>
                </w:p>
              </w:tc>
              <w:tc>
                <w:tcPr>
                  <w:tcW w:w="920" w:type="dxa"/>
                  <w:tcBorders>
                    <w:top w:val="nil"/>
                    <w:left w:val="nil"/>
                    <w:bottom w:val="single" w:sz="8" w:space="0" w:color="FFFFFF"/>
                    <w:right w:val="single" w:sz="8" w:space="0" w:color="FFFFFF"/>
                  </w:tcBorders>
                  <w:shd w:val="clear" w:color="000000" w:fill="FCD5B4"/>
                  <w:noWrap/>
                  <w:vAlign w:val="center"/>
                  <w:hideMark/>
                </w:tcPr>
                <w:p w14:paraId="52BC27D0"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4.07 </w:t>
                  </w:r>
                </w:p>
              </w:tc>
              <w:tc>
                <w:tcPr>
                  <w:tcW w:w="921" w:type="dxa"/>
                  <w:tcBorders>
                    <w:top w:val="nil"/>
                    <w:left w:val="nil"/>
                    <w:bottom w:val="single" w:sz="8" w:space="0" w:color="FFFFFF"/>
                    <w:right w:val="single" w:sz="8" w:space="0" w:color="FFFFFF"/>
                  </w:tcBorders>
                  <w:shd w:val="clear" w:color="000000" w:fill="FCD5B4"/>
                  <w:noWrap/>
                  <w:vAlign w:val="center"/>
                  <w:hideMark/>
                </w:tcPr>
                <w:p w14:paraId="175038B9"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4.42 </w:t>
                  </w:r>
                </w:p>
              </w:tc>
              <w:tc>
                <w:tcPr>
                  <w:tcW w:w="921" w:type="dxa"/>
                  <w:tcBorders>
                    <w:top w:val="nil"/>
                    <w:left w:val="nil"/>
                    <w:bottom w:val="single" w:sz="8" w:space="0" w:color="FFFFFF"/>
                    <w:right w:val="single" w:sz="8" w:space="0" w:color="FFFFFF"/>
                  </w:tcBorders>
                  <w:shd w:val="clear" w:color="000000" w:fill="FCD5B4"/>
                  <w:noWrap/>
                  <w:vAlign w:val="center"/>
                  <w:hideMark/>
                </w:tcPr>
                <w:p w14:paraId="7B9CC2BB"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4.89 </w:t>
                  </w:r>
                </w:p>
              </w:tc>
              <w:tc>
                <w:tcPr>
                  <w:tcW w:w="921" w:type="dxa"/>
                  <w:tcBorders>
                    <w:top w:val="nil"/>
                    <w:left w:val="nil"/>
                    <w:bottom w:val="single" w:sz="8" w:space="0" w:color="FFFFFF"/>
                    <w:right w:val="single" w:sz="8" w:space="0" w:color="FFFFFF"/>
                  </w:tcBorders>
                  <w:shd w:val="clear" w:color="000000" w:fill="FCD5B4"/>
                  <w:noWrap/>
                  <w:vAlign w:val="center"/>
                  <w:hideMark/>
                </w:tcPr>
                <w:p w14:paraId="47E7829C"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7.58 </w:t>
                  </w:r>
                </w:p>
              </w:tc>
              <w:tc>
                <w:tcPr>
                  <w:tcW w:w="1157" w:type="dxa"/>
                  <w:tcBorders>
                    <w:top w:val="nil"/>
                    <w:left w:val="nil"/>
                    <w:bottom w:val="nil"/>
                    <w:right w:val="nil"/>
                  </w:tcBorders>
                  <w:shd w:val="clear" w:color="000000" w:fill="FCD5B4"/>
                  <w:noWrap/>
                  <w:vAlign w:val="center"/>
                  <w:hideMark/>
                </w:tcPr>
                <w:p w14:paraId="178A6C1F"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城投债7Y</w:t>
                  </w:r>
                </w:p>
              </w:tc>
              <w:tc>
                <w:tcPr>
                  <w:tcW w:w="921" w:type="dxa"/>
                  <w:tcBorders>
                    <w:top w:val="nil"/>
                    <w:left w:val="nil"/>
                    <w:bottom w:val="single" w:sz="8" w:space="0" w:color="FFFFFF"/>
                    <w:right w:val="single" w:sz="8" w:space="0" w:color="FFFFFF"/>
                  </w:tcBorders>
                  <w:shd w:val="clear" w:color="000000" w:fill="FCD5B4"/>
                  <w:noWrap/>
                  <w:vAlign w:val="center"/>
                  <w:hideMark/>
                </w:tcPr>
                <w:p w14:paraId="3462A5BF"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0.89 </w:t>
                  </w:r>
                </w:p>
              </w:tc>
              <w:tc>
                <w:tcPr>
                  <w:tcW w:w="921" w:type="dxa"/>
                  <w:tcBorders>
                    <w:top w:val="nil"/>
                    <w:left w:val="nil"/>
                    <w:bottom w:val="single" w:sz="8" w:space="0" w:color="FFFFFF"/>
                    <w:right w:val="single" w:sz="8" w:space="0" w:color="FFFFFF"/>
                  </w:tcBorders>
                  <w:shd w:val="clear" w:color="000000" w:fill="FCD5B4"/>
                  <w:noWrap/>
                  <w:vAlign w:val="center"/>
                  <w:hideMark/>
                </w:tcPr>
                <w:p w14:paraId="477D6AFA"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1.24 </w:t>
                  </w:r>
                </w:p>
              </w:tc>
              <w:tc>
                <w:tcPr>
                  <w:tcW w:w="921" w:type="dxa"/>
                  <w:tcBorders>
                    <w:top w:val="nil"/>
                    <w:left w:val="nil"/>
                    <w:bottom w:val="single" w:sz="8" w:space="0" w:color="FFFFFF"/>
                    <w:right w:val="single" w:sz="8" w:space="0" w:color="FFFFFF"/>
                  </w:tcBorders>
                  <w:shd w:val="clear" w:color="000000" w:fill="FCD5B4"/>
                  <w:noWrap/>
                  <w:vAlign w:val="center"/>
                  <w:hideMark/>
                </w:tcPr>
                <w:p w14:paraId="317DC373"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1.71 </w:t>
                  </w:r>
                </w:p>
              </w:tc>
              <w:tc>
                <w:tcPr>
                  <w:tcW w:w="921" w:type="dxa"/>
                  <w:tcBorders>
                    <w:top w:val="nil"/>
                    <w:left w:val="nil"/>
                    <w:bottom w:val="single" w:sz="8" w:space="0" w:color="FFFFFF"/>
                    <w:right w:val="single" w:sz="8" w:space="0" w:color="FFFFFF"/>
                  </w:tcBorders>
                  <w:shd w:val="clear" w:color="000000" w:fill="FCD5B4"/>
                  <w:noWrap/>
                  <w:vAlign w:val="center"/>
                  <w:hideMark/>
                </w:tcPr>
                <w:p w14:paraId="40BFE95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4.40 </w:t>
                  </w:r>
                </w:p>
              </w:tc>
            </w:tr>
            <w:tr w:rsidR="009E4AE5" w:rsidRPr="009E4AE5" w14:paraId="02C11B50" w14:textId="77777777" w:rsidTr="009E4AE5">
              <w:trPr>
                <w:trHeight w:val="150"/>
              </w:trPr>
              <w:tc>
                <w:tcPr>
                  <w:tcW w:w="1350" w:type="dxa"/>
                  <w:tcBorders>
                    <w:top w:val="nil"/>
                    <w:left w:val="nil"/>
                    <w:bottom w:val="nil"/>
                    <w:right w:val="nil"/>
                  </w:tcBorders>
                  <w:shd w:val="clear" w:color="auto" w:fill="auto"/>
                  <w:noWrap/>
                  <w:vAlign w:val="center"/>
                  <w:hideMark/>
                </w:tcPr>
                <w:p w14:paraId="09FDC7BE" w14:textId="77777777" w:rsidR="009E4AE5" w:rsidRPr="009E4AE5" w:rsidRDefault="009E4AE5" w:rsidP="009E4AE5">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67E481C3" w14:textId="77777777" w:rsidR="009E4AE5" w:rsidRPr="009E4AE5" w:rsidRDefault="009E4AE5" w:rsidP="009E4AE5">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4530974" w14:textId="77777777" w:rsidR="009E4AE5" w:rsidRPr="009E4AE5" w:rsidRDefault="009E4AE5" w:rsidP="009E4AE5">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09E8B65" w14:textId="77777777" w:rsidR="009E4AE5" w:rsidRPr="009E4AE5" w:rsidRDefault="009E4AE5" w:rsidP="009E4AE5">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D567CE2" w14:textId="77777777" w:rsidR="009E4AE5" w:rsidRPr="009E4AE5" w:rsidRDefault="009E4AE5" w:rsidP="009E4AE5">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1A019FC1" w14:textId="77777777" w:rsidR="009E4AE5" w:rsidRPr="009E4AE5" w:rsidRDefault="009E4AE5" w:rsidP="009E4AE5">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B5A64B0" w14:textId="77777777" w:rsidR="009E4AE5" w:rsidRPr="009E4AE5" w:rsidRDefault="009E4AE5" w:rsidP="009E4AE5">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5D588E7" w14:textId="77777777" w:rsidR="009E4AE5" w:rsidRPr="009E4AE5" w:rsidRDefault="009E4AE5" w:rsidP="009E4AE5">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BF2055F" w14:textId="77777777" w:rsidR="009E4AE5" w:rsidRPr="009E4AE5" w:rsidRDefault="009E4AE5" w:rsidP="009E4AE5">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EC4E63B" w14:textId="77777777" w:rsidR="009E4AE5" w:rsidRPr="009E4AE5" w:rsidRDefault="009E4AE5" w:rsidP="009E4AE5">
                  <w:pPr>
                    <w:widowControl/>
                    <w:jc w:val="center"/>
                    <w:rPr>
                      <w:rFonts w:ascii="Times New Roman" w:eastAsia="Times New Roman" w:hAnsi="Times New Roman"/>
                      <w:kern w:val="0"/>
                      <w:sz w:val="20"/>
                      <w:szCs w:val="20"/>
                    </w:rPr>
                  </w:pPr>
                </w:p>
              </w:tc>
            </w:tr>
            <w:tr w:rsidR="009E4AE5" w:rsidRPr="009E4AE5" w14:paraId="6ED99308" w14:textId="77777777" w:rsidTr="009E4AE5">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4541702E"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周变化(BP)</w:t>
                  </w:r>
                </w:p>
              </w:tc>
              <w:tc>
                <w:tcPr>
                  <w:tcW w:w="920" w:type="dxa"/>
                  <w:tcBorders>
                    <w:top w:val="nil"/>
                    <w:left w:val="nil"/>
                    <w:bottom w:val="single" w:sz="12" w:space="0" w:color="FFFFFF"/>
                    <w:right w:val="single" w:sz="8" w:space="0" w:color="FFFFFF"/>
                  </w:tcBorders>
                  <w:shd w:val="clear" w:color="000000" w:fill="F79646"/>
                  <w:noWrap/>
                  <w:vAlign w:val="center"/>
                  <w:hideMark/>
                </w:tcPr>
                <w:p w14:paraId="7A795D51"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CFDDDA5"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22CC819"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1B055A06"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375B6415"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481B538B"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B60D423"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2CB717FC"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71FED27"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r>
            <w:tr w:rsidR="009E4AE5" w:rsidRPr="009E4AE5" w14:paraId="2A23B546" w14:textId="77777777" w:rsidTr="009E4AE5">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2BEA9E02"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62BC6F31"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-0.9 </w:t>
                  </w:r>
                </w:p>
              </w:tc>
              <w:tc>
                <w:tcPr>
                  <w:tcW w:w="921" w:type="dxa"/>
                  <w:tcBorders>
                    <w:top w:val="nil"/>
                    <w:left w:val="nil"/>
                    <w:bottom w:val="single" w:sz="8" w:space="0" w:color="FFFFFF"/>
                    <w:right w:val="single" w:sz="8" w:space="0" w:color="FFFFFF"/>
                  </w:tcBorders>
                  <w:shd w:val="clear" w:color="000000" w:fill="FCD5B4"/>
                  <w:noWrap/>
                  <w:vAlign w:val="center"/>
                  <w:hideMark/>
                </w:tcPr>
                <w:p w14:paraId="72029B0A"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-4.9 </w:t>
                  </w:r>
                </w:p>
              </w:tc>
              <w:tc>
                <w:tcPr>
                  <w:tcW w:w="921" w:type="dxa"/>
                  <w:tcBorders>
                    <w:top w:val="nil"/>
                    <w:left w:val="nil"/>
                    <w:bottom w:val="single" w:sz="8" w:space="0" w:color="FFFFFF"/>
                    <w:right w:val="single" w:sz="8" w:space="0" w:color="FFFFFF"/>
                  </w:tcBorders>
                  <w:shd w:val="clear" w:color="000000" w:fill="FCD5B4"/>
                  <w:noWrap/>
                  <w:vAlign w:val="center"/>
                  <w:hideMark/>
                </w:tcPr>
                <w:p w14:paraId="6902D294"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-6.9 </w:t>
                  </w:r>
                </w:p>
              </w:tc>
              <w:tc>
                <w:tcPr>
                  <w:tcW w:w="921" w:type="dxa"/>
                  <w:tcBorders>
                    <w:top w:val="nil"/>
                    <w:left w:val="nil"/>
                    <w:bottom w:val="single" w:sz="8" w:space="0" w:color="FFFFFF"/>
                    <w:right w:val="single" w:sz="8" w:space="0" w:color="FFFFFF"/>
                  </w:tcBorders>
                  <w:shd w:val="clear" w:color="000000" w:fill="FCD5B4"/>
                  <w:noWrap/>
                  <w:vAlign w:val="center"/>
                  <w:hideMark/>
                </w:tcPr>
                <w:p w14:paraId="2C557306"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-5.9 </w:t>
                  </w:r>
                </w:p>
              </w:tc>
              <w:tc>
                <w:tcPr>
                  <w:tcW w:w="1157" w:type="dxa"/>
                  <w:tcBorders>
                    <w:top w:val="nil"/>
                    <w:left w:val="nil"/>
                    <w:bottom w:val="single" w:sz="8" w:space="0" w:color="FFFFFF"/>
                    <w:right w:val="single" w:sz="8" w:space="0" w:color="FFFFFF"/>
                  </w:tcBorders>
                  <w:shd w:val="clear" w:color="000000" w:fill="FCD5B4"/>
                  <w:noWrap/>
                  <w:vAlign w:val="center"/>
                  <w:hideMark/>
                </w:tcPr>
                <w:p w14:paraId="652A7F4D"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2A6289CF"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2.3 </w:t>
                  </w:r>
                </w:p>
              </w:tc>
              <w:tc>
                <w:tcPr>
                  <w:tcW w:w="921" w:type="dxa"/>
                  <w:tcBorders>
                    <w:top w:val="nil"/>
                    <w:left w:val="nil"/>
                    <w:bottom w:val="single" w:sz="8" w:space="0" w:color="FFFFFF"/>
                    <w:right w:val="single" w:sz="8" w:space="0" w:color="FFFFFF"/>
                  </w:tcBorders>
                  <w:shd w:val="clear" w:color="000000" w:fill="FCD5B4"/>
                  <w:noWrap/>
                  <w:vAlign w:val="center"/>
                  <w:hideMark/>
                </w:tcPr>
                <w:p w14:paraId="214DA610"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-1.7 </w:t>
                  </w:r>
                </w:p>
              </w:tc>
              <w:tc>
                <w:tcPr>
                  <w:tcW w:w="921" w:type="dxa"/>
                  <w:tcBorders>
                    <w:top w:val="nil"/>
                    <w:left w:val="nil"/>
                    <w:bottom w:val="single" w:sz="8" w:space="0" w:color="FFFFFF"/>
                    <w:right w:val="single" w:sz="8" w:space="0" w:color="FFFFFF"/>
                  </w:tcBorders>
                  <w:shd w:val="clear" w:color="000000" w:fill="FCD5B4"/>
                  <w:noWrap/>
                  <w:vAlign w:val="center"/>
                  <w:hideMark/>
                </w:tcPr>
                <w:p w14:paraId="3AE881D0"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-3.7 </w:t>
                  </w:r>
                </w:p>
              </w:tc>
              <w:tc>
                <w:tcPr>
                  <w:tcW w:w="921" w:type="dxa"/>
                  <w:tcBorders>
                    <w:top w:val="nil"/>
                    <w:left w:val="nil"/>
                    <w:bottom w:val="single" w:sz="8" w:space="0" w:color="FFFFFF"/>
                    <w:right w:val="single" w:sz="8" w:space="0" w:color="FFFFFF"/>
                  </w:tcBorders>
                  <w:shd w:val="clear" w:color="000000" w:fill="FCD5B4"/>
                  <w:noWrap/>
                  <w:vAlign w:val="center"/>
                  <w:hideMark/>
                </w:tcPr>
                <w:p w14:paraId="04C8E5C7"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-2.7 </w:t>
                  </w:r>
                </w:p>
              </w:tc>
            </w:tr>
            <w:tr w:rsidR="009E4AE5" w:rsidRPr="009E4AE5" w14:paraId="5373328D" w14:textId="77777777" w:rsidTr="009E4AE5">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36EDF7D3"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624938BC"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-5.7 </w:t>
                  </w:r>
                </w:p>
              </w:tc>
              <w:tc>
                <w:tcPr>
                  <w:tcW w:w="921" w:type="dxa"/>
                  <w:tcBorders>
                    <w:top w:val="nil"/>
                    <w:left w:val="nil"/>
                    <w:bottom w:val="single" w:sz="8" w:space="0" w:color="FFFFFF"/>
                    <w:right w:val="single" w:sz="8" w:space="0" w:color="FFFFFF"/>
                  </w:tcBorders>
                  <w:shd w:val="clear" w:color="000000" w:fill="FDE9D9"/>
                  <w:noWrap/>
                  <w:vAlign w:val="center"/>
                  <w:hideMark/>
                </w:tcPr>
                <w:p w14:paraId="2E127165"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-4.7 </w:t>
                  </w:r>
                </w:p>
              </w:tc>
              <w:tc>
                <w:tcPr>
                  <w:tcW w:w="921" w:type="dxa"/>
                  <w:tcBorders>
                    <w:top w:val="nil"/>
                    <w:left w:val="nil"/>
                    <w:bottom w:val="single" w:sz="8" w:space="0" w:color="FFFFFF"/>
                    <w:right w:val="single" w:sz="8" w:space="0" w:color="FFFFFF"/>
                  </w:tcBorders>
                  <w:shd w:val="clear" w:color="000000" w:fill="FDE9D9"/>
                  <w:noWrap/>
                  <w:vAlign w:val="center"/>
                  <w:hideMark/>
                </w:tcPr>
                <w:p w14:paraId="1494F527"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-4.7 </w:t>
                  </w:r>
                </w:p>
              </w:tc>
              <w:tc>
                <w:tcPr>
                  <w:tcW w:w="921" w:type="dxa"/>
                  <w:tcBorders>
                    <w:top w:val="nil"/>
                    <w:left w:val="nil"/>
                    <w:bottom w:val="single" w:sz="8" w:space="0" w:color="FFFFFF"/>
                    <w:right w:val="single" w:sz="8" w:space="0" w:color="FFFFFF"/>
                  </w:tcBorders>
                  <w:shd w:val="clear" w:color="000000" w:fill="FDE9D9"/>
                  <w:noWrap/>
                  <w:vAlign w:val="center"/>
                  <w:hideMark/>
                </w:tcPr>
                <w:p w14:paraId="318D9B4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-4.7 </w:t>
                  </w:r>
                </w:p>
              </w:tc>
              <w:tc>
                <w:tcPr>
                  <w:tcW w:w="1157" w:type="dxa"/>
                  <w:tcBorders>
                    <w:top w:val="nil"/>
                    <w:left w:val="nil"/>
                    <w:bottom w:val="single" w:sz="8" w:space="0" w:color="FFFFFF"/>
                    <w:right w:val="single" w:sz="8" w:space="0" w:color="FFFFFF"/>
                  </w:tcBorders>
                  <w:shd w:val="clear" w:color="000000" w:fill="FDE9D9"/>
                  <w:noWrap/>
                  <w:vAlign w:val="center"/>
                  <w:hideMark/>
                </w:tcPr>
                <w:p w14:paraId="2089EE66"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668B741A"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-2.3 </w:t>
                  </w:r>
                </w:p>
              </w:tc>
              <w:tc>
                <w:tcPr>
                  <w:tcW w:w="921" w:type="dxa"/>
                  <w:tcBorders>
                    <w:top w:val="nil"/>
                    <w:left w:val="nil"/>
                    <w:bottom w:val="single" w:sz="8" w:space="0" w:color="FFFFFF"/>
                    <w:right w:val="single" w:sz="8" w:space="0" w:color="FFFFFF"/>
                  </w:tcBorders>
                  <w:shd w:val="clear" w:color="000000" w:fill="FDE9D9"/>
                  <w:noWrap/>
                  <w:vAlign w:val="center"/>
                  <w:hideMark/>
                </w:tcPr>
                <w:p w14:paraId="0EF1FA5E"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-1.3 </w:t>
                  </w:r>
                </w:p>
              </w:tc>
              <w:tc>
                <w:tcPr>
                  <w:tcW w:w="921" w:type="dxa"/>
                  <w:tcBorders>
                    <w:top w:val="nil"/>
                    <w:left w:val="nil"/>
                    <w:bottom w:val="single" w:sz="8" w:space="0" w:color="FFFFFF"/>
                    <w:right w:val="single" w:sz="8" w:space="0" w:color="FFFFFF"/>
                  </w:tcBorders>
                  <w:shd w:val="clear" w:color="000000" w:fill="FDE9D9"/>
                  <w:noWrap/>
                  <w:vAlign w:val="center"/>
                  <w:hideMark/>
                </w:tcPr>
                <w:p w14:paraId="741E915B"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-1.3 </w:t>
                  </w:r>
                </w:p>
              </w:tc>
              <w:tc>
                <w:tcPr>
                  <w:tcW w:w="921" w:type="dxa"/>
                  <w:tcBorders>
                    <w:top w:val="nil"/>
                    <w:left w:val="nil"/>
                    <w:bottom w:val="single" w:sz="8" w:space="0" w:color="FFFFFF"/>
                    <w:right w:val="single" w:sz="8" w:space="0" w:color="FFFFFF"/>
                  </w:tcBorders>
                  <w:shd w:val="clear" w:color="000000" w:fill="FDE9D9"/>
                  <w:noWrap/>
                  <w:vAlign w:val="center"/>
                  <w:hideMark/>
                </w:tcPr>
                <w:p w14:paraId="53BB4C83"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-1.3 </w:t>
                  </w:r>
                </w:p>
              </w:tc>
            </w:tr>
            <w:tr w:rsidR="009E4AE5" w:rsidRPr="009E4AE5" w14:paraId="2AD13987" w14:textId="77777777" w:rsidTr="009E4AE5">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056739D2"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6421E4A9"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-2.9 </w:t>
                  </w:r>
                </w:p>
              </w:tc>
              <w:tc>
                <w:tcPr>
                  <w:tcW w:w="921" w:type="dxa"/>
                  <w:tcBorders>
                    <w:top w:val="nil"/>
                    <w:left w:val="nil"/>
                    <w:bottom w:val="single" w:sz="8" w:space="0" w:color="FFFFFF"/>
                    <w:right w:val="single" w:sz="8" w:space="0" w:color="FFFFFF"/>
                  </w:tcBorders>
                  <w:shd w:val="clear" w:color="000000" w:fill="FCD5B4"/>
                  <w:noWrap/>
                  <w:vAlign w:val="center"/>
                  <w:hideMark/>
                </w:tcPr>
                <w:p w14:paraId="034E0A27"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-0.9 </w:t>
                  </w:r>
                </w:p>
              </w:tc>
              <w:tc>
                <w:tcPr>
                  <w:tcW w:w="921" w:type="dxa"/>
                  <w:tcBorders>
                    <w:top w:val="nil"/>
                    <w:left w:val="nil"/>
                    <w:bottom w:val="single" w:sz="8" w:space="0" w:color="FFFFFF"/>
                    <w:right w:val="single" w:sz="8" w:space="0" w:color="FFFFFF"/>
                  </w:tcBorders>
                  <w:shd w:val="clear" w:color="000000" w:fill="FCD5B4"/>
                  <w:noWrap/>
                  <w:vAlign w:val="center"/>
                  <w:hideMark/>
                </w:tcPr>
                <w:p w14:paraId="63E83D14"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-0.9 </w:t>
                  </w:r>
                </w:p>
              </w:tc>
              <w:tc>
                <w:tcPr>
                  <w:tcW w:w="921" w:type="dxa"/>
                  <w:tcBorders>
                    <w:top w:val="nil"/>
                    <w:left w:val="nil"/>
                    <w:bottom w:val="single" w:sz="8" w:space="0" w:color="FFFFFF"/>
                    <w:right w:val="single" w:sz="8" w:space="0" w:color="FFFFFF"/>
                  </w:tcBorders>
                  <w:shd w:val="clear" w:color="000000" w:fill="FCD5B4"/>
                  <w:noWrap/>
                  <w:vAlign w:val="center"/>
                  <w:hideMark/>
                </w:tcPr>
                <w:p w14:paraId="5F7C09F9"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-0.9 </w:t>
                  </w:r>
                </w:p>
              </w:tc>
              <w:tc>
                <w:tcPr>
                  <w:tcW w:w="1157" w:type="dxa"/>
                  <w:tcBorders>
                    <w:top w:val="nil"/>
                    <w:left w:val="nil"/>
                    <w:bottom w:val="single" w:sz="8" w:space="0" w:color="FFFFFF"/>
                    <w:right w:val="single" w:sz="8" w:space="0" w:color="FFFFFF"/>
                  </w:tcBorders>
                  <w:shd w:val="clear" w:color="000000" w:fill="FCD5B4"/>
                  <w:noWrap/>
                  <w:vAlign w:val="center"/>
                  <w:hideMark/>
                </w:tcPr>
                <w:p w14:paraId="349780E8"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333909E4"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1.5 </w:t>
                  </w:r>
                </w:p>
              </w:tc>
              <w:tc>
                <w:tcPr>
                  <w:tcW w:w="921" w:type="dxa"/>
                  <w:tcBorders>
                    <w:top w:val="nil"/>
                    <w:left w:val="nil"/>
                    <w:bottom w:val="single" w:sz="8" w:space="0" w:color="FFFFFF"/>
                    <w:right w:val="single" w:sz="8" w:space="0" w:color="FFFFFF"/>
                  </w:tcBorders>
                  <w:shd w:val="clear" w:color="000000" w:fill="FCD5B4"/>
                  <w:noWrap/>
                  <w:vAlign w:val="center"/>
                  <w:hideMark/>
                </w:tcPr>
                <w:p w14:paraId="2E3D3FDA"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3.5 </w:t>
                  </w:r>
                </w:p>
              </w:tc>
              <w:tc>
                <w:tcPr>
                  <w:tcW w:w="921" w:type="dxa"/>
                  <w:tcBorders>
                    <w:top w:val="nil"/>
                    <w:left w:val="nil"/>
                    <w:bottom w:val="single" w:sz="8" w:space="0" w:color="FFFFFF"/>
                    <w:right w:val="single" w:sz="8" w:space="0" w:color="FFFFFF"/>
                  </w:tcBorders>
                  <w:shd w:val="clear" w:color="000000" w:fill="FCD5B4"/>
                  <w:noWrap/>
                  <w:vAlign w:val="center"/>
                  <w:hideMark/>
                </w:tcPr>
                <w:p w14:paraId="7EC767BB"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3.5 </w:t>
                  </w:r>
                </w:p>
              </w:tc>
              <w:tc>
                <w:tcPr>
                  <w:tcW w:w="921" w:type="dxa"/>
                  <w:tcBorders>
                    <w:top w:val="nil"/>
                    <w:left w:val="nil"/>
                    <w:bottom w:val="single" w:sz="8" w:space="0" w:color="FFFFFF"/>
                    <w:right w:val="single" w:sz="8" w:space="0" w:color="FFFFFF"/>
                  </w:tcBorders>
                  <w:shd w:val="clear" w:color="000000" w:fill="FCD5B4"/>
                  <w:noWrap/>
                  <w:vAlign w:val="center"/>
                  <w:hideMark/>
                </w:tcPr>
                <w:p w14:paraId="42E37375"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3.5 </w:t>
                  </w:r>
                </w:p>
              </w:tc>
            </w:tr>
            <w:tr w:rsidR="009E4AE5" w:rsidRPr="009E4AE5" w14:paraId="61936FDB" w14:textId="77777777" w:rsidTr="009E4AE5">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3798CAB5"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7BA55359"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-1.3 </w:t>
                  </w:r>
                </w:p>
              </w:tc>
              <w:tc>
                <w:tcPr>
                  <w:tcW w:w="921" w:type="dxa"/>
                  <w:tcBorders>
                    <w:top w:val="nil"/>
                    <w:left w:val="nil"/>
                    <w:bottom w:val="single" w:sz="8" w:space="0" w:color="FFFFFF"/>
                    <w:right w:val="single" w:sz="8" w:space="0" w:color="FFFFFF"/>
                  </w:tcBorders>
                  <w:shd w:val="clear" w:color="000000" w:fill="FDE9D9"/>
                  <w:noWrap/>
                  <w:vAlign w:val="center"/>
                  <w:hideMark/>
                </w:tcPr>
                <w:p w14:paraId="107B761F"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-1.3 </w:t>
                  </w:r>
                </w:p>
              </w:tc>
              <w:tc>
                <w:tcPr>
                  <w:tcW w:w="921" w:type="dxa"/>
                  <w:tcBorders>
                    <w:top w:val="nil"/>
                    <w:left w:val="nil"/>
                    <w:bottom w:val="single" w:sz="8" w:space="0" w:color="FFFFFF"/>
                    <w:right w:val="single" w:sz="8" w:space="0" w:color="FFFFFF"/>
                  </w:tcBorders>
                  <w:shd w:val="clear" w:color="000000" w:fill="FDE9D9"/>
                  <w:noWrap/>
                  <w:vAlign w:val="center"/>
                  <w:hideMark/>
                </w:tcPr>
                <w:p w14:paraId="6B6F2F3E"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0.7 </w:t>
                  </w:r>
                </w:p>
              </w:tc>
              <w:tc>
                <w:tcPr>
                  <w:tcW w:w="921" w:type="dxa"/>
                  <w:tcBorders>
                    <w:top w:val="nil"/>
                    <w:left w:val="nil"/>
                    <w:bottom w:val="single" w:sz="8" w:space="0" w:color="FFFFFF"/>
                    <w:right w:val="single" w:sz="8" w:space="0" w:color="FFFFFF"/>
                  </w:tcBorders>
                  <w:shd w:val="clear" w:color="000000" w:fill="FDE9D9"/>
                  <w:noWrap/>
                  <w:vAlign w:val="center"/>
                  <w:hideMark/>
                </w:tcPr>
                <w:p w14:paraId="23744F44"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0.7 </w:t>
                  </w:r>
                </w:p>
              </w:tc>
              <w:tc>
                <w:tcPr>
                  <w:tcW w:w="1157" w:type="dxa"/>
                  <w:tcBorders>
                    <w:top w:val="nil"/>
                    <w:left w:val="nil"/>
                    <w:bottom w:val="single" w:sz="8" w:space="0" w:color="FFFFFF"/>
                    <w:right w:val="single" w:sz="8" w:space="0" w:color="FFFFFF"/>
                  </w:tcBorders>
                  <w:shd w:val="clear" w:color="000000" w:fill="FDE9D9"/>
                  <w:noWrap/>
                  <w:vAlign w:val="center"/>
                  <w:hideMark/>
                </w:tcPr>
                <w:p w14:paraId="4011B35A"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021A60C3"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2.1 </w:t>
                  </w:r>
                </w:p>
              </w:tc>
              <w:tc>
                <w:tcPr>
                  <w:tcW w:w="921" w:type="dxa"/>
                  <w:tcBorders>
                    <w:top w:val="nil"/>
                    <w:left w:val="nil"/>
                    <w:bottom w:val="single" w:sz="8" w:space="0" w:color="FFFFFF"/>
                    <w:right w:val="single" w:sz="8" w:space="0" w:color="FFFFFF"/>
                  </w:tcBorders>
                  <w:shd w:val="clear" w:color="000000" w:fill="FDE9D9"/>
                  <w:noWrap/>
                  <w:vAlign w:val="center"/>
                  <w:hideMark/>
                </w:tcPr>
                <w:p w14:paraId="48FEBCE1"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2.1 </w:t>
                  </w:r>
                </w:p>
              </w:tc>
              <w:tc>
                <w:tcPr>
                  <w:tcW w:w="921" w:type="dxa"/>
                  <w:tcBorders>
                    <w:top w:val="nil"/>
                    <w:left w:val="nil"/>
                    <w:bottom w:val="single" w:sz="8" w:space="0" w:color="FFFFFF"/>
                    <w:right w:val="single" w:sz="8" w:space="0" w:color="FFFFFF"/>
                  </w:tcBorders>
                  <w:shd w:val="clear" w:color="000000" w:fill="FDE9D9"/>
                  <w:noWrap/>
                  <w:vAlign w:val="center"/>
                  <w:hideMark/>
                </w:tcPr>
                <w:p w14:paraId="6FA0EBBD"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4.1 </w:t>
                  </w:r>
                </w:p>
              </w:tc>
              <w:tc>
                <w:tcPr>
                  <w:tcW w:w="921" w:type="dxa"/>
                  <w:tcBorders>
                    <w:top w:val="nil"/>
                    <w:left w:val="nil"/>
                    <w:bottom w:val="single" w:sz="8" w:space="0" w:color="FFFFFF"/>
                    <w:right w:val="single" w:sz="8" w:space="0" w:color="FFFFFF"/>
                  </w:tcBorders>
                  <w:shd w:val="clear" w:color="000000" w:fill="FDE9D9"/>
                  <w:noWrap/>
                  <w:vAlign w:val="center"/>
                  <w:hideMark/>
                </w:tcPr>
                <w:p w14:paraId="0B80A700"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4.1 </w:t>
                  </w:r>
                </w:p>
              </w:tc>
            </w:tr>
            <w:tr w:rsidR="009E4AE5" w:rsidRPr="009E4AE5" w14:paraId="61DF8063" w14:textId="77777777" w:rsidTr="009E4AE5">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703721FC"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0E1FC34D"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-6.0 </w:t>
                  </w:r>
                </w:p>
              </w:tc>
              <w:tc>
                <w:tcPr>
                  <w:tcW w:w="921" w:type="dxa"/>
                  <w:tcBorders>
                    <w:top w:val="nil"/>
                    <w:left w:val="nil"/>
                    <w:bottom w:val="single" w:sz="8" w:space="0" w:color="FFFFFF"/>
                    <w:right w:val="single" w:sz="8" w:space="0" w:color="FFFFFF"/>
                  </w:tcBorders>
                  <w:shd w:val="clear" w:color="000000" w:fill="FCD5B4"/>
                  <w:noWrap/>
                  <w:vAlign w:val="center"/>
                  <w:hideMark/>
                </w:tcPr>
                <w:p w14:paraId="73941319"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-6.0 </w:t>
                  </w:r>
                </w:p>
              </w:tc>
              <w:tc>
                <w:tcPr>
                  <w:tcW w:w="921" w:type="dxa"/>
                  <w:tcBorders>
                    <w:top w:val="nil"/>
                    <w:left w:val="nil"/>
                    <w:bottom w:val="single" w:sz="8" w:space="0" w:color="FFFFFF"/>
                    <w:right w:val="single" w:sz="8" w:space="0" w:color="FFFFFF"/>
                  </w:tcBorders>
                  <w:shd w:val="clear" w:color="000000" w:fill="FCD5B4"/>
                  <w:noWrap/>
                  <w:vAlign w:val="center"/>
                  <w:hideMark/>
                </w:tcPr>
                <w:p w14:paraId="12AD93C8"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-4.0 </w:t>
                  </w:r>
                </w:p>
              </w:tc>
              <w:tc>
                <w:tcPr>
                  <w:tcW w:w="921" w:type="dxa"/>
                  <w:tcBorders>
                    <w:top w:val="nil"/>
                    <w:left w:val="nil"/>
                    <w:bottom w:val="single" w:sz="8" w:space="0" w:color="FFFFFF"/>
                    <w:right w:val="single" w:sz="8" w:space="0" w:color="FFFFFF"/>
                  </w:tcBorders>
                  <w:shd w:val="clear" w:color="000000" w:fill="FCD5B4"/>
                  <w:noWrap/>
                  <w:vAlign w:val="center"/>
                  <w:hideMark/>
                </w:tcPr>
                <w:p w14:paraId="280B1023"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-4.0 </w:t>
                  </w:r>
                </w:p>
              </w:tc>
              <w:tc>
                <w:tcPr>
                  <w:tcW w:w="1157" w:type="dxa"/>
                  <w:tcBorders>
                    <w:top w:val="nil"/>
                    <w:left w:val="nil"/>
                    <w:bottom w:val="single" w:sz="8" w:space="0" w:color="FFFFFF"/>
                    <w:right w:val="single" w:sz="8" w:space="0" w:color="FFFFFF"/>
                  </w:tcBorders>
                  <w:shd w:val="clear" w:color="000000" w:fill="FCD5B4"/>
                  <w:noWrap/>
                  <w:vAlign w:val="center"/>
                  <w:hideMark/>
                </w:tcPr>
                <w:p w14:paraId="4B76D632"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290420F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-1.6 </w:t>
                  </w:r>
                </w:p>
              </w:tc>
              <w:tc>
                <w:tcPr>
                  <w:tcW w:w="921" w:type="dxa"/>
                  <w:tcBorders>
                    <w:top w:val="nil"/>
                    <w:left w:val="nil"/>
                    <w:bottom w:val="single" w:sz="8" w:space="0" w:color="FFFFFF"/>
                    <w:right w:val="single" w:sz="8" w:space="0" w:color="FFFFFF"/>
                  </w:tcBorders>
                  <w:shd w:val="clear" w:color="000000" w:fill="FCD5B4"/>
                  <w:noWrap/>
                  <w:vAlign w:val="center"/>
                  <w:hideMark/>
                </w:tcPr>
                <w:p w14:paraId="1E70A328"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-1.6 </w:t>
                  </w:r>
                </w:p>
              </w:tc>
              <w:tc>
                <w:tcPr>
                  <w:tcW w:w="921" w:type="dxa"/>
                  <w:tcBorders>
                    <w:top w:val="nil"/>
                    <w:left w:val="nil"/>
                    <w:bottom w:val="single" w:sz="8" w:space="0" w:color="FFFFFF"/>
                    <w:right w:val="single" w:sz="8" w:space="0" w:color="FFFFFF"/>
                  </w:tcBorders>
                  <w:shd w:val="clear" w:color="000000" w:fill="FCD5B4"/>
                  <w:noWrap/>
                  <w:vAlign w:val="center"/>
                  <w:hideMark/>
                </w:tcPr>
                <w:p w14:paraId="622FF4B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0.4 </w:t>
                  </w:r>
                </w:p>
              </w:tc>
              <w:tc>
                <w:tcPr>
                  <w:tcW w:w="921" w:type="dxa"/>
                  <w:tcBorders>
                    <w:top w:val="nil"/>
                    <w:left w:val="nil"/>
                    <w:bottom w:val="single" w:sz="8" w:space="0" w:color="FFFFFF"/>
                    <w:right w:val="single" w:sz="8" w:space="0" w:color="FFFFFF"/>
                  </w:tcBorders>
                  <w:shd w:val="clear" w:color="000000" w:fill="FCD5B4"/>
                  <w:noWrap/>
                  <w:vAlign w:val="center"/>
                  <w:hideMark/>
                </w:tcPr>
                <w:p w14:paraId="64CB2F39"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0.4 </w:t>
                  </w:r>
                </w:p>
              </w:tc>
            </w:tr>
            <w:tr w:rsidR="009E4AE5" w:rsidRPr="009E4AE5" w14:paraId="09DAD407" w14:textId="77777777" w:rsidTr="009E4AE5">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564D3845"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6B7494E4"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-0.8 </w:t>
                  </w:r>
                </w:p>
              </w:tc>
              <w:tc>
                <w:tcPr>
                  <w:tcW w:w="921" w:type="dxa"/>
                  <w:tcBorders>
                    <w:top w:val="nil"/>
                    <w:left w:val="nil"/>
                    <w:bottom w:val="single" w:sz="8" w:space="0" w:color="FFFFFF"/>
                    <w:right w:val="single" w:sz="8" w:space="0" w:color="FFFFFF"/>
                  </w:tcBorders>
                  <w:shd w:val="clear" w:color="000000" w:fill="FDE9D9"/>
                  <w:noWrap/>
                  <w:vAlign w:val="center"/>
                  <w:hideMark/>
                </w:tcPr>
                <w:p w14:paraId="7280E94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1.2 </w:t>
                  </w:r>
                </w:p>
              </w:tc>
              <w:tc>
                <w:tcPr>
                  <w:tcW w:w="921" w:type="dxa"/>
                  <w:tcBorders>
                    <w:top w:val="nil"/>
                    <w:left w:val="nil"/>
                    <w:bottom w:val="single" w:sz="8" w:space="0" w:color="FFFFFF"/>
                    <w:right w:val="single" w:sz="8" w:space="0" w:color="FFFFFF"/>
                  </w:tcBorders>
                  <w:shd w:val="clear" w:color="000000" w:fill="FDE9D9"/>
                  <w:noWrap/>
                  <w:vAlign w:val="center"/>
                  <w:hideMark/>
                </w:tcPr>
                <w:p w14:paraId="568181AF"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3.2 </w:t>
                  </w:r>
                </w:p>
              </w:tc>
              <w:tc>
                <w:tcPr>
                  <w:tcW w:w="921" w:type="dxa"/>
                  <w:tcBorders>
                    <w:top w:val="nil"/>
                    <w:left w:val="nil"/>
                    <w:bottom w:val="single" w:sz="8" w:space="0" w:color="FFFFFF"/>
                    <w:right w:val="single" w:sz="8" w:space="0" w:color="FFFFFF"/>
                  </w:tcBorders>
                  <w:shd w:val="clear" w:color="000000" w:fill="FDE9D9"/>
                  <w:noWrap/>
                  <w:vAlign w:val="center"/>
                  <w:hideMark/>
                </w:tcPr>
                <w:p w14:paraId="41590864"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3.2 </w:t>
                  </w:r>
                </w:p>
              </w:tc>
              <w:tc>
                <w:tcPr>
                  <w:tcW w:w="1157" w:type="dxa"/>
                  <w:tcBorders>
                    <w:top w:val="nil"/>
                    <w:left w:val="nil"/>
                    <w:bottom w:val="single" w:sz="8" w:space="0" w:color="FFFFFF"/>
                    <w:right w:val="single" w:sz="8" w:space="0" w:color="FFFFFF"/>
                  </w:tcBorders>
                  <w:shd w:val="clear" w:color="000000" w:fill="FDE9D9"/>
                  <w:noWrap/>
                  <w:vAlign w:val="center"/>
                  <w:hideMark/>
                </w:tcPr>
                <w:p w14:paraId="0FA3BACC"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1741EF1E"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2.0 </w:t>
                  </w:r>
                </w:p>
              </w:tc>
              <w:tc>
                <w:tcPr>
                  <w:tcW w:w="921" w:type="dxa"/>
                  <w:tcBorders>
                    <w:top w:val="nil"/>
                    <w:left w:val="nil"/>
                    <w:bottom w:val="single" w:sz="8" w:space="0" w:color="FFFFFF"/>
                    <w:right w:val="single" w:sz="8" w:space="0" w:color="FFFFFF"/>
                  </w:tcBorders>
                  <w:shd w:val="clear" w:color="000000" w:fill="FDE9D9"/>
                  <w:noWrap/>
                  <w:vAlign w:val="center"/>
                  <w:hideMark/>
                </w:tcPr>
                <w:p w14:paraId="577EFE8E"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4.0 </w:t>
                  </w:r>
                </w:p>
              </w:tc>
              <w:tc>
                <w:tcPr>
                  <w:tcW w:w="921" w:type="dxa"/>
                  <w:tcBorders>
                    <w:top w:val="nil"/>
                    <w:left w:val="nil"/>
                    <w:bottom w:val="single" w:sz="8" w:space="0" w:color="FFFFFF"/>
                    <w:right w:val="single" w:sz="8" w:space="0" w:color="FFFFFF"/>
                  </w:tcBorders>
                  <w:shd w:val="clear" w:color="000000" w:fill="FDE9D9"/>
                  <w:noWrap/>
                  <w:vAlign w:val="center"/>
                  <w:hideMark/>
                </w:tcPr>
                <w:p w14:paraId="3DF87151"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6.0 </w:t>
                  </w:r>
                </w:p>
              </w:tc>
              <w:tc>
                <w:tcPr>
                  <w:tcW w:w="921" w:type="dxa"/>
                  <w:tcBorders>
                    <w:top w:val="nil"/>
                    <w:left w:val="nil"/>
                    <w:bottom w:val="single" w:sz="8" w:space="0" w:color="FFFFFF"/>
                    <w:right w:val="single" w:sz="8" w:space="0" w:color="FFFFFF"/>
                  </w:tcBorders>
                  <w:shd w:val="clear" w:color="000000" w:fill="FDE9D9"/>
                  <w:noWrap/>
                  <w:vAlign w:val="center"/>
                  <w:hideMark/>
                </w:tcPr>
                <w:p w14:paraId="7F20013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6.0 </w:t>
                  </w:r>
                </w:p>
              </w:tc>
            </w:tr>
            <w:tr w:rsidR="009E4AE5" w:rsidRPr="009E4AE5" w14:paraId="67692E58" w14:textId="77777777" w:rsidTr="009E4AE5">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2B04C392"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城投债3Y</w:t>
                  </w:r>
                </w:p>
              </w:tc>
              <w:tc>
                <w:tcPr>
                  <w:tcW w:w="920" w:type="dxa"/>
                  <w:tcBorders>
                    <w:top w:val="nil"/>
                    <w:left w:val="nil"/>
                    <w:bottom w:val="single" w:sz="8" w:space="0" w:color="FFFFFF"/>
                    <w:right w:val="single" w:sz="8" w:space="0" w:color="FFFFFF"/>
                  </w:tcBorders>
                  <w:shd w:val="clear" w:color="000000" w:fill="FCD5B4"/>
                  <w:noWrap/>
                  <w:vAlign w:val="center"/>
                  <w:hideMark/>
                </w:tcPr>
                <w:p w14:paraId="70CF8643"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-6.3 </w:t>
                  </w:r>
                </w:p>
              </w:tc>
              <w:tc>
                <w:tcPr>
                  <w:tcW w:w="921" w:type="dxa"/>
                  <w:tcBorders>
                    <w:top w:val="nil"/>
                    <w:left w:val="nil"/>
                    <w:bottom w:val="single" w:sz="8" w:space="0" w:color="FFFFFF"/>
                    <w:right w:val="single" w:sz="8" w:space="0" w:color="FFFFFF"/>
                  </w:tcBorders>
                  <w:shd w:val="clear" w:color="000000" w:fill="FCD5B4"/>
                  <w:noWrap/>
                  <w:vAlign w:val="center"/>
                  <w:hideMark/>
                </w:tcPr>
                <w:p w14:paraId="645EAA74"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-6.3 </w:t>
                  </w:r>
                </w:p>
              </w:tc>
              <w:tc>
                <w:tcPr>
                  <w:tcW w:w="921" w:type="dxa"/>
                  <w:tcBorders>
                    <w:top w:val="nil"/>
                    <w:left w:val="nil"/>
                    <w:bottom w:val="single" w:sz="8" w:space="0" w:color="FFFFFF"/>
                    <w:right w:val="single" w:sz="8" w:space="0" w:color="FFFFFF"/>
                  </w:tcBorders>
                  <w:shd w:val="clear" w:color="000000" w:fill="FCD5B4"/>
                  <w:noWrap/>
                  <w:vAlign w:val="center"/>
                  <w:hideMark/>
                </w:tcPr>
                <w:p w14:paraId="1EBE168F"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-5.3 </w:t>
                  </w:r>
                </w:p>
              </w:tc>
              <w:tc>
                <w:tcPr>
                  <w:tcW w:w="921" w:type="dxa"/>
                  <w:tcBorders>
                    <w:top w:val="nil"/>
                    <w:left w:val="nil"/>
                    <w:bottom w:val="single" w:sz="8" w:space="0" w:color="FFFFFF"/>
                    <w:right w:val="single" w:sz="8" w:space="0" w:color="FFFFFF"/>
                  </w:tcBorders>
                  <w:shd w:val="clear" w:color="000000" w:fill="FCD5B4"/>
                  <w:noWrap/>
                  <w:vAlign w:val="center"/>
                  <w:hideMark/>
                </w:tcPr>
                <w:p w14:paraId="7D742D6F"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-1.3 </w:t>
                  </w:r>
                </w:p>
              </w:tc>
              <w:tc>
                <w:tcPr>
                  <w:tcW w:w="1157" w:type="dxa"/>
                  <w:tcBorders>
                    <w:top w:val="nil"/>
                    <w:left w:val="nil"/>
                    <w:bottom w:val="single" w:sz="8" w:space="0" w:color="FFFFFF"/>
                    <w:right w:val="single" w:sz="8" w:space="0" w:color="FFFFFF"/>
                  </w:tcBorders>
                  <w:shd w:val="clear" w:color="000000" w:fill="FCD5B4"/>
                  <w:noWrap/>
                  <w:vAlign w:val="center"/>
                  <w:hideMark/>
                </w:tcPr>
                <w:p w14:paraId="6CFFF215"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城投债3Y</w:t>
                  </w:r>
                </w:p>
              </w:tc>
              <w:tc>
                <w:tcPr>
                  <w:tcW w:w="921" w:type="dxa"/>
                  <w:tcBorders>
                    <w:top w:val="nil"/>
                    <w:left w:val="nil"/>
                    <w:bottom w:val="single" w:sz="8" w:space="0" w:color="FFFFFF"/>
                    <w:right w:val="single" w:sz="8" w:space="0" w:color="FFFFFF"/>
                  </w:tcBorders>
                  <w:shd w:val="clear" w:color="000000" w:fill="FCD5B4"/>
                  <w:noWrap/>
                  <w:vAlign w:val="center"/>
                  <w:hideMark/>
                </w:tcPr>
                <w:p w14:paraId="31F70C16"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-2.9 </w:t>
                  </w:r>
                </w:p>
              </w:tc>
              <w:tc>
                <w:tcPr>
                  <w:tcW w:w="921" w:type="dxa"/>
                  <w:tcBorders>
                    <w:top w:val="nil"/>
                    <w:left w:val="nil"/>
                    <w:bottom w:val="single" w:sz="8" w:space="0" w:color="FFFFFF"/>
                    <w:right w:val="single" w:sz="8" w:space="0" w:color="FFFFFF"/>
                  </w:tcBorders>
                  <w:shd w:val="clear" w:color="000000" w:fill="FCD5B4"/>
                  <w:noWrap/>
                  <w:vAlign w:val="center"/>
                  <w:hideMark/>
                </w:tcPr>
                <w:p w14:paraId="6D977697"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-2.9 </w:t>
                  </w:r>
                </w:p>
              </w:tc>
              <w:tc>
                <w:tcPr>
                  <w:tcW w:w="921" w:type="dxa"/>
                  <w:tcBorders>
                    <w:top w:val="nil"/>
                    <w:left w:val="nil"/>
                    <w:bottom w:val="single" w:sz="8" w:space="0" w:color="FFFFFF"/>
                    <w:right w:val="single" w:sz="8" w:space="0" w:color="FFFFFF"/>
                  </w:tcBorders>
                  <w:shd w:val="clear" w:color="000000" w:fill="FCD5B4"/>
                  <w:noWrap/>
                  <w:vAlign w:val="center"/>
                  <w:hideMark/>
                </w:tcPr>
                <w:p w14:paraId="66AD6D73"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-1.9 </w:t>
                  </w:r>
                </w:p>
              </w:tc>
              <w:tc>
                <w:tcPr>
                  <w:tcW w:w="921" w:type="dxa"/>
                  <w:tcBorders>
                    <w:top w:val="nil"/>
                    <w:left w:val="nil"/>
                    <w:bottom w:val="single" w:sz="8" w:space="0" w:color="FFFFFF"/>
                    <w:right w:val="single" w:sz="8" w:space="0" w:color="FFFFFF"/>
                  </w:tcBorders>
                  <w:shd w:val="clear" w:color="000000" w:fill="FCD5B4"/>
                  <w:noWrap/>
                  <w:vAlign w:val="center"/>
                  <w:hideMark/>
                </w:tcPr>
                <w:p w14:paraId="264CB284"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2.1 </w:t>
                  </w:r>
                </w:p>
              </w:tc>
            </w:tr>
            <w:tr w:rsidR="009E4AE5" w:rsidRPr="009E4AE5" w14:paraId="7DA7BFEC" w14:textId="77777777" w:rsidTr="009E4AE5">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923CF3E"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城投债5Y</w:t>
                  </w:r>
                </w:p>
              </w:tc>
              <w:tc>
                <w:tcPr>
                  <w:tcW w:w="920" w:type="dxa"/>
                  <w:tcBorders>
                    <w:top w:val="nil"/>
                    <w:left w:val="nil"/>
                    <w:bottom w:val="single" w:sz="8" w:space="0" w:color="FFFFFF"/>
                    <w:right w:val="single" w:sz="8" w:space="0" w:color="FFFFFF"/>
                  </w:tcBorders>
                  <w:shd w:val="clear" w:color="000000" w:fill="FDE9D9"/>
                  <w:noWrap/>
                  <w:vAlign w:val="center"/>
                  <w:hideMark/>
                </w:tcPr>
                <w:p w14:paraId="7DD25F3A"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-2.9 </w:t>
                  </w:r>
                </w:p>
              </w:tc>
              <w:tc>
                <w:tcPr>
                  <w:tcW w:w="921" w:type="dxa"/>
                  <w:tcBorders>
                    <w:top w:val="nil"/>
                    <w:left w:val="nil"/>
                    <w:bottom w:val="single" w:sz="8" w:space="0" w:color="FFFFFF"/>
                    <w:right w:val="single" w:sz="8" w:space="0" w:color="FFFFFF"/>
                  </w:tcBorders>
                  <w:shd w:val="clear" w:color="000000" w:fill="FDE9D9"/>
                  <w:noWrap/>
                  <w:vAlign w:val="center"/>
                  <w:hideMark/>
                </w:tcPr>
                <w:p w14:paraId="0A9C2EE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-5.9 </w:t>
                  </w:r>
                </w:p>
              </w:tc>
              <w:tc>
                <w:tcPr>
                  <w:tcW w:w="921" w:type="dxa"/>
                  <w:tcBorders>
                    <w:top w:val="nil"/>
                    <w:left w:val="nil"/>
                    <w:bottom w:val="single" w:sz="8" w:space="0" w:color="FFFFFF"/>
                    <w:right w:val="single" w:sz="8" w:space="0" w:color="FFFFFF"/>
                  </w:tcBorders>
                  <w:shd w:val="clear" w:color="000000" w:fill="FDE9D9"/>
                  <w:noWrap/>
                  <w:vAlign w:val="center"/>
                  <w:hideMark/>
                </w:tcPr>
                <w:p w14:paraId="24BF3C7D"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-0.9 </w:t>
                  </w:r>
                </w:p>
              </w:tc>
              <w:tc>
                <w:tcPr>
                  <w:tcW w:w="921" w:type="dxa"/>
                  <w:tcBorders>
                    <w:top w:val="nil"/>
                    <w:left w:val="nil"/>
                    <w:bottom w:val="single" w:sz="8" w:space="0" w:color="FFFFFF"/>
                    <w:right w:val="single" w:sz="8" w:space="0" w:color="FFFFFF"/>
                  </w:tcBorders>
                  <w:shd w:val="clear" w:color="000000" w:fill="FDE9D9"/>
                  <w:noWrap/>
                  <w:vAlign w:val="center"/>
                  <w:hideMark/>
                </w:tcPr>
                <w:p w14:paraId="57805D94"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1.1 </w:t>
                  </w:r>
                </w:p>
              </w:tc>
              <w:tc>
                <w:tcPr>
                  <w:tcW w:w="1157" w:type="dxa"/>
                  <w:tcBorders>
                    <w:top w:val="nil"/>
                    <w:left w:val="nil"/>
                    <w:bottom w:val="single" w:sz="8" w:space="0" w:color="FFFFFF"/>
                    <w:right w:val="single" w:sz="8" w:space="0" w:color="FFFFFF"/>
                  </w:tcBorders>
                  <w:shd w:val="clear" w:color="000000" w:fill="FDE9D9"/>
                  <w:noWrap/>
                  <w:vAlign w:val="center"/>
                  <w:hideMark/>
                </w:tcPr>
                <w:p w14:paraId="7292CC42"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城投债5Y</w:t>
                  </w:r>
                </w:p>
              </w:tc>
              <w:tc>
                <w:tcPr>
                  <w:tcW w:w="921" w:type="dxa"/>
                  <w:tcBorders>
                    <w:top w:val="nil"/>
                    <w:left w:val="nil"/>
                    <w:bottom w:val="single" w:sz="8" w:space="0" w:color="FFFFFF"/>
                    <w:right w:val="single" w:sz="8" w:space="0" w:color="FFFFFF"/>
                  </w:tcBorders>
                  <w:shd w:val="clear" w:color="000000" w:fill="FDE9D9"/>
                  <w:noWrap/>
                  <w:vAlign w:val="center"/>
                  <w:hideMark/>
                </w:tcPr>
                <w:p w14:paraId="04B2E37C"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1.5 </w:t>
                  </w:r>
                </w:p>
              </w:tc>
              <w:tc>
                <w:tcPr>
                  <w:tcW w:w="921" w:type="dxa"/>
                  <w:tcBorders>
                    <w:top w:val="nil"/>
                    <w:left w:val="nil"/>
                    <w:bottom w:val="single" w:sz="8" w:space="0" w:color="FFFFFF"/>
                    <w:right w:val="single" w:sz="8" w:space="0" w:color="FFFFFF"/>
                  </w:tcBorders>
                  <w:shd w:val="clear" w:color="000000" w:fill="FDE9D9"/>
                  <w:noWrap/>
                  <w:vAlign w:val="center"/>
                  <w:hideMark/>
                </w:tcPr>
                <w:p w14:paraId="5DCDC7EA"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FF0000"/>
                      <w:kern w:val="0"/>
                      <w:szCs w:val="21"/>
                    </w:rPr>
                    <w:t xml:space="preserve">-1.5 </w:t>
                  </w:r>
                </w:p>
              </w:tc>
              <w:tc>
                <w:tcPr>
                  <w:tcW w:w="921" w:type="dxa"/>
                  <w:tcBorders>
                    <w:top w:val="nil"/>
                    <w:left w:val="nil"/>
                    <w:bottom w:val="single" w:sz="8" w:space="0" w:color="FFFFFF"/>
                    <w:right w:val="single" w:sz="8" w:space="0" w:color="FFFFFF"/>
                  </w:tcBorders>
                  <w:shd w:val="clear" w:color="000000" w:fill="FDE9D9"/>
                  <w:noWrap/>
                  <w:vAlign w:val="center"/>
                  <w:hideMark/>
                </w:tcPr>
                <w:p w14:paraId="3A7B3ADE"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3.5 </w:t>
                  </w:r>
                </w:p>
              </w:tc>
              <w:tc>
                <w:tcPr>
                  <w:tcW w:w="921" w:type="dxa"/>
                  <w:tcBorders>
                    <w:top w:val="nil"/>
                    <w:left w:val="nil"/>
                    <w:bottom w:val="single" w:sz="8" w:space="0" w:color="FFFFFF"/>
                    <w:right w:val="single" w:sz="8" w:space="0" w:color="FFFFFF"/>
                  </w:tcBorders>
                  <w:shd w:val="clear" w:color="000000" w:fill="FDE9D9"/>
                  <w:noWrap/>
                  <w:vAlign w:val="center"/>
                  <w:hideMark/>
                </w:tcPr>
                <w:p w14:paraId="248E2ED7"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5.5 </w:t>
                  </w:r>
                </w:p>
              </w:tc>
            </w:tr>
            <w:tr w:rsidR="009E4AE5" w:rsidRPr="009E4AE5" w14:paraId="1FD8B605" w14:textId="77777777" w:rsidTr="009E4AE5">
              <w:trPr>
                <w:trHeight w:val="300"/>
              </w:trPr>
              <w:tc>
                <w:tcPr>
                  <w:tcW w:w="1350" w:type="dxa"/>
                  <w:tcBorders>
                    <w:top w:val="nil"/>
                    <w:left w:val="nil"/>
                    <w:bottom w:val="nil"/>
                    <w:right w:val="nil"/>
                  </w:tcBorders>
                  <w:shd w:val="clear" w:color="000000" w:fill="FCD5B4"/>
                  <w:noWrap/>
                  <w:vAlign w:val="center"/>
                  <w:hideMark/>
                </w:tcPr>
                <w:p w14:paraId="277ACE6D"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城投债7Y</w:t>
                  </w:r>
                </w:p>
              </w:tc>
              <w:tc>
                <w:tcPr>
                  <w:tcW w:w="920" w:type="dxa"/>
                  <w:tcBorders>
                    <w:top w:val="nil"/>
                    <w:left w:val="nil"/>
                    <w:bottom w:val="single" w:sz="8" w:space="0" w:color="FFFFFF"/>
                    <w:right w:val="single" w:sz="8" w:space="0" w:color="FFFFFF"/>
                  </w:tcBorders>
                  <w:shd w:val="clear" w:color="000000" w:fill="FCD5B4"/>
                  <w:noWrap/>
                  <w:vAlign w:val="center"/>
                  <w:hideMark/>
                </w:tcPr>
                <w:p w14:paraId="2D4DF1A8"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2.5 </w:t>
                  </w:r>
                </w:p>
              </w:tc>
              <w:tc>
                <w:tcPr>
                  <w:tcW w:w="921" w:type="dxa"/>
                  <w:tcBorders>
                    <w:top w:val="nil"/>
                    <w:left w:val="nil"/>
                    <w:bottom w:val="single" w:sz="8" w:space="0" w:color="FFFFFF"/>
                    <w:right w:val="single" w:sz="8" w:space="0" w:color="FFFFFF"/>
                  </w:tcBorders>
                  <w:shd w:val="clear" w:color="000000" w:fill="FCD5B4"/>
                  <w:noWrap/>
                  <w:vAlign w:val="center"/>
                  <w:hideMark/>
                </w:tcPr>
                <w:p w14:paraId="223C8D81"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2.5 </w:t>
                  </w:r>
                </w:p>
              </w:tc>
              <w:tc>
                <w:tcPr>
                  <w:tcW w:w="921" w:type="dxa"/>
                  <w:tcBorders>
                    <w:top w:val="nil"/>
                    <w:left w:val="nil"/>
                    <w:bottom w:val="single" w:sz="8" w:space="0" w:color="FFFFFF"/>
                    <w:right w:val="single" w:sz="8" w:space="0" w:color="FFFFFF"/>
                  </w:tcBorders>
                  <w:shd w:val="clear" w:color="000000" w:fill="FCD5B4"/>
                  <w:noWrap/>
                  <w:vAlign w:val="center"/>
                  <w:hideMark/>
                </w:tcPr>
                <w:p w14:paraId="080D4EAE"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3.5 </w:t>
                  </w:r>
                </w:p>
              </w:tc>
              <w:tc>
                <w:tcPr>
                  <w:tcW w:w="921" w:type="dxa"/>
                  <w:tcBorders>
                    <w:top w:val="nil"/>
                    <w:left w:val="nil"/>
                    <w:bottom w:val="single" w:sz="8" w:space="0" w:color="FFFFFF"/>
                    <w:right w:val="single" w:sz="8" w:space="0" w:color="FFFFFF"/>
                  </w:tcBorders>
                  <w:shd w:val="clear" w:color="000000" w:fill="FCD5B4"/>
                  <w:noWrap/>
                  <w:vAlign w:val="center"/>
                  <w:hideMark/>
                </w:tcPr>
                <w:p w14:paraId="01902143"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3.5 </w:t>
                  </w:r>
                </w:p>
              </w:tc>
              <w:tc>
                <w:tcPr>
                  <w:tcW w:w="1157" w:type="dxa"/>
                  <w:tcBorders>
                    <w:top w:val="nil"/>
                    <w:left w:val="nil"/>
                    <w:bottom w:val="nil"/>
                    <w:right w:val="nil"/>
                  </w:tcBorders>
                  <w:shd w:val="clear" w:color="000000" w:fill="FCD5B4"/>
                  <w:noWrap/>
                  <w:vAlign w:val="center"/>
                  <w:hideMark/>
                </w:tcPr>
                <w:p w14:paraId="1158B5B9"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城投债7Y</w:t>
                  </w:r>
                </w:p>
              </w:tc>
              <w:tc>
                <w:tcPr>
                  <w:tcW w:w="921" w:type="dxa"/>
                  <w:tcBorders>
                    <w:top w:val="nil"/>
                    <w:left w:val="nil"/>
                    <w:bottom w:val="single" w:sz="8" w:space="0" w:color="FFFFFF"/>
                    <w:right w:val="single" w:sz="8" w:space="0" w:color="FFFFFF"/>
                  </w:tcBorders>
                  <w:shd w:val="clear" w:color="000000" w:fill="FCD5B4"/>
                  <w:noWrap/>
                  <w:vAlign w:val="center"/>
                  <w:hideMark/>
                </w:tcPr>
                <w:p w14:paraId="13403E65"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5.3 </w:t>
                  </w:r>
                </w:p>
              </w:tc>
              <w:tc>
                <w:tcPr>
                  <w:tcW w:w="921" w:type="dxa"/>
                  <w:tcBorders>
                    <w:top w:val="nil"/>
                    <w:left w:val="nil"/>
                    <w:bottom w:val="single" w:sz="8" w:space="0" w:color="FFFFFF"/>
                    <w:right w:val="single" w:sz="8" w:space="0" w:color="FFFFFF"/>
                  </w:tcBorders>
                  <w:shd w:val="clear" w:color="000000" w:fill="FCD5B4"/>
                  <w:noWrap/>
                  <w:vAlign w:val="center"/>
                  <w:hideMark/>
                </w:tcPr>
                <w:p w14:paraId="22A672E9"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5.3 </w:t>
                  </w:r>
                </w:p>
              </w:tc>
              <w:tc>
                <w:tcPr>
                  <w:tcW w:w="921" w:type="dxa"/>
                  <w:tcBorders>
                    <w:top w:val="nil"/>
                    <w:left w:val="nil"/>
                    <w:bottom w:val="single" w:sz="8" w:space="0" w:color="FFFFFF"/>
                    <w:right w:val="single" w:sz="8" w:space="0" w:color="FFFFFF"/>
                  </w:tcBorders>
                  <w:shd w:val="clear" w:color="000000" w:fill="FCD5B4"/>
                  <w:noWrap/>
                  <w:vAlign w:val="center"/>
                  <w:hideMark/>
                </w:tcPr>
                <w:p w14:paraId="6693180A"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6.3 </w:t>
                  </w:r>
                </w:p>
              </w:tc>
              <w:tc>
                <w:tcPr>
                  <w:tcW w:w="921" w:type="dxa"/>
                  <w:tcBorders>
                    <w:top w:val="nil"/>
                    <w:left w:val="nil"/>
                    <w:bottom w:val="single" w:sz="8" w:space="0" w:color="FFFFFF"/>
                    <w:right w:val="single" w:sz="8" w:space="0" w:color="FFFFFF"/>
                  </w:tcBorders>
                  <w:shd w:val="clear" w:color="000000" w:fill="FCD5B4"/>
                  <w:noWrap/>
                  <w:vAlign w:val="center"/>
                  <w:hideMark/>
                </w:tcPr>
                <w:p w14:paraId="340E3374"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 xml:space="preserve">6.3 </w:t>
                  </w:r>
                </w:p>
              </w:tc>
            </w:tr>
            <w:tr w:rsidR="009E4AE5" w:rsidRPr="009E4AE5" w14:paraId="76E2BEBD" w14:textId="77777777" w:rsidTr="009E4AE5">
              <w:trPr>
                <w:trHeight w:val="150"/>
              </w:trPr>
              <w:tc>
                <w:tcPr>
                  <w:tcW w:w="1350" w:type="dxa"/>
                  <w:tcBorders>
                    <w:top w:val="nil"/>
                    <w:left w:val="nil"/>
                    <w:bottom w:val="nil"/>
                    <w:right w:val="nil"/>
                  </w:tcBorders>
                  <w:shd w:val="clear" w:color="auto" w:fill="auto"/>
                  <w:noWrap/>
                  <w:vAlign w:val="center"/>
                  <w:hideMark/>
                </w:tcPr>
                <w:p w14:paraId="57CB9F3A" w14:textId="77777777" w:rsidR="009E4AE5" w:rsidRPr="009E4AE5" w:rsidRDefault="009E4AE5" w:rsidP="009E4AE5">
                  <w:pPr>
                    <w:widowControl/>
                    <w:jc w:val="center"/>
                    <w:rPr>
                      <w:rFonts w:eastAsia="等线" w:cs="Calibri"/>
                      <w:color w:val="000000"/>
                      <w:kern w:val="0"/>
                      <w:szCs w:val="21"/>
                    </w:rPr>
                  </w:pPr>
                </w:p>
              </w:tc>
              <w:tc>
                <w:tcPr>
                  <w:tcW w:w="920" w:type="dxa"/>
                  <w:tcBorders>
                    <w:top w:val="nil"/>
                    <w:left w:val="nil"/>
                    <w:bottom w:val="nil"/>
                    <w:right w:val="nil"/>
                  </w:tcBorders>
                  <w:shd w:val="clear" w:color="auto" w:fill="auto"/>
                  <w:noWrap/>
                  <w:vAlign w:val="center"/>
                  <w:hideMark/>
                </w:tcPr>
                <w:p w14:paraId="39A863DD" w14:textId="77777777" w:rsidR="009E4AE5" w:rsidRPr="009E4AE5" w:rsidRDefault="009E4AE5" w:rsidP="009E4AE5">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0C0BEF6D" w14:textId="77777777" w:rsidR="009E4AE5" w:rsidRPr="009E4AE5" w:rsidRDefault="009E4AE5" w:rsidP="009E4AE5">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40ECEFC8" w14:textId="77777777" w:rsidR="009E4AE5" w:rsidRPr="009E4AE5" w:rsidRDefault="009E4AE5" w:rsidP="009E4AE5">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5CB7948F" w14:textId="77777777" w:rsidR="009E4AE5" w:rsidRPr="009E4AE5" w:rsidRDefault="009E4AE5" w:rsidP="009E4AE5">
                  <w:pPr>
                    <w:widowControl/>
                    <w:jc w:val="center"/>
                    <w:rPr>
                      <w:rFonts w:ascii="Times New Roman" w:eastAsia="Times New Roman" w:hAnsi="Times New Roman"/>
                      <w:kern w:val="0"/>
                      <w:sz w:val="20"/>
                      <w:szCs w:val="20"/>
                    </w:rPr>
                  </w:pPr>
                </w:p>
              </w:tc>
              <w:tc>
                <w:tcPr>
                  <w:tcW w:w="1157" w:type="dxa"/>
                  <w:tcBorders>
                    <w:top w:val="nil"/>
                    <w:left w:val="nil"/>
                    <w:bottom w:val="nil"/>
                    <w:right w:val="nil"/>
                  </w:tcBorders>
                  <w:shd w:val="clear" w:color="auto" w:fill="auto"/>
                  <w:noWrap/>
                  <w:vAlign w:val="center"/>
                  <w:hideMark/>
                </w:tcPr>
                <w:p w14:paraId="09CB280A" w14:textId="77777777" w:rsidR="009E4AE5" w:rsidRPr="009E4AE5" w:rsidRDefault="009E4AE5" w:rsidP="009E4AE5">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51CBC54C" w14:textId="77777777" w:rsidR="009E4AE5" w:rsidRPr="009E4AE5" w:rsidRDefault="009E4AE5" w:rsidP="009E4AE5">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115CE142" w14:textId="77777777" w:rsidR="009E4AE5" w:rsidRPr="009E4AE5" w:rsidRDefault="009E4AE5" w:rsidP="009E4AE5">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333A62FD" w14:textId="77777777" w:rsidR="009E4AE5" w:rsidRPr="009E4AE5" w:rsidRDefault="009E4AE5" w:rsidP="009E4AE5">
                  <w:pPr>
                    <w:widowControl/>
                    <w:jc w:val="center"/>
                    <w:rPr>
                      <w:rFonts w:ascii="Times New Roman" w:eastAsia="Times New Roman" w:hAnsi="Times New Roman"/>
                      <w:kern w:val="0"/>
                      <w:sz w:val="20"/>
                      <w:szCs w:val="20"/>
                    </w:rPr>
                  </w:pPr>
                </w:p>
              </w:tc>
              <w:tc>
                <w:tcPr>
                  <w:tcW w:w="921" w:type="dxa"/>
                  <w:tcBorders>
                    <w:top w:val="nil"/>
                    <w:left w:val="nil"/>
                    <w:bottom w:val="nil"/>
                    <w:right w:val="nil"/>
                  </w:tcBorders>
                  <w:shd w:val="clear" w:color="auto" w:fill="auto"/>
                  <w:noWrap/>
                  <w:vAlign w:val="center"/>
                  <w:hideMark/>
                </w:tcPr>
                <w:p w14:paraId="61F45EB9" w14:textId="77777777" w:rsidR="009E4AE5" w:rsidRPr="009E4AE5" w:rsidRDefault="009E4AE5" w:rsidP="009E4AE5">
                  <w:pPr>
                    <w:widowControl/>
                    <w:jc w:val="center"/>
                    <w:rPr>
                      <w:rFonts w:ascii="Times New Roman" w:eastAsia="Times New Roman" w:hAnsi="Times New Roman"/>
                      <w:kern w:val="0"/>
                      <w:sz w:val="20"/>
                      <w:szCs w:val="20"/>
                    </w:rPr>
                  </w:pPr>
                </w:p>
              </w:tc>
            </w:tr>
            <w:tr w:rsidR="009E4AE5" w:rsidRPr="009E4AE5" w14:paraId="3A9E58F2" w14:textId="77777777" w:rsidTr="009E4AE5">
              <w:trPr>
                <w:trHeight w:val="300"/>
              </w:trPr>
              <w:tc>
                <w:tcPr>
                  <w:tcW w:w="1350" w:type="dxa"/>
                  <w:tcBorders>
                    <w:top w:val="nil"/>
                    <w:left w:val="nil"/>
                    <w:bottom w:val="single" w:sz="12" w:space="0" w:color="FFFFFF"/>
                    <w:right w:val="single" w:sz="8" w:space="0" w:color="FFFFFF"/>
                  </w:tcBorders>
                  <w:shd w:val="clear" w:color="000000" w:fill="F79646"/>
                  <w:noWrap/>
                  <w:vAlign w:val="center"/>
                  <w:hideMark/>
                </w:tcPr>
                <w:p w14:paraId="73BC4933"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收益率分位</w:t>
                  </w:r>
                </w:p>
              </w:tc>
              <w:tc>
                <w:tcPr>
                  <w:tcW w:w="920" w:type="dxa"/>
                  <w:tcBorders>
                    <w:top w:val="nil"/>
                    <w:left w:val="nil"/>
                    <w:bottom w:val="single" w:sz="12" w:space="0" w:color="FFFFFF"/>
                    <w:right w:val="single" w:sz="8" w:space="0" w:color="FFFFFF"/>
                  </w:tcBorders>
                  <w:shd w:val="clear" w:color="000000" w:fill="F79646"/>
                  <w:noWrap/>
                  <w:vAlign w:val="center"/>
                  <w:hideMark/>
                </w:tcPr>
                <w:p w14:paraId="19512323"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58BDC80F"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03B0D932"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3288FC4D"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c>
                <w:tcPr>
                  <w:tcW w:w="1157" w:type="dxa"/>
                  <w:tcBorders>
                    <w:top w:val="nil"/>
                    <w:left w:val="nil"/>
                    <w:bottom w:val="single" w:sz="12" w:space="0" w:color="FFFFFF"/>
                    <w:right w:val="single" w:sz="8" w:space="0" w:color="FFFFFF"/>
                  </w:tcBorders>
                  <w:shd w:val="clear" w:color="000000" w:fill="F79646"/>
                  <w:noWrap/>
                  <w:vAlign w:val="center"/>
                  <w:hideMark/>
                </w:tcPr>
                <w:p w14:paraId="4C43E519"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息差</w:t>
                  </w:r>
                </w:p>
              </w:tc>
              <w:tc>
                <w:tcPr>
                  <w:tcW w:w="921" w:type="dxa"/>
                  <w:tcBorders>
                    <w:top w:val="nil"/>
                    <w:left w:val="nil"/>
                    <w:bottom w:val="single" w:sz="12" w:space="0" w:color="FFFFFF"/>
                    <w:right w:val="single" w:sz="8" w:space="0" w:color="FFFFFF"/>
                  </w:tcBorders>
                  <w:shd w:val="clear" w:color="000000" w:fill="F79646"/>
                  <w:noWrap/>
                  <w:vAlign w:val="center"/>
                  <w:hideMark/>
                </w:tcPr>
                <w:p w14:paraId="63B8C2BA"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AAA</w:t>
                  </w:r>
                </w:p>
              </w:tc>
              <w:tc>
                <w:tcPr>
                  <w:tcW w:w="921" w:type="dxa"/>
                  <w:tcBorders>
                    <w:top w:val="nil"/>
                    <w:left w:val="nil"/>
                    <w:bottom w:val="single" w:sz="12" w:space="0" w:color="FFFFFF"/>
                    <w:right w:val="single" w:sz="8" w:space="0" w:color="FFFFFF"/>
                  </w:tcBorders>
                  <w:shd w:val="clear" w:color="000000" w:fill="F79646"/>
                  <w:noWrap/>
                  <w:vAlign w:val="center"/>
                  <w:hideMark/>
                </w:tcPr>
                <w:p w14:paraId="421340D2"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77AA9DAA"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c>
                <w:tcPr>
                  <w:tcW w:w="921" w:type="dxa"/>
                  <w:tcBorders>
                    <w:top w:val="nil"/>
                    <w:left w:val="nil"/>
                    <w:bottom w:val="single" w:sz="12" w:space="0" w:color="FFFFFF"/>
                    <w:right w:val="single" w:sz="8" w:space="0" w:color="FFFFFF"/>
                  </w:tcBorders>
                  <w:shd w:val="clear" w:color="000000" w:fill="F79646"/>
                  <w:noWrap/>
                  <w:vAlign w:val="center"/>
                  <w:hideMark/>
                </w:tcPr>
                <w:p w14:paraId="676F79BE" w14:textId="77777777" w:rsidR="009E4AE5" w:rsidRPr="009E4AE5" w:rsidRDefault="009E4AE5" w:rsidP="009E4AE5">
                  <w:pPr>
                    <w:widowControl/>
                    <w:jc w:val="center"/>
                    <w:rPr>
                      <w:rFonts w:ascii="楷体" w:eastAsia="楷体" w:hAnsi="楷体" w:cs="宋体"/>
                      <w:b/>
                      <w:bCs/>
                      <w:color w:val="FFFFFF"/>
                      <w:kern w:val="0"/>
                      <w:sz w:val="20"/>
                      <w:szCs w:val="20"/>
                    </w:rPr>
                  </w:pPr>
                  <w:r w:rsidRPr="009E4AE5">
                    <w:rPr>
                      <w:rFonts w:ascii="楷体" w:eastAsia="楷体" w:hAnsi="楷体" w:cs="宋体" w:hint="eastAsia"/>
                      <w:b/>
                      <w:bCs/>
                      <w:color w:val="FFFFFF"/>
                      <w:kern w:val="0"/>
                      <w:sz w:val="20"/>
                      <w:szCs w:val="20"/>
                    </w:rPr>
                    <w:t>AA-</w:t>
                  </w:r>
                </w:p>
              </w:tc>
            </w:tr>
            <w:tr w:rsidR="009E4AE5" w:rsidRPr="009E4AE5" w14:paraId="0E3239A2" w14:textId="77777777" w:rsidTr="009E4AE5">
              <w:trPr>
                <w:trHeight w:val="315"/>
              </w:trPr>
              <w:tc>
                <w:tcPr>
                  <w:tcW w:w="1350" w:type="dxa"/>
                  <w:tcBorders>
                    <w:top w:val="nil"/>
                    <w:left w:val="nil"/>
                    <w:bottom w:val="single" w:sz="8" w:space="0" w:color="FFFFFF"/>
                    <w:right w:val="single" w:sz="8" w:space="0" w:color="FFFFFF"/>
                  </w:tcBorders>
                  <w:shd w:val="clear" w:color="000000" w:fill="FCD5B4"/>
                  <w:noWrap/>
                  <w:vAlign w:val="center"/>
                  <w:hideMark/>
                </w:tcPr>
                <w:p w14:paraId="67C71D78"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lastRenderedPageBreak/>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5CC27177"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28%</w:t>
                  </w:r>
                </w:p>
              </w:tc>
              <w:tc>
                <w:tcPr>
                  <w:tcW w:w="921" w:type="dxa"/>
                  <w:tcBorders>
                    <w:top w:val="nil"/>
                    <w:left w:val="nil"/>
                    <w:bottom w:val="single" w:sz="8" w:space="0" w:color="FFFFFF"/>
                    <w:right w:val="single" w:sz="8" w:space="0" w:color="FFFFFF"/>
                  </w:tcBorders>
                  <w:shd w:val="clear" w:color="000000" w:fill="FCD5B4"/>
                  <w:noWrap/>
                  <w:vAlign w:val="center"/>
                  <w:hideMark/>
                </w:tcPr>
                <w:p w14:paraId="2A87B926"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24%</w:t>
                  </w:r>
                </w:p>
              </w:tc>
              <w:tc>
                <w:tcPr>
                  <w:tcW w:w="921" w:type="dxa"/>
                  <w:tcBorders>
                    <w:top w:val="nil"/>
                    <w:left w:val="nil"/>
                    <w:bottom w:val="single" w:sz="8" w:space="0" w:color="FFFFFF"/>
                    <w:right w:val="single" w:sz="8" w:space="0" w:color="FFFFFF"/>
                  </w:tcBorders>
                  <w:shd w:val="clear" w:color="000000" w:fill="FCD5B4"/>
                  <w:noWrap/>
                  <w:vAlign w:val="center"/>
                  <w:hideMark/>
                </w:tcPr>
                <w:p w14:paraId="33D6B541"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33%</w:t>
                  </w:r>
                </w:p>
              </w:tc>
              <w:tc>
                <w:tcPr>
                  <w:tcW w:w="921" w:type="dxa"/>
                  <w:tcBorders>
                    <w:top w:val="nil"/>
                    <w:left w:val="nil"/>
                    <w:bottom w:val="single" w:sz="8" w:space="0" w:color="FFFFFF"/>
                    <w:right w:val="single" w:sz="8" w:space="0" w:color="FFFFFF"/>
                  </w:tcBorders>
                  <w:shd w:val="clear" w:color="000000" w:fill="FCD5B4"/>
                  <w:noWrap/>
                  <w:vAlign w:val="center"/>
                  <w:hideMark/>
                </w:tcPr>
                <w:p w14:paraId="4EF45F45"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65%</w:t>
                  </w:r>
                </w:p>
              </w:tc>
              <w:tc>
                <w:tcPr>
                  <w:tcW w:w="1157" w:type="dxa"/>
                  <w:tcBorders>
                    <w:top w:val="nil"/>
                    <w:left w:val="nil"/>
                    <w:bottom w:val="single" w:sz="8" w:space="0" w:color="FFFFFF"/>
                    <w:right w:val="single" w:sz="8" w:space="0" w:color="FFFFFF"/>
                  </w:tcBorders>
                  <w:shd w:val="clear" w:color="000000" w:fill="FCD5B4"/>
                  <w:noWrap/>
                  <w:vAlign w:val="center"/>
                  <w:hideMark/>
                </w:tcPr>
                <w:p w14:paraId="0FF7C00C"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CP</w:t>
                  </w:r>
                </w:p>
              </w:tc>
              <w:tc>
                <w:tcPr>
                  <w:tcW w:w="921" w:type="dxa"/>
                  <w:tcBorders>
                    <w:top w:val="nil"/>
                    <w:left w:val="nil"/>
                    <w:bottom w:val="single" w:sz="8" w:space="0" w:color="FFFFFF"/>
                    <w:right w:val="single" w:sz="8" w:space="0" w:color="FFFFFF"/>
                  </w:tcBorders>
                  <w:shd w:val="clear" w:color="000000" w:fill="FCD5B4"/>
                  <w:noWrap/>
                  <w:vAlign w:val="center"/>
                  <w:hideMark/>
                </w:tcPr>
                <w:p w14:paraId="2E8F4801"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0%</w:t>
                  </w:r>
                </w:p>
              </w:tc>
              <w:tc>
                <w:tcPr>
                  <w:tcW w:w="921" w:type="dxa"/>
                  <w:tcBorders>
                    <w:top w:val="nil"/>
                    <w:left w:val="nil"/>
                    <w:bottom w:val="single" w:sz="8" w:space="0" w:color="FFFFFF"/>
                    <w:right w:val="single" w:sz="8" w:space="0" w:color="FFFFFF"/>
                  </w:tcBorders>
                  <w:shd w:val="clear" w:color="000000" w:fill="FCD5B4"/>
                  <w:noWrap/>
                  <w:vAlign w:val="center"/>
                  <w:hideMark/>
                </w:tcPr>
                <w:p w14:paraId="49CA1851"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0%</w:t>
                  </w:r>
                </w:p>
              </w:tc>
              <w:tc>
                <w:tcPr>
                  <w:tcW w:w="921" w:type="dxa"/>
                  <w:tcBorders>
                    <w:top w:val="nil"/>
                    <w:left w:val="nil"/>
                    <w:bottom w:val="single" w:sz="8" w:space="0" w:color="FFFFFF"/>
                    <w:right w:val="single" w:sz="8" w:space="0" w:color="FFFFFF"/>
                  </w:tcBorders>
                  <w:shd w:val="clear" w:color="000000" w:fill="FCD5B4"/>
                  <w:noWrap/>
                  <w:vAlign w:val="center"/>
                  <w:hideMark/>
                </w:tcPr>
                <w:p w14:paraId="6913BFFA"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CD5B4"/>
                  <w:noWrap/>
                  <w:vAlign w:val="center"/>
                  <w:hideMark/>
                </w:tcPr>
                <w:p w14:paraId="35B8D0E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71%</w:t>
                  </w:r>
                </w:p>
              </w:tc>
            </w:tr>
            <w:tr w:rsidR="009E4AE5" w:rsidRPr="009E4AE5" w14:paraId="61A94B57" w14:textId="77777777" w:rsidTr="009E4AE5">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37D9B2ED"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35B1F4FB"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28%</w:t>
                  </w:r>
                </w:p>
              </w:tc>
              <w:tc>
                <w:tcPr>
                  <w:tcW w:w="921" w:type="dxa"/>
                  <w:tcBorders>
                    <w:top w:val="nil"/>
                    <w:left w:val="nil"/>
                    <w:bottom w:val="single" w:sz="8" w:space="0" w:color="FFFFFF"/>
                    <w:right w:val="single" w:sz="8" w:space="0" w:color="FFFFFF"/>
                  </w:tcBorders>
                  <w:shd w:val="clear" w:color="000000" w:fill="FDE9D9"/>
                  <w:noWrap/>
                  <w:vAlign w:val="center"/>
                  <w:hideMark/>
                </w:tcPr>
                <w:p w14:paraId="07101495"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27%</w:t>
                  </w:r>
                </w:p>
              </w:tc>
              <w:tc>
                <w:tcPr>
                  <w:tcW w:w="921" w:type="dxa"/>
                  <w:tcBorders>
                    <w:top w:val="nil"/>
                    <w:left w:val="nil"/>
                    <w:bottom w:val="single" w:sz="8" w:space="0" w:color="FFFFFF"/>
                    <w:right w:val="single" w:sz="8" w:space="0" w:color="FFFFFF"/>
                  </w:tcBorders>
                  <w:shd w:val="clear" w:color="000000" w:fill="FDE9D9"/>
                  <w:noWrap/>
                  <w:vAlign w:val="center"/>
                  <w:hideMark/>
                </w:tcPr>
                <w:p w14:paraId="0EF251FA"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33%</w:t>
                  </w:r>
                </w:p>
              </w:tc>
              <w:tc>
                <w:tcPr>
                  <w:tcW w:w="921" w:type="dxa"/>
                  <w:tcBorders>
                    <w:top w:val="nil"/>
                    <w:left w:val="nil"/>
                    <w:bottom w:val="single" w:sz="8" w:space="0" w:color="FFFFFF"/>
                    <w:right w:val="single" w:sz="8" w:space="0" w:color="FFFFFF"/>
                  </w:tcBorders>
                  <w:shd w:val="clear" w:color="000000" w:fill="FDE9D9"/>
                  <w:noWrap/>
                  <w:vAlign w:val="center"/>
                  <w:hideMark/>
                </w:tcPr>
                <w:p w14:paraId="013F9FFE"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68%</w:t>
                  </w:r>
                </w:p>
              </w:tc>
              <w:tc>
                <w:tcPr>
                  <w:tcW w:w="1157" w:type="dxa"/>
                  <w:tcBorders>
                    <w:top w:val="nil"/>
                    <w:left w:val="nil"/>
                    <w:bottom w:val="single" w:sz="8" w:space="0" w:color="FFFFFF"/>
                    <w:right w:val="single" w:sz="8" w:space="0" w:color="FFFFFF"/>
                  </w:tcBorders>
                  <w:shd w:val="clear" w:color="000000" w:fill="FDE9D9"/>
                  <w:noWrap/>
                  <w:vAlign w:val="center"/>
                  <w:hideMark/>
                </w:tcPr>
                <w:p w14:paraId="00E98149"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MTN3Y</w:t>
                  </w:r>
                </w:p>
              </w:tc>
              <w:tc>
                <w:tcPr>
                  <w:tcW w:w="921" w:type="dxa"/>
                  <w:tcBorders>
                    <w:top w:val="nil"/>
                    <w:left w:val="nil"/>
                    <w:bottom w:val="single" w:sz="8" w:space="0" w:color="FFFFFF"/>
                    <w:right w:val="single" w:sz="8" w:space="0" w:color="FFFFFF"/>
                  </w:tcBorders>
                  <w:shd w:val="clear" w:color="000000" w:fill="FDE9D9"/>
                  <w:noWrap/>
                  <w:vAlign w:val="center"/>
                  <w:hideMark/>
                </w:tcPr>
                <w:p w14:paraId="19116EDE"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DE9D9"/>
                  <w:noWrap/>
                  <w:vAlign w:val="center"/>
                  <w:hideMark/>
                </w:tcPr>
                <w:p w14:paraId="4CD6F31B"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DE9D9"/>
                  <w:noWrap/>
                  <w:vAlign w:val="center"/>
                  <w:hideMark/>
                </w:tcPr>
                <w:p w14:paraId="6D3923B1"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23%</w:t>
                  </w:r>
                </w:p>
              </w:tc>
              <w:tc>
                <w:tcPr>
                  <w:tcW w:w="921" w:type="dxa"/>
                  <w:tcBorders>
                    <w:top w:val="nil"/>
                    <w:left w:val="nil"/>
                    <w:bottom w:val="single" w:sz="8" w:space="0" w:color="FFFFFF"/>
                    <w:right w:val="single" w:sz="8" w:space="0" w:color="FFFFFF"/>
                  </w:tcBorders>
                  <w:shd w:val="clear" w:color="000000" w:fill="FFC7CE"/>
                  <w:noWrap/>
                  <w:vAlign w:val="center"/>
                  <w:hideMark/>
                </w:tcPr>
                <w:p w14:paraId="441B2D65" w14:textId="77777777" w:rsidR="009E4AE5" w:rsidRPr="009E4AE5" w:rsidRDefault="009E4AE5" w:rsidP="009E4AE5">
                  <w:pPr>
                    <w:widowControl/>
                    <w:jc w:val="center"/>
                    <w:rPr>
                      <w:rFonts w:eastAsia="等线" w:cs="Calibri"/>
                      <w:color w:val="9C0006"/>
                      <w:kern w:val="0"/>
                      <w:szCs w:val="21"/>
                    </w:rPr>
                  </w:pPr>
                  <w:r w:rsidRPr="009E4AE5">
                    <w:rPr>
                      <w:rFonts w:eastAsia="等线" w:cs="Calibri"/>
                      <w:color w:val="9C0006"/>
                      <w:kern w:val="0"/>
                      <w:szCs w:val="21"/>
                    </w:rPr>
                    <w:t>81%</w:t>
                  </w:r>
                </w:p>
              </w:tc>
            </w:tr>
            <w:tr w:rsidR="009E4AE5" w:rsidRPr="009E4AE5" w14:paraId="6BD554AC" w14:textId="77777777" w:rsidTr="009E4AE5">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36BC25AB"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6AFDDB86"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CD5B4"/>
                  <w:noWrap/>
                  <w:vAlign w:val="center"/>
                  <w:hideMark/>
                </w:tcPr>
                <w:p w14:paraId="27DB8BAF"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21%</w:t>
                  </w:r>
                </w:p>
              </w:tc>
              <w:tc>
                <w:tcPr>
                  <w:tcW w:w="921" w:type="dxa"/>
                  <w:tcBorders>
                    <w:top w:val="nil"/>
                    <w:left w:val="nil"/>
                    <w:bottom w:val="single" w:sz="8" w:space="0" w:color="FFFFFF"/>
                    <w:right w:val="single" w:sz="8" w:space="0" w:color="FFFFFF"/>
                  </w:tcBorders>
                  <w:shd w:val="clear" w:color="000000" w:fill="FCD5B4"/>
                  <w:noWrap/>
                  <w:vAlign w:val="center"/>
                  <w:hideMark/>
                </w:tcPr>
                <w:p w14:paraId="2C8A708C"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24%</w:t>
                  </w:r>
                </w:p>
              </w:tc>
              <w:tc>
                <w:tcPr>
                  <w:tcW w:w="921" w:type="dxa"/>
                  <w:tcBorders>
                    <w:top w:val="nil"/>
                    <w:left w:val="nil"/>
                    <w:bottom w:val="single" w:sz="8" w:space="0" w:color="FFFFFF"/>
                    <w:right w:val="single" w:sz="8" w:space="0" w:color="FFFFFF"/>
                  </w:tcBorders>
                  <w:shd w:val="clear" w:color="000000" w:fill="FCD5B4"/>
                  <w:noWrap/>
                  <w:vAlign w:val="center"/>
                  <w:hideMark/>
                </w:tcPr>
                <w:p w14:paraId="560C78A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62%</w:t>
                  </w:r>
                </w:p>
              </w:tc>
              <w:tc>
                <w:tcPr>
                  <w:tcW w:w="1157" w:type="dxa"/>
                  <w:tcBorders>
                    <w:top w:val="nil"/>
                    <w:left w:val="nil"/>
                    <w:bottom w:val="single" w:sz="8" w:space="0" w:color="FFFFFF"/>
                    <w:right w:val="single" w:sz="8" w:space="0" w:color="FFFFFF"/>
                  </w:tcBorders>
                  <w:shd w:val="clear" w:color="000000" w:fill="FCD5B4"/>
                  <w:noWrap/>
                  <w:vAlign w:val="center"/>
                  <w:hideMark/>
                </w:tcPr>
                <w:p w14:paraId="377CCD86"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MTN5Y</w:t>
                  </w:r>
                </w:p>
              </w:tc>
              <w:tc>
                <w:tcPr>
                  <w:tcW w:w="921" w:type="dxa"/>
                  <w:tcBorders>
                    <w:top w:val="nil"/>
                    <w:left w:val="nil"/>
                    <w:bottom w:val="single" w:sz="8" w:space="0" w:color="FFFFFF"/>
                    <w:right w:val="single" w:sz="8" w:space="0" w:color="FFFFFF"/>
                  </w:tcBorders>
                  <w:shd w:val="clear" w:color="000000" w:fill="FCD5B4"/>
                  <w:noWrap/>
                  <w:vAlign w:val="center"/>
                  <w:hideMark/>
                </w:tcPr>
                <w:p w14:paraId="49E54C05"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7CA23A73"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CD5B4"/>
                  <w:noWrap/>
                  <w:vAlign w:val="center"/>
                  <w:hideMark/>
                </w:tcPr>
                <w:p w14:paraId="76A9376C"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CD5B4"/>
                  <w:noWrap/>
                  <w:vAlign w:val="center"/>
                  <w:hideMark/>
                </w:tcPr>
                <w:p w14:paraId="54C02EEE"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70%</w:t>
                  </w:r>
                </w:p>
              </w:tc>
            </w:tr>
            <w:tr w:rsidR="009E4AE5" w:rsidRPr="009E4AE5" w14:paraId="5D4455C7" w14:textId="77777777" w:rsidTr="009E4AE5">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721E401E"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0D8EC5FF"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28%</w:t>
                  </w:r>
                </w:p>
              </w:tc>
              <w:tc>
                <w:tcPr>
                  <w:tcW w:w="921" w:type="dxa"/>
                  <w:tcBorders>
                    <w:top w:val="nil"/>
                    <w:left w:val="nil"/>
                    <w:bottom w:val="single" w:sz="8" w:space="0" w:color="FFFFFF"/>
                    <w:right w:val="single" w:sz="8" w:space="0" w:color="FFFFFF"/>
                  </w:tcBorders>
                  <w:shd w:val="clear" w:color="000000" w:fill="FDE9D9"/>
                  <w:noWrap/>
                  <w:vAlign w:val="center"/>
                  <w:hideMark/>
                </w:tcPr>
                <w:p w14:paraId="394E8E4B"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23%</w:t>
                  </w:r>
                </w:p>
              </w:tc>
              <w:tc>
                <w:tcPr>
                  <w:tcW w:w="921" w:type="dxa"/>
                  <w:tcBorders>
                    <w:top w:val="nil"/>
                    <w:left w:val="nil"/>
                    <w:bottom w:val="single" w:sz="8" w:space="0" w:color="FFFFFF"/>
                    <w:right w:val="single" w:sz="8" w:space="0" w:color="FFFFFF"/>
                  </w:tcBorders>
                  <w:shd w:val="clear" w:color="000000" w:fill="FDE9D9"/>
                  <w:noWrap/>
                  <w:vAlign w:val="center"/>
                  <w:hideMark/>
                </w:tcPr>
                <w:p w14:paraId="15B5B81A"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32%</w:t>
                  </w:r>
                </w:p>
              </w:tc>
              <w:tc>
                <w:tcPr>
                  <w:tcW w:w="921" w:type="dxa"/>
                  <w:tcBorders>
                    <w:top w:val="nil"/>
                    <w:left w:val="nil"/>
                    <w:bottom w:val="single" w:sz="8" w:space="0" w:color="FFFFFF"/>
                    <w:right w:val="single" w:sz="8" w:space="0" w:color="FFFFFF"/>
                  </w:tcBorders>
                  <w:shd w:val="clear" w:color="000000" w:fill="FDE9D9"/>
                  <w:noWrap/>
                  <w:vAlign w:val="center"/>
                  <w:hideMark/>
                </w:tcPr>
                <w:p w14:paraId="776483A6"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67%</w:t>
                  </w:r>
                </w:p>
              </w:tc>
              <w:tc>
                <w:tcPr>
                  <w:tcW w:w="1157" w:type="dxa"/>
                  <w:tcBorders>
                    <w:top w:val="nil"/>
                    <w:left w:val="nil"/>
                    <w:bottom w:val="single" w:sz="8" w:space="0" w:color="FFFFFF"/>
                    <w:right w:val="single" w:sz="8" w:space="0" w:color="FFFFFF"/>
                  </w:tcBorders>
                  <w:shd w:val="clear" w:color="000000" w:fill="FDE9D9"/>
                  <w:noWrap/>
                  <w:vAlign w:val="center"/>
                  <w:hideMark/>
                </w:tcPr>
                <w:p w14:paraId="661B7F13"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企业债3Y</w:t>
                  </w:r>
                </w:p>
              </w:tc>
              <w:tc>
                <w:tcPr>
                  <w:tcW w:w="921" w:type="dxa"/>
                  <w:tcBorders>
                    <w:top w:val="nil"/>
                    <w:left w:val="nil"/>
                    <w:bottom w:val="single" w:sz="8" w:space="0" w:color="FFFFFF"/>
                    <w:right w:val="single" w:sz="8" w:space="0" w:color="FFFFFF"/>
                  </w:tcBorders>
                  <w:shd w:val="clear" w:color="000000" w:fill="FDE9D9"/>
                  <w:noWrap/>
                  <w:vAlign w:val="center"/>
                  <w:hideMark/>
                </w:tcPr>
                <w:p w14:paraId="47E6DAD6"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DE9D9"/>
                  <w:noWrap/>
                  <w:vAlign w:val="center"/>
                  <w:hideMark/>
                </w:tcPr>
                <w:p w14:paraId="7E6622E6"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11%</w:t>
                  </w:r>
                </w:p>
              </w:tc>
              <w:tc>
                <w:tcPr>
                  <w:tcW w:w="921" w:type="dxa"/>
                  <w:tcBorders>
                    <w:top w:val="nil"/>
                    <w:left w:val="nil"/>
                    <w:bottom w:val="single" w:sz="8" w:space="0" w:color="FFFFFF"/>
                    <w:right w:val="single" w:sz="8" w:space="0" w:color="FFFFFF"/>
                  </w:tcBorders>
                  <w:shd w:val="clear" w:color="000000" w:fill="FDE9D9"/>
                  <w:noWrap/>
                  <w:vAlign w:val="center"/>
                  <w:hideMark/>
                </w:tcPr>
                <w:p w14:paraId="2F55C59F"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DE9D9"/>
                  <w:noWrap/>
                  <w:vAlign w:val="center"/>
                  <w:hideMark/>
                </w:tcPr>
                <w:p w14:paraId="088B262E"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77%</w:t>
                  </w:r>
                </w:p>
              </w:tc>
            </w:tr>
            <w:tr w:rsidR="009E4AE5" w:rsidRPr="009E4AE5" w14:paraId="4BCB1AB6" w14:textId="77777777" w:rsidTr="009E4AE5">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219B8D6F"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678DA281"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18%</w:t>
                  </w:r>
                </w:p>
              </w:tc>
              <w:tc>
                <w:tcPr>
                  <w:tcW w:w="921" w:type="dxa"/>
                  <w:tcBorders>
                    <w:top w:val="nil"/>
                    <w:left w:val="nil"/>
                    <w:bottom w:val="single" w:sz="8" w:space="0" w:color="FFFFFF"/>
                    <w:right w:val="single" w:sz="8" w:space="0" w:color="FFFFFF"/>
                  </w:tcBorders>
                  <w:shd w:val="clear" w:color="000000" w:fill="FCD5B4"/>
                  <w:noWrap/>
                  <w:vAlign w:val="center"/>
                  <w:hideMark/>
                </w:tcPr>
                <w:p w14:paraId="3FA01E2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CD5B4"/>
                  <w:noWrap/>
                  <w:vAlign w:val="center"/>
                  <w:hideMark/>
                </w:tcPr>
                <w:p w14:paraId="7CB0CE1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16%</w:t>
                  </w:r>
                </w:p>
              </w:tc>
              <w:tc>
                <w:tcPr>
                  <w:tcW w:w="921" w:type="dxa"/>
                  <w:tcBorders>
                    <w:top w:val="nil"/>
                    <w:left w:val="nil"/>
                    <w:bottom w:val="single" w:sz="8" w:space="0" w:color="FFFFFF"/>
                    <w:right w:val="single" w:sz="8" w:space="0" w:color="FFFFFF"/>
                  </w:tcBorders>
                  <w:shd w:val="clear" w:color="000000" w:fill="FCD5B4"/>
                  <w:noWrap/>
                  <w:vAlign w:val="center"/>
                  <w:hideMark/>
                </w:tcPr>
                <w:p w14:paraId="25DE92EF"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51%</w:t>
                  </w:r>
                </w:p>
              </w:tc>
              <w:tc>
                <w:tcPr>
                  <w:tcW w:w="1157" w:type="dxa"/>
                  <w:tcBorders>
                    <w:top w:val="nil"/>
                    <w:left w:val="nil"/>
                    <w:bottom w:val="single" w:sz="8" w:space="0" w:color="FFFFFF"/>
                    <w:right w:val="single" w:sz="8" w:space="0" w:color="FFFFFF"/>
                  </w:tcBorders>
                  <w:shd w:val="clear" w:color="000000" w:fill="FCD5B4"/>
                  <w:noWrap/>
                  <w:vAlign w:val="center"/>
                  <w:hideMark/>
                </w:tcPr>
                <w:p w14:paraId="66B7A12E"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企业债5Y</w:t>
                  </w:r>
                </w:p>
              </w:tc>
              <w:tc>
                <w:tcPr>
                  <w:tcW w:w="921" w:type="dxa"/>
                  <w:tcBorders>
                    <w:top w:val="nil"/>
                    <w:left w:val="nil"/>
                    <w:bottom w:val="single" w:sz="8" w:space="0" w:color="FFFFFF"/>
                    <w:right w:val="single" w:sz="8" w:space="0" w:color="FFFFFF"/>
                  </w:tcBorders>
                  <w:shd w:val="clear" w:color="000000" w:fill="FCD5B4"/>
                  <w:noWrap/>
                  <w:vAlign w:val="center"/>
                  <w:hideMark/>
                </w:tcPr>
                <w:p w14:paraId="2DAF510E"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CD5B4"/>
                  <w:noWrap/>
                  <w:vAlign w:val="center"/>
                  <w:hideMark/>
                </w:tcPr>
                <w:p w14:paraId="39C55CC7"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CD5B4"/>
                  <w:noWrap/>
                  <w:vAlign w:val="center"/>
                  <w:hideMark/>
                </w:tcPr>
                <w:p w14:paraId="63851E33"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6%</w:t>
                  </w:r>
                </w:p>
              </w:tc>
              <w:tc>
                <w:tcPr>
                  <w:tcW w:w="921" w:type="dxa"/>
                  <w:tcBorders>
                    <w:top w:val="nil"/>
                    <w:left w:val="nil"/>
                    <w:bottom w:val="single" w:sz="8" w:space="0" w:color="FFFFFF"/>
                    <w:right w:val="single" w:sz="8" w:space="0" w:color="FFFFFF"/>
                  </w:tcBorders>
                  <w:shd w:val="clear" w:color="000000" w:fill="FCD5B4"/>
                  <w:noWrap/>
                  <w:vAlign w:val="center"/>
                  <w:hideMark/>
                </w:tcPr>
                <w:p w14:paraId="04E4778D"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60%</w:t>
                  </w:r>
                </w:p>
              </w:tc>
            </w:tr>
            <w:tr w:rsidR="009E4AE5" w:rsidRPr="009E4AE5" w14:paraId="64B3A2DC" w14:textId="77777777" w:rsidTr="009E4AE5">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9CCA4B0"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4AD6D558"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13%</w:t>
                  </w:r>
                </w:p>
              </w:tc>
              <w:tc>
                <w:tcPr>
                  <w:tcW w:w="921" w:type="dxa"/>
                  <w:tcBorders>
                    <w:top w:val="nil"/>
                    <w:left w:val="nil"/>
                    <w:bottom w:val="single" w:sz="8" w:space="0" w:color="FFFFFF"/>
                    <w:right w:val="single" w:sz="8" w:space="0" w:color="FFFFFF"/>
                  </w:tcBorders>
                  <w:shd w:val="clear" w:color="000000" w:fill="FDE9D9"/>
                  <w:noWrap/>
                  <w:vAlign w:val="center"/>
                  <w:hideMark/>
                </w:tcPr>
                <w:p w14:paraId="2EC36FE7"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7%</w:t>
                  </w:r>
                </w:p>
              </w:tc>
              <w:tc>
                <w:tcPr>
                  <w:tcW w:w="921" w:type="dxa"/>
                  <w:tcBorders>
                    <w:top w:val="nil"/>
                    <w:left w:val="nil"/>
                    <w:bottom w:val="single" w:sz="8" w:space="0" w:color="FFFFFF"/>
                    <w:right w:val="single" w:sz="8" w:space="0" w:color="FFFFFF"/>
                  </w:tcBorders>
                  <w:shd w:val="clear" w:color="000000" w:fill="FDE9D9"/>
                  <w:noWrap/>
                  <w:vAlign w:val="center"/>
                  <w:hideMark/>
                </w:tcPr>
                <w:p w14:paraId="1AA8D014"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9%</w:t>
                  </w:r>
                </w:p>
              </w:tc>
              <w:tc>
                <w:tcPr>
                  <w:tcW w:w="921" w:type="dxa"/>
                  <w:tcBorders>
                    <w:top w:val="nil"/>
                    <w:left w:val="nil"/>
                    <w:bottom w:val="single" w:sz="8" w:space="0" w:color="FFFFFF"/>
                    <w:right w:val="single" w:sz="8" w:space="0" w:color="FFFFFF"/>
                  </w:tcBorders>
                  <w:shd w:val="clear" w:color="000000" w:fill="FDE9D9"/>
                  <w:noWrap/>
                  <w:vAlign w:val="center"/>
                  <w:hideMark/>
                </w:tcPr>
                <w:p w14:paraId="59435CF7"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40%</w:t>
                  </w:r>
                </w:p>
              </w:tc>
              <w:tc>
                <w:tcPr>
                  <w:tcW w:w="1157" w:type="dxa"/>
                  <w:tcBorders>
                    <w:top w:val="nil"/>
                    <w:left w:val="nil"/>
                    <w:bottom w:val="single" w:sz="8" w:space="0" w:color="FFFFFF"/>
                    <w:right w:val="single" w:sz="8" w:space="0" w:color="FFFFFF"/>
                  </w:tcBorders>
                  <w:shd w:val="clear" w:color="000000" w:fill="FDE9D9"/>
                  <w:noWrap/>
                  <w:vAlign w:val="center"/>
                  <w:hideMark/>
                </w:tcPr>
                <w:p w14:paraId="0852576F"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企业债7Y</w:t>
                  </w:r>
                </w:p>
              </w:tc>
              <w:tc>
                <w:tcPr>
                  <w:tcW w:w="921" w:type="dxa"/>
                  <w:tcBorders>
                    <w:top w:val="nil"/>
                    <w:left w:val="nil"/>
                    <w:bottom w:val="single" w:sz="8" w:space="0" w:color="FFFFFF"/>
                    <w:right w:val="single" w:sz="8" w:space="0" w:color="FFFFFF"/>
                  </w:tcBorders>
                  <w:shd w:val="clear" w:color="000000" w:fill="FDE9D9"/>
                  <w:noWrap/>
                  <w:vAlign w:val="center"/>
                  <w:hideMark/>
                </w:tcPr>
                <w:p w14:paraId="59F0FFC9"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DE9D9"/>
                  <w:noWrap/>
                  <w:vAlign w:val="center"/>
                  <w:hideMark/>
                </w:tcPr>
                <w:p w14:paraId="0D91A048"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3%</w:t>
                  </w:r>
                </w:p>
              </w:tc>
              <w:tc>
                <w:tcPr>
                  <w:tcW w:w="921" w:type="dxa"/>
                  <w:tcBorders>
                    <w:top w:val="nil"/>
                    <w:left w:val="nil"/>
                    <w:bottom w:val="single" w:sz="8" w:space="0" w:color="FFFFFF"/>
                    <w:right w:val="single" w:sz="8" w:space="0" w:color="FFFFFF"/>
                  </w:tcBorders>
                  <w:shd w:val="clear" w:color="000000" w:fill="FDE9D9"/>
                  <w:noWrap/>
                  <w:vAlign w:val="center"/>
                  <w:hideMark/>
                </w:tcPr>
                <w:p w14:paraId="26BEB0F7"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4%</w:t>
                  </w:r>
                </w:p>
              </w:tc>
              <w:tc>
                <w:tcPr>
                  <w:tcW w:w="921" w:type="dxa"/>
                  <w:tcBorders>
                    <w:top w:val="nil"/>
                    <w:left w:val="nil"/>
                    <w:bottom w:val="single" w:sz="8" w:space="0" w:color="FFFFFF"/>
                    <w:right w:val="single" w:sz="8" w:space="0" w:color="FFFFFF"/>
                  </w:tcBorders>
                  <w:shd w:val="clear" w:color="000000" w:fill="FDE9D9"/>
                  <w:noWrap/>
                  <w:vAlign w:val="center"/>
                  <w:hideMark/>
                </w:tcPr>
                <w:p w14:paraId="7C97C027"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45%</w:t>
                  </w:r>
                </w:p>
              </w:tc>
            </w:tr>
            <w:tr w:rsidR="009E4AE5" w:rsidRPr="009E4AE5" w14:paraId="64A5C781" w14:textId="77777777" w:rsidTr="009E4AE5">
              <w:trPr>
                <w:trHeight w:val="300"/>
              </w:trPr>
              <w:tc>
                <w:tcPr>
                  <w:tcW w:w="1350" w:type="dxa"/>
                  <w:tcBorders>
                    <w:top w:val="nil"/>
                    <w:left w:val="nil"/>
                    <w:bottom w:val="single" w:sz="8" w:space="0" w:color="FFFFFF"/>
                    <w:right w:val="single" w:sz="8" w:space="0" w:color="FFFFFF"/>
                  </w:tcBorders>
                  <w:shd w:val="clear" w:color="000000" w:fill="FCD5B4"/>
                  <w:noWrap/>
                  <w:vAlign w:val="center"/>
                  <w:hideMark/>
                </w:tcPr>
                <w:p w14:paraId="5A7BB427"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城投债3Y</w:t>
                  </w:r>
                </w:p>
              </w:tc>
              <w:tc>
                <w:tcPr>
                  <w:tcW w:w="920" w:type="dxa"/>
                  <w:tcBorders>
                    <w:top w:val="nil"/>
                    <w:left w:val="nil"/>
                    <w:bottom w:val="single" w:sz="8" w:space="0" w:color="FFFFFF"/>
                    <w:right w:val="single" w:sz="8" w:space="0" w:color="FFFFFF"/>
                  </w:tcBorders>
                  <w:shd w:val="clear" w:color="000000" w:fill="FCD5B4"/>
                  <w:noWrap/>
                  <w:vAlign w:val="center"/>
                  <w:hideMark/>
                </w:tcPr>
                <w:p w14:paraId="56BB1B07"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22%</w:t>
                  </w:r>
                </w:p>
              </w:tc>
              <w:tc>
                <w:tcPr>
                  <w:tcW w:w="921" w:type="dxa"/>
                  <w:tcBorders>
                    <w:top w:val="nil"/>
                    <w:left w:val="nil"/>
                    <w:bottom w:val="single" w:sz="8" w:space="0" w:color="FFFFFF"/>
                    <w:right w:val="single" w:sz="8" w:space="0" w:color="FFFFFF"/>
                  </w:tcBorders>
                  <w:shd w:val="clear" w:color="000000" w:fill="FCD5B4"/>
                  <w:noWrap/>
                  <w:vAlign w:val="center"/>
                  <w:hideMark/>
                </w:tcPr>
                <w:p w14:paraId="6308B3BB"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21%</w:t>
                  </w:r>
                </w:p>
              </w:tc>
              <w:tc>
                <w:tcPr>
                  <w:tcW w:w="921" w:type="dxa"/>
                  <w:tcBorders>
                    <w:top w:val="nil"/>
                    <w:left w:val="nil"/>
                    <w:bottom w:val="single" w:sz="8" w:space="0" w:color="FFFFFF"/>
                    <w:right w:val="single" w:sz="8" w:space="0" w:color="FFFFFF"/>
                  </w:tcBorders>
                  <w:shd w:val="clear" w:color="000000" w:fill="FCD5B4"/>
                  <w:noWrap/>
                  <w:vAlign w:val="center"/>
                  <w:hideMark/>
                </w:tcPr>
                <w:p w14:paraId="5FE4051E"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CD5B4"/>
                  <w:noWrap/>
                  <w:vAlign w:val="center"/>
                  <w:hideMark/>
                </w:tcPr>
                <w:p w14:paraId="49A53739"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71%</w:t>
                  </w:r>
                </w:p>
              </w:tc>
              <w:tc>
                <w:tcPr>
                  <w:tcW w:w="1157" w:type="dxa"/>
                  <w:tcBorders>
                    <w:top w:val="nil"/>
                    <w:left w:val="nil"/>
                    <w:bottom w:val="single" w:sz="8" w:space="0" w:color="FFFFFF"/>
                    <w:right w:val="single" w:sz="8" w:space="0" w:color="FFFFFF"/>
                  </w:tcBorders>
                  <w:shd w:val="clear" w:color="000000" w:fill="FCD5B4"/>
                  <w:noWrap/>
                  <w:vAlign w:val="center"/>
                  <w:hideMark/>
                </w:tcPr>
                <w:p w14:paraId="6244720D"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城投债3Y</w:t>
                  </w:r>
                </w:p>
              </w:tc>
              <w:tc>
                <w:tcPr>
                  <w:tcW w:w="921" w:type="dxa"/>
                  <w:tcBorders>
                    <w:top w:val="nil"/>
                    <w:left w:val="nil"/>
                    <w:bottom w:val="single" w:sz="8" w:space="0" w:color="FFFFFF"/>
                    <w:right w:val="single" w:sz="8" w:space="0" w:color="FFFFFF"/>
                  </w:tcBorders>
                  <w:shd w:val="clear" w:color="000000" w:fill="FCD5B4"/>
                  <w:noWrap/>
                  <w:vAlign w:val="center"/>
                  <w:hideMark/>
                </w:tcPr>
                <w:p w14:paraId="76D84F96"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8%</w:t>
                  </w:r>
                </w:p>
              </w:tc>
              <w:tc>
                <w:tcPr>
                  <w:tcW w:w="921" w:type="dxa"/>
                  <w:tcBorders>
                    <w:top w:val="nil"/>
                    <w:left w:val="nil"/>
                    <w:bottom w:val="single" w:sz="8" w:space="0" w:color="FFFFFF"/>
                    <w:right w:val="single" w:sz="8" w:space="0" w:color="FFFFFF"/>
                  </w:tcBorders>
                  <w:shd w:val="clear" w:color="000000" w:fill="FCD5B4"/>
                  <w:noWrap/>
                  <w:vAlign w:val="center"/>
                  <w:hideMark/>
                </w:tcPr>
                <w:p w14:paraId="637218CA"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CD5B4"/>
                  <w:noWrap/>
                  <w:vAlign w:val="center"/>
                  <w:hideMark/>
                </w:tcPr>
                <w:p w14:paraId="2B2DDB6B"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14%</w:t>
                  </w:r>
                </w:p>
              </w:tc>
              <w:tc>
                <w:tcPr>
                  <w:tcW w:w="921" w:type="dxa"/>
                  <w:tcBorders>
                    <w:top w:val="nil"/>
                    <w:left w:val="nil"/>
                    <w:bottom w:val="single" w:sz="8" w:space="0" w:color="FFFFFF"/>
                    <w:right w:val="single" w:sz="8" w:space="0" w:color="FFFFFF"/>
                  </w:tcBorders>
                  <w:shd w:val="clear" w:color="000000" w:fill="FFC7CE"/>
                  <w:noWrap/>
                  <w:vAlign w:val="center"/>
                  <w:hideMark/>
                </w:tcPr>
                <w:p w14:paraId="19477024" w14:textId="77777777" w:rsidR="009E4AE5" w:rsidRPr="009E4AE5" w:rsidRDefault="009E4AE5" w:rsidP="009E4AE5">
                  <w:pPr>
                    <w:widowControl/>
                    <w:jc w:val="center"/>
                    <w:rPr>
                      <w:rFonts w:eastAsia="等线" w:cs="Calibri"/>
                      <w:color w:val="9C0006"/>
                      <w:kern w:val="0"/>
                      <w:szCs w:val="21"/>
                    </w:rPr>
                  </w:pPr>
                  <w:r w:rsidRPr="009E4AE5">
                    <w:rPr>
                      <w:rFonts w:eastAsia="等线" w:cs="Calibri"/>
                      <w:color w:val="9C0006"/>
                      <w:kern w:val="0"/>
                      <w:szCs w:val="21"/>
                    </w:rPr>
                    <w:t>80%</w:t>
                  </w:r>
                </w:p>
              </w:tc>
            </w:tr>
            <w:tr w:rsidR="009E4AE5" w:rsidRPr="009E4AE5" w14:paraId="6F688781" w14:textId="77777777" w:rsidTr="009E4AE5">
              <w:trPr>
                <w:trHeight w:val="300"/>
              </w:trPr>
              <w:tc>
                <w:tcPr>
                  <w:tcW w:w="1350" w:type="dxa"/>
                  <w:tcBorders>
                    <w:top w:val="nil"/>
                    <w:left w:val="nil"/>
                    <w:bottom w:val="single" w:sz="8" w:space="0" w:color="FFFFFF"/>
                    <w:right w:val="single" w:sz="8" w:space="0" w:color="FFFFFF"/>
                  </w:tcBorders>
                  <w:shd w:val="clear" w:color="000000" w:fill="FDE9D9"/>
                  <w:noWrap/>
                  <w:vAlign w:val="center"/>
                  <w:hideMark/>
                </w:tcPr>
                <w:p w14:paraId="46E38311"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城投债5Y</w:t>
                  </w:r>
                </w:p>
              </w:tc>
              <w:tc>
                <w:tcPr>
                  <w:tcW w:w="920" w:type="dxa"/>
                  <w:tcBorders>
                    <w:top w:val="nil"/>
                    <w:left w:val="nil"/>
                    <w:bottom w:val="single" w:sz="8" w:space="0" w:color="FFFFFF"/>
                    <w:right w:val="single" w:sz="8" w:space="0" w:color="FFFFFF"/>
                  </w:tcBorders>
                  <w:shd w:val="clear" w:color="000000" w:fill="FDE9D9"/>
                  <w:noWrap/>
                  <w:vAlign w:val="center"/>
                  <w:hideMark/>
                </w:tcPr>
                <w:p w14:paraId="21280FE6"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16%</w:t>
                  </w:r>
                </w:p>
              </w:tc>
              <w:tc>
                <w:tcPr>
                  <w:tcW w:w="921" w:type="dxa"/>
                  <w:tcBorders>
                    <w:top w:val="nil"/>
                    <w:left w:val="nil"/>
                    <w:bottom w:val="single" w:sz="8" w:space="0" w:color="FFFFFF"/>
                    <w:right w:val="single" w:sz="8" w:space="0" w:color="FFFFFF"/>
                  </w:tcBorders>
                  <w:shd w:val="clear" w:color="000000" w:fill="FDE9D9"/>
                  <w:noWrap/>
                  <w:vAlign w:val="center"/>
                  <w:hideMark/>
                </w:tcPr>
                <w:p w14:paraId="18F6B38A"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20%</w:t>
                  </w:r>
                </w:p>
              </w:tc>
              <w:tc>
                <w:tcPr>
                  <w:tcW w:w="921" w:type="dxa"/>
                  <w:tcBorders>
                    <w:top w:val="nil"/>
                    <w:left w:val="nil"/>
                    <w:bottom w:val="single" w:sz="8" w:space="0" w:color="FFFFFF"/>
                    <w:right w:val="single" w:sz="8" w:space="0" w:color="FFFFFF"/>
                  </w:tcBorders>
                  <w:shd w:val="clear" w:color="000000" w:fill="FDE9D9"/>
                  <w:noWrap/>
                  <w:vAlign w:val="center"/>
                  <w:hideMark/>
                </w:tcPr>
                <w:p w14:paraId="4B526576"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24%</w:t>
                  </w:r>
                </w:p>
              </w:tc>
              <w:tc>
                <w:tcPr>
                  <w:tcW w:w="921" w:type="dxa"/>
                  <w:tcBorders>
                    <w:top w:val="nil"/>
                    <w:left w:val="nil"/>
                    <w:bottom w:val="single" w:sz="8" w:space="0" w:color="FFFFFF"/>
                    <w:right w:val="single" w:sz="8" w:space="0" w:color="FFFFFF"/>
                  </w:tcBorders>
                  <w:shd w:val="clear" w:color="000000" w:fill="FDE9D9"/>
                  <w:noWrap/>
                  <w:vAlign w:val="center"/>
                  <w:hideMark/>
                </w:tcPr>
                <w:p w14:paraId="330B3FC7"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80%</w:t>
                  </w:r>
                </w:p>
              </w:tc>
              <w:tc>
                <w:tcPr>
                  <w:tcW w:w="1157" w:type="dxa"/>
                  <w:tcBorders>
                    <w:top w:val="nil"/>
                    <w:left w:val="nil"/>
                    <w:bottom w:val="single" w:sz="8" w:space="0" w:color="FFFFFF"/>
                    <w:right w:val="single" w:sz="8" w:space="0" w:color="FFFFFF"/>
                  </w:tcBorders>
                  <w:shd w:val="clear" w:color="000000" w:fill="FDE9D9"/>
                  <w:noWrap/>
                  <w:vAlign w:val="center"/>
                  <w:hideMark/>
                </w:tcPr>
                <w:p w14:paraId="519A7BF3"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城投债5Y</w:t>
                  </w:r>
                </w:p>
              </w:tc>
              <w:tc>
                <w:tcPr>
                  <w:tcW w:w="921" w:type="dxa"/>
                  <w:tcBorders>
                    <w:top w:val="nil"/>
                    <w:left w:val="nil"/>
                    <w:bottom w:val="single" w:sz="8" w:space="0" w:color="FFFFFF"/>
                    <w:right w:val="single" w:sz="8" w:space="0" w:color="FFFFFF"/>
                  </w:tcBorders>
                  <w:shd w:val="clear" w:color="000000" w:fill="FDE9D9"/>
                  <w:noWrap/>
                  <w:vAlign w:val="center"/>
                  <w:hideMark/>
                </w:tcPr>
                <w:p w14:paraId="2E91FE2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12%</w:t>
                  </w:r>
                </w:p>
              </w:tc>
              <w:tc>
                <w:tcPr>
                  <w:tcW w:w="921" w:type="dxa"/>
                  <w:tcBorders>
                    <w:top w:val="nil"/>
                    <w:left w:val="nil"/>
                    <w:bottom w:val="single" w:sz="8" w:space="0" w:color="FFFFFF"/>
                    <w:right w:val="single" w:sz="8" w:space="0" w:color="FFFFFF"/>
                  </w:tcBorders>
                  <w:shd w:val="clear" w:color="000000" w:fill="FDE9D9"/>
                  <w:noWrap/>
                  <w:vAlign w:val="center"/>
                  <w:hideMark/>
                </w:tcPr>
                <w:p w14:paraId="31CF2490"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DE9D9"/>
                  <w:noWrap/>
                  <w:vAlign w:val="center"/>
                  <w:hideMark/>
                </w:tcPr>
                <w:p w14:paraId="72BA635A"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29%</w:t>
                  </w:r>
                </w:p>
              </w:tc>
              <w:tc>
                <w:tcPr>
                  <w:tcW w:w="921" w:type="dxa"/>
                  <w:tcBorders>
                    <w:top w:val="nil"/>
                    <w:left w:val="nil"/>
                    <w:bottom w:val="single" w:sz="8" w:space="0" w:color="FFFFFF"/>
                    <w:right w:val="single" w:sz="8" w:space="0" w:color="FFFFFF"/>
                  </w:tcBorders>
                  <w:shd w:val="clear" w:color="000000" w:fill="FFC7CE"/>
                  <w:noWrap/>
                  <w:vAlign w:val="center"/>
                  <w:hideMark/>
                </w:tcPr>
                <w:p w14:paraId="738278FD" w14:textId="77777777" w:rsidR="009E4AE5" w:rsidRPr="009E4AE5" w:rsidRDefault="009E4AE5" w:rsidP="009E4AE5">
                  <w:pPr>
                    <w:widowControl/>
                    <w:jc w:val="center"/>
                    <w:rPr>
                      <w:rFonts w:eastAsia="等线" w:cs="Calibri"/>
                      <w:color w:val="9C0006"/>
                      <w:kern w:val="0"/>
                      <w:szCs w:val="21"/>
                    </w:rPr>
                  </w:pPr>
                  <w:r w:rsidRPr="009E4AE5">
                    <w:rPr>
                      <w:rFonts w:eastAsia="等线" w:cs="Calibri"/>
                      <w:color w:val="9C0006"/>
                      <w:kern w:val="0"/>
                      <w:szCs w:val="21"/>
                    </w:rPr>
                    <w:t>91%</w:t>
                  </w:r>
                </w:p>
              </w:tc>
            </w:tr>
            <w:tr w:rsidR="009E4AE5" w:rsidRPr="009E4AE5" w14:paraId="4946D43C" w14:textId="77777777" w:rsidTr="009E4AE5">
              <w:trPr>
                <w:trHeight w:val="300"/>
              </w:trPr>
              <w:tc>
                <w:tcPr>
                  <w:tcW w:w="1350" w:type="dxa"/>
                  <w:tcBorders>
                    <w:top w:val="nil"/>
                    <w:left w:val="nil"/>
                    <w:bottom w:val="nil"/>
                    <w:right w:val="nil"/>
                  </w:tcBorders>
                  <w:shd w:val="clear" w:color="000000" w:fill="FCD5B4"/>
                  <w:noWrap/>
                  <w:vAlign w:val="center"/>
                  <w:hideMark/>
                </w:tcPr>
                <w:p w14:paraId="18235AF9"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城投债7Y</w:t>
                  </w:r>
                </w:p>
              </w:tc>
              <w:tc>
                <w:tcPr>
                  <w:tcW w:w="920" w:type="dxa"/>
                  <w:tcBorders>
                    <w:top w:val="nil"/>
                    <w:left w:val="nil"/>
                    <w:bottom w:val="single" w:sz="8" w:space="0" w:color="FFFFFF"/>
                    <w:right w:val="single" w:sz="8" w:space="0" w:color="FFFFFF"/>
                  </w:tcBorders>
                  <w:shd w:val="clear" w:color="000000" w:fill="FCD5B4"/>
                  <w:noWrap/>
                  <w:vAlign w:val="center"/>
                  <w:hideMark/>
                </w:tcPr>
                <w:p w14:paraId="1F65C6B8"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15%</w:t>
                  </w:r>
                </w:p>
              </w:tc>
              <w:tc>
                <w:tcPr>
                  <w:tcW w:w="921" w:type="dxa"/>
                  <w:tcBorders>
                    <w:top w:val="nil"/>
                    <w:left w:val="nil"/>
                    <w:bottom w:val="single" w:sz="8" w:space="0" w:color="FFFFFF"/>
                    <w:right w:val="single" w:sz="8" w:space="0" w:color="FFFFFF"/>
                  </w:tcBorders>
                  <w:shd w:val="clear" w:color="000000" w:fill="FCD5B4"/>
                  <w:noWrap/>
                  <w:vAlign w:val="center"/>
                  <w:hideMark/>
                </w:tcPr>
                <w:p w14:paraId="1E854688"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19%</w:t>
                  </w:r>
                </w:p>
              </w:tc>
              <w:tc>
                <w:tcPr>
                  <w:tcW w:w="921" w:type="dxa"/>
                  <w:tcBorders>
                    <w:top w:val="nil"/>
                    <w:left w:val="nil"/>
                    <w:bottom w:val="single" w:sz="8" w:space="0" w:color="FFFFFF"/>
                    <w:right w:val="single" w:sz="8" w:space="0" w:color="FFFFFF"/>
                  </w:tcBorders>
                  <w:shd w:val="clear" w:color="000000" w:fill="FCD5B4"/>
                  <w:noWrap/>
                  <w:vAlign w:val="center"/>
                  <w:hideMark/>
                </w:tcPr>
                <w:p w14:paraId="79EF8008"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22%</w:t>
                  </w:r>
                </w:p>
              </w:tc>
              <w:tc>
                <w:tcPr>
                  <w:tcW w:w="921" w:type="dxa"/>
                  <w:tcBorders>
                    <w:top w:val="nil"/>
                    <w:left w:val="nil"/>
                    <w:bottom w:val="single" w:sz="8" w:space="0" w:color="FFFFFF"/>
                    <w:right w:val="single" w:sz="8" w:space="0" w:color="FFFFFF"/>
                  </w:tcBorders>
                  <w:shd w:val="clear" w:color="000000" w:fill="FCD5B4"/>
                  <w:noWrap/>
                  <w:vAlign w:val="center"/>
                  <w:hideMark/>
                </w:tcPr>
                <w:p w14:paraId="740FAEAF"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76%</w:t>
                  </w:r>
                </w:p>
              </w:tc>
              <w:tc>
                <w:tcPr>
                  <w:tcW w:w="1157" w:type="dxa"/>
                  <w:tcBorders>
                    <w:top w:val="nil"/>
                    <w:left w:val="nil"/>
                    <w:bottom w:val="nil"/>
                    <w:right w:val="nil"/>
                  </w:tcBorders>
                  <w:shd w:val="clear" w:color="000000" w:fill="FCD5B4"/>
                  <w:noWrap/>
                  <w:vAlign w:val="center"/>
                  <w:hideMark/>
                </w:tcPr>
                <w:p w14:paraId="18AD727A" w14:textId="77777777" w:rsidR="009E4AE5" w:rsidRPr="009E4AE5" w:rsidRDefault="009E4AE5" w:rsidP="009E4AE5">
                  <w:pPr>
                    <w:widowControl/>
                    <w:jc w:val="center"/>
                    <w:rPr>
                      <w:rFonts w:ascii="楷体" w:eastAsia="楷体" w:hAnsi="楷体" w:cs="宋体"/>
                      <w:color w:val="000000"/>
                      <w:kern w:val="0"/>
                      <w:sz w:val="20"/>
                      <w:szCs w:val="20"/>
                    </w:rPr>
                  </w:pPr>
                  <w:r w:rsidRPr="009E4AE5">
                    <w:rPr>
                      <w:rFonts w:ascii="楷体" w:eastAsia="楷体" w:hAnsi="楷体" w:cs="宋体" w:hint="eastAsia"/>
                      <w:color w:val="000000"/>
                      <w:kern w:val="0"/>
                      <w:sz w:val="20"/>
                      <w:szCs w:val="20"/>
                    </w:rPr>
                    <w:t>城投债7Y</w:t>
                  </w:r>
                </w:p>
              </w:tc>
              <w:tc>
                <w:tcPr>
                  <w:tcW w:w="921" w:type="dxa"/>
                  <w:tcBorders>
                    <w:top w:val="nil"/>
                    <w:left w:val="nil"/>
                    <w:bottom w:val="single" w:sz="8" w:space="0" w:color="FFFFFF"/>
                    <w:right w:val="single" w:sz="8" w:space="0" w:color="FFFFFF"/>
                  </w:tcBorders>
                  <w:shd w:val="clear" w:color="000000" w:fill="FCD5B4"/>
                  <w:noWrap/>
                  <w:vAlign w:val="center"/>
                  <w:hideMark/>
                </w:tcPr>
                <w:p w14:paraId="510D7262"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10%</w:t>
                  </w:r>
                </w:p>
              </w:tc>
              <w:tc>
                <w:tcPr>
                  <w:tcW w:w="921" w:type="dxa"/>
                  <w:tcBorders>
                    <w:top w:val="nil"/>
                    <w:left w:val="nil"/>
                    <w:bottom w:val="single" w:sz="8" w:space="0" w:color="FFFFFF"/>
                    <w:right w:val="single" w:sz="8" w:space="0" w:color="FFFFFF"/>
                  </w:tcBorders>
                  <w:shd w:val="clear" w:color="000000" w:fill="FCD5B4"/>
                  <w:noWrap/>
                  <w:vAlign w:val="center"/>
                  <w:hideMark/>
                </w:tcPr>
                <w:p w14:paraId="0BE9FF0F"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21%</w:t>
                  </w:r>
                </w:p>
              </w:tc>
              <w:tc>
                <w:tcPr>
                  <w:tcW w:w="921" w:type="dxa"/>
                  <w:tcBorders>
                    <w:top w:val="nil"/>
                    <w:left w:val="nil"/>
                    <w:bottom w:val="single" w:sz="8" w:space="0" w:color="FFFFFF"/>
                    <w:right w:val="single" w:sz="8" w:space="0" w:color="FFFFFF"/>
                  </w:tcBorders>
                  <w:shd w:val="clear" w:color="000000" w:fill="FCD5B4"/>
                  <w:noWrap/>
                  <w:vAlign w:val="center"/>
                  <w:hideMark/>
                </w:tcPr>
                <w:p w14:paraId="2AEA93AE" w14:textId="77777777" w:rsidR="009E4AE5" w:rsidRPr="009E4AE5" w:rsidRDefault="009E4AE5" w:rsidP="009E4AE5">
                  <w:pPr>
                    <w:widowControl/>
                    <w:jc w:val="center"/>
                    <w:rPr>
                      <w:rFonts w:eastAsia="等线" w:cs="Calibri"/>
                      <w:color w:val="000000"/>
                      <w:kern w:val="0"/>
                      <w:szCs w:val="21"/>
                    </w:rPr>
                  </w:pPr>
                  <w:r w:rsidRPr="009E4AE5">
                    <w:rPr>
                      <w:rFonts w:eastAsia="等线" w:cs="Calibri"/>
                      <w:color w:val="000000"/>
                      <w:kern w:val="0"/>
                      <w:szCs w:val="21"/>
                    </w:rPr>
                    <w:t>25%</w:t>
                  </w:r>
                </w:p>
              </w:tc>
              <w:tc>
                <w:tcPr>
                  <w:tcW w:w="921" w:type="dxa"/>
                  <w:tcBorders>
                    <w:top w:val="nil"/>
                    <w:left w:val="nil"/>
                    <w:bottom w:val="single" w:sz="8" w:space="0" w:color="FFFFFF"/>
                    <w:right w:val="single" w:sz="8" w:space="0" w:color="FFFFFF"/>
                  </w:tcBorders>
                  <w:shd w:val="clear" w:color="000000" w:fill="FFC7CE"/>
                  <w:noWrap/>
                  <w:vAlign w:val="center"/>
                  <w:hideMark/>
                </w:tcPr>
                <w:p w14:paraId="04303AA7" w14:textId="77777777" w:rsidR="009E4AE5" w:rsidRPr="009E4AE5" w:rsidRDefault="009E4AE5" w:rsidP="009E4AE5">
                  <w:pPr>
                    <w:widowControl/>
                    <w:jc w:val="center"/>
                    <w:rPr>
                      <w:rFonts w:eastAsia="等线" w:cs="Calibri"/>
                      <w:color w:val="9C0006"/>
                      <w:kern w:val="0"/>
                      <w:szCs w:val="21"/>
                    </w:rPr>
                  </w:pPr>
                  <w:r w:rsidRPr="009E4AE5">
                    <w:rPr>
                      <w:rFonts w:eastAsia="等线" w:cs="Calibri"/>
                      <w:color w:val="9C0006"/>
                      <w:kern w:val="0"/>
                      <w:szCs w:val="21"/>
                    </w:rPr>
                    <w:t>86%</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31644083" w:rsidR="00C37204" w:rsidRPr="00C16434" w:rsidRDefault="003926C0" w:rsidP="00416C5F">
      <w:pPr>
        <w:pStyle w:val="Body-text"/>
        <w:spacing w:after="240"/>
        <w:ind w:firstLineChars="200" w:firstLine="480"/>
        <w:rPr>
          <w:rFonts w:ascii="华文楷体" w:hAnsi="华文楷体"/>
          <w:sz w:val="24"/>
          <w:szCs w:val="24"/>
          <w:lang w:eastAsia="zh-CN"/>
        </w:rPr>
      </w:pPr>
      <w:r w:rsidRPr="003926C0">
        <w:rPr>
          <w:rFonts w:ascii="华文楷体" w:hAnsi="华文楷体" w:hint="eastAsia"/>
          <w:sz w:val="24"/>
          <w:szCs w:val="24"/>
          <w:lang w:eastAsia="zh-CN"/>
        </w:rPr>
        <w:t>权益</w:t>
      </w:r>
      <w:r>
        <w:rPr>
          <w:rFonts w:ascii="华文楷体" w:hAnsi="华文楷体" w:hint="eastAsia"/>
          <w:sz w:val="24"/>
          <w:szCs w:val="24"/>
          <w:lang w:eastAsia="zh-CN"/>
        </w:rPr>
        <w:t>市场</w:t>
      </w:r>
      <w:r w:rsidR="00307DB0" w:rsidRPr="00307DB0">
        <w:rPr>
          <w:rFonts w:ascii="华文楷体" w:hAnsi="华文楷体" w:hint="eastAsia"/>
          <w:sz w:val="24"/>
          <w:szCs w:val="24"/>
          <w:lang w:eastAsia="zh-CN"/>
        </w:rPr>
        <w:t>各板块微升反弹，创业板反弹幅度相对略高，成交量涨跌互现，深证成指、创业板指和中证1000指数成交量上行。</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307DB0">
        <w:rPr>
          <w:rFonts w:ascii="华文楷体" w:hAnsi="华文楷体" w:hint="eastAsia"/>
          <w:sz w:val="24"/>
          <w:szCs w:val="24"/>
          <w:lang w:eastAsia="zh-CN"/>
        </w:rPr>
        <w:t>+0.4</w:t>
      </w:r>
      <w:r w:rsidR="00AC28BB">
        <w:rPr>
          <w:rFonts w:ascii="华文楷体" w:hAnsi="华文楷体"/>
          <w:sz w:val="24"/>
          <w:szCs w:val="24"/>
          <w:lang w:eastAsia="zh-CN"/>
        </w:rPr>
        <w:t>%、</w:t>
      </w:r>
      <w:r w:rsidR="00307DB0">
        <w:rPr>
          <w:rFonts w:ascii="华文楷体" w:hAnsi="华文楷体" w:hint="eastAsia"/>
          <w:sz w:val="24"/>
          <w:szCs w:val="24"/>
          <w:lang w:eastAsia="zh-CN"/>
        </w:rPr>
        <w:t>+2.8</w:t>
      </w:r>
      <w:r w:rsidR="00AC28BB">
        <w:rPr>
          <w:rFonts w:ascii="华文楷体" w:hAnsi="华文楷体"/>
          <w:sz w:val="24"/>
          <w:szCs w:val="24"/>
          <w:lang w:eastAsia="zh-CN"/>
        </w:rPr>
        <w:t>%、</w:t>
      </w:r>
      <w:r w:rsidR="00307DB0">
        <w:rPr>
          <w:rFonts w:ascii="华文楷体" w:hAnsi="华文楷体" w:hint="eastAsia"/>
          <w:sz w:val="24"/>
          <w:szCs w:val="24"/>
          <w:lang w:eastAsia="zh-CN"/>
        </w:rPr>
        <w:t>+0.5%</w:t>
      </w:r>
      <w:r w:rsidR="00AC28BB">
        <w:rPr>
          <w:rFonts w:ascii="华文楷体" w:hAnsi="华文楷体" w:hint="eastAsia"/>
          <w:sz w:val="24"/>
          <w:szCs w:val="24"/>
          <w:lang w:eastAsia="zh-CN"/>
        </w:rPr>
        <w:t>和</w:t>
      </w:r>
      <w:r w:rsidR="00307DB0">
        <w:rPr>
          <w:rFonts w:ascii="华文楷体" w:hAnsi="华文楷体" w:hint="eastAsia"/>
          <w:sz w:val="24"/>
          <w:szCs w:val="24"/>
          <w:lang w:eastAsia="zh-CN"/>
        </w:rPr>
        <w:t>+0.6</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307DB0">
        <w:rPr>
          <w:rFonts w:ascii="华文楷体" w:hAnsi="华文楷体" w:hint="eastAsia"/>
          <w:sz w:val="24"/>
          <w:szCs w:val="24"/>
          <w:lang w:eastAsia="zh-CN"/>
        </w:rPr>
        <w:t>本周略跌</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中证转债指数</w:t>
      </w:r>
      <w:r w:rsidR="00307DB0">
        <w:rPr>
          <w:rFonts w:ascii="华文楷体" w:hAnsi="华文楷体" w:hint="eastAsia"/>
          <w:sz w:val="24"/>
          <w:szCs w:val="24"/>
          <w:lang w:eastAsia="zh-CN"/>
        </w:rPr>
        <w:t>下跌0.6</w:t>
      </w:r>
      <w:r w:rsidR="00DE343B" w:rsidRPr="00DE343B">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转债指数与股指累计变化</w:t>
            </w:r>
          </w:p>
        </w:tc>
      </w:tr>
      <w:tr w:rsidR="00E0626C" w:rsidRPr="006A5F34" w14:paraId="2CD3B9EE" w14:textId="77777777" w:rsidTr="005B2811">
        <w:tblPrEx>
          <w:tblCellMar>
            <w:left w:w="108" w:type="dxa"/>
            <w:right w:w="108" w:type="dxa"/>
          </w:tblCellMar>
        </w:tblPrEx>
        <w:trPr>
          <w:trHeight w:val="2921"/>
          <w:jc w:val="center"/>
        </w:trPr>
        <w:tc>
          <w:tcPr>
            <w:tcW w:w="4939" w:type="dxa"/>
            <w:vAlign w:val="center"/>
          </w:tcPr>
          <w:p w14:paraId="5C83721A" w14:textId="00102CE8" w:rsidR="00E0626C" w:rsidRPr="00345C30" w:rsidRDefault="005B2811" w:rsidP="00345C30">
            <w:pPr>
              <w:widowControl/>
              <w:jc w:val="left"/>
              <w:rPr>
                <w:rFonts w:ascii="宋体" w:hAnsi="宋体" w:cs="宋体"/>
                <w:kern w:val="0"/>
                <w:sz w:val="24"/>
                <w:szCs w:val="24"/>
              </w:rPr>
            </w:pPr>
            <w:r w:rsidRPr="00BC4A3E">
              <w:rPr>
                <w:rFonts w:hint="eastAsia"/>
                <w:noProof/>
              </w:rPr>
              <w:drawing>
                <wp:inline distT="0" distB="0" distL="0" distR="0" wp14:anchorId="079765E6" wp14:editId="68FA736A">
                  <wp:extent cx="3029447" cy="1915795"/>
                  <wp:effectExtent l="0" t="0" r="0"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52684" cy="1930490"/>
                          </a:xfrm>
                          <a:prstGeom prst="rect">
                            <a:avLst/>
                          </a:prstGeom>
                          <a:noFill/>
                          <a:ln>
                            <a:noFill/>
                          </a:ln>
                        </pic:spPr>
                      </pic:pic>
                    </a:graphicData>
                  </a:graphic>
                </wp:inline>
              </w:drawing>
            </w:r>
          </w:p>
        </w:tc>
        <w:tc>
          <w:tcPr>
            <w:tcW w:w="4938" w:type="dxa"/>
            <w:vAlign w:val="center"/>
          </w:tcPr>
          <w:p w14:paraId="39BD4383" w14:textId="5642ED0D" w:rsidR="00E0626C" w:rsidRPr="007E0340" w:rsidRDefault="005B2811" w:rsidP="009A2BA0">
            <w:pPr>
              <w:jc w:val="center"/>
              <w:rPr>
                <w:noProof/>
                <w:szCs w:val="18"/>
              </w:rPr>
            </w:pPr>
            <w:r>
              <w:rPr>
                <w:noProof/>
              </w:rPr>
              <w:drawing>
                <wp:inline distT="0" distB="0" distL="0" distR="0" wp14:anchorId="608CF7D8" wp14:editId="14868048">
                  <wp:extent cx="2998470" cy="1914138"/>
                  <wp:effectExtent l="0" t="0" r="0" b="0"/>
                  <wp:docPr id="10" name="图表 10">
                    <a:extLst xmlns:a="http://schemas.openxmlformats.org/drawingml/2006/main">
                      <a:ext uri="{FF2B5EF4-FFF2-40B4-BE49-F238E27FC236}">
                        <a16:creationId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w:t>
            </w:r>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56A02CB9"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F704B5" w:rsidRPr="00F704B5">
        <w:rPr>
          <w:rFonts w:ascii="华文楷体" w:hAnsi="华文楷体" w:hint="eastAsia"/>
          <w:sz w:val="24"/>
          <w:szCs w:val="24"/>
          <w:lang w:eastAsia="zh-CN"/>
        </w:rPr>
        <w:t>本周</w:t>
      </w:r>
      <w:r w:rsidR="0066547A" w:rsidRPr="0066547A">
        <w:rPr>
          <w:rFonts w:ascii="华文楷体" w:hAnsi="华文楷体" w:hint="eastAsia"/>
          <w:sz w:val="24"/>
          <w:szCs w:val="24"/>
          <w:lang w:eastAsia="zh-CN"/>
        </w:rPr>
        <w:t>主要港口动力煤平均价上涨3.43%。PTA产业链负荷率环比上周提升6.08%</w:t>
      </w:r>
      <w:r w:rsidR="00F704B5" w:rsidRPr="00F704B5">
        <w:rPr>
          <w:rFonts w:ascii="华文楷体" w:hAnsi="华文楷体" w:hint="eastAsia"/>
          <w:sz w:val="24"/>
          <w:szCs w:val="24"/>
          <w:lang w:eastAsia="zh-CN"/>
        </w:rPr>
        <w:t>。</w:t>
      </w:r>
      <w:proofErr w:type="spellStart"/>
      <w:r w:rsidR="0066547A" w:rsidRPr="0066547A">
        <w:rPr>
          <w:rFonts w:ascii="华文楷体" w:hAnsi="华文楷体" w:hint="eastAsia"/>
          <w:sz w:val="24"/>
          <w:szCs w:val="24"/>
          <w:lang w:eastAsia="zh-CN"/>
        </w:rPr>
        <w:t>Myspic</w:t>
      </w:r>
      <w:proofErr w:type="spellEnd"/>
      <w:r w:rsidR="0066547A" w:rsidRPr="0066547A">
        <w:rPr>
          <w:rFonts w:ascii="华文楷体" w:hAnsi="华文楷体" w:hint="eastAsia"/>
          <w:sz w:val="24"/>
          <w:szCs w:val="24"/>
          <w:lang w:eastAsia="zh-CN"/>
        </w:rPr>
        <w:t>综合全国钢铁价格指数上行1.72%，各类钢材价格涨幅均有所扩大。主要品种中，螺纹钢、热卷、高线价格本周分别上涨1.18%、2.50%、1.19%；库存方面，各品种环比降幅显著：螺纹钢、热卷、线材库存分别减少4.02%、4.71%、6.63%。</w:t>
      </w:r>
    </w:p>
    <w:p w14:paraId="21425444" w14:textId="02EE9294"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F704B5">
        <w:rPr>
          <w:rFonts w:ascii="华文楷体" w:hAnsi="华文楷体" w:hint="eastAsia"/>
          <w:b/>
          <w:bCs/>
          <w:sz w:val="24"/>
          <w:szCs w:val="24"/>
          <w:lang w:eastAsia="zh-CN"/>
        </w:rPr>
        <w:t>：</w:t>
      </w:r>
      <w:r w:rsidR="0066547A" w:rsidRPr="0066547A">
        <w:rPr>
          <w:rFonts w:ascii="华文楷体" w:hAnsi="华文楷体" w:hint="eastAsia"/>
          <w:sz w:val="24"/>
          <w:szCs w:val="24"/>
          <w:lang w:eastAsia="zh-CN"/>
        </w:rPr>
        <w:t>30大中城市商品房平均成交面积环比增长约13.59%</w:t>
      </w:r>
      <w:r w:rsidR="00F704B5">
        <w:rPr>
          <w:rFonts w:ascii="华文楷体" w:hAnsi="华文楷体" w:hint="eastAsia"/>
          <w:sz w:val="24"/>
          <w:szCs w:val="24"/>
          <w:lang w:eastAsia="zh-CN"/>
        </w:rPr>
        <w:t>。</w:t>
      </w:r>
      <w:r w:rsidR="0066547A" w:rsidRPr="0066547A">
        <w:rPr>
          <w:rFonts w:ascii="华文楷体" w:hAnsi="华文楷体" w:hint="eastAsia"/>
          <w:sz w:val="24"/>
          <w:szCs w:val="24"/>
          <w:lang w:eastAsia="zh-CN"/>
        </w:rPr>
        <w:t>拿地方面， 100大中城市土地</w:t>
      </w:r>
      <w:r w:rsidR="0066547A" w:rsidRPr="0066547A">
        <w:rPr>
          <w:rFonts w:ascii="华文楷体" w:hAnsi="华文楷体" w:hint="eastAsia"/>
          <w:sz w:val="24"/>
          <w:szCs w:val="24"/>
          <w:lang w:eastAsia="zh-CN"/>
        </w:rPr>
        <w:lastRenderedPageBreak/>
        <w:t>成交面积环比下降60.42%</w:t>
      </w:r>
      <w:r w:rsidR="0066547A">
        <w:rPr>
          <w:rFonts w:ascii="华文楷体" w:hAnsi="华文楷体" w:hint="eastAsia"/>
          <w:sz w:val="24"/>
          <w:szCs w:val="24"/>
          <w:lang w:eastAsia="zh-CN"/>
        </w:rPr>
        <w:t>。</w:t>
      </w:r>
    </w:p>
    <w:p w14:paraId="77CCCEDF" w14:textId="379E00A3"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66547A" w:rsidRPr="0066547A">
        <w:rPr>
          <w:rFonts w:ascii="华文楷体" w:hAnsi="华文楷体" w:hint="eastAsia"/>
          <w:bCs/>
          <w:sz w:val="24"/>
          <w:szCs w:val="24"/>
          <w:lang w:eastAsia="zh-CN"/>
        </w:rPr>
        <w:t>波罗的海干散货指数较上周上行5.6%；中国进口干散货运价指数周度增幅在4.84%。上海出口集装箱指数（SCFI）及中国出口集装箱运价指数（CCFI）延续下行，环比分别下降0.51%和2.33%，前者降幅明显收窄，后者略有走扩。</w:t>
      </w:r>
    </w:p>
    <w:p w14:paraId="0542DAC4" w14:textId="28E0F761" w:rsidR="00756ABD" w:rsidRDefault="00E34B22" w:rsidP="00617BC1">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66547A" w:rsidRPr="0066547A">
        <w:rPr>
          <w:rFonts w:ascii="华文楷体" w:hAnsi="华文楷体" w:hint="eastAsia"/>
          <w:bCs/>
          <w:sz w:val="24"/>
          <w:szCs w:val="24"/>
          <w:lang w:eastAsia="zh-CN"/>
        </w:rPr>
        <w:t>从猪价来看，本周农业部公布的全国平均批发价下降至36.33元/公斤左右，环比较上周末下降2.60%。农产品和菜篮子批发价格200指数环比下行幅度有所收窄，分别降0.8%和0.9%，月度环比降幅分别扩大至7.01%、7.92%</w:t>
      </w:r>
      <w:r w:rsidR="0066547A">
        <w:rPr>
          <w:rFonts w:ascii="华文楷体" w:hAnsi="华文楷体" w:hint="eastAsia"/>
          <w:bCs/>
          <w:sz w:val="24"/>
          <w:szCs w:val="24"/>
          <w:lang w:eastAsia="zh-CN"/>
        </w:rPr>
        <w:t>。</w:t>
      </w:r>
      <w:r w:rsidR="0063487B" w:rsidRPr="0063487B">
        <w:rPr>
          <w:rFonts w:ascii="华文楷体" w:hAnsi="华文楷体" w:hint="eastAsia"/>
          <w:bCs/>
          <w:sz w:val="24"/>
          <w:szCs w:val="24"/>
          <w:lang w:eastAsia="zh-CN"/>
        </w:rPr>
        <w:t>工业品价格方面，</w:t>
      </w:r>
      <w:r w:rsidR="0066547A" w:rsidRPr="0066547A">
        <w:rPr>
          <w:rFonts w:ascii="华文楷体" w:hAnsi="华文楷体" w:hint="eastAsia"/>
          <w:bCs/>
          <w:sz w:val="24"/>
          <w:szCs w:val="24"/>
          <w:lang w:eastAsia="zh-CN"/>
        </w:rPr>
        <w:t>长江有色市场现货价格铜、铝、铅、锌价分别变化-1.02%、-1.8%、1.46%、0.14%；海外价格来看，LME铜、铝、铅、锌较上周环比变化分别为-0.74%、1.42%、0.86%、0.46%。</w:t>
      </w:r>
    </w:p>
    <w:p w14:paraId="29155A05" w14:textId="61439ACB"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1" w:name="_Hlk21205334"/>
      <w:r w:rsidR="00F704B5" w:rsidRPr="00F704B5">
        <w:rPr>
          <w:rFonts w:ascii="华文楷体" w:hAnsi="华文楷体" w:hint="eastAsia"/>
          <w:bCs/>
          <w:sz w:val="24"/>
          <w:szCs w:val="24"/>
          <w:lang w:eastAsia="zh-CN"/>
        </w:rPr>
        <w:t>乘联会最新数据显示，</w:t>
      </w:r>
      <w:r w:rsidR="0066547A" w:rsidRPr="0066547A">
        <w:rPr>
          <w:rFonts w:ascii="华文楷体" w:hAnsi="华文楷体" w:hint="eastAsia"/>
          <w:bCs/>
          <w:sz w:val="24"/>
          <w:szCs w:val="24"/>
          <w:lang w:eastAsia="zh-CN"/>
        </w:rPr>
        <w:t>乘联会最新数据显示，3月第三周的日均零售在4.6万辆左右，环比1月表现偏弱，较2019年同期水平增约5%</w:t>
      </w:r>
      <w:r w:rsidR="00F704B5">
        <w:rPr>
          <w:rFonts w:ascii="华文楷体" w:hAnsi="华文楷体" w:hint="eastAsia"/>
          <w:bCs/>
          <w:sz w:val="24"/>
          <w:szCs w:val="24"/>
          <w:lang w:eastAsia="zh-CN"/>
        </w:rPr>
        <w:t>。</w:t>
      </w:r>
      <w:r w:rsidR="0066547A" w:rsidRPr="0066547A">
        <w:rPr>
          <w:rFonts w:ascii="华文楷体" w:hAnsi="华文楷体" w:hint="eastAsia"/>
          <w:bCs/>
          <w:sz w:val="24"/>
          <w:szCs w:val="24"/>
          <w:lang w:eastAsia="zh-CN"/>
        </w:rPr>
        <w:t>批发方面，3月第三周主要厂商批发销量达到日均4.67万辆，较2019年3月同期下降8%，整体表现持续强于零售端</w:t>
      </w:r>
      <w:r w:rsidR="0066547A">
        <w:rPr>
          <w:rFonts w:ascii="华文楷体" w:hAnsi="华文楷体" w:hint="eastAsia"/>
          <w:bCs/>
          <w:sz w:val="24"/>
          <w:szCs w:val="24"/>
          <w:lang w:eastAsia="zh-CN"/>
        </w:rPr>
        <w:t>。</w:t>
      </w:r>
    </w:p>
    <w:p w14:paraId="6C0621FD" w14:textId="22DCBF5E"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66547A" w:rsidRPr="0066547A">
        <w:rPr>
          <w:rFonts w:ascii="华文楷体" w:hAnsi="华文楷体" w:hint="eastAsia"/>
          <w:bCs/>
          <w:sz w:val="24"/>
          <w:szCs w:val="24"/>
          <w:lang w:eastAsia="zh-CN"/>
        </w:rPr>
        <w:t>布伦特原油周度平均价格环比上周跌5.03%至63.27美元/桶；WTI原油周度均价下跌5.12%至60.01美元/桶。</w:t>
      </w:r>
    </w:p>
    <w:p w14:paraId="35D3E229" w14:textId="3CE90955"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883E4F" w:rsidRPr="00883E4F">
        <w:rPr>
          <w:rFonts w:ascii="华文楷体" w:hAnsi="华文楷体" w:hint="eastAsia"/>
          <w:bCs/>
          <w:sz w:val="24"/>
          <w:szCs w:val="24"/>
          <w:lang w:eastAsia="zh-CN"/>
        </w:rPr>
        <w:t>3月官方制造业PMI、美国ADP就业数据、美国非农就业数据</w:t>
      </w:r>
      <w:r w:rsidR="00F704B5" w:rsidRPr="00F704B5">
        <w:rPr>
          <w:rFonts w:ascii="华文楷体" w:hAnsi="华文楷体" w:hint="eastAsia"/>
          <w:bCs/>
          <w:sz w:val="24"/>
          <w:szCs w:val="24"/>
          <w:lang w:eastAsia="zh-CN"/>
        </w:rPr>
        <w:t>。</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1"/>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63A272E3"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150DE7" w:rsidRPr="00150DE7">
        <w:rPr>
          <w:rFonts w:ascii="华文楷体" w:hAnsi="华文楷体" w:hint="eastAsia"/>
          <w:sz w:val="24"/>
          <w:szCs w:val="24"/>
          <w:lang w:eastAsia="zh-CN"/>
        </w:rPr>
        <w:t>央行货币政策委员会一季度例会指出，稳健的货币政策要灵活精准、合理适度，把握好政策时度效，保持流动性合理充裕，保持货币供应量和社会融资规模增速同名义经济增速基本匹配，保持宏观杠杆率基本稳定。从表述看整体政策仍以稳为主，删除不急转弯，市场多空解读都有，4月将再次进入缴税大月，同时债券供给预计将较一季度有一定增加，关注央行公开市场操作情况。基本面恢复情况仍需进一步数据观察，1-2月全国规模以上工业企业实现利润总额11140.1亿元，同比增长1.79倍，比2019年1-2月份增长72.1%，两年平均增长31.2%，一定程度体现了需求恢复仍在平稳过程中，后续更多关注数据环比情况。市场方面，近期海外债市持续调整，国内债市相对免疫，且叠加前期利空出尽和部分金融机构年初配置需求显现，中长端利率持续小幅下行，但随着利差持续快速压缩，后期市场可能进入震荡阶段。</w:t>
      </w:r>
    </w:p>
    <w:p w14:paraId="2C3F4BD1" w14:textId="76DD5A2C"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150DE7">
        <w:rPr>
          <w:rFonts w:ascii="华文楷体" w:hAnsi="华文楷体" w:hint="eastAsia"/>
          <w:sz w:val="24"/>
          <w:szCs w:val="24"/>
          <w:lang w:eastAsia="zh-CN"/>
        </w:rPr>
        <w:t>周末</w:t>
      </w:r>
      <w:r w:rsidR="00AE1C6A">
        <w:rPr>
          <w:rFonts w:ascii="华文楷体" w:hAnsi="华文楷体" w:hint="eastAsia"/>
          <w:sz w:val="24"/>
          <w:szCs w:val="24"/>
          <w:lang w:eastAsia="zh-CN"/>
        </w:rPr>
        <w:t>，</w:t>
      </w:r>
      <w:r w:rsidR="005C3F29">
        <w:rPr>
          <w:rFonts w:ascii="华文楷体" w:hAnsi="华文楷体" w:hint="eastAsia"/>
          <w:sz w:val="24"/>
          <w:szCs w:val="24"/>
          <w:lang w:eastAsia="zh-CN"/>
        </w:rPr>
        <w:t>持续</w:t>
      </w:r>
      <w:r w:rsidR="00AE1C6A">
        <w:rPr>
          <w:rFonts w:ascii="华文楷体" w:hAnsi="华文楷体" w:hint="eastAsia"/>
          <w:sz w:val="24"/>
          <w:szCs w:val="24"/>
          <w:lang w:eastAsia="zh-CN"/>
        </w:rPr>
        <w:t>关注边际资质主体信用风险和流动性风险</w:t>
      </w:r>
      <w:r w:rsidR="00DE343B">
        <w:rPr>
          <w:rFonts w:ascii="华文楷体" w:hAnsi="华文楷体" w:hint="eastAsia"/>
          <w:sz w:val="24"/>
          <w:szCs w:val="24"/>
          <w:lang w:eastAsia="zh-CN"/>
        </w:rPr>
        <w:t>。</w:t>
      </w:r>
    </w:p>
    <w:p w14:paraId="4C893BAE" w14:textId="543281F8"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150DE7" w:rsidRPr="00150DE7">
        <w:rPr>
          <w:rFonts w:ascii="华文楷体" w:hAnsi="华文楷体" w:hint="eastAsia"/>
          <w:sz w:val="24"/>
          <w:szCs w:val="24"/>
          <w:lang w:eastAsia="zh-CN"/>
        </w:rPr>
        <w:t>A股市场本周适度修复回调，成交量涨跌互现，转债表现略弱，但幅度仍在正常波动中，超跌的高平价券配置性价比提高，高估值转债近期可能仍有一定回调压力。</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73AE8530" w:rsidR="001D35B3" w:rsidRPr="006A5F34" w:rsidRDefault="001D35B3" w:rsidP="00DE343B">
            <w:pPr>
              <w:pStyle w:val="ChartHeading"/>
              <w:jc w:val="both"/>
            </w:pPr>
            <w:r w:rsidRPr="006A5F34">
              <w:rPr>
                <w:rFonts w:hint="eastAsia"/>
              </w:rPr>
              <w:lastRenderedPageBreak/>
              <w:t>图表</w:t>
            </w:r>
            <w:r w:rsidRPr="006A5F34">
              <w:t>.</w:t>
            </w:r>
            <w:r w:rsidR="00FF26B0">
              <w:rPr>
                <w:rFonts w:hint="eastAsia"/>
              </w:rPr>
              <w:t xml:space="preserve"> </w:t>
            </w:r>
            <w:r w:rsidR="00FF26B0">
              <w:rPr>
                <w:rFonts w:hint="eastAsia"/>
              </w:rPr>
              <w:t>南华工业品指数</w:t>
            </w:r>
            <w:r w:rsidR="006D72C8">
              <w:rPr>
                <w:rFonts w:hint="eastAsia"/>
              </w:rPr>
              <w:t>出现回调</w:t>
            </w:r>
          </w:p>
        </w:tc>
        <w:tc>
          <w:tcPr>
            <w:tcW w:w="4938" w:type="dxa"/>
            <w:vAlign w:val="center"/>
          </w:tcPr>
          <w:p w14:paraId="02A10F26" w14:textId="1F80B56D"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6D72C8">
              <w:rPr>
                <w:rFonts w:hint="eastAsia"/>
              </w:rPr>
              <w:t>出现回调</w:t>
            </w:r>
          </w:p>
        </w:tc>
      </w:tr>
      <w:tr w:rsidR="001D35B3" w:rsidRPr="006A5F34" w14:paraId="205667F1" w14:textId="77777777" w:rsidTr="006D72C8">
        <w:tblPrEx>
          <w:tblCellMar>
            <w:left w:w="108" w:type="dxa"/>
            <w:right w:w="108" w:type="dxa"/>
          </w:tblCellMar>
        </w:tblPrEx>
        <w:trPr>
          <w:jc w:val="center"/>
        </w:trPr>
        <w:tc>
          <w:tcPr>
            <w:tcW w:w="4939" w:type="dxa"/>
            <w:vAlign w:val="center"/>
          </w:tcPr>
          <w:p w14:paraId="56C782C2" w14:textId="78BFB28B" w:rsidR="001D35B3" w:rsidRPr="007E0340" w:rsidRDefault="006D72C8" w:rsidP="009A2BA0">
            <w:pPr>
              <w:jc w:val="center"/>
              <w:rPr>
                <w:noProof/>
              </w:rPr>
            </w:pPr>
            <w:r>
              <w:rPr>
                <w:noProof/>
              </w:rPr>
              <w:drawing>
                <wp:inline distT="0" distB="0" distL="0" distR="0" wp14:anchorId="6D317482" wp14:editId="2E9AC7CC">
                  <wp:extent cx="2999105" cy="1944287"/>
                  <wp:effectExtent l="0" t="0" r="0" b="0"/>
                  <wp:docPr id="12" name="图表 12">
                    <a:extLst xmlns:a="http://schemas.openxmlformats.org/drawingml/2006/main">
                      <a:ext uri="{FF2B5EF4-FFF2-40B4-BE49-F238E27FC236}">
                        <a16:creationId xmlns:a16="http://schemas.microsoft.com/office/drawing/2014/main"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c>
          <w:tcPr>
            <w:tcW w:w="4938" w:type="dxa"/>
            <w:vAlign w:val="center"/>
          </w:tcPr>
          <w:p w14:paraId="3EF0360D" w14:textId="38E8D932" w:rsidR="001D35B3" w:rsidRPr="007E0340" w:rsidRDefault="006D72C8" w:rsidP="009A2BA0">
            <w:pPr>
              <w:jc w:val="center"/>
              <w:rPr>
                <w:noProof/>
                <w:szCs w:val="18"/>
              </w:rPr>
            </w:pPr>
            <w:r>
              <w:rPr>
                <w:noProof/>
              </w:rPr>
              <w:drawing>
                <wp:inline distT="0" distB="0" distL="0" distR="0" wp14:anchorId="57E11C4B" wp14:editId="11409473">
                  <wp:extent cx="2998470" cy="1945309"/>
                  <wp:effectExtent l="0" t="0" r="0" b="0"/>
                  <wp:docPr id="13" name="图表 13">
                    <a:extLst xmlns:a="http://schemas.openxmlformats.org/drawingml/2006/main">
                      <a:ext uri="{FF2B5EF4-FFF2-40B4-BE49-F238E27FC236}">
                        <a16:creationId xmlns:a16="http://schemas.microsoft.com/office/drawing/2014/main"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7AE7FF1C" w:rsidR="001D35B3" w:rsidRPr="006A5F34" w:rsidRDefault="001D35B3" w:rsidP="000A4783">
            <w:pPr>
              <w:pStyle w:val="ChartHeading"/>
              <w:jc w:val="both"/>
            </w:pPr>
            <w:r w:rsidRPr="006A5F34">
              <w:rPr>
                <w:rFonts w:hint="eastAsia"/>
              </w:rPr>
              <w:t>图表</w:t>
            </w:r>
            <w:r w:rsidRPr="006A5F34">
              <w:t>.</w:t>
            </w:r>
            <w:r>
              <w:t xml:space="preserve"> </w:t>
            </w:r>
            <w:r w:rsidR="00FF26B0">
              <w:rPr>
                <w:rFonts w:hint="eastAsia"/>
              </w:rPr>
              <w:t>人民币汇率</w:t>
            </w:r>
            <w:r w:rsidR="00AE1C6A">
              <w:rPr>
                <w:rFonts w:hint="eastAsia"/>
              </w:rPr>
              <w:t>持续</w:t>
            </w:r>
            <w:r w:rsidR="00DE343B">
              <w:rPr>
                <w:rFonts w:hint="eastAsia"/>
              </w:rPr>
              <w:t>回升</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913F7F">
        <w:tblPrEx>
          <w:tblCellMar>
            <w:left w:w="108" w:type="dxa"/>
            <w:right w:w="108" w:type="dxa"/>
          </w:tblCellMar>
        </w:tblPrEx>
        <w:trPr>
          <w:trHeight w:val="2987"/>
          <w:jc w:val="center"/>
        </w:trPr>
        <w:tc>
          <w:tcPr>
            <w:tcW w:w="4939" w:type="dxa"/>
            <w:vAlign w:val="center"/>
          </w:tcPr>
          <w:p w14:paraId="0BAC1731" w14:textId="1070FA3C" w:rsidR="001D35B3" w:rsidRPr="007E0340" w:rsidRDefault="00913F7F" w:rsidP="009A2BA0">
            <w:pPr>
              <w:jc w:val="center"/>
              <w:rPr>
                <w:noProof/>
              </w:rPr>
            </w:pPr>
            <w:r>
              <w:rPr>
                <w:noProof/>
              </w:rPr>
              <w:drawing>
                <wp:inline distT="0" distB="0" distL="0" distR="0" wp14:anchorId="593C8418" wp14:editId="5865B5F6">
                  <wp:extent cx="2999105" cy="1881615"/>
                  <wp:effectExtent l="0" t="0" r="10795" b="4445"/>
                  <wp:docPr id="14" name="图表 14">
                    <a:extLst xmlns:a="http://schemas.openxmlformats.org/drawingml/2006/main">
                      <a:ext uri="{FF2B5EF4-FFF2-40B4-BE49-F238E27FC236}">
                        <a16:creationId xmlns:a16="http://schemas.microsoft.com/office/drawing/2014/main"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c>
          <w:tcPr>
            <w:tcW w:w="4938" w:type="dxa"/>
            <w:vAlign w:val="center"/>
          </w:tcPr>
          <w:p w14:paraId="64025D22" w14:textId="3AE2FF1F" w:rsidR="001D35B3" w:rsidRPr="007E0340" w:rsidRDefault="00913F7F" w:rsidP="009A2BA0">
            <w:pPr>
              <w:jc w:val="center"/>
              <w:rPr>
                <w:noProof/>
                <w:szCs w:val="18"/>
              </w:rPr>
            </w:pPr>
            <w:r>
              <w:rPr>
                <w:noProof/>
              </w:rPr>
              <w:drawing>
                <wp:inline distT="0" distB="0" distL="0" distR="0" wp14:anchorId="31620EEC" wp14:editId="5FF81349">
                  <wp:extent cx="2998470" cy="1891113"/>
                  <wp:effectExtent l="0" t="0" r="0" b="0"/>
                  <wp:docPr id="22" name="图表 22">
                    <a:extLst xmlns:a="http://schemas.openxmlformats.org/drawingml/2006/main">
                      <a:ext uri="{FF2B5EF4-FFF2-40B4-BE49-F238E27FC236}">
                        <a16:creationId xmlns:a16="http://schemas.microsoft.com/office/drawing/2014/main"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，富荣基金</w:t>
            </w:r>
          </w:p>
        </w:tc>
      </w:tr>
    </w:tbl>
    <w:p w14:paraId="2243C4C4" w14:textId="63198F1D" w:rsidR="00594303" w:rsidRDefault="00594303" w:rsidP="009A2BA0">
      <w:pPr>
        <w:pStyle w:val="Body-text"/>
        <w:spacing w:after="0"/>
        <w:rPr>
          <w:rFonts w:ascii="华文楷体" w:hAnsi="华文楷体"/>
          <w:sz w:val="24"/>
          <w:szCs w:val="24"/>
          <w:lang w:eastAsia="zh-CN"/>
        </w:rPr>
      </w:pPr>
    </w:p>
    <w:p w14:paraId="669439AD" w14:textId="77777777" w:rsidR="00594303" w:rsidRDefault="00594303">
      <w:pPr>
        <w:widowControl/>
        <w:jc w:val="left"/>
        <w:rPr>
          <w:rFonts w:ascii="华文楷体" w:eastAsia="华文楷体" w:hAnsi="华文楷体"/>
          <w:kern w:val="0"/>
          <w:sz w:val="24"/>
          <w:szCs w:val="24"/>
        </w:rPr>
      </w:pPr>
      <w:r>
        <w:rPr>
          <w:rFonts w:ascii="华文楷体" w:hAnsi="华文楷体"/>
          <w:sz w:val="24"/>
          <w:szCs w:val="24"/>
        </w:rPr>
        <w:br w:type="page"/>
      </w:r>
    </w:p>
    <w:p w14:paraId="236E8CBA" w14:textId="77777777" w:rsidR="00EA1966" w:rsidRDefault="00EA1966" w:rsidP="009A2BA0">
      <w:pPr>
        <w:pStyle w:val="Body-text"/>
        <w:spacing w:after="0"/>
        <w:rPr>
          <w:rFonts w:ascii="华文楷体" w:hAnsi="华文楷体"/>
          <w:sz w:val="24"/>
          <w:szCs w:val="24"/>
          <w:lang w:eastAsia="zh-CN"/>
        </w:rPr>
      </w:pPr>
    </w:p>
    <w:p w14:paraId="210DFAB2" w14:textId="77777777" w:rsidR="0028459A" w:rsidRDefault="0028459A" w:rsidP="009A2BA0">
      <w:pPr>
        <w:widowControl/>
        <w:jc w:val="center"/>
        <w:rPr>
          <w:rFonts w:ascii="黑体" w:eastAsia="黑体"/>
          <w:b/>
          <w:sz w:val="24"/>
          <w:szCs w:val="24"/>
        </w:rPr>
      </w:pPr>
      <w:r w:rsidRPr="00234AC0">
        <w:rPr>
          <w:rFonts w:ascii="黑体" w:eastAsia="黑体" w:hint="eastAsia"/>
          <w:b/>
          <w:sz w:val="24"/>
          <w:szCs w:val="24"/>
        </w:rPr>
        <w:t>免责声明</w:t>
      </w:r>
    </w:p>
    <w:p w14:paraId="305753DC" w14:textId="77777777" w:rsidR="001A1299" w:rsidRPr="00234AC0" w:rsidRDefault="001A1299" w:rsidP="009A2BA0">
      <w:pPr>
        <w:widowControl/>
        <w:jc w:val="center"/>
        <w:rPr>
          <w:rFonts w:ascii="黑体" w:eastAsia="黑体"/>
          <w:b/>
          <w:sz w:val="24"/>
          <w:szCs w:val="24"/>
        </w:rPr>
      </w:pPr>
    </w:p>
    <w:p w14:paraId="2138E68E" w14:textId="77777777" w:rsidR="0028459A" w:rsidRPr="001A1299" w:rsidRDefault="0028459A" w:rsidP="009A2BA0">
      <w:pPr>
        <w:pStyle w:val="Body-text"/>
        <w:ind w:firstLineChars="200" w:firstLine="480"/>
        <w:rPr>
          <w:rFonts w:ascii="华文楷体" w:hAnsi="华文楷体"/>
          <w:sz w:val="24"/>
          <w:szCs w:val="24"/>
          <w:lang w:eastAsia="zh-CN"/>
        </w:rPr>
      </w:pPr>
      <w:r w:rsidRPr="001A1299">
        <w:rPr>
          <w:rFonts w:ascii="华文楷体" w:hAnsi="华文楷体" w:hint="eastAsia"/>
          <w:sz w:val="24"/>
          <w:szCs w:val="24"/>
          <w:lang w:eastAsia="zh-CN"/>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w:t>
      </w:r>
    </w:p>
    <w:p w14:paraId="1EF1A1F1" w14:textId="77777777" w:rsidR="0028459A" w:rsidRPr="001A1299" w:rsidRDefault="0028459A" w:rsidP="009A2BA0">
      <w:pPr>
        <w:pStyle w:val="Body-text"/>
        <w:ind w:firstLineChars="200" w:firstLine="480"/>
        <w:rPr>
          <w:rFonts w:ascii="华文楷体" w:hAnsi="华文楷体"/>
          <w:sz w:val="24"/>
          <w:szCs w:val="24"/>
          <w:lang w:eastAsia="zh-CN"/>
        </w:rPr>
      </w:pPr>
      <w:r w:rsidRPr="001A1299">
        <w:rPr>
          <w:rFonts w:ascii="华文楷体" w:hAnsi="华文楷体" w:hint="eastAsia"/>
          <w:sz w:val="24"/>
          <w:szCs w:val="24"/>
          <w:lang w:eastAsia="zh-CN"/>
        </w:rPr>
        <w:t>本报告中的资料、观点和预测等仅作为富荣基金内部培训、向机构客户和渠道路演交流使用，在任何时候均不构成对任何人的个人推荐。请勿外传。</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8"/>
      <w:footerReference w:type="default" r:id="rId19"/>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8484AE" w14:textId="77777777" w:rsidR="003402AD" w:rsidRDefault="003402AD">
      <w:r>
        <w:separator/>
      </w:r>
    </w:p>
  </w:endnote>
  <w:endnote w:type="continuationSeparator" w:id="0">
    <w:p w14:paraId="60EFBA4C" w14:textId="77777777" w:rsidR="003402AD" w:rsidRDefault="003402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Microsoft JhengHei"/>
    <w:panose1 w:val="02010601000101010101"/>
    <w:charset w:val="88"/>
    <w:family w:val="roman"/>
    <w:pitch w:val="variable"/>
    <w:sig w:usb0="A00002FF" w:usb1="28CFFCFA" w:usb2="00000016" w:usb3="00000000" w:csb0="00100001" w:csb1="00000000"/>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31792377"/>
      <w:docPartObj>
        <w:docPartGallery w:val="Page Numbers (Bottom of Page)"/>
        <w:docPartUnique/>
      </w:docPartObj>
    </w:sdtPr>
    <w:sdtEndPr/>
    <w:sdtContent>
      <w:p w14:paraId="618D4EFE" w14:textId="1FB9B16E" w:rsidR="003402AD" w:rsidRDefault="003402AD">
        <w:pPr>
          <w:pStyle w:val="a6"/>
          <w:jc w:val="right"/>
        </w:pPr>
        <w:r>
          <w:fldChar w:fldCharType="begin"/>
        </w:r>
        <w:r>
          <w:instrText>PAGE   \* MERGEFORMAT</w:instrText>
        </w:r>
        <w:r>
          <w:fldChar w:fldCharType="separate"/>
        </w:r>
        <w:r w:rsidR="007104C0" w:rsidRPr="007104C0">
          <w:rPr>
            <w:noProof/>
            <w:lang w:val="zh-CN"/>
          </w:rPr>
          <w:t>7</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3E991B" w14:textId="77777777" w:rsidR="003402AD" w:rsidRDefault="003402AD">
      <w:r>
        <w:separator/>
      </w:r>
    </w:p>
  </w:footnote>
  <w:footnote w:type="continuationSeparator" w:id="0">
    <w:p w14:paraId="68B58BBC" w14:textId="77777777" w:rsidR="003402AD" w:rsidRDefault="003402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18A414" w14:textId="77777777" w:rsidR="003402AD" w:rsidRDefault="003402AD" w:rsidP="00D41DC0">
    <w:pPr>
      <w:pStyle w:val="a4"/>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15:restartNumberingAfterBreak="0">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15:restartNumberingAfterBreak="0">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15:restartNumberingAfterBreak="0">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15:restartNumberingAfterBreak="0">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15:restartNumberingAfterBreak="0">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2"/>
  </w:num>
  <w:num w:numId="7">
    <w:abstractNumId w:val="14"/>
  </w:num>
  <w:num w:numId="8">
    <w:abstractNumId w:val="13"/>
  </w:num>
  <w:num w:numId="9">
    <w:abstractNumId w:val="6"/>
  </w:num>
  <w:num w:numId="10">
    <w:abstractNumId w:val="17"/>
  </w:num>
  <w:num w:numId="11">
    <w:abstractNumId w:val="21"/>
  </w:num>
  <w:num w:numId="12">
    <w:abstractNumId w:val="15"/>
  </w:num>
  <w:num w:numId="13">
    <w:abstractNumId w:val="23"/>
  </w:num>
  <w:num w:numId="14">
    <w:abstractNumId w:val="24"/>
  </w:num>
  <w:num w:numId="15">
    <w:abstractNumId w:val="18"/>
  </w:num>
  <w:num w:numId="16">
    <w:abstractNumId w:val="12"/>
  </w:num>
  <w:num w:numId="17">
    <w:abstractNumId w:val="9"/>
  </w:num>
  <w:num w:numId="18">
    <w:abstractNumId w:val="20"/>
  </w:num>
  <w:num w:numId="19">
    <w:abstractNumId w:val="10"/>
  </w:num>
  <w:num w:numId="20">
    <w:abstractNumId w:val="19"/>
  </w:num>
  <w:num w:numId="21">
    <w:abstractNumId w:val="7"/>
  </w:num>
  <w:num w:numId="22">
    <w:abstractNumId w:val="16"/>
  </w:num>
  <w:num w:numId="23">
    <w:abstractNumId w:val="5"/>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137217"/>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145"/>
    <w:rsid w:val="000E322E"/>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7BA"/>
    <w:rsid w:val="001F1991"/>
    <w:rsid w:val="001F215E"/>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B07"/>
    <w:rsid w:val="002D0D12"/>
    <w:rsid w:val="002D14C6"/>
    <w:rsid w:val="002D19CF"/>
    <w:rsid w:val="002D251D"/>
    <w:rsid w:val="002D27D9"/>
    <w:rsid w:val="002D2B4C"/>
    <w:rsid w:val="002D32D5"/>
    <w:rsid w:val="002D354D"/>
    <w:rsid w:val="002D361C"/>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0E83"/>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1EF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4C0"/>
    <w:rsid w:val="00710573"/>
    <w:rsid w:val="00710821"/>
    <w:rsid w:val="00710C35"/>
    <w:rsid w:val="00710EEA"/>
    <w:rsid w:val="0071175B"/>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1C6B"/>
    <w:rsid w:val="00852383"/>
    <w:rsid w:val="00852ECE"/>
    <w:rsid w:val="008534ED"/>
    <w:rsid w:val="00853AFB"/>
    <w:rsid w:val="00853B2D"/>
    <w:rsid w:val="00853D0C"/>
    <w:rsid w:val="00854107"/>
    <w:rsid w:val="00854190"/>
    <w:rsid w:val="00854194"/>
    <w:rsid w:val="00854481"/>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1EFE"/>
    <w:rsid w:val="00B12437"/>
    <w:rsid w:val="00B1313A"/>
    <w:rsid w:val="00B13675"/>
    <w:rsid w:val="00B1368E"/>
    <w:rsid w:val="00B150CF"/>
    <w:rsid w:val="00B1574A"/>
    <w:rsid w:val="00B16344"/>
    <w:rsid w:val="00B16E5A"/>
    <w:rsid w:val="00B17D03"/>
    <w:rsid w:val="00B20080"/>
    <w:rsid w:val="00B20149"/>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482"/>
    <w:rsid w:val="00C2397D"/>
    <w:rsid w:val="00C23BE6"/>
    <w:rsid w:val="00C23C02"/>
    <w:rsid w:val="00C24862"/>
    <w:rsid w:val="00C24C46"/>
    <w:rsid w:val="00C24FFF"/>
    <w:rsid w:val="00C25348"/>
    <w:rsid w:val="00C2581A"/>
    <w:rsid w:val="00C25CD0"/>
    <w:rsid w:val="00C26518"/>
    <w:rsid w:val="00C265C3"/>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7D7A"/>
    <w:rsid w:val="00CE0946"/>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2E3"/>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7217"/>
    <o:shapelayout v:ext="edit">
      <o:idmap v:ext="edit" data="1"/>
    </o:shapelayout>
  </w:shapeDefaults>
  <w:decimalSymbol w:val="."/>
  <w:listSeparator w:val=","/>
  <w14:docId w14:val="773FA022"/>
  <w14:defaultImageDpi w14:val="0"/>
  <w15:chartTrackingRefBased/>
  <w15:docId w15:val="{9B802071-29B7-4C7C-98BE-5C1D5299F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rPr>
      <w:rFonts w:ascii="Times New Roman" w:eastAsia="宋体" w:hAnsi="Times New Roman" w:cs="Times New Roman"/>
      <w:sz w:val="18"/>
      <w:szCs w:val="18"/>
    </w:rPr>
  </w:style>
  <w:style w:type="paragraph" w:styleId="a4">
    <w:name w:val="header"/>
    <w:basedOn w:val="a"/>
    <w:link w:val="a3"/>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a5">
    <w:name w:val="页脚 字符"/>
    <w:link w:val="a6"/>
    <w:uiPriority w:val="99"/>
    <w:rPr>
      <w:rFonts w:ascii="Times New Roman" w:eastAsia="宋体" w:hAnsi="Times New Roman" w:cs="Times New Roman"/>
      <w:sz w:val="18"/>
      <w:szCs w:val="18"/>
    </w:rPr>
  </w:style>
  <w:style w:type="paragraph" w:styleId="a6">
    <w:name w:val="footer"/>
    <w:basedOn w:val="a"/>
    <w:link w:val="a5"/>
    <w:uiPriority w:val="99"/>
    <w:pPr>
      <w:tabs>
        <w:tab w:val="center" w:pos="4153"/>
        <w:tab w:val="right" w:pos="8306"/>
      </w:tabs>
      <w:snapToGrid w:val="0"/>
      <w:jc w:val="left"/>
    </w:pPr>
    <w:rPr>
      <w:rFonts w:ascii="Times New Roman" w:hAnsi="Times New Roman"/>
      <w:sz w:val="18"/>
      <w:szCs w:val="18"/>
    </w:rPr>
  </w:style>
  <w:style w:type="paragraph" w:styleId="a7">
    <w:name w:val="caption"/>
    <w:basedOn w:val="a"/>
    <w:next w:val="a"/>
    <w:qFormat/>
    <w:rPr>
      <w:rFonts w:ascii="Cambria" w:eastAsia="黑体" w:hAnsi="Cambria"/>
      <w:sz w:val="20"/>
      <w:szCs w:val="20"/>
    </w:rPr>
  </w:style>
  <w:style w:type="paragraph" w:styleId="a8">
    <w:name w:val="Balloon Text"/>
    <w:basedOn w:val="a"/>
    <w:link w:val="a9"/>
    <w:rPr>
      <w:rFonts w:ascii="Times New Roman" w:hAnsi="Times New Roman"/>
      <w:sz w:val="18"/>
      <w:szCs w:val="18"/>
    </w:rPr>
  </w:style>
  <w:style w:type="character" w:customStyle="1" w:styleId="a9">
    <w:name w:val="批注框文本 字符"/>
    <w:link w:val="a8"/>
    <w:rPr>
      <w:rFonts w:ascii="Times New Roman" w:eastAsia="宋体" w:hAnsi="Times New Roman" w:cs="Times New Roman"/>
      <w:sz w:val="18"/>
      <w:szCs w:val="18"/>
    </w:rPr>
  </w:style>
  <w:style w:type="character" w:styleId="aa">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b">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c">
    <w:name w:val="Hyperlink"/>
    <w:rPr>
      <w:rFonts w:ascii="Times New Roman" w:eastAsia="宋体" w:hAnsi="Times New Roman" w:cs="Times New Roman"/>
      <w:color w:val="0000FF"/>
      <w:u w:val="single"/>
    </w:rPr>
  </w:style>
  <w:style w:type="table" w:styleId="ad">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rPr>
      <w:rFonts w:ascii="Times New Roman" w:eastAsia="宋体" w:hAnsi="Times New Roman" w:cs="Times New Roman"/>
      <w:sz w:val="21"/>
      <w:szCs w:val="21"/>
    </w:rPr>
  </w:style>
  <w:style w:type="character" w:customStyle="1" w:styleId="af">
    <w:name w:val="批注文字 字符"/>
    <w:link w:val="af0"/>
    <w:rPr>
      <w:rFonts w:ascii="Calibri" w:eastAsia="宋体" w:hAnsi="Calibri" w:cs="Times New Roman"/>
      <w:kern w:val="2"/>
      <w:sz w:val="21"/>
      <w:szCs w:val="22"/>
    </w:rPr>
  </w:style>
  <w:style w:type="paragraph" w:styleId="af0">
    <w:name w:val="annotation text"/>
    <w:basedOn w:val="a"/>
    <w:link w:val="af"/>
    <w:pPr>
      <w:jc w:val="left"/>
    </w:pPr>
    <w:rPr>
      <w:rFonts w:ascii="Times New Roman" w:hAnsi="Times New Roman"/>
    </w:rPr>
  </w:style>
  <w:style w:type="character" w:customStyle="1" w:styleId="af1">
    <w:name w:val="批注主题 字符"/>
    <w:link w:val="af2"/>
    <w:rPr>
      <w:rFonts w:ascii="Calibri" w:eastAsia="宋体" w:hAnsi="Calibri" w:cs="Times New Roman"/>
      <w:b/>
      <w:bCs/>
      <w:kern w:val="2"/>
      <w:sz w:val="21"/>
      <w:szCs w:val="22"/>
    </w:rPr>
  </w:style>
  <w:style w:type="paragraph" w:styleId="af2">
    <w:name w:val="annotation subject"/>
    <w:basedOn w:val="af0"/>
    <w:next w:val="af0"/>
    <w:link w:val="af1"/>
    <w:rPr>
      <w:b/>
      <w:bCs/>
    </w:rPr>
  </w:style>
  <w:style w:type="character" w:styleId="af3">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af4">
    <w:name w:val="日期 字符"/>
    <w:link w:val="af5"/>
    <w:rPr>
      <w:rFonts w:ascii="Calibri" w:eastAsia="宋体" w:hAnsi="Calibri" w:cs="Times New Roman"/>
      <w:kern w:val="2"/>
      <w:sz w:val="21"/>
      <w:szCs w:val="22"/>
    </w:rPr>
  </w:style>
  <w:style w:type="paragraph" w:styleId="af5">
    <w:name w:val="Date"/>
    <w:basedOn w:val="a"/>
    <w:next w:val="a"/>
    <w:link w:val="af4"/>
    <w:pPr>
      <w:ind w:leftChars="2500" w:left="100"/>
    </w:pPr>
    <w:rPr>
      <w:rFonts w:ascii="Times New Roman" w:hAnsi="Times New Roman"/>
    </w:rPr>
  </w:style>
  <w:style w:type="character" w:styleId="af6">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7">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styleId="4-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3-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5.xm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chart" Target="charts/chart9.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chart" Target="charts/chart7.xml"/><Relationship Id="rId10" Type="http://schemas.openxmlformats.org/officeDocument/2006/relationships/chart" Target="charts/chart3.xm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6.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oleObject" Target="file:///H:\&#37329;&#34701;&#34903;\&#22266;&#25910;&#21608;&#25253;\&#21608;&#25253;&#25968;&#25454;&#34920;.xlsx"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44127</c:v>
                </c:pt>
                <c:pt idx="1">
                  <c:v>44134</c:v>
                </c:pt>
                <c:pt idx="2">
                  <c:v>44141</c:v>
                </c:pt>
                <c:pt idx="3">
                  <c:v>44148</c:v>
                </c:pt>
                <c:pt idx="4">
                  <c:v>44155</c:v>
                </c:pt>
                <c:pt idx="5">
                  <c:v>44162</c:v>
                </c:pt>
                <c:pt idx="6">
                  <c:v>44169</c:v>
                </c:pt>
                <c:pt idx="7">
                  <c:v>44176</c:v>
                </c:pt>
                <c:pt idx="8">
                  <c:v>44183</c:v>
                </c:pt>
                <c:pt idx="9">
                  <c:v>44190</c:v>
                </c:pt>
                <c:pt idx="10">
                  <c:v>44197</c:v>
                </c:pt>
                <c:pt idx="11">
                  <c:v>44204</c:v>
                </c:pt>
                <c:pt idx="12">
                  <c:v>44211</c:v>
                </c:pt>
                <c:pt idx="13">
                  <c:v>44218</c:v>
                </c:pt>
                <c:pt idx="14">
                  <c:v>44225</c:v>
                </c:pt>
                <c:pt idx="15">
                  <c:v>44232</c:v>
                </c:pt>
                <c:pt idx="16">
                  <c:v>44239</c:v>
                </c:pt>
                <c:pt idx="17">
                  <c:v>44246</c:v>
                </c:pt>
                <c:pt idx="18">
                  <c:v>44253</c:v>
                </c:pt>
                <c:pt idx="19">
                  <c:v>44260</c:v>
                </c:pt>
                <c:pt idx="20">
                  <c:v>44267</c:v>
                </c:pt>
                <c:pt idx="21">
                  <c:v>44274</c:v>
                </c:pt>
                <c:pt idx="22">
                  <c:v>44281</c:v>
                </c:pt>
              </c:numCache>
            </c:numRef>
          </c:cat>
          <c:val>
            <c:numRef>
              <c:f>央行!$B$5:$B$27</c:f>
              <c:numCache>
                <c:formatCode>###,###,###,###,##0.00</c:formatCode>
                <c:ptCount val="23"/>
                <c:pt idx="0">
                  <c:v>3200</c:v>
                </c:pt>
                <c:pt idx="1">
                  <c:v>5150</c:v>
                </c:pt>
                <c:pt idx="2">
                  <c:v>3200</c:v>
                </c:pt>
                <c:pt idx="3">
                  <c:v>5500</c:v>
                </c:pt>
                <c:pt idx="4">
                  <c:v>3000</c:v>
                </c:pt>
                <c:pt idx="5">
                  <c:v>4350</c:v>
                </c:pt>
                <c:pt idx="6">
                  <c:v>2000</c:v>
                </c:pt>
                <c:pt idx="7">
                  <c:v>1500</c:v>
                </c:pt>
                <c:pt idx="8">
                  <c:v>600</c:v>
                </c:pt>
                <c:pt idx="9">
                  <c:v>4300</c:v>
                </c:pt>
                <c:pt idx="10">
                  <c:v>1750</c:v>
                </c:pt>
                <c:pt idx="11">
                  <c:v>550</c:v>
                </c:pt>
                <c:pt idx="12">
                  <c:v>160</c:v>
                </c:pt>
                <c:pt idx="13">
                  <c:v>6140</c:v>
                </c:pt>
                <c:pt idx="14">
                  <c:v>3890</c:v>
                </c:pt>
                <c:pt idx="15">
                  <c:v>4800</c:v>
                </c:pt>
                <c:pt idx="16">
                  <c:v>2300</c:v>
                </c:pt>
                <c:pt idx="17">
                  <c:v>400</c:v>
                </c:pt>
                <c:pt idx="18">
                  <c:v>800</c:v>
                </c:pt>
                <c:pt idx="19">
                  <c:v>550</c:v>
                </c:pt>
                <c:pt idx="20">
                  <c:v>500</c:v>
                </c:pt>
                <c:pt idx="21">
                  <c:v>500</c:v>
                </c:pt>
                <c:pt idx="22">
                  <c:v>550</c:v>
                </c:pt>
              </c:numCache>
            </c:numRef>
          </c:val>
          <c:extLs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44127</c:v>
                </c:pt>
                <c:pt idx="1">
                  <c:v>44134</c:v>
                </c:pt>
                <c:pt idx="2">
                  <c:v>44141</c:v>
                </c:pt>
                <c:pt idx="3">
                  <c:v>44148</c:v>
                </c:pt>
                <c:pt idx="4">
                  <c:v>44155</c:v>
                </c:pt>
                <c:pt idx="5">
                  <c:v>44162</c:v>
                </c:pt>
                <c:pt idx="6">
                  <c:v>44169</c:v>
                </c:pt>
                <c:pt idx="7">
                  <c:v>44176</c:v>
                </c:pt>
                <c:pt idx="8">
                  <c:v>44183</c:v>
                </c:pt>
                <c:pt idx="9">
                  <c:v>44190</c:v>
                </c:pt>
                <c:pt idx="10">
                  <c:v>44197</c:v>
                </c:pt>
                <c:pt idx="11">
                  <c:v>44204</c:v>
                </c:pt>
                <c:pt idx="12">
                  <c:v>44211</c:v>
                </c:pt>
                <c:pt idx="13">
                  <c:v>44218</c:v>
                </c:pt>
                <c:pt idx="14">
                  <c:v>44225</c:v>
                </c:pt>
                <c:pt idx="15">
                  <c:v>44232</c:v>
                </c:pt>
                <c:pt idx="16">
                  <c:v>44239</c:v>
                </c:pt>
                <c:pt idx="17">
                  <c:v>44246</c:v>
                </c:pt>
                <c:pt idx="18">
                  <c:v>44253</c:v>
                </c:pt>
                <c:pt idx="19">
                  <c:v>44260</c:v>
                </c:pt>
                <c:pt idx="20">
                  <c:v>44267</c:v>
                </c:pt>
                <c:pt idx="21">
                  <c:v>44274</c:v>
                </c:pt>
                <c:pt idx="22">
                  <c:v>44281</c:v>
                </c:pt>
              </c:numCache>
            </c:numRef>
          </c:cat>
          <c:val>
            <c:numRef>
              <c:f>央行!$C$5:$C$27</c:f>
              <c:numCache>
                <c:formatCode>###,###,###,###,##0.00</c:formatCode>
                <c:ptCount val="23"/>
                <c:pt idx="0">
                  <c:v>-1000</c:v>
                </c:pt>
                <c:pt idx="1">
                  <c:v>-3250</c:v>
                </c:pt>
                <c:pt idx="2">
                  <c:v>-5100</c:v>
                </c:pt>
                <c:pt idx="3">
                  <c:v>-3200</c:v>
                </c:pt>
                <c:pt idx="4">
                  <c:v>-5500</c:v>
                </c:pt>
                <c:pt idx="5">
                  <c:v>-3050</c:v>
                </c:pt>
                <c:pt idx="6">
                  <c:v>-4300</c:v>
                </c:pt>
                <c:pt idx="7">
                  <c:v>-2000</c:v>
                </c:pt>
                <c:pt idx="8">
                  <c:v>-1500</c:v>
                </c:pt>
                <c:pt idx="9">
                  <c:v>-650</c:v>
                </c:pt>
                <c:pt idx="10">
                  <c:v>-800</c:v>
                </c:pt>
                <c:pt idx="11">
                  <c:v>-5200</c:v>
                </c:pt>
                <c:pt idx="12">
                  <c:v>-550</c:v>
                </c:pt>
                <c:pt idx="13">
                  <c:v>-160</c:v>
                </c:pt>
                <c:pt idx="14">
                  <c:v>-6190</c:v>
                </c:pt>
                <c:pt idx="15">
                  <c:v>-3840</c:v>
                </c:pt>
                <c:pt idx="16">
                  <c:v>-2800</c:v>
                </c:pt>
                <c:pt idx="17">
                  <c:v>-3800</c:v>
                </c:pt>
                <c:pt idx="18">
                  <c:v>-950</c:v>
                </c:pt>
                <c:pt idx="19">
                  <c:v>-800</c:v>
                </c:pt>
                <c:pt idx="20">
                  <c:v>-500</c:v>
                </c:pt>
                <c:pt idx="21">
                  <c:v>-500</c:v>
                </c:pt>
                <c:pt idx="22">
                  <c:v>-550</c:v>
                </c:pt>
              </c:numCache>
            </c:numRef>
          </c:val>
          <c:extLs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456316368"/>
        <c:axId val="456311888"/>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44127</c:v>
                </c:pt>
                <c:pt idx="1">
                  <c:v>44134</c:v>
                </c:pt>
                <c:pt idx="2">
                  <c:v>44141</c:v>
                </c:pt>
                <c:pt idx="3">
                  <c:v>44148</c:v>
                </c:pt>
                <c:pt idx="4">
                  <c:v>44155</c:v>
                </c:pt>
                <c:pt idx="5">
                  <c:v>44162</c:v>
                </c:pt>
                <c:pt idx="6">
                  <c:v>44169</c:v>
                </c:pt>
                <c:pt idx="7">
                  <c:v>44176</c:v>
                </c:pt>
                <c:pt idx="8">
                  <c:v>44183</c:v>
                </c:pt>
                <c:pt idx="9">
                  <c:v>44190</c:v>
                </c:pt>
                <c:pt idx="10">
                  <c:v>44197</c:v>
                </c:pt>
                <c:pt idx="11">
                  <c:v>44204</c:v>
                </c:pt>
                <c:pt idx="12">
                  <c:v>44211</c:v>
                </c:pt>
                <c:pt idx="13">
                  <c:v>44218</c:v>
                </c:pt>
                <c:pt idx="14">
                  <c:v>44225</c:v>
                </c:pt>
                <c:pt idx="15">
                  <c:v>44232</c:v>
                </c:pt>
                <c:pt idx="16">
                  <c:v>44239</c:v>
                </c:pt>
                <c:pt idx="17">
                  <c:v>44246</c:v>
                </c:pt>
                <c:pt idx="18">
                  <c:v>44253</c:v>
                </c:pt>
                <c:pt idx="19">
                  <c:v>44260</c:v>
                </c:pt>
                <c:pt idx="20">
                  <c:v>44267</c:v>
                </c:pt>
                <c:pt idx="21">
                  <c:v>44274</c:v>
                </c:pt>
                <c:pt idx="22">
                  <c:v>44281</c:v>
                </c:pt>
              </c:numCache>
            </c:numRef>
          </c:cat>
          <c:val>
            <c:numRef>
              <c:f>央行!$D$5:$D$27</c:f>
              <c:numCache>
                <c:formatCode>###,###,###,###,##0.00</c:formatCode>
                <c:ptCount val="23"/>
                <c:pt idx="0">
                  <c:v>2200</c:v>
                </c:pt>
                <c:pt idx="1">
                  <c:v>1900</c:v>
                </c:pt>
                <c:pt idx="2">
                  <c:v>-1900</c:v>
                </c:pt>
                <c:pt idx="3">
                  <c:v>2300</c:v>
                </c:pt>
                <c:pt idx="4">
                  <c:v>-2500</c:v>
                </c:pt>
                <c:pt idx="5">
                  <c:v>1300</c:v>
                </c:pt>
                <c:pt idx="6">
                  <c:v>-2300</c:v>
                </c:pt>
                <c:pt idx="7">
                  <c:v>-500</c:v>
                </c:pt>
                <c:pt idx="8">
                  <c:v>-900</c:v>
                </c:pt>
                <c:pt idx="9">
                  <c:v>3650</c:v>
                </c:pt>
                <c:pt idx="10">
                  <c:v>950</c:v>
                </c:pt>
                <c:pt idx="11">
                  <c:v>-4650</c:v>
                </c:pt>
                <c:pt idx="12">
                  <c:v>-390</c:v>
                </c:pt>
                <c:pt idx="13">
                  <c:v>5980</c:v>
                </c:pt>
                <c:pt idx="14">
                  <c:v>-2300</c:v>
                </c:pt>
                <c:pt idx="15">
                  <c:v>960</c:v>
                </c:pt>
                <c:pt idx="16">
                  <c:v>-500</c:v>
                </c:pt>
                <c:pt idx="17">
                  <c:v>-3400</c:v>
                </c:pt>
                <c:pt idx="18">
                  <c:v>-150</c:v>
                </c:pt>
                <c:pt idx="19">
                  <c:v>-250</c:v>
                </c:pt>
                <c:pt idx="20">
                  <c:v>0</c:v>
                </c:pt>
                <c:pt idx="21">
                  <c:v>0</c:v>
                </c:pt>
                <c:pt idx="22">
                  <c:v>0</c:v>
                </c:pt>
              </c:numCache>
            </c:numRef>
          </c:val>
          <c:smooth val="0"/>
          <c:extLs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456316368"/>
        <c:axId val="456311888"/>
      </c:lineChart>
      <c:catAx>
        <c:axId val="45631636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6311888"/>
        <c:crosses val="autoZero"/>
        <c:auto val="0"/>
        <c:lblAlgn val="ctr"/>
        <c:lblOffset val="0"/>
        <c:tickMarkSkip val="2"/>
        <c:noMultiLvlLbl val="0"/>
      </c:catAx>
      <c:valAx>
        <c:axId val="45631188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6316368"/>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7955162389542385"/>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44281</c:v>
                </c:pt>
                <c:pt idx="1">
                  <c:v>44280</c:v>
                </c:pt>
                <c:pt idx="2">
                  <c:v>44279</c:v>
                </c:pt>
                <c:pt idx="3">
                  <c:v>44278</c:v>
                </c:pt>
                <c:pt idx="4">
                  <c:v>44277</c:v>
                </c:pt>
                <c:pt idx="5">
                  <c:v>44274</c:v>
                </c:pt>
                <c:pt idx="6">
                  <c:v>44273</c:v>
                </c:pt>
                <c:pt idx="7">
                  <c:v>44272</c:v>
                </c:pt>
                <c:pt idx="8">
                  <c:v>44271</c:v>
                </c:pt>
                <c:pt idx="9">
                  <c:v>44270</c:v>
                </c:pt>
                <c:pt idx="10">
                  <c:v>44267</c:v>
                </c:pt>
                <c:pt idx="11">
                  <c:v>44266</c:v>
                </c:pt>
                <c:pt idx="12">
                  <c:v>44265</c:v>
                </c:pt>
                <c:pt idx="13">
                  <c:v>44264</c:v>
                </c:pt>
                <c:pt idx="14">
                  <c:v>44263</c:v>
                </c:pt>
                <c:pt idx="15">
                  <c:v>44260</c:v>
                </c:pt>
                <c:pt idx="16">
                  <c:v>44259</c:v>
                </c:pt>
                <c:pt idx="17">
                  <c:v>44258</c:v>
                </c:pt>
                <c:pt idx="18">
                  <c:v>44257</c:v>
                </c:pt>
                <c:pt idx="19">
                  <c:v>44256</c:v>
                </c:pt>
                <c:pt idx="20">
                  <c:v>44253</c:v>
                </c:pt>
                <c:pt idx="21">
                  <c:v>44252</c:v>
                </c:pt>
                <c:pt idx="22">
                  <c:v>44251</c:v>
                </c:pt>
                <c:pt idx="23">
                  <c:v>44250</c:v>
                </c:pt>
                <c:pt idx="24">
                  <c:v>44249</c:v>
                </c:pt>
                <c:pt idx="25">
                  <c:v>44247</c:v>
                </c:pt>
                <c:pt idx="26">
                  <c:v>44246</c:v>
                </c:pt>
                <c:pt idx="27">
                  <c:v>44245</c:v>
                </c:pt>
                <c:pt idx="28">
                  <c:v>44237</c:v>
                </c:pt>
                <c:pt idx="29">
                  <c:v>44236</c:v>
                </c:pt>
                <c:pt idx="30">
                  <c:v>44235</c:v>
                </c:pt>
                <c:pt idx="31">
                  <c:v>44234</c:v>
                </c:pt>
                <c:pt idx="32">
                  <c:v>44232</c:v>
                </c:pt>
                <c:pt idx="33">
                  <c:v>44231</c:v>
                </c:pt>
                <c:pt idx="34">
                  <c:v>44230</c:v>
                </c:pt>
                <c:pt idx="35">
                  <c:v>44229</c:v>
                </c:pt>
                <c:pt idx="36">
                  <c:v>44228</c:v>
                </c:pt>
                <c:pt idx="37">
                  <c:v>44225</c:v>
                </c:pt>
                <c:pt idx="38">
                  <c:v>44224</c:v>
                </c:pt>
                <c:pt idx="39">
                  <c:v>44223</c:v>
                </c:pt>
                <c:pt idx="40">
                  <c:v>44222</c:v>
                </c:pt>
                <c:pt idx="41">
                  <c:v>44221</c:v>
                </c:pt>
                <c:pt idx="42">
                  <c:v>44218</c:v>
                </c:pt>
                <c:pt idx="43">
                  <c:v>44217</c:v>
                </c:pt>
                <c:pt idx="44">
                  <c:v>44216</c:v>
                </c:pt>
                <c:pt idx="45">
                  <c:v>44215</c:v>
                </c:pt>
                <c:pt idx="46">
                  <c:v>44214</c:v>
                </c:pt>
                <c:pt idx="47">
                  <c:v>44211</c:v>
                </c:pt>
                <c:pt idx="48">
                  <c:v>44210</c:v>
                </c:pt>
                <c:pt idx="49">
                  <c:v>44209</c:v>
                </c:pt>
                <c:pt idx="50">
                  <c:v>44208</c:v>
                </c:pt>
                <c:pt idx="51">
                  <c:v>44207</c:v>
                </c:pt>
                <c:pt idx="52">
                  <c:v>44204</c:v>
                </c:pt>
                <c:pt idx="53">
                  <c:v>44203</c:v>
                </c:pt>
                <c:pt idx="54">
                  <c:v>44202</c:v>
                </c:pt>
                <c:pt idx="55">
                  <c:v>44201</c:v>
                </c:pt>
                <c:pt idx="56">
                  <c:v>44200</c:v>
                </c:pt>
                <c:pt idx="57">
                  <c:v>44196</c:v>
                </c:pt>
                <c:pt idx="58">
                  <c:v>44195</c:v>
                </c:pt>
              </c:numCache>
            </c:numRef>
          </c:cat>
          <c:val>
            <c:numRef>
              <c:f>资金!$B$3:$B$61</c:f>
              <c:numCache>
                <c:formatCode>###,###,###,###,##0.0000</c:formatCode>
                <c:ptCount val="59"/>
                <c:pt idx="0">
                  <c:v>1.8057000000000001</c:v>
                </c:pt>
                <c:pt idx="1">
                  <c:v>2.0571999999999999</c:v>
                </c:pt>
                <c:pt idx="2">
                  <c:v>1.8817999999999999</c:v>
                </c:pt>
                <c:pt idx="3">
                  <c:v>2.0042</c:v>
                </c:pt>
                <c:pt idx="4">
                  <c:v>2.0869</c:v>
                </c:pt>
                <c:pt idx="5">
                  <c:v>2.1583999999999999</c:v>
                </c:pt>
                <c:pt idx="6">
                  <c:v>2.2496999999999998</c:v>
                </c:pt>
                <c:pt idx="7">
                  <c:v>2.024</c:v>
                </c:pt>
                <c:pt idx="8">
                  <c:v>2.1652</c:v>
                </c:pt>
                <c:pt idx="9">
                  <c:v>2.2884000000000002</c:v>
                </c:pt>
                <c:pt idx="10">
                  <c:v>1.8247</c:v>
                </c:pt>
                <c:pt idx="11">
                  <c:v>1.8349</c:v>
                </c:pt>
                <c:pt idx="12">
                  <c:v>1.7825</c:v>
                </c:pt>
                <c:pt idx="13">
                  <c:v>2.0304000000000002</c:v>
                </c:pt>
                <c:pt idx="14">
                  <c:v>1.7479</c:v>
                </c:pt>
                <c:pt idx="15">
                  <c:v>1.6113999999999999</c:v>
                </c:pt>
                <c:pt idx="16">
                  <c:v>1.9486000000000001</c:v>
                </c:pt>
                <c:pt idx="17">
                  <c:v>1.532</c:v>
                </c:pt>
                <c:pt idx="18">
                  <c:v>1.8036000000000001</c:v>
                </c:pt>
                <c:pt idx="19">
                  <c:v>2.1819999999999999</c:v>
                </c:pt>
                <c:pt idx="20">
                  <c:v>2.2122000000000002</c:v>
                </c:pt>
                <c:pt idx="21">
                  <c:v>1.7466999999999999</c:v>
                </c:pt>
                <c:pt idx="22">
                  <c:v>1.5522</c:v>
                </c:pt>
                <c:pt idx="23">
                  <c:v>1.9908999999999999</c:v>
                </c:pt>
                <c:pt idx="24">
                  <c:v>1.5585</c:v>
                </c:pt>
                <c:pt idx="25">
                  <c:v>1.4419</c:v>
                </c:pt>
                <c:pt idx="26">
                  <c:v>1.8237000000000001</c:v>
                </c:pt>
                <c:pt idx="27">
                  <c:v>2.3538999999999999</c:v>
                </c:pt>
                <c:pt idx="28">
                  <c:v>1.8607</c:v>
                </c:pt>
                <c:pt idx="29">
                  <c:v>1.7911999999999999</c:v>
                </c:pt>
                <c:pt idx="30">
                  <c:v>1.9377</c:v>
                </c:pt>
                <c:pt idx="31">
                  <c:v>1.5358000000000001</c:v>
                </c:pt>
                <c:pt idx="32">
                  <c:v>1.8911</c:v>
                </c:pt>
                <c:pt idx="33">
                  <c:v>2.1088</c:v>
                </c:pt>
                <c:pt idx="34">
                  <c:v>1.9271</c:v>
                </c:pt>
                <c:pt idx="35">
                  <c:v>2.2991999999999999</c:v>
                </c:pt>
                <c:pt idx="36">
                  <c:v>3.0550999999999999</c:v>
                </c:pt>
                <c:pt idx="37">
                  <c:v>6.5883000000000003</c:v>
                </c:pt>
                <c:pt idx="38">
                  <c:v>4.2148000000000003</c:v>
                </c:pt>
                <c:pt idx="39">
                  <c:v>3.5893999999999999</c:v>
                </c:pt>
                <c:pt idx="40">
                  <c:v>3.1797</c:v>
                </c:pt>
                <c:pt idx="41">
                  <c:v>2.6110000000000002</c:v>
                </c:pt>
                <c:pt idx="42">
                  <c:v>2.5579000000000001</c:v>
                </c:pt>
                <c:pt idx="43">
                  <c:v>2.7303000000000002</c:v>
                </c:pt>
                <c:pt idx="44">
                  <c:v>2.6476999999999999</c:v>
                </c:pt>
                <c:pt idx="45">
                  <c:v>2.4173</c:v>
                </c:pt>
                <c:pt idx="46">
                  <c:v>2.2145999999999999</c:v>
                </c:pt>
                <c:pt idx="47">
                  <c:v>1.81</c:v>
                </c:pt>
                <c:pt idx="48">
                  <c:v>1.7403999999999999</c:v>
                </c:pt>
                <c:pt idx="49">
                  <c:v>1.466</c:v>
                </c:pt>
                <c:pt idx="50">
                  <c:v>1.4098999999999999</c:v>
                </c:pt>
                <c:pt idx="51">
                  <c:v>1.2854000000000001</c:v>
                </c:pt>
                <c:pt idx="52">
                  <c:v>1.0166999999999999</c:v>
                </c:pt>
                <c:pt idx="53">
                  <c:v>0.99309999999999998</c:v>
                </c:pt>
                <c:pt idx="54">
                  <c:v>0.69089999999999996</c:v>
                </c:pt>
                <c:pt idx="55">
                  <c:v>0.80669999999999997</c:v>
                </c:pt>
                <c:pt idx="56">
                  <c:v>0.96089999999999998</c:v>
                </c:pt>
                <c:pt idx="57">
                  <c:v>1.4548000000000001</c:v>
                </c:pt>
                <c:pt idx="58">
                  <c:v>0.7712</c:v>
                </c:pt>
              </c:numCache>
            </c:numRef>
          </c:val>
          <c:smooth val="1"/>
          <c:extLs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44281</c:v>
                </c:pt>
                <c:pt idx="1">
                  <c:v>44280</c:v>
                </c:pt>
                <c:pt idx="2">
                  <c:v>44279</c:v>
                </c:pt>
                <c:pt idx="3">
                  <c:v>44278</c:v>
                </c:pt>
                <c:pt idx="4">
                  <c:v>44277</c:v>
                </c:pt>
                <c:pt idx="5">
                  <c:v>44274</c:v>
                </c:pt>
                <c:pt idx="6">
                  <c:v>44273</c:v>
                </c:pt>
                <c:pt idx="7">
                  <c:v>44272</c:v>
                </c:pt>
                <c:pt idx="8">
                  <c:v>44271</c:v>
                </c:pt>
                <c:pt idx="9">
                  <c:v>44270</c:v>
                </c:pt>
                <c:pt idx="10">
                  <c:v>44267</c:v>
                </c:pt>
                <c:pt idx="11">
                  <c:v>44266</c:v>
                </c:pt>
                <c:pt idx="12">
                  <c:v>44265</c:v>
                </c:pt>
                <c:pt idx="13">
                  <c:v>44264</c:v>
                </c:pt>
                <c:pt idx="14">
                  <c:v>44263</c:v>
                </c:pt>
                <c:pt idx="15">
                  <c:v>44260</c:v>
                </c:pt>
                <c:pt idx="16">
                  <c:v>44259</c:v>
                </c:pt>
                <c:pt idx="17">
                  <c:v>44258</c:v>
                </c:pt>
                <c:pt idx="18">
                  <c:v>44257</c:v>
                </c:pt>
                <c:pt idx="19">
                  <c:v>44256</c:v>
                </c:pt>
                <c:pt idx="20">
                  <c:v>44253</c:v>
                </c:pt>
                <c:pt idx="21">
                  <c:v>44252</c:v>
                </c:pt>
                <c:pt idx="22">
                  <c:v>44251</c:v>
                </c:pt>
                <c:pt idx="23">
                  <c:v>44250</c:v>
                </c:pt>
                <c:pt idx="24">
                  <c:v>44249</c:v>
                </c:pt>
                <c:pt idx="25">
                  <c:v>44247</c:v>
                </c:pt>
                <c:pt idx="26">
                  <c:v>44246</c:v>
                </c:pt>
                <c:pt idx="27">
                  <c:v>44245</c:v>
                </c:pt>
                <c:pt idx="28">
                  <c:v>44237</c:v>
                </c:pt>
                <c:pt idx="29">
                  <c:v>44236</c:v>
                </c:pt>
                <c:pt idx="30">
                  <c:v>44235</c:v>
                </c:pt>
                <c:pt idx="31">
                  <c:v>44234</c:v>
                </c:pt>
                <c:pt idx="32">
                  <c:v>44232</c:v>
                </c:pt>
                <c:pt idx="33">
                  <c:v>44231</c:v>
                </c:pt>
                <c:pt idx="34">
                  <c:v>44230</c:v>
                </c:pt>
                <c:pt idx="35">
                  <c:v>44229</c:v>
                </c:pt>
                <c:pt idx="36">
                  <c:v>44228</c:v>
                </c:pt>
                <c:pt idx="37">
                  <c:v>44225</c:v>
                </c:pt>
                <c:pt idx="38">
                  <c:v>44224</c:v>
                </c:pt>
                <c:pt idx="39">
                  <c:v>44223</c:v>
                </c:pt>
                <c:pt idx="40">
                  <c:v>44222</c:v>
                </c:pt>
                <c:pt idx="41">
                  <c:v>44221</c:v>
                </c:pt>
                <c:pt idx="42">
                  <c:v>44218</c:v>
                </c:pt>
                <c:pt idx="43">
                  <c:v>44217</c:v>
                </c:pt>
                <c:pt idx="44">
                  <c:v>44216</c:v>
                </c:pt>
                <c:pt idx="45">
                  <c:v>44215</c:v>
                </c:pt>
                <c:pt idx="46">
                  <c:v>44214</c:v>
                </c:pt>
                <c:pt idx="47">
                  <c:v>44211</c:v>
                </c:pt>
                <c:pt idx="48">
                  <c:v>44210</c:v>
                </c:pt>
                <c:pt idx="49">
                  <c:v>44209</c:v>
                </c:pt>
                <c:pt idx="50">
                  <c:v>44208</c:v>
                </c:pt>
                <c:pt idx="51">
                  <c:v>44207</c:v>
                </c:pt>
                <c:pt idx="52">
                  <c:v>44204</c:v>
                </c:pt>
                <c:pt idx="53">
                  <c:v>44203</c:v>
                </c:pt>
                <c:pt idx="54">
                  <c:v>44202</c:v>
                </c:pt>
                <c:pt idx="55">
                  <c:v>44201</c:v>
                </c:pt>
                <c:pt idx="56">
                  <c:v>44200</c:v>
                </c:pt>
                <c:pt idx="57">
                  <c:v>44196</c:v>
                </c:pt>
                <c:pt idx="58">
                  <c:v>44195</c:v>
                </c:pt>
              </c:numCache>
            </c:numRef>
          </c:cat>
          <c:val>
            <c:numRef>
              <c:f>资金!$C$3:$C$61</c:f>
              <c:numCache>
                <c:formatCode>###,###,###,###,##0.0000</c:formatCode>
                <c:ptCount val="59"/>
                <c:pt idx="0">
                  <c:v>2.4746000000000001</c:v>
                </c:pt>
                <c:pt idx="1">
                  <c:v>2.4559000000000002</c:v>
                </c:pt>
                <c:pt idx="2">
                  <c:v>1.9964</c:v>
                </c:pt>
                <c:pt idx="3">
                  <c:v>2.1162000000000001</c:v>
                </c:pt>
                <c:pt idx="4">
                  <c:v>2.1791</c:v>
                </c:pt>
                <c:pt idx="5">
                  <c:v>2.1913999999999998</c:v>
                </c:pt>
                <c:pt idx="6">
                  <c:v>2.1907999999999999</c:v>
                </c:pt>
                <c:pt idx="7">
                  <c:v>2.1332</c:v>
                </c:pt>
                <c:pt idx="8">
                  <c:v>2.302</c:v>
                </c:pt>
                <c:pt idx="9">
                  <c:v>2.3008000000000002</c:v>
                </c:pt>
                <c:pt idx="10">
                  <c:v>2.0649999999999999</c:v>
                </c:pt>
                <c:pt idx="11">
                  <c:v>2.0508999999999999</c:v>
                </c:pt>
                <c:pt idx="12">
                  <c:v>2.0379</c:v>
                </c:pt>
                <c:pt idx="13">
                  <c:v>2.0366</c:v>
                </c:pt>
                <c:pt idx="14">
                  <c:v>2.0465</c:v>
                </c:pt>
                <c:pt idx="15">
                  <c:v>1.9971000000000001</c:v>
                </c:pt>
                <c:pt idx="16">
                  <c:v>2.0945999999999998</c:v>
                </c:pt>
                <c:pt idx="17">
                  <c:v>1.9888999999999999</c:v>
                </c:pt>
                <c:pt idx="18">
                  <c:v>2.1551999999999998</c:v>
                </c:pt>
                <c:pt idx="19">
                  <c:v>2.2427000000000001</c:v>
                </c:pt>
                <c:pt idx="20">
                  <c:v>2.3666999999999998</c:v>
                </c:pt>
                <c:pt idx="21">
                  <c:v>2.2989999999999999</c:v>
                </c:pt>
                <c:pt idx="22">
                  <c:v>2.3325999999999998</c:v>
                </c:pt>
                <c:pt idx="23">
                  <c:v>2.4706999999999999</c:v>
                </c:pt>
                <c:pt idx="24">
                  <c:v>2.4460999999999999</c:v>
                </c:pt>
                <c:pt idx="25">
                  <c:v>2.0444</c:v>
                </c:pt>
                <c:pt idx="26">
                  <c:v>2.0552999999999999</c:v>
                </c:pt>
                <c:pt idx="27">
                  <c:v>2.294</c:v>
                </c:pt>
                <c:pt idx="28">
                  <c:v>2.1448</c:v>
                </c:pt>
                <c:pt idx="29">
                  <c:v>2.5484</c:v>
                </c:pt>
                <c:pt idx="30">
                  <c:v>2.5283000000000002</c:v>
                </c:pt>
                <c:pt idx="31">
                  <c:v>2.4319999999999999</c:v>
                </c:pt>
                <c:pt idx="32">
                  <c:v>2.2995999999999999</c:v>
                </c:pt>
                <c:pt idx="33">
                  <c:v>2.5297000000000001</c:v>
                </c:pt>
                <c:pt idx="34">
                  <c:v>2.2336</c:v>
                </c:pt>
                <c:pt idx="35">
                  <c:v>2.5807000000000002</c:v>
                </c:pt>
                <c:pt idx="36">
                  <c:v>3.7665999999999999</c:v>
                </c:pt>
                <c:pt idx="37">
                  <c:v>4.3929999999999998</c:v>
                </c:pt>
                <c:pt idx="38">
                  <c:v>4.8315000000000001</c:v>
                </c:pt>
                <c:pt idx="39">
                  <c:v>4.0193000000000003</c:v>
                </c:pt>
                <c:pt idx="40">
                  <c:v>3.3340999999999998</c:v>
                </c:pt>
                <c:pt idx="41">
                  <c:v>2.7936999999999999</c:v>
                </c:pt>
                <c:pt idx="42">
                  <c:v>2.5236000000000001</c:v>
                </c:pt>
                <c:pt idx="43">
                  <c:v>2.7056</c:v>
                </c:pt>
                <c:pt idx="44">
                  <c:v>2.8475000000000001</c:v>
                </c:pt>
                <c:pt idx="45">
                  <c:v>2.7555000000000001</c:v>
                </c:pt>
                <c:pt idx="46">
                  <c:v>2.2976000000000001</c:v>
                </c:pt>
                <c:pt idx="47">
                  <c:v>2.0333999999999999</c:v>
                </c:pt>
                <c:pt idx="48">
                  <c:v>2.0226000000000002</c:v>
                </c:pt>
                <c:pt idx="49">
                  <c:v>2.0316000000000001</c:v>
                </c:pt>
                <c:pt idx="50">
                  <c:v>1.9894000000000001</c:v>
                </c:pt>
                <c:pt idx="51">
                  <c:v>1.9881</c:v>
                </c:pt>
                <c:pt idx="52">
                  <c:v>1.9588000000000001</c:v>
                </c:pt>
                <c:pt idx="53">
                  <c:v>1.9403999999999999</c:v>
                </c:pt>
                <c:pt idx="54">
                  <c:v>1.99</c:v>
                </c:pt>
                <c:pt idx="55">
                  <c:v>1.9370000000000001</c:v>
                </c:pt>
                <c:pt idx="56">
                  <c:v>2.0960000000000001</c:v>
                </c:pt>
                <c:pt idx="57">
                  <c:v>2.5943000000000001</c:v>
                </c:pt>
                <c:pt idx="58">
                  <c:v>3.3605</c:v>
                </c:pt>
              </c:numCache>
            </c:numRef>
          </c:val>
          <c:smooth val="1"/>
          <c:extLs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smooth val="0"/>
        <c:axId val="456340144"/>
        <c:axId val="456340704"/>
      </c:lineChart>
      <c:dateAx>
        <c:axId val="45634014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6340704"/>
        <c:crosses val="autoZero"/>
        <c:auto val="0"/>
        <c:lblOffset val="0"/>
        <c:baseTimeUnit val="days"/>
        <c:majorUnit val="14"/>
        <c:majorTimeUnit val="days"/>
        <c:minorUnit val="7"/>
        <c:minorTimeUnit val="days"/>
      </c:dateAx>
      <c:valAx>
        <c:axId val="456340704"/>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6340144"/>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0.78000000000000291</c:v>
                </c:pt>
                <c:pt idx="1">
                  <c:v>-3.7300000000000111</c:v>
                </c:pt>
                <c:pt idx="2">
                  <c:v>-3.2200000000000006</c:v>
                </c:pt>
                <c:pt idx="3">
                  <c:v>-3.4499999999999975</c:v>
                </c:pt>
                <c:pt idx="4">
                  <c:v>-4.3799999999999617</c:v>
                </c:pt>
                <c:pt idx="5">
                  <c:v>-2.7899999999999814</c:v>
                </c:pt>
                <c:pt idx="6">
                  <c:v>-3.7900000000000045</c:v>
                </c:pt>
              </c:numCache>
            </c:numRef>
          </c:val>
          <c:extLs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480847472"/>
        <c:axId val="453199280"/>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c:ext xmlns:c15="http://schemas.microsoft.com/office/drawing/2012/chart" uri="{CE6537A1-D6FC-4f65-9D91-7224C49458BB}"/>
                <c:ext xmlns:c16="http://schemas.microsoft.com/office/drawing/2014/chart" uri="{C3380CC4-5D6E-409C-BE32-E72D297353CC}">
                  <c16:uniqueId val="{0000000B-F10F-4D2D-834C-E6E69D663A7D}"/>
                </c:ext>
              </c:extLst>
            </c:dLbl>
            <c:dLbl>
              <c:idx val="1"/>
              <c:delete val="1"/>
              <c:extLst>
                <c:ext xmlns:c15="http://schemas.microsoft.com/office/drawing/2012/chart" uri="{CE6537A1-D6FC-4f65-9D91-7224C49458BB}"/>
                <c:ext xmlns:c16="http://schemas.microsoft.com/office/drawing/2014/chart" uri="{C3380CC4-5D6E-409C-BE32-E72D297353CC}">
                  <c16:uniqueId val="{0000000A-F10F-4D2D-834C-E6E69D663A7D}"/>
                </c:ext>
              </c:extLst>
            </c:dLbl>
            <c:dLbl>
              <c:idx val="2"/>
              <c:delete val="1"/>
              <c:extLst>
                <c:ext xmlns:c15="http://schemas.microsoft.com/office/drawing/2012/chart" uri="{CE6537A1-D6FC-4f65-9D91-7224C49458BB}"/>
                <c:ext xmlns:c16="http://schemas.microsoft.com/office/drawing/2014/chart" uri="{C3380CC4-5D6E-409C-BE32-E72D297353CC}">
                  <c16:uniqueId val="{00000009-F10F-4D2D-834C-E6E69D663A7D}"/>
                </c:ext>
              </c:extLst>
            </c:dLbl>
            <c:dLbl>
              <c:idx val="3"/>
              <c:delete val="1"/>
              <c:extLst>
                <c:ext xmlns:c15="http://schemas.microsoft.com/office/drawing/2012/chart" uri="{CE6537A1-D6FC-4f65-9D91-7224C49458BB}"/>
                <c:ext xmlns:c16="http://schemas.microsoft.com/office/drawing/2014/chart" uri="{C3380CC4-5D6E-409C-BE32-E72D297353CC}">
                  <c16:uniqueId val="{00000008-F10F-4D2D-834C-E6E69D663A7D}"/>
                </c:ext>
              </c:extLst>
            </c:dLbl>
            <c:dLbl>
              <c:idx val="4"/>
              <c:delete val="1"/>
              <c:extLst>
                <c:ext xmlns:c15="http://schemas.microsoft.com/office/drawing/2012/chart" uri="{CE6537A1-D6FC-4f65-9D91-7224C49458BB}"/>
                <c:ext xmlns:c16="http://schemas.microsoft.com/office/drawing/2014/chart" uri="{C3380CC4-5D6E-409C-BE32-E72D297353CC}">
                  <c16:uniqueId val="{00000007-F10F-4D2D-834C-E6E69D663A7D}"/>
                </c:ext>
              </c:extLst>
            </c:dLbl>
            <c:dLbl>
              <c:idx val="5"/>
              <c:delete val="1"/>
              <c:extLst>
                <c:ext xmlns:c15="http://schemas.microsoft.com/office/drawing/2012/chart" uri="{CE6537A1-D6FC-4f65-9D91-7224C49458BB}"/>
                <c:ext xmlns:c16="http://schemas.microsoft.com/office/drawing/2014/chart" uri="{C3380CC4-5D6E-409C-BE32-E72D297353CC}">
                  <c16:uniqueId val="{00000006-F10F-4D2D-834C-E6E69D663A7D}"/>
                </c:ext>
              </c:extLst>
            </c:dLbl>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1.8956</c:v>
                </c:pt>
                <c:pt idx="1">
                  <c:v>2.0024999999999999</c:v>
                </c:pt>
                <c:pt idx="2">
                  <c:v>2.6073</c:v>
                </c:pt>
                <c:pt idx="3">
                  <c:v>2.8860000000000001</c:v>
                </c:pt>
                <c:pt idx="4">
                  <c:v>3.0102000000000002</c:v>
                </c:pt>
                <c:pt idx="5">
                  <c:v>3.1806000000000001</c:v>
                </c:pt>
                <c:pt idx="6">
                  <c:v>3.1985000000000001</c:v>
                </c:pt>
              </c:numCache>
            </c:numRef>
          </c:val>
          <c:smooth val="0"/>
          <c:extLs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1.8877999999999999</c:v>
                </c:pt>
                <c:pt idx="1">
                  <c:v>2.0398000000000001</c:v>
                </c:pt>
                <c:pt idx="2">
                  <c:v>2.6395</c:v>
                </c:pt>
                <c:pt idx="3">
                  <c:v>2.9205000000000001</c:v>
                </c:pt>
                <c:pt idx="4">
                  <c:v>3.0539999999999998</c:v>
                </c:pt>
                <c:pt idx="5">
                  <c:v>3.2084999999999999</c:v>
                </c:pt>
                <c:pt idx="6">
                  <c:v>3.2364000000000002</c:v>
                </c:pt>
              </c:numCache>
            </c:numRef>
          </c:val>
          <c:smooth val="0"/>
          <c:extLs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453204320"/>
        <c:axId val="453202080"/>
      </c:lineChart>
      <c:dateAx>
        <c:axId val="48084747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3199280"/>
        <c:crosses val="autoZero"/>
        <c:auto val="0"/>
        <c:lblOffset val="0"/>
        <c:baseTimeUnit val="days"/>
      </c:dateAx>
      <c:valAx>
        <c:axId val="45319928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80847472"/>
        <c:crosses val="autoZero"/>
        <c:crossBetween val="between"/>
      </c:valAx>
      <c:valAx>
        <c:axId val="453202080"/>
        <c:scaling>
          <c:orientation val="minMax"/>
        </c:scaling>
        <c:delete val="0"/>
        <c:axPos val="r"/>
        <c:numFmt formatCode="#,##0.0_);[Red]\(#,##0.0\)" sourceLinked="0"/>
        <c:majorTickMark val="out"/>
        <c:minorTickMark val="none"/>
        <c:tickLblPos val="nextTo"/>
        <c:spPr>
          <a:ln w="3175">
            <a:solidFill>
              <a:sysClr val="windowText" lastClr="000000"/>
            </a:solidFill>
          </a:ln>
        </c:spPr>
        <c:crossAx val="453204320"/>
        <c:crosses val="max"/>
        <c:crossBetween val="between"/>
      </c:valAx>
      <c:dateAx>
        <c:axId val="453204320"/>
        <c:scaling>
          <c:orientation val="minMax"/>
        </c:scaling>
        <c:delete val="1"/>
        <c:axPos val="b"/>
        <c:numFmt formatCode="General" sourceLinked="1"/>
        <c:majorTickMark val="out"/>
        <c:minorTickMark val="none"/>
        <c:tickLblPos val="nextTo"/>
        <c:crossAx val="453202080"/>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-2.2599999999999953</c:v>
                </c:pt>
                <c:pt idx="1">
                  <c:v>-2.4000000000000021</c:v>
                </c:pt>
                <c:pt idx="2">
                  <c:v>1.6099999999999781</c:v>
                </c:pt>
                <c:pt idx="3">
                  <c:v>-2.42</c:v>
                </c:pt>
                <c:pt idx="4">
                  <c:v>-2.8499999999999748</c:v>
                </c:pt>
                <c:pt idx="5">
                  <c:v>-2.970000000000006</c:v>
                </c:pt>
                <c:pt idx="6">
                  <c:v>-5.7500000000000107</c:v>
                </c:pt>
              </c:numCache>
            </c:numRef>
          </c:val>
          <c:extLs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452733664"/>
        <c:axId val="452731424"/>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c:ext xmlns:c15="http://schemas.microsoft.com/office/drawing/2012/chart" uri="{CE6537A1-D6FC-4f65-9D91-7224C49458BB}"/>
                <c:ext xmlns:c16="http://schemas.microsoft.com/office/drawing/2014/chart" uri="{C3380CC4-5D6E-409C-BE32-E72D297353CC}">
                  <c16:uniqueId val="{00000001-0319-4AA3-8886-0F871A1F4B20}"/>
                </c:ext>
              </c:extLst>
            </c:dLbl>
            <c:dLbl>
              <c:idx val="1"/>
              <c:delete val="1"/>
              <c:extLst>
                <c:ext xmlns:c15="http://schemas.microsoft.com/office/drawing/2012/chart" uri="{CE6537A1-D6FC-4f65-9D91-7224C49458BB}"/>
                <c:ext xmlns:c16="http://schemas.microsoft.com/office/drawing/2014/chart" uri="{C3380CC4-5D6E-409C-BE32-E72D297353CC}">
                  <c16:uniqueId val="{00000002-0319-4AA3-8886-0F871A1F4B20}"/>
                </c:ext>
              </c:extLst>
            </c:dLbl>
            <c:dLbl>
              <c:idx val="2"/>
              <c:delete val="1"/>
              <c:extLst>
                <c:ext xmlns:c15="http://schemas.microsoft.com/office/drawing/2012/chart" uri="{CE6537A1-D6FC-4f65-9D91-7224C49458BB}"/>
                <c:ext xmlns:c16="http://schemas.microsoft.com/office/drawing/2014/chart" uri="{C3380CC4-5D6E-409C-BE32-E72D297353CC}">
                  <c16:uniqueId val="{00000003-0319-4AA3-8886-0F871A1F4B20}"/>
                </c:ext>
              </c:extLst>
            </c:dLbl>
            <c:dLbl>
              <c:idx val="3"/>
              <c:delete val="1"/>
              <c:extLst>
                <c:ext xmlns:c15="http://schemas.microsoft.com/office/drawing/2012/chart" uri="{CE6537A1-D6FC-4f65-9D91-7224C49458BB}"/>
                <c:ext xmlns:c16="http://schemas.microsoft.com/office/drawing/2014/chart" uri="{C3380CC4-5D6E-409C-BE32-E72D297353CC}">
                  <c16:uniqueId val="{00000004-0319-4AA3-8886-0F871A1F4B20}"/>
                </c:ext>
              </c:extLst>
            </c:dLbl>
            <c:dLbl>
              <c:idx val="4"/>
              <c:delete val="1"/>
              <c:extLst>
                <c:ext xmlns:c15="http://schemas.microsoft.com/office/drawing/2012/chart" uri="{CE6537A1-D6FC-4f65-9D91-7224C49458BB}"/>
                <c:ext xmlns:c16="http://schemas.microsoft.com/office/drawing/2014/chart" uri="{C3380CC4-5D6E-409C-BE32-E72D297353CC}">
                  <c16:uniqueId val="{00000005-0319-4AA3-8886-0F871A1F4B20}"/>
                </c:ext>
              </c:extLst>
            </c:dLbl>
            <c:dLbl>
              <c:idx val="5"/>
              <c:delete val="1"/>
              <c:extLst>
                <c:ext xmlns:c15="http://schemas.microsoft.com/office/drawing/2012/chart" uri="{CE6537A1-D6FC-4f65-9D91-7224C49458BB}"/>
                <c:ext xmlns:c16="http://schemas.microsoft.com/office/drawing/2014/chart" uri="{C3380CC4-5D6E-409C-BE32-E72D297353CC}">
                  <c16:uniqueId val="{00000006-0319-4AA3-8886-0F871A1F4B20}"/>
                </c:ext>
              </c:extLst>
            </c:dLbl>
            <c:spPr>
              <a:noFill/>
              <a:ln>
                <a:noFill/>
              </a:ln>
              <a:effectLst/>
            </c:spPr>
            <c:dLblPos val="t"/>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1.9964999999999999</c:v>
                </c:pt>
                <c:pt idx="1">
                  <c:v>2.1579999999999999</c:v>
                </c:pt>
                <c:pt idx="2">
                  <c:v>2.7789999999999999</c:v>
                </c:pt>
                <c:pt idx="3">
                  <c:v>3.1991999999999998</c:v>
                </c:pt>
                <c:pt idx="4">
                  <c:v>3.3727</c:v>
                </c:pt>
                <c:pt idx="5">
                  <c:v>3.5221</c:v>
                </c:pt>
                <c:pt idx="6">
                  <c:v>3.5800999999999998</c:v>
                </c:pt>
              </c:numCache>
            </c:numRef>
          </c:val>
          <c:smooth val="0"/>
          <c:extLs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2.0190999999999999</c:v>
                </c:pt>
                <c:pt idx="1">
                  <c:v>2.1819999999999999</c:v>
                </c:pt>
                <c:pt idx="2">
                  <c:v>2.7629000000000001</c:v>
                </c:pt>
                <c:pt idx="3">
                  <c:v>3.2233999999999998</c:v>
                </c:pt>
                <c:pt idx="4">
                  <c:v>3.4011999999999998</c:v>
                </c:pt>
                <c:pt idx="5">
                  <c:v>3.5518000000000001</c:v>
                </c:pt>
                <c:pt idx="6">
                  <c:v>3.6375999999999999</c:v>
                </c:pt>
              </c:numCache>
            </c:numRef>
          </c:val>
          <c:smooth val="0"/>
          <c:extLs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456334544"/>
        <c:axId val="456336224"/>
      </c:lineChart>
      <c:dateAx>
        <c:axId val="45273366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52731424"/>
        <c:crosses val="autoZero"/>
        <c:auto val="0"/>
        <c:lblOffset val="0"/>
        <c:baseTimeUnit val="days"/>
      </c:dateAx>
      <c:valAx>
        <c:axId val="45273142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52733664"/>
        <c:crosses val="autoZero"/>
        <c:crossBetween val="between"/>
      </c:valAx>
      <c:valAx>
        <c:axId val="456336224"/>
        <c:scaling>
          <c:orientation val="minMax"/>
        </c:scaling>
        <c:delete val="0"/>
        <c:axPos val="r"/>
        <c:numFmt formatCode="#,##0.0_);[Red]\(#,##0.0\)" sourceLinked="0"/>
        <c:majorTickMark val="out"/>
        <c:minorTickMark val="none"/>
        <c:tickLblPos val="nextTo"/>
        <c:spPr>
          <a:ln w="3175">
            <a:solidFill>
              <a:sysClr val="windowText" lastClr="000000"/>
            </a:solidFill>
          </a:ln>
        </c:spPr>
        <c:crossAx val="456334544"/>
        <c:crosses val="max"/>
        <c:crossBetween val="between"/>
      </c:valAx>
      <c:dateAx>
        <c:axId val="456334544"/>
        <c:scaling>
          <c:orientation val="minMax"/>
        </c:scaling>
        <c:delete val="1"/>
        <c:axPos val="b"/>
        <c:numFmt formatCode="General" sourceLinked="1"/>
        <c:majorTickMark val="out"/>
        <c:minorTickMark val="none"/>
        <c:tickLblPos val="nextTo"/>
        <c:crossAx val="456336224"/>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44281</c:v>
                </c:pt>
                <c:pt idx="1">
                  <c:v>44274</c:v>
                </c:pt>
                <c:pt idx="2">
                  <c:v>44267</c:v>
                </c:pt>
                <c:pt idx="3">
                  <c:v>44260</c:v>
                </c:pt>
                <c:pt idx="4">
                  <c:v>44253</c:v>
                </c:pt>
                <c:pt idx="5">
                  <c:v>44246</c:v>
                </c:pt>
                <c:pt idx="6">
                  <c:v>44237</c:v>
                </c:pt>
                <c:pt idx="7">
                  <c:v>44232</c:v>
                </c:pt>
                <c:pt idx="8">
                  <c:v>44225</c:v>
                </c:pt>
                <c:pt idx="9">
                  <c:v>44218</c:v>
                </c:pt>
                <c:pt idx="10">
                  <c:v>44211</c:v>
                </c:pt>
                <c:pt idx="11">
                  <c:v>44204</c:v>
                </c:pt>
                <c:pt idx="12">
                  <c:v>44196</c:v>
                </c:pt>
                <c:pt idx="13">
                  <c:v>44190</c:v>
                </c:pt>
                <c:pt idx="14">
                  <c:v>44183</c:v>
                </c:pt>
                <c:pt idx="15">
                  <c:v>44176</c:v>
                </c:pt>
                <c:pt idx="16">
                  <c:v>44169</c:v>
                </c:pt>
                <c:pt idx="17">
                  <c:v>44162</c:v>
                </c:pt>
                <c:pt idx="18">
                  <c:v>44155</c:v>
                </c:pt>
                <c:pt idx="19">
                  <c:v>44148</c:v>
                </c:pt>
                <c:pt idx="20">
                  <c:v>44141</c:v>
                </c:pt>
                <c:pt idx="21">
                  <c:v>44134</c:v>
                </c:pt>
                <c:pt idx="22">
                  <c:v>44127</c:v>
                </c:pt>
                <c:pt idx="23">
                  <c:v>44120</c:v>
                </c:pt>
              </c:numCache>
            </c:numRef>
          </c:cat>
          <c:val>
            <c:numRef>
              <c:f>转债!$H$5:$H$28</c:f>
              <c:numCache>
                <c:formatCode>General</c:formatCode>
                <c:ptCount val="24"/>
                <c:pt idx="0">
                  <c:v>-0.60228572793130652</c:v>
                </c:pt>
                <c:pt idx="1">
                  <c:v>-3.1776372489655813E-2</c:v>
                </c:pt>
                <c:pt idx="2">
                  <c:v>-4.7135404794640401E-2</c:v>
                </c:pt>
                <c:pt idx="3">
                  <c:v>-0.36446495209937479</c:v>
                </c:pt>
                <c:pt idx="4">
                  <c:v>-0.83302398179928572</c:v>
                </c:pt>
                <c:pt idx="5">
                  <c:v>0.6749833384349202</c:v>
                </c:pt>
                <c:pt idx="6">
                  <c:v>-0.97725235052894543</c:v>
                </c:pt>
                <c:pt idx="7">
                  <c:v>-3.7324076667079265</c:v>
                </c:pt>
                <c:pt idx="8">
                  <c:v>-1.5029057335321894</c:v>
                </c:pt>
                <c:pt idx="9">
                  <c:v>2.3883837956239162</c:v>
                </c:pt>
                <c:pt idx="10">
                  <c:v>1.4567472283187888</c:v>
                </c:pt>
                <c:pt idx="11">
                  <c:v>1.4996765376942056</c:v>
                </c:pt>
                <c:pt idx="12">
                  <c:v>-5.7311442099161614E-2</c:v>
                </c:pt>
                <c:pt idx="13">
                  <c:v>-1.2353437926715283</c:v>
                </c:pt>
                <c:pt idx="14">
                  <c:v>-1.409014829335653</c:v>
                </c:pt>
                <c:pt idx="15">
                  <c:v>-1.5655629872286747</c:v>
                </c:pt>
                <c:pt idx="16">
                  <c:v>0.13283120694855821</c:v>
                </c:pt>
                <c:pt idx="17">
                  <c:v>-3.3268857960977449E-2</c:v>
                </c:pt>
                <c:pt idx="18">
                  <c:v>-0.67745272348749275</c:v>
                </c:pt>
                <c:pt idx="19">
                  <c:v>-0.64784723895615626</c:v>
                </c:pt>
                <c:pt idx="20">
                  <c:v>-0.29437240714570434</c:v>
                </c:pt>
                <c:pt idx="21">
                  <c:v>-0.72428963118784662</c:v>
                </c:pt>
                <c:pt idx="22">
                  <c:v>-0.45048638744705771</c:v>
                </c:pt>
                <c:pt idx="23">
                  <c:v>0</c:v>
                </c:pt>
              </c:numCache>
            </c:numRef>
          </c:val>
          <c:smooth val="1"/>
          <c:extLs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44281</c:v>
                </c:pt>
                <c:pt idx="1">
                  <c:v>44274</c:v>
                </c:pt>
                <c:pt idx="2">
                  <c:v>44267</c:v>
                </c:pt>
                <c:pt idx="3">
                  <c:v>44260</c:v>
                </c:pt>
                <c:pt idx="4">
                  <c:v>44253</c:v>
                </c:pt>
                <c:pt idx="5">
                  <c:v>44246</c:v>
                </c:pt>
                <c:pt idx="6">
                  <c:v>44237</c:v>
                </c:pt>
                <c:pt idx="7">
                  <c:v>44232</c:v>
                </c:pt>
                <c:pt idx="8">
                  <c:v>44225</c:v>
                </c:pt>
                <c:pt idx="9">
                  <c:v>44218</c:v>
                </c:pt>
                <c:pt idx="10">
                  <c:v>44211</c:v>
                </c:pt>
                <c:pt idx="11">
                  <c:v>44204</c:v>
                </c:pt>
                <c:pt idx="12">
                  <c:v>44196</c:v>
                </c:pt>
                <c:pt idx="13">
                  <c:v>44190</c:v>
                </c:pt>
                <c:pt idx="14">
                  <c:v>44183</c:v>
                </c:pt>
                <c:pt idx="15">
                  <c:v>44176</c:v>
                </c:pt>
                <c:pt idx="16">
                  <c:v>44169</c:v>
                </c:pt>
                <c:pt idx="17">
                  <c:v>44162</c:v>
                </c:pt>
                <c:pt idx="18">
                  <c:v>44155</c:v>
                </c:pt>
                <c:pt idx="19">
                  <c:v>44148</c:v>
                </c:pt>
                <c:pt idx="20">
                  <c:v>44141</c:v>
                </c:pt>
                <c:pt idx="21">
                  <c:v>44134</c:v>
                </c:pt>
                <c:pt idx="22">
                  <c:v>44127</c:v>
                </c:pt>
                <c:pt idx="23">
                  <c:v>44120</c:v>
                </c:pt>
              </c:numCache>
            </c:numRef>
          </c:cat>
          <c:val>
            <c:numRef>
              <c:f>转债!$I$5:$I$28</c:f>
              <c:numCache>
                <c:formatCode>General</c:formatCode>
                <c:ptCount val="24"/>
                <c:pt idx="0">
                  <c:v>0.83718138358308547</c:v>
                </c:pt>
                <c:pt idx="1">
                  <c:v>0.66739554526549227</c:v>
                </c:pt>
                <c:pt idx="2">
                  <c:v>0.58087336806225132</c:v>
                </c:pt>
                <c:pt idx="3">
                  <c:v>0.57066906767850867</c:v>
                </c:pt>
                <c:pt idx="4">
                  <c:v>0.42052007631787625</c:v>
                </c:pt>
                <c:pt idx="5">
                  <c:v>0.4475314596865676</c:v>
                </c:pt>
                <c:pt idx="6">
                  <c:v>0.52282033142536655</c:v>
                </c:pt>
                <c:pt idx="7">
                  <c:v>0.53876991017642872</c:v>
                </c:pt>
                <c:pt idx="8">
                  <c:v>0.73393787381823561</c:v>
                </c:pt>
                <c:pt idx="9">
                  <c:v>1.1165562629965375</c:v>
                </c:pt>
                <c:pt idx="10">
                  <c:v>1.041095890410948</c:v>
                </c:pt>
                <c:pt idx="11">
                  <c:v>1.0518146933350403</c:v>
                </c:pt>
                <c:pt idx="12">
                  <c:v>1.0266898192809792</c:v>
                </c:pt>
                <c:pt idx="13">
                  <c:v>0.7480866936780517</c:v>
                </c:pt>
                <c:pt idx="14">
                  <c:v>0.42566510172143968</c:v>
                </c:pt>
                <c:pt idx="15">
                  <c:v>0.29498145647093299</c:v>
                </c:pt>
                <c:pt idx="16">
                  <c:v>0.25124874054065494</c:v>
                </c:pt>
                <c:pt idx="17">
                  <c:v>7.5631873432357999E-2</c:v>
                </c:pt>
                <c:pt idx="18">
                  <c:v>-0.11087529744677749</c:v>
                </c:pt>
                <c:pt idx="19">
                  <c:v>0.15855253285312898</c:v>
                </c:pt>
                <c:pt idx="20">
                  <c:v>0.37961712435954365</c:v>
                </c:pt>
                <c:pt idx="21">
                  <c:v>0.35809376808797477</c:v>
                </c:pt>
                <c:pt idx="22">
                  <c:v>0.24850472699209369</c:v>
                </c:pt>
                <c:pt idx="23">
                  <c:v>0</c:v>
                </c:pt>
              </c:numCache>
            </c:numRef>
          </c:val>
          <c:smooth val="1"/>
          <c:extLs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44281</c:v>
                </c:pt>
                <c:pt idx="1">
                  <c:v>44274</c:v>
                </c:pt>
                <c:pt idx="2">
                  <c:v>44267</c:v>
                </c:pt>
                <c:pt idx="3">
                  <c:v>44260</c:v>
                </c:pt>
                <c:pt idx="4">
                  <c:v>44253</c:v>
                </c:pt>
                <c:pt idx="5">
                  <c:v>44246</c:v>
                </c:pt>
                <c:pt idx="6">
                  <c:v>44237</c:v>
                </c:pt>
                <c:pt idx="7">
                  <c:v>44232</c:v>
                </c:pt>
                <c:pt idx="8">
                  <c:v>44225</c:v>
                </c:pt>
                <c:pt idx="9">
                  <c:v>44218</c:v>
                </c:pt>
                <c:pt idx="10">
                  <c:v>44211</c:v>
                </c:pt>
                <c:pt idx="11">
                  <c:v>44204</c:v>
                </c:pt>
                <c:pt idx="12">
                  <c:v>44196</c:v>
                </c:pt>
                <c:pt idx="13">
                  <c:v>44190</c:v>
                </c:pt>
                <c:pt idx="14">
                  <c:v>44183</c:v>
                </c:pt>
                <c:pt idx="15">
                  <c:v>44176</c:v>
                </c:pt>
                <c:pt idx="16">
                  <c:v>44169</c:v>
                </c:pt>
                <c:pt idx="17">
                  <c:v>44162</c:v>
                </c:pt>
                <c:pt idx="18">
                  <c:v>44155</c:v>
                </c:pt>
                <c:pt idx="19">
                  <c:v>44148</c:v>
                </c:pt>
                <c:pt idx="20">
                  <c:v>44141</c:v>
                </c:pt>
                <c:pt idx="21">
                  <c:v>44134</c:v>
                </c:pt>
                <c:pt idx="22">
                  <c:v>44127</c:v>
                </c:pt>
                <c:pt idx="23">
                  <c:v>44120</c:v>
                </c:pt>
              </c:numCache>
            </c:numRef>
          </c:cat>
          <c:val>
            <c:numRef>
              <c:f>转债!$J$5:$J$28</c:f>
              <c:numCache>
                <c:formatCode>General</c:formatCode>
                <c:ptCount val="24"/>
                <c:pt idx="0">
                  <c:v>5.1404539872896171</c:v>
                </c:pt>
                <c:pt idx="1">
                  <c:v>4.4956023737831918</c:v>
                </c:pt>
                <c:pt idx="2">
                  <c:v>7.4024746247450812</c:v>
                </c:pt>
                <c:pt idx="3">
                  <c:v>9.8320462401881858</c:v>
                </c:pt>
                <c:pt idx="4">
                  <c:v>11.375662711752632</c:v>
                </c:pt>
                <c:pt idx="5">
                  <c:v>20.601685088891642</c:v>
                </c:pt>
                <c:pt idx="6">
                  <c:v>21.204336436770753</c:v>
                </c:pt>
                <c:pt idx="7">
                  <c:v>14.436243185056741</c:v>
                </c:pt>
                <c:pt idx="8">
                  <c:v>11.692956702414769</c:v>
                </c:pt>
                <c:pt idx="9">
                  <c:v>16.238577065728133</c:v>
                </c:pt>
                <c:pt idx="10">
                  <c:v>13.907559693101113</c:v>
                </c:pt>
                <c:pt idx="11">
                  <c:v>14.687023913970787</c:v>
                </c:pt>
                <c:pt idx="12">
                  <c:v>8.7571133774487109</c:v>
                </c:pt>
                <c:pt idx="13">
                  <c:v>5.2244287802430733</c:v>
                </c:pt>
                <c:pt idx="14">
                  <c:v>4.3469508372435905</c:v>
                </c:pt>
                <c:pt idx="15">
                  <c:v>2.0442367138345796</c:v>
                </c:pt>
                <c:pt idx="16">
                  <c:v>5.7232646781627095</c:v>
                </c:pt>
                <c:pt idx="17">
                  <c:v>3.9461975308848096</c:v>
                </c:pt>
                <c:pt idx="18">
                  <c:v>3.1640745325852482</c:v>
                </c:pt>
                <c:pt idx="19">
                  <c:v>1.3601775245237757</c:v>
                </c:pt>
                <c:pt idx="20">
                  <c:v>1.9626076554424721</c:v>
                </c:pt>
                <c:pt idx="21">
                  <c:v>-2.010615909756841</c:v>
                </c:pt>
                <c:pt idx="22">
                  <c:v>-1.5273966770708358</c:v>
                </c:pt>
                <c:pt idx="23">
                  <c:v>0</c:v>
                </c:pt>
              </c:numCache>
            </c:numRef>
          </c:val>
          <c:smooth val="1"/>
          <c:extLs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smooth val="0"/>
        <c:axId val="480201920"/>
        <c:axId val="480202480"/>
      </c:lineChart>
      <c:dateAx>
        <c:axId val="48020192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480202480"/>
        <c:crosses val="autoZero"/>
        <c:auto val="0"/>
        <c:lblOffset val="0"/>
        <c:baseTimeUnit val="days"/>
        <c:majorUnit val="14"/>
        <c:majorTimeUnit val="days"/>
      </c:dateAx>
      <c:valAx>
        <c:axId val="48020248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80201920"/>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c:ext xmlns:c16="http://schemas.microsoft.com/office/drawing/2014/chart" uri="{C3380CC4-5D6E-409C-BE32-E72D297353CC}">
              <c16:uniqueId val="{00000000-263E-4541-8F4F-0EB9B7B9BD50}"/>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c:ext xmlns:c16="http://schemas.microsoft.com/office/drawing/2014/chart" uri="{C3380CC4-5D6E-409C-BE32-E72D297353CC}">
              <c16:uniqueId val="{00000001-263E-4541-8F4F-0EB9B7B9BD50}"/>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2748.48</c:v>
                </c:pt>
                <c:pt idx="79">
                  <c:v>#N/A</c:v>
                </c:pt>
                <c:pt idx="80">
                  <c:v>#N/A</c:v>
                </c:pt>
                <c:pt idx="81">
                  <c:v>#N/A</c:v>
                </c:pt>
                <c:pt idx="82">
                  <c:v>#N/A</c:v>
                </c:pt>
                <c:pt idx="83">
                  <c:v>#N/A</c:v>
                </c:pt>
                <c:pt idx="84">
                  <c:v>#N/A</c:v>
                </c:pt>
                <c:pt idx="85">
                  <c:v>2784.75</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smooth val="0"/>
        <c:axId val="713410176"/>
        <c:axId val="713410736"/>
      </c:lineChart>
      <c:dateAx>
        <c:axId val="71341017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713410736"/>
        <c:crosses val="autoZero"/>
        <c:auto val="0"/>
        <c:lblOffset val="0"/>
        <c:baseTimeUnit val="days"/>
        <c:majorUnit val="1"/>
        <c:majorTimeUnit val="months"/>
      </c:dateAx>
      <c:valAx>
        <c:axId val="713410736"/>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71341017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c:ext xmlns:c16="http://schemas.microsoft.com/office/drawing/2014/chart" uri="{C3380CC4-5D6E-409C-BE32-E72D297353CC}">
              <c16:uniqueId val="{00000000-DE56-486F-81AB-A95D34284161}"/>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c:ext xmlns:c16="http://schemas.microsoft.com/office/drawing/2014/chart" uri="{C3380CC4-5D6E-409C-BE32-E72D297353CC}">
              <c16:uniqueId val="{00000001-DE56-486F-81AB-A95D34284161}"/>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144.74</c:v>
                </c:pt>
                <c:pt idx="74">
                  <c:v>144.78</c:v>
                </c:pt>
                <c:pt idx="75">
                  <c:v>144.82</c:v>
                </c:pt>
                <c:pt idx="76">
                  <c:v>144.82</c:v>
                </c:pt>
                <c:pt idx="77">
                  <c:v>144.86000000000001</c:v>
                </c:pt>
                <c:pt idx="78">
                  <c:v>#N/A</c:v>
                </c:pt>
                <c:pt idx="79">
                  <c:v>#N/A</c:v>
                </c:pt>
                <c:pt idx="80">
                  <c:v>146.4</c:v>
                </c:pt>
                <c:pt idx="81">
                  <c:v>146.54</c:v>
                </c:pt>
                <c:pt idx="82">
                  <c:v>146.44999999999999</c:v>
                </c:pt>
                <c:pt idx="83">
                  <c:v>147.52000000000001</c:v>
                </c:pt>
                <c:pt idx="84">
                  <c:v>148.02000000000001</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smooth val="0"/>
        <c:axId val="713428096"/>
        <c:axId val="713428656"/>
      </c:lineChart>
      <c:dateAx>
        <c:axId val="71342809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713428656"/>
        <c:crosses val="autoZero"/>
        <c:auto val="0"/>
        <c:lblOffset val="0"/>
        <c:baseTimeUnit val="days"/>
        <c:majorUnit val="1"/>
        <c:majorTimeUnit val="months"/>
      </c:dateAx>
      <c:valAx>
        <c:axId val="713428656"/>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71342809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44282</c:v>
                </c:pt>
                <c:pt idx="1">
                  <c:v>44275</c:v>
                </c:pt>
                <c:pt idx="2">
                  <c:v>44268</c:v>
                </c:pt>
                <c:pt idx="3">
                  <c:v>44261</c:v>
                </c:pt>
                <c:pt idx="4">
                  <c:v>44254</c:v>
                </c:pt>
                <c:pt idx="5">
                  <c:v>44247</c:v>
                </c:pt>
                <c:pt idx="6">
                  <c:v>44240</c:v>
                </c:pt>
                <c:pt idx="7">
                  <c:v>44233</c:v>
                </c:pt>
                <c:pt idx="8">
                  <c:v>44226</c:v>
                </c:pt>
                <c:pt idx="9">
                  <c:v>44219</c:v>
                </c:pt>
                <c:pt idx="10">
                  <c:v>44212</c:v>
                </c:pt>
                <c:pt idx="11">
                  <c:v>44205</c:v>
                </c:pt>
                <c:pt idx="12">
                  <c:v>44198</c:v>
                </c:pt>
                <c:pt idx="13">
                  <c:v>44191</c:v>
                </c:pt>
                <c:pt idx="14">
                  <c:v>44184</c:v>
                </c:pt>
                <c:pt idx="15">
                  <c:v>44177</c:v>
                </c:pt>
                <c:pt idx="16">
                  <c:v>44170</c:v>
                </c:pt>
                <c:pt idx="17">
                  <c:v>44163</c:v>
                </c:pt>
                <c:pt idx="18">
                  <c:v>44156</c:v>
                </c:pt>
                <c:pt idx="19">
                  <c:v>44149</c:v>
                </c:pt>
                <c:pt idx="20">
                  <c:v>44142</c:v>
                </c:pt>
                <c:pt idx="21">
                  <c:v>44135</c:v>
                </c:pt>
                <c:pt idx="22">
                  <c:v>44128</c:v>
                </c:pt>
                <c:pt idx="23">
                  <c:v>44121</c:v>
                </c:pt>
                <c:pt idx="24">
                  <c:v>44114</c:v>
                </c:pt>
                <c:pt idx="25">
                  <c:v>44107</c:v>
                </c:pt>
              </c:numCache>
            </c:numRef>
          </c:cat>
          <c:val>
            <c:numRef>
              <c:f>汇率!$B$3:$B$28</c:f>
              <c:numCache>
                <c:formatCode>###,###,###,###,##0.00</c:formatCode>
                <c:ptCount val="26"/>
                <c:pt idx="0">
                  <c:v>6.5407000000000002</c:v>
                </c:pt>
                <c:pt idx="1">
                  <c:v>6.5045000000000002</c:v>
                </c:pt>
                <c:pt idx="2">
                  <c:v>6.5035999999999996</c:v>
                </c:pt>
                <c:pt idx="3">
                  <c:v>6.4767999999999999</c:v>
                </c:pt>
                <c:pt idx="4">
                  <c:v>6.4589999999999996</c:v>
                </c:pt>
                <c:pt idx="5">
                  <c:v>6.4574999999999996</c:v>
                </c:pt>
                <c:pt idx="6">
                  <c:v>6.4379999999999997</c:v>
                </c:pt>
                <c:pt idx="7">
                  <c:v>6.4809999999999999</c:v>
                </c:pt>
                <c:pt idx="8">
                  <c:v>6.4611999999999998</c:v>
                </c:pt>
                <c:pt idx="9">
                  <c:v>6.4776999999999996</c:v>
                </c:pt>
                <c:pt idx="10">
                  <c:v>6.4752000000000001</c:v>
                </c:pt>
                <c:pt idx="11">
                  <c:v>6.4718999999999998</c:v>
                </c:pt>
                <c:pt idx="12">
                  <c:v>6.5397999999999996</c:v>
                </c:pt>
                <c:pt idx="13">
                  <c:v>6.5240999999999998</c:v>
                </c:pt>
                <c:pt idx="14">
                  <c:v>6.5415000000000001</c:v>
                </c:pt>
                <c:pt idx="15">
                  <c:v>6.5411000000000001</c:v>
                </c:pt>
                <c:pt idx="16">
                  <c:v>6.5301999999999998</c:v>
                </c:pt>
                <c:pt idx="17">
                  <c:v>6.5823</c:v>
                </c:pt>
                <c:pt idx="18">
                  <c:v>6.5713999999999997</c:v>
                </c:pt>
                <c:pt idx="19">
                  <c:v>6.6143999999999998</c:v>
                </c:pt>
                <c:pt idx="20">
                  <c:v>6.6215000000000002</c:v>
                </c:pt>
                <c:pt idx="21">
                  <c:v>6.7001999999999997</c:v>
                </c:pt>
                <c:pt idx="22">
                  <c:v>6.6689999999999996</c:v>
                </c:pt>
                <c:pt idx="23">
                  <c:v>6.6981999999999999</c:v>
                </c:pt>
                <c:pt idx="24">
                  <c:v>6.7134999999999998</c:v>
                </c:pt>
                <c:pt idx="25">
                  <c:v>6.8106</c:v>
                </c:pt>
              </c:numCache>
            </c:numRef>
          </c:val>
          <c:smooth val="1"/>
          <c:extLs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marker val="1"/>
        <c:smooth val="0"/>
        <c:axId val="713433136"/>
        <c:axId val="713425296"/>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44282</c:v>
                </c:pt>
                <c:pt idx="1">
                  <c:v>44275</c:v>
                </c:pt>
                <c:pt idx="2">
                  <c:v>44268</c:v>
                </c:pt>
                <c:pt idx="3">
                  <c:v>44261</c:v>
                </c:pt>
                <c:pt idx="4">
                  <c:v>44254</c:v>
                </c:pt>
                <c:pt idx="5">
                  <c:v>44247</c:v>
                </c:pt>
                <c:pt idx="6">
                  <c:v>44240</c:v>
                </c:pt>
                <c:pt idx="7">
                  <c:v>44233</c:v>
                </c:pt>
                <c:pt idx="8">
                  <c:v>44226</c:v>
                </c:pt>
                <c:pt idx="9">
                  <c:v>44219</c:v>
                </c:pt>
                <c:pt idx="10">
                  <c:v>44212</c:v>
                </c:pt>
                <c:pt idx="11">
                  <c:v>44205</c:v>
                </c:pt>
                <c:pt idx="12">
                  <c:v>44198</c:v>
                </c:pt>
                <c:pt idx="13">
                  <c:v>44191</c:v>
                </c:pt>
                <c:pt idx="14">
                  <c:v>44184</c:v>
                </c:pt>
                <c:pt idx="15">
                  <c:v>44177</c:v>
                </c:pt>
                <c:pt idx="16">
                  <c:v>44170</c:v>
                </c:pt>
                <c:pt idx="17">
                  <c:v>44163</c:v>
                </c:pt>
                <c:pt idx="18">
                  <c:v>44156</c:v>
                </c:pt>
                <c:pt idx="19">
                  <c:v>44149</c:v>
                </c:pt>
                <c:pt idx="20">
                  <c:v>44142</c:v>
                </c:pt>
                <c:pt idx="21">
                  <c:v>44135</c:v>
                </c:pt>
                <c:pt idx="22">
                  <c:v>44128</c:v>
                </c:pt>
                <c:pt idx="23">
                  <c:v>44121</c:v>
                </c:pt>
                <c:pt idx="24">
                  <c:v>44114</c:v>
                </c:pt>
                <c:pt idx="25">
                  <c:v>44107</c:v>
                </c:pt>
              </c:numCache>
            </c:numRef>
          </c:cat>
          <c:val>
            <c:numRef>
              <c:f>汇率!$C$3:$C$28</c:f>
              <c:numCache>
                <c:formatCode>###,###,###,###,##0.00</c:formatCode>
                <c:ptCount val="26"/>
                <c:pt idx="0">
                  <c:v>152.85000000000002</c:v>
                </c:pt>
                <c:pt idx="1">
                  <c:v>149.64000000000001</c:v>
                </c:pt>
                <c:pt idx="2">
                  <c:v>162.13</c:v>
                </c:pt>
                <c:pt idx="3">
                  <c:v>168.56999999999996</c:v>
                </c:pt>
                <c:pt idx="4">
                  <c:v>183.98</c:v>
                </c:pt>
                <c:pt idx="5">
                  <c:v>191.78</c:v>
                </c:pt>
                <c:pt idx="6">
                  <c:v>209.49</c:v>
                </c:pt>
                <c:pt idx="7">
                  <c:v>202.64000000000001</c:v>
                </c:pt>
                <c:pt idx="8">
                  <c:v>206.86</c:v>
                </c:pt>
                <c:pt idx="9">
                  <c:v>201.85</c:v>
                </c:pt>
                <c:pt idx="10">
                  <c:v>204.07999999999998</c:v>
                </c:pt>
                <c:pt idx="11">
                  <c:v>201.56</c:v>
                </c:pt>
                <c:pt idx="12">
                  <c:v>221.29</c:v>
                </c:pt>
                <c:pt idx="13">
                  <c:v>229.03000000000003</c:v>
                </c:pt>
                <c:pt idx="14">
                  <c:v>234.02000000000004</c:v>
                </c:pt>
                <c:pt idx="15">
                  <c:v>239.51000000000002</c:v>
                </c:pt>
                <c:pt idx="16">
                  <c:v>229.50999999999996</c:v>
                </c:pt>
                <c:pt idx="17">
                  <c:v>246</c:v>
                </c:pt>
                <c:pt idx="18">
                  <c:v>248</c:v>
                </c:pt>
                <c:pt idx="19">
                  <c:v>238.15</c:v>
                </c:pt>
                <c:pt idx="20">
                  <c:v>237.63</c:v>
                </c:pt>
                <c:pt idx="21">
                  <c:v>230.10000000000002</c:v>
                </c:pt>
                <c:pt idx="22">
                  <c:v>234.57</c:v>
                </c:pt>
                <c:pt idx="23">
                  <c:v>246.02000000000004</c:v>
                </c:pt>
                <c:pt idx="24">
                  <c:v>239.73</c:v>
                </c:pt>
                <c:pt idx="25">
                  <c:v>245.82000000000002</c:v>
                </c:pt>
              </c:numCache>
            </c:numRef>
          </c:val>
          <c:smooth val="1"/>
          <c:extLs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713422496"/>
        <c:axId val="713419136"/>
      </c:lineChart>
      <c:dateAx>
        <c:axId val="71343313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713425296"/>
        <c:crosses val="autoZero"/>
        <c:auto val="0"/>
        <c:lblOffset val="0"/>
        <c:baseTimeUnit val="days"/>
      </c:dateAx>
      <c:valAx>
        <c:axId val="713425296"/>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713433136"/>
        <c:crosses val="autoZero"/>
        <c:crossBetween val="between"/>
      </c:valAx>
      <c:valAx>
        <c:axId val="713419136"/>
        <c:scaling>
          <c:orientation val="minMax"/>
        </c:scaling>
        <c:delete val="0"/>
        <c:axPos val="r"/>
        <c:numFmt formatCode="#,##0_);[Red]\(#,##0\)" sourceLinked="0"/>
        <c:majorTickMark val="out"/>
        <c:minorTickMark val="none"/>
        <c:tickLblPos val="nextTo"/>
        <c:spPr>
          <a:ln w="3175">
            <a:solidFill>
              <a:sysClr val="windowText" lastClr="000000"/>
            </a:solidFill>
          </a:ln>
        </c:spPr>
        <c:crossAx val="713422496"/>
        <c:crosses val="max"/>
        <c:crossBetween val="between"/>
      </c:valAx>
      <c:dateAx>
        <c:axId val="713422496"/>
        <c:scaling>
          <c:orientation val="minMax"/>
        </c:scaling>
        <c:delete val="1"/>
        <c:axPos val="b"/>
        <c:numFmt formatCode="yyyy\-mm\-dd;@" sourceLinked="1"/>
        <c:majorTickMark val="out"/>
        <c:minorTickMark val="none"/>
        <c:tickLblPos val="nextTo"/>
        <c:crossAx val="713419136"/>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c:ext xmlns:c16="http://schemas.microsoft.com/office/drawing/2014/chart" uri="{C3380CC4-5D6E-409C-BE32-E72D297353CC}">
              <c16:uniqueId val="{00000000-1B69-41E2-9965-8575E7F426CB}"/>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c:ext xmlns:c16="http://schemas.microsoft.com/office/drawing/2014/chart" uri="{C3380CC4-5D6E-409C-BE32-E72D297353CC}">
              <c16:uniqueId val="{00000001-1B69-41E2-9965-8575E7F426CB}"/>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37.299999999999997</c:v>
                </c:pt>
                <c:pt idx="79">
                  <c:v>#N/A</c:v>
                </c:pt>
                <c:pt idx="80">
                  <c:v>#N/A</c:v>
                </c:pt>
                <c:pt idx="81">
                  <c:v>#N/A</c:v>
                </c:pt>
                <c:pt idx="82">
                  <c:v>#N/A</c:v>
                </c:pt>
                <c:pt idx="83">
                  <c:v>#N/A</c:v>
                </c:pt>
                <c:pt idx="84">
                  <c:v>#N/A</c:v>
                </c:pt>
                <c:pt idx="85">
                  <c:v>36.33</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extLst>
            <c:ext xmlns:c16="http://schemas.microsoft.com/office/drawing/2014/chart" uri="{C3380CC4-5D6E-409C-BE32-E72D297353CC}">
              <c16:uniqueId val="{00000000-7B87-4D3C-9710-FC6843B37AA1}"/>
            </c:ext>
          </c:extLst>
        </c:ser>
        <c:dLbls>
          <c:showLegendKey val="0"/>
          <c:showVal val="0"/>
          <c:showCatName val="0"/>
          <c:showSerName val="0"/>
          <c:showPercent val="0"/>
          <c:showBubbleSize val="0"/>
        </c:dLbls>
        <c:smooth val="0"/>
        <c:axId val="428004048"/>
        <c:axId val="428004608"/>
      </c:lineChart>
      <c:dateAx>
        <c:axId val="428004048"/>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28004608"/>
        <c:crosses val="autoZero"/>
        <c:auto val="0"/>
        <c:lblOffset val="0"/>
        <c:baseTimeUnit val="days"/>
        <c:majorUnit val="1"/>
        <c:majorTimeUnit val="months"/>
      </c:dateAx>
      <c:valAx>
        <c:axId val="428004608"/>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428004048"/>
        <c:crosses val="autoZero"/>
        <c:crossBetween val="between"/>
      </c:valAx>
      <c:spPr>
        <a:solidFill>
          <a:schemeClr val="bg1"/>
        </a:solidFill>
        <a:ln>
          <a:noFill/>
        </a:ln>
        <a:effectLst/>
      </c:spPr>
    </c:plotArea>
    <c:legend>
      <c:legendPos val="r"/>
      <c:layout>
        <c:manualLayout>
          <c:xMode val="edge"/>
          <c:yMode val="edge"/>
          <c:x val="0.20573837533503933"/>
          <c:y val="2.3338961545449777E-3"/>
          <c:w val="0.61383251317835463"/>
          <c:h val="8.6490998535043051E-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withinLinear" id="15">
  <a:schemeClr val="accent2"/>
</cs:colorStyle>
</file>

<file path=word/charts/style1.xml><?xml version="1.0" encoding="utf-8"?>
<cs:chartStyle xmlns:cs="http://schemas.microsoft.com/office/drawing/2012/chartStyle" xmlns:a="http://schemas.openxmlformats.org/drawingml/2006/main" id="102">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a:schemeClr val="dk1">
        <a:tint val="95000"/>
      </a:schem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a:schemeClr val="dk1">
        <a:tint val="5000"/>
      </a:schem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0</cdr:y>
    </cdr:from>
    <cdr:to>
      <cdr:x>0.14585</cdr:x>
      <cdr:y>0.05046</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437322" cy="95415"/>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C9CDD1-D6B2-44D0-B6D7-61729AEB93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7</Pages>
  <Words>3836</Words>
  <Characters>1626</Characters>
  <Application>Microsoft Office Word</Application>
  <DocSecurity>0</DocSecurity>
  <Lines>13</Lines>
  <Paragraphs>10</Paragraphs>
  <ScaleCrop>false</ScaleCrop>
  <Company>Microsoft</Company>
  <LinksUpToDate>false</LinksUpToDate>
  <CharactersWithSpaces>5452</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subject/>
  <dc:creator>钱伟</dc:creator>
  <cp:keywords/>
  <dc:description/>
  <cp:lastModifiedBy>王丹</cp:lastModifiedBy>
  <cp:revision>12</cp:revision>
  <cp:lastPrinted>2019-06-26T06:05:00Z</cp:lastPrinted>
  <dcterms:created xsi:type="dcterms:W3CDTF">2021-03-28T10:49:00Z</dcterms:created>
  <dcterms:modified xsi:type="dcterms:W3CDTF">2021-03-29T05:22:00Z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