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5B95844C"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847EB6">
        <w:rPr>
          <w:rFonts w:ascii="楷体" w:eastAsia="楷体" w:hAnsi="楷体" w:hint="eastAsia"/>
          <w:sz w:val="28"/>
          <w:szCs w:val="28"/>
        </w:rPr>
        <w:t>流动性持续平稳</w:t>
      </w:r>
      <w:r w:rsidR="00CD02EA">
        <w:rPr>
          <w:rFonts w:ascii="楷体" w:eastAsia="楷体" w:hAnsi="楷体" w:hint="eastAsia"/>
          <w:sz w:val="28"/>
          <w:szCs w:val="28"/>
        </w:rPr>
        <w:t>，</w:t>
      </w:r>
      <w:r w:rsidR="000E3145">
        <w:rPr>
          <w:rFonts w:ascii="楷体" w:eastAsia="楷体" w:hAnsi="楷体" w:hint="eastAsia"/>
          <w:sz w:val="28"/>
          <w:szCs w:val="28"/>
        </w:rPr>
        <w:t>债市</w:t>
      </w:r>
      <w:r w:rsidR="00847EB6">
        <w:rPr>
          <w:rFonts w:ascii="楷体" w:eastAsia="楷体" w:hAnsi="楷体" w:hint="eastAsia"/>
          <w:sz w:val="28"/>
          <w:szCs w:val="28"/>
        </w:rPr>
        <w:t>进入震荡阶段</w:t>
      </w:r>
      <w:bookmarkEnd w:id="0"/>
      <w:r w:rsidR="007F77B5" w:rsidRPr="00541553">
        <w:rPr>
          <w:rFonts w:ascii="楷体" w:eastAsia="楷体" w:hAnsi="楷体"/>
          <w:sz w:val="28"/>
          <w:szCs w:val="28"/>
        </w:rPr>
        <w:t xml:space="preserve"> </w:t>
      </w:r>
    </w:p>
    <w:p w14:paraId="0A7A9383" w14:textId="1DB8AB43"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847EB6">
        <w:rPr>
          <w:rFonts w:ascii="楷体" w:eastAsia="楷体" w:hAnsi="楷体" w:hint="eastAsia"/>
          <w:sz w:val="28"/>
          <w:szCs w:val="28"/>
        </w:rPr>
        <w:t>4</w:t>
      </w:r>
      <w:r w:rsidR="009C30E2" w:rsidRPr="00FA6C01">
        <w:rPr>
          <w:rFonts w:ascii="楷体" w:eastAsia="楷体" w:hAnsi="楷体"/>
          <w:sz w:val="28"/>
          <w:szCs w:val="28"/>
        </w:rPr>
        <w:t>月</w:t>
      </w:r>
      <w:r w:rsidR="00414307">
        <w:rPr>
          <w:rFonts w:ascii="楷体" w:eastAsia="楷体" w:hAnsi="楷体" w:hint="eastAsia"/>
          <w:sz w:val="28"/>
          <w:szCs w:val="28"/>
        </w:rPr>
        <w:t>2</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01CE608" w14:textId="3F4FBDF3" w:rsidR="008918FC" w:rsidRDefault="00341E75" w:rsidP="00D33963">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3月PMI数据公布，</w:t>
      </w:r>
      <w:r w:rsidR="00D33963">
        <w:rPr>
          <w:rFonts w:ascii="华文楷体" w:hAnsi="华文楷体"/>
          <w:b w:val="0"/>
          <w:smallCaps w:val="0"/>
          <w:color w:val="auto"/>
          <w:sz w:val="24"/>
          <w:szCs w:val="24"/>
        </w:rPr>
        <w:t xml:space="preserve"> </w:t>
      </w:r>
      <w:r w:rsidRPr="00341E75">
        <w:rPr>
          <w:rFonts w:ascii="华文楷体" w:hAnsi="华文楷体" w:hint="eastAsia"/>
          <w:b w:val="0"/>
          <w:smallCaps w:val="0"/>
          <w:color w:val="auto"/>
          <w:sz w:val="24"/>
          <w:szCs w:val="24"/>
        </w:rPr>
        <w:t>3月制造业PMI回升1.3个百分点至</w:t>
      </w:r>
      <w:r w:rsidR="00D33963">
        <w:rPr>
          <w:rFonts w:ascii="华文楷体" w:hAnsi="华文楷体" w:hint="eastAsia"/>
          <w:b w:val="0"/>
          <w:smallCaps w:val="0"/>
          <w:color w:val="auto"/>
          <w:sz w:val="24"/>
          <w:szCs w:val="24"/>
        </w:rPr>
        <w:t>51.9</w:t>
      </w:r>
      <w:r w:rsidRPr="00341E75">
        <w:rPr>
          <w:rFonts w:ascii="华文楷体" w:hAnsi="华文楷体" w:hint="eastAsia"/>
          <w:b w:val="0"/>
          <w:smallCaps w:val="0"/>
          <w:color w:val="auto"/>
          <w:sz w:val="24"/>
          <w:szCs w:val="24"/>
        </w:rPr>
        <w:t>，非制造业商务活动指数回升4.9个百分点至</w:t>
      </w:r>
      <w:r w:rsidR="00D33963">
        <w:rPr>
          <w:rFonts w:ascii="华文楷体" w:hAnsi="华文楷体" w:hint="eastAsia"/>
          <w:b w:val="0"/>
          <w:smallCaps w:val="0"/>
          <w:color w:val="auto"/>
          <w:sz w:val="24"/>
          <w:szCs w:val="24"/>
        </w:rPr>
        <w:t>56.3</w:t>
      </w:r>
      <w:r w:rsidRPr="00341E75">
        <w:rPr>
          <w:rFonts w:ascii="华文楷体" w:hAnsi="华文楷体" w:hint="eastAsia"/>
          <w:b w:val="0"/>
          <w:smallCaps w:val="0"/>
          <w:color w:val="auto"/>
          <w:sz w:val="24"/>
          <w:szCs w:val="24"/>
        </w:rPr>
        <w:t>。不同规模企业PMI大</w:t>
      </w:r>
      <w:r>
        <w:rPr>
          <w:rFonts w:ascii="华文楷体" w:hAnsi="华文楷体" w:hint="eastAsia"/>
          <w:b w:val="0"/>
          <w:smallCaps w:val="0"/>
          <w:color w:val="auto"/>
          <w:sz w:val="24"/>
          <w:szCs w:val="24"/>
        </w:rPr>
        <w:t>、</w:t>
      </w:r>
      <w:r w:rsidRPr="00341E75">
        <w:rPr>
          <w:rFonts w:ascii="华文楷体" w:hAnsi="华文楷体" w:hint="eastAsia"/>
          <w:b w:val="0"/>
          <w:smallCaps w:val="0"/>
          <w:color w:val="auto"/>
          <w:sz w:val="24"/>
          <w:szCs w:val="24"/>
        </w:rPr>
        <w:t>中</w:t>
      </w:r>
      <w:r>
        <w:rPr>
          <w:rFonts w:ascii="华文楷体" w:hAnsi="华文楷体" w:hint="eastAsia"/>
          <w:b w:val="0"/>
          <w:smallCaps w:val="0"/>
          <w:color w:val="auto"/>
          <w:sz w:val="24"/>
          <w:szCs w:val="24"/>
        </w:rPr>
        <w:t>、</w:t>
      </w:r>
      <w:r w:rsidRPr="00341E75">
        <w:rPr>
          <w:rFonts w:ascii="华文楷体" w:hAnsi="华文楷体" w:hint="eastAsia"/>
          <w:b w:val="0"/>
          <w:smallCaps w:val="0"/>
          <w:color w:val="auto"/>
          <w:sz w:val="24"/>
          <w:szCs w:val="24"/>
        </w:rPr>
        <w:t>小企业PMI分别回升0.5%、2.0%、2.1%。分项来看，3月PMI回升的主要贡献项是新订单、生产、从业人员，分别拉动0.63%、0.50%、0.40%。</w:t>
      </w:r>
      <w:r>
        <w:rPr>
          <w:rFonts w:ascii="华文楷体" w:hAnsi="华文楷体" w:hint="eastAsia"/>
          <w:b w:val="0"/>
          <w:smallCaps w:val="0"/>
          <w:color w:val="auto"/>
          <w:sz w:val="24"/>
          <w:szCs w:val="24"/>
        </w:rPr>
        <w:t>历史来看，受春节节假日扰动，一般2、3月的</w:t>
      </w:r>
      <w:r w:rsidRPr="00341E75">
        <w:rPr>
          <w:rFonts w:ascii="华文楷体" w:hAnsi="华文楷体" w:hint="eastAsia"/>
          <w:b w:val="0"/>
          <w:smallCaps w:val="0"/>
          <w:color w:val="auto"/>
          <w:sz w:val="24"/>
          <w:szCs w:val="24"/>
        </w:rPr>
        <w:t>PMI季节性回升规律较强。</w:t>
      </w:r>
    </w:p>
    <w:p w14:paraId="22BA230C" w14:textId="6D012245" w:rsidR="00341E75" w:rsidRPr="00341E75" w:rsidRDefault="00341E75" w:rsidP="00341E75">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此外，数据显示</w:t>
      </w:r>
      <w:r w:rsidRPr="00341E75">
        <w:rPr>
          <w:rFonts w:ascii="华文楷体" w:hAnsi="华文楷体" w:hint="eastAsia"/>
          <w:b w:val="0"/>
          <w:smallCaps w:val="0"/>
          <w:color w:val="auto"/>
          <w:sz w:val="24"/>
          <w:szCs w:val="24"/>
        </w:rPr>
        <w:t>3月生产指数53.9，环比上行2个百分点；新订单指数53.6，环比回升2.1个百分点，产需缺口缩小0.3个百分点。进出口指数走强，本月新出口订单指数重回扩张区间，</w:t>
      </w:r>
      <w:r>
        <w:rPr>
          <w:rFonts w:ascii="华文楷体" w:hAnsi="华文楷体" w:hint="eastAsia"/>
          <w:b w:val="0"/>
          <w:smallCaps w:val="0"/>
          <w:color w:val="auto"/>
          <w:sz w:val="24"/>
          <w:szCs w:val="24"/>
        </w:rPr>
        <w:t>至</w:t>
      </w:r>
      <w:r w:rsidRPr="00341E75">
        <w:rPr>
          <w:rFonts w:ascii="华文楷体" w:hAnsi="华文楷体" w:hint="eastAsia"/>
          <w:b w:val="0"/>
          <w:smallCaps w:val="0"/>
          <w:color w:val="auto"/>
          <w:sz w:val="24"/>
          <w:szCs w:val="24"/>
        </w:rPr>
        <w:t>51.2；进口指数回升1.5个百分点至51.1。生产和需求修复的情况下，本月库存指数回落1.3个百分点</w:t>
      </w:r>
      <w:r>
        <w:rPr>
          <w:rFonts w:ascii="华文楷体" w:hAnsi="华文楷体" w:hint="eastAsia"/>
          <w:b w:val="0"/>
          <w:smallCaps w:val="0"/>
          <w:color w:val="auto"/>
          <w:sz w:val="24"/>
          <w:szCs w:val="24"/>
        </w:rPr>
        <w:t>至</w:t>
      </w:r>
      <w:r w:rsidRPr="00341E75">
        <w:rPr>
          <w:rFonts w:ascii="华文楷体" w:hAnsi="华文楷体" w:hint="eastAsia"/>
          <w:b w:val="0"/>
          <w:smallCaps w:val="0"/>
          <w:color w:val="auto"/>
          <w:sz w:val="24"/>
          <w:szCs w:val="24"/>
        </w:rPr>
        <w:t>46.7。</w:t>
      </w:r>
    </w:p>
    <w:p w14:paraId="643F3AD4" w14:textId="2F51E5AA" w:rsidR="003A0290" w:rsidRDefault="00341E75" w:rsidP="003402AD">
      <w:pPr>
        <w:pStyle w:val="Header1"/>
        <w:spacing w:before="240"/>
        <w:ind w:firstLine="480"/>
        <w:rPr>
          <w:rFonts w:ascii="华文楷体" w:hAnsi="华文楷体"/>
          <w:b w:val="0"/>
          <w:smallCaps w:val="0"/>
          <w:color w:val="auto"/>
          <w:sz w:val="24"/>
          <w:szCs w:val="24"/>
        </w:rPr>
      </w:pPr>
      <w:r w:rsidRPr="00341E75">
        <w:rPr>
          <w:rFonts w:ascii="华文楷体" w:hAnsi="华文楷体" w:hint="eastAsia"/>
          <w:b w:val="0"/>
          <w:smallCaps w:val="0"/>
          <w:color w:val="auto"/>
          <w:sz w:val="24"/>
          <w:szCs w:val="24"/>
        </w:rPr>
        <w:t>3月出厂价格指数59.8，环比上行1.3个百分点；原材料价格</w:t>
      </w:r>
      <w:proofErr w:type="gramStart"/>
      <w:r w:rsidRPr="00341E75">
        <w:rPr>
          <w:rFonts w:ascii="华文楷体" w:hAnsi="华文楷体" w:hint="eastAsia"/>
          <w:b w:val="0"/>
          <w:smallCaps w:val="0"/>
          <w:color w:val="auto"/>
          <w:sz w:val="24"/>
          <w:szCs w:val="24"/>
        </w:rPr>
        <w:t>指数环</w:t>
      </w:r>
      <w:proofErr w:type="gramEnd"/>
      <w:r w:rsidRPr="00341E75">
        <w:rPr>
          <w:rFonts w:ascii="华文楷体" w:hAnsi="华文楷体" w:hint="eastAsia"/>
          <w:b w:val="0"/>
          <w:smallCaps w:val="0"/>
          <w:color w:val="auto"/>
          <w:sz w:val="24"/>
          <w:szCs w:val="24"/>
        </w:rPr>
        <w:t>比回升2.7个百分点，3月录得69.4</w:t>
      </w:r>
      <w:r>
        <w:rPr>
          <w:rFonts w:ascii="华文楷体" w:hAnsi="华文楷体" w:hint="eastAsia"/>
          <w:b w:val="0"/>
          <w:smallCaps w:val="0"/>
          <w:color w:val="auto"/>
          <w:sz w:val="24"/>
          <w:szCs w:val="24"/>
        </w:rPr>
        <w:t>；价格指数处</w:t>
      </w:r>
      <w:r w:rsidRPr="00341E75">
        <w:rPr>
          <w:rFonts w:ascii="华文楷体" w:hAnsi="华文楷体" w:hint="eastAsia"/>
          <w:b w:val="0"/>
          <w:smallCaps w:val="0"/>
          <w:color w:val="auto"/>
          <w:sz w:val="24"/>
          <w:szCs w:val="24"/>
        </w:rPr>
        <w:t>2016</w:t>
      </w:r>
      <w:r>
        <w:rPr>
          <w:rFonts w:ascii="华文楷体" w:hAnsi="华文楷体" w:hint="eastAsia"/>
          <w:b w:val="0"/>
          <w:smallCaps w:val="0"/>
          <w:color w:val="auto"/>
          <w:sz w:val="24"/>
          <w:szCs w:val="24"/>
        </w:rPr>
        <w:t>年以来次高位置，工业品价格短期看仍将高位震荡</w:t>
      </w:r>
      <w:r w:rsidR="007104C0">
        <w:rPr>
          <w:rFonts w:ascii="华文楷体" w:hAnsi="华文楷体" w:hint="eastAsia"/>
          <w:b w:val="0"/>
          <w:smallCaps w:val="0"/>
          <w:color w:val="auto"/>
          <w:sz w:val="24"/>
          <w:szCs w:val="24"/>
        </w:rPr>
        <w:t>。</w:t>
      </w:r>
    </w:p>
    <w:p w14:paraId="2D43C8AA" w14:textId="6F78D4C7" w:rsidR="00341E75" w:rsidRDefault="00341E75" w:rsidP="003402AD">
      <w:pPr>
        <w:pStyle w:val="Header1"/>
        <w:spacing w:before="240"/>
        <w:ind w:firstLine="480"/>
        <w:rPr>
          <w:rFonts w:ascii="华文楷体" w:hAnsi="华文楷体"/>
          <w:b w:val="0"/>
          <w:smallCaps w:val="0"/>
          <w:color w:val="auto"/>
          <w:sz w:val="24"/>
          <w:szCs w:val="24"/>
        </w:rPr>
      </w:pPr>
      <w:r w:rsidRPr="00341E75">
        <w:rPr>
          <w:rFonts w:ascii="华文楷体" w:hAnsi="华文楷体" w:hint="eastAsia"/>
          <w:b w:val="0"/>
          <w:smallCaps w:val="0"/>
          <w:color w:val="auto"/>
          <w:sz w:val="24"/>
          <w:szCs w:val="24"/>
        </w:rPr>
        <w:t>本月大中小型企业分别上行0.5、2.0和2.1</w:t>
      </w:r>
      <w:r>
        <w:rPr>
          <w:rFonts w:ascii="华文楷体" w:hAnsi="华文楷体" w:hint="eastAsia"/>
          <w:b w:val="0"/>
          <w:smallCaps w:val="0"/>
          <w:color w:val="auto"/>
          <w:sz w:val="24"/>
          <w:szCs w:val="24"/>
        </w:rPr>
        <w:t>个百分点至</w:t>
      </w:r>
      <w:r w:rsidRPr="00341E75">
        <w:rPr>
          <w:rFonts w:ascii="华文楷体" w:hAnsi="华文楷体" w:hint="eastAsia"/>
          <w:b w:val="0"/>
          <w:smallCaps w:val="0"/>
          <w:color w:val="auto"/>
          <w:sz w:val="24"/>
          <w:szCs w:val="24"/>
        </w:rPr>
        <w:t>52.7、51.6、和50.4。小型企业景气</w:t>
      </w:r>
      <w:proofErr w:type="gramStart"/>
      <w:r w:rsidRPr="00341E75">
        <w:rPr>
          <w:rFonts w:ascii="华文楷体" w:hAnsi="华文楷体" w:hint="eastAsia"/>
          <w:b w:val="0"/>
          <w:smallCaps w:val="0"/>
          <w:color w:val="auto"/>
          <w:sz w:val="24"/>
          <w:szCs w:val="24"/>
        </w:rPr>
        <w:t>度改善</w:t>
      </w:r>
      <w:proofErr w:type="gramEnd"/>
      <w:r w:rsidRPr="00341E75">
        <w:rPr>
          <w:rFonts w:ascii="华文楷体" w:hAnsi="华文楷体" w:hint="eastAsia"/>
          <w:b w:val="0"/>
          <w:smallCaps w:val="0"/>
          <w:color w:val="auto"/>
          <w:sz w:val="24"/>
          <w:szCs w:val="24"/>
        </w:rPr>
        <w:t>显著；其中，小型企业的出口、进口和原</w:t>
      </w:r>
      <w:r>
        <w:rPr>
          <w:rFonts w:ascii="华文楷体" w:hAnsi="华文楷体" w:hint="eastAsia"/>
          <w:b w:val="0"/>
          <w:smallCaps w:val="0"/>
          <w:color w:val="auto"/>
          <w:sz w:val="24"/>
          <w:szCs w:val="24"/>
        </w:rPr>
        <w:t>材料库存指数</w:t>
      </w:r>
      <w:r w:rsidRPr="00341E75">
        <w:rPr>
          <w:rFonts w:ascii="华文楷体" w:hAnsi="华文楷体" w:hint="eastAsia"/>
          <w:b w:val="0"/>
          <w:smallCaps w:val="0"/>
          <w:color w:val="auto"/>
          <w:sz w:val="24"/>
          <w:szCs w:val="24"/>
        </w:rPr>
        <w:t>改善</w:t>
      </w:r>
      <w:r>
        <w:rPr>
          <w:rFonts w:ascii="华文楷体" w:hAnsi="华文楷体" w:hint="eastAsia"/>
          <w:b w:val="0"/>
          <w:smallCaps w:val="0"/>
          <w:color w:val="auto"/>
          <w:sz w:val="24"/>
          <w:szCs w:val="24"/>
        </w:rPr>
        <w:t>显著</w:t>
      </w:r>
      <w:r w:rsidRPr="00341E75">
        <w:rPr>
          <w:rFonts w:ascii="华文楷体" w:hAnsi="华文楷体" w:hint="eastAsia"/>
          <w:b w:val="0"/>
          <w:smallCaps w:val="0"/>
          <w:color w:val="auto"/>
          <w:sz w:val="24"/>
          <w:szCs w:val="24"/>
        </w:rPr>
        <w:t>，分别改善13.5、4.5和4.5个百分点。</w:t>
      </w:r>
    </w:p>
    <w:p w14:paraId="38D3FDCA" w14:textId="4C6825E0" w:rsidR="00341E75" w:rsidRDefault="00341E75" w:rsidP="003402AD">
      <w:pPr>
        <w:pStyle w:val="Header1"/>
        <w:spacing w:before="240"/>
        <w:ind w:firstLine="480"/>
        <w:rPr>
          <w:rFonts w:ascii="华文楷体" w:hAnsi="华文楷体"/>
          <w:b w:val="0"/>
          <w:smallCaps w:val="0"/>
          <w:color w:val="auto"/>
          <w:sz w:val="24"/>
          <w:szCs w:val="24"/>
        </w:rPr>
      </w:pPr>
      <w:r w:rsidRPr="00341E75">
        <w:rPr>
          <w:rFonts w:ascii="华文楷体" w:hAnsi="华文楷体" w:hint="eastAsia"/>
          <w:b w:val="0"/>
          <w:smallCaps w:val="0"/>
          <w:color w:val="auto"/>
          <w:sz w:val="24"/>
          <w:szCs w:val="24"/>
        </w:rPr>
        <w:t>3</w:t>
      </w:r>
      <w:r>
        <w:rPr>
          <w:rFonts w:ascii="华文楷体" w:hAnsi="华文楷体" w:hint="eastAsia"/>
          <w:b w:val="0"/>
          <w:smallCaps w:val="0"/>
          <w:color w:val="auto"/>
          <w:sz w:val="24"/>
          <w:szCs w:val="24"/>
        </w:rPr>
        <w:t>月非制造业商务活动指数至</w:t>
      </w:r>
      <w:r w:rsidRPr="00341E75">
        <w:rPr>
          <w:rFonts w:ascii="华文楷体" w:hAnsi="华文楷体" w:hint="eastAsia"/>
          <w:b w:val="0"/>
          <w:smallCaps w:val="0"/>
          <w:color w:val="auto"/>
          <w:sz w:val="24"/>
          <w:szCs w:val="24"/>
        </w:rPr>
        <w:t>56.3，环比上行4.9个百分点。建筑业PMI指数62.3，环比上行7.6个百分点，建筑业表现很强劲。服务业本月疫情管</w:t>
      </w:r>
      <w:proofErr w:type="gramStart"/>
      <w:r w:rsidRPr="00341E75">
        <w:rPr>
          <w:rFonts w:ascii="华文楷体" w:hAnsi="华文楷体" w:hint="eastAsia"/>
          <w:b w:val="0"/>
          <w:smallCaps w:val="0"/>
          <w:color w:val="auto"/>
          <w:sz w:val="24"/>
          <w:szCs w:val="24"/>
        </w:rPr>
        <w:t>控影响</w:t>
      </w:r>
      <w:proofErr w:type="gramEnd"/>
      <w:r w:rsidRPr="00341E75">
        <w:rPr>
          <w:rFonts w:ascii="华文楷体" w:hAnsi="华文楷体" w:hint="eastAsia"/>
          <w:b w:val="0"/>
          <w:smallCaps w:val="0"/>
          <w:color w:val="auto"/>
          <w:sz w:val="24"/>
          <w:szCs w:val="24"/>
        </w:rPr>
        <w:t>减弱上行4.4个百分点，本月</w:t>
      </w:r>
      <w:r w:rsidR="00D33963">
        <w:rPr>
          <w:rFonts w:ascii="华文楷体" w:hAnsi="华文楷体" w:hint="eastAsia"/>
          <w:b w:val="0"/>
          <w:smallCaps w:val="0"/>
          <w:color w:val="auto"/>
          <w:sz w:val="24"/>
          <w:szCs w:val="24"/>
        </w:rPr>
        <w:t>录得</w:t>
      </w:r>
      <w:r w:rsidRPr="00341E75">
        <w:rPr>
          <w:rFonts w:ascii="华文楷体" w:hAnsi="华文楷体" w:hint="eastAsia"/>
          <w:b w:val="0"/>
          <w:smallCaps w:val="0"/>
          <w:color w:val="auto"/>
          <w:sz w:val="24"/>
          <w:szCs w:val="24"/>
        </w:rPr>
        <w:t>55.2。</w:t>
      </w:r>
    </w:p>
    <w:p w14:paraId="2EE8C2E8" w14:textId="0D076E37" w:rsidR="00341E75" w:rsidRPr="00341E75" w:rsidRDefault="00341E75"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整体看3月PMI数据基本符合预期，后续持续上行空间有限。市场在关注基本面环比变化同时，更关注政策基调和货币流动性边际变化情况，市场情绪仍较为敏感，存在一定反复。</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52B554C3"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proofErr w:type="gramStart"/>
      <w:r w:rsidR="000E3145">
        <w:rPr>
          <w:rFonts w:ascii="华文楷体" w:hAnsi="华文楷体" w:hint="eastAsia"/>
          <w:sz w:val="24"/>
          <w:szCs w:val="24"/>
          <w:lang w:eastAsia="zh-CN"/>
        </w:rPr>
        <w:t>维持</w:t>
      </w:r>
      <w:r w:rsidR="002D361C">
        <w:rPr>
          <w:rFonts w:ascii="华文楷体" w:hAnsi="华文楷体" w:hint="eastAsia"/>
          <w:sz w:val="24"/>
          <w:szCs w:val="24"/>
          <w:lang w:eastAsia="zh-CN"/>
        </w:rPr>
        <w:t>零</w:t>
      </w:r>
      <w:r w:rsidR="000E3145">
        <w:rPr>
          <w:rFonts w:ascii="华文楷体" w:hAnsi="华文楷体" w:hint="eastAsia"/>
          <w:sz w:val="24"/>
          <w:szCs w:val="24"/>
          <w:lang w:eastAsia="zh-CN"/>
        </w:rPr>
        <w:t>净</w:t>
      </w:r>
      <w:r w:rsidR="002D361C">
        <w:rPr>
          <w:rFonts w:ascii="华文楷体" w:hAnsi="华文楷体" w:hint="eastAsia"/>
          <w:sz w:val="24"/>
          <w:szCs w:val="24"/>
          <w:lang w:eastAsia="zh-CN"/>
        </w:rPr>
        <w:t>投放</w:t>
      </w:r>
      <w:proofErr w:type="gramEnd"/>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847EB6">
        <w:rPr>
          <w:rFonts w:ascii="华文楷体" w:hAnsi="华文楷体" w:hint="eastAsia"/>
          <w:sz w:val="24"/>
          <w:szCs w:val="24"/>
          <w:lang w:eastAsia="zh-CN"/>
        </w:rPr>
        <w:t>持续</w:t>
      </w:r>
      <w:r w:rsidR="003E35B0">
        <w:rPr>
          <w:rFonts w:ascii="华文楷体" w:hAnsi="华文楷体" w:hint="eastAsia"/>
          <w:sz w:val="24"/>
          <w:szCs w:val="24"/>
          <w:lang w:eastAsia="zh-CN"/>
        </w:rPr>
        <w:t>平稳</w:t>
      </w:r>
      <w:r w:rsidR="00847EB6">
        <w:rPr>
          <w:rFonts w:ascii="华文楷体" w:hAnsi="华文楷体" w:hint="eastAsia"/>
          <w:sz w:val="24"/>
          <w:szCs w:val="24"/>
          <w:lang w:eastAsia="zh-CN"/>
        </w:rPr>
        <w:t>适度下行</w:t>
      </w:r>
      <w:r w:rsidR="002D361C">
        <w:rPr>
          <w:rFonts w:ascii="华文楷体" w:hAnsi="华文楷体" w:hint="eastAsia"/>
          <w:sz w:val="24"/>
          <w:szCs w:val="24"/>
          <w:lang w:eastAsia="zh-CN"/>
        </w:rPr>
        <w:t>，</w:t>
      </w:r>
      <w:r w:rsidR="00847EB6">
        <w:rPr>
          <w:rFonts w:ascii="华文楷体" w:hAnsi="华文楷体" w:hint="eastAsia"/>
          <w:sz w:val="24"/>
          <w:szCs w:val="24"/>
          <w:lang w:eastAsia="zh-CN"/>
        </w:rPr>
        <w:t>隔夜、7天同步下行</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414307">
        <w:rPr>
          <w:rFonts w:ascii="华文楷体" w:hAnsi="华文楷体" w:hint="eastAsia"/>
          <w:sz w:val="24"/>
          <w:szCs w:val="24"/>
          <w:lang w:eastAsia="zh-CN"/>
        </w:rPr>
        <w:t>下行5</w:t>
      </w:r>
      <w:r w:rsidR="002D361C">
        <w:rPr>
          <w:rFonts w:ascii="华文楷体" w:hAnsi="华文楷体" w:hint="eastAsia"/>
          <w:sz w:val="24"/>
          <w:szCs w:val="24"/>
          <w:lang w:eastAsia="zh-CN"/>
        </w:rPr>
        <w:t>BP至</w:t>
      </w:r>
      <w:r w:rsidR="00414307">
        <w:rPr>
          <w:rFonts w:ascii="华文楷体" w:hAnsi="华文楷体" w:hint="eastAsia"/>
          <w:sz w:val="24"/>
          <w:szCs w:val="24"/>
          <w:lang w:eastAsia="zh-CN"/>
        </w:rPr>
        <w:t>1</w:t>
      </w:r>
      <w:r w:rsidR="00847EB6">
        <w:rPr>
          <w:rFonts w:ascii="华文楷体" w:hAnsi="华文楷体" w:hint="eastAsia"/>
          <w:sz w:val="24"/>
          <w:szCs w:val="24"/>
          <w:lang w:eastAsia="zh-CN"/>
        </w:rPr>
        <w:t>.75</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847EB6">
        <w:rPr>
          <w:rFonts w:ascii="华文楷体" w:hAnsi="华文楷体" w:hint="eastAsia"/>
          <w:sz w:val="24"/>
          <w:szCs w:val="24"/>
          <w:lang w:eastAsia="zh-CN"/>
        </w:rPr>
        <w:t>下行39</w:t>
      </w:r>
      <w:r w:rsidR="00D9413F">
        <w:rPr>
          <w:rFonts w:ascii="华文楷体" w:hAnsi="华文楷体" w:hint="eastAsia"/>
          <w:sz w:val="24"/>
          <w:szCs w:val="24"/>
          <w:lang w:eastAsia="zh-CN"/>
        </w:rPr>
        <w:t>BP至</w:t>
      </w:r>
      <w:r w:rsidR="00DA0B17">
        <w:rPr>
          <w:rFonts w:ascii="华文楷体" w:hAnsi="华文楷体"/>
          <w:sz w:val="24"/>
          <w:szCs w:val="24"/>
          <w:lang w:eastAsia="zh-CN"/>
        </w:rPr>
        <w:t>2.</w:t>
      </w:r>
      <w:r w:rsidR="00847EB6">
        <w:rPr>
          <w:rFonts w:ascii="华文楷体" w:hAnsi="华文楷体" w:hint="eastAsia"/>
          <w:sz w:val="24"/>
          <w:szCs w:val="24"/>
          <w:lang w:eastAsia="zh-CN"/>
        </w:rPr>
        <w:t>08</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847EB6">
        <w:rPr>
          <w:rFonts w:ascii="华文楷体" w:hAnsi="华文楷体" w:hint="eastAsia"/>
          <w:sz w:val="24"/>
          <w:szCs w:val="24"/>
          <w:lang w:eastAsia="zh-CN"/>
        </w:rPr>
        <w:t>，跨月归来资金价格持续平稳，且小幅下行</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lastRenderedPageBreak/>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847EB6">
        <w:tblPrEx>
          <w:tblCellMar>
            <w:left w:w="108" w:type="dxa"/>
            <w:right w:w="108" w:type="dxa"/>
          </w:tblCellMar>
        </w:tblPrEx>
        <w:trPr>
          <w:jc w:val="center"/>
        </w:trPr>
        <w:tc>
          <w:tcPr>
            <w:tcW w:w="4939" w:type="dxa"/>
            <w:vAlign w:val="center"/>
          </w:tcPr>
          <w:p w14:paraId="60AEAEDC" w14:textId="570B5751" w:rsidR="00E0626C" w:rsidRPr="003C6AC1" w:rsidRDefault="00847EB6" w:rsidP="009A2BA0">
            <w:pPr>
              <w:jc w:val="center"/>
              <w:rPr>
                <w:noProof/>
                <w:sz w:val="20"/>
              </w:rPr>
            </w:pPr>
            <w:r>
              <w:rPr>
                <w:noProof/>
              </w:rPr>
              <w:drawing>
                <wp:inline distT="0" distB="0" distL="0" distR="0" wp14:anchorId="6921A8E6" wp14:editId="56A28296">
                  <wp:extent cx="2999105" cy="1746784"/>
                  <wp:effectExtent l="0" t="0" r="0" b="6350"/>
                  <wp:docPr id="1" name="图表 1">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13757AD3" w:rsidR="00E0626C" w:rsidRPr="00F62F43" w:rsidRDefault="00847EB6" w:rsidP="009A2BA0">
            <w:pPr>
              <w:jc w:val="center"/>
              <w:rPr>
                <w:noProof/>
                <w:sz w:val="16"/>
                <w:szCs w:val="18"/>
              </w:rPr>
            </w:pPr>
            <w:r>
              <w:rPr>
                <w:noProof/>
              </w:rPr>
              <w:drawing>
                <wp:inline distT="0" distB="0" distL="0" distR="0" wp14:anchorId="1CF5BD9B" wp14:editId="33789753">
                  <wp:extent cx="3087015" cy="1731645"/>
                  <wp:effectExtent l="0" t="0" r="0" b="1905"/>
                  <wp:docPr id="4" name="图表 4">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7629899C" w:rsidR="00A917BC" w:rsidRPr="00A917BC" w:rsidRDefault="00F45C6B"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国债品种</w:t>
      </w:r>
      <w:r w:rsidR="003C0E83">
        <w:rPr>
          <w:rFonts w:ascii="华文楷体" w:hAnsi="华文楷体" w:hint="eastAsia"/>
          <w:sz w:val="24"/>
          <w:szCs w:val="24"/>
          <w:lang w:eastAsia="zh-CN"/>
        </w:rPr>
        <w:t>多数期限适度下行，</w:t>
      </w:r>
      <w:r w:rsidR="008626FC">
        <w:rPr>
          <w:rFonts w:ascii="华文楷体" w:hAnsi="华文楷体" w:hint="eastAsia"/>
          <w:sz w:val="24"/>
          <w:szCs w:val="24"/>
          <w:lang w:eastAsia="zh-CN"/>
        </w:rPr>
        <w:t>中场期限品种震荡为主，1Y内下行幅度较大</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8626FC">
        <w:rPr>
          <w:rFonts w:ascii="华文楷体" w:hAnsi="华文楷体" w:hint="eastAsia"/>
          <w:sz w:val="24"/>
          <w:szCs w:val="24"/>
          <w:lang w:eastAsia="zh-CN"/>
        </w:rPr>
        <w:t>62</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20149">
        <w:rPr>
          <w:rFonts w:ascii="华文楷体" w:hAnsi="华文楷体"/>
          <w:sz w:val="24"/>
          <w:szCs w:val="24"/>
          <w:lang w:eastAsia="zh-CN"/>
        </w:rPr>
        <w:t>8</w:t>
      </w:r>
      <w:r w:rsidR="008626FC">
        <w:rPr>
          <w:rFonts w:ascii="华文楷体" w:hAnsi="华文楷体" w:hint="eastAsia"/>
          <w:sz w:val="24"/>
          <w:szCs w:val="24"/>
          <w:lang w:eastAsia="zh-CN"/>
        </w:rPr>
        <w:t>2</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8626FC">
        <w:rPr>
          <w:rFonts w:ascii="华文楷体" w:hAnsi="华文楷体" w:hint="eastAsia"/>
          <w:sz w:val="24"/>
          <w:szCs w:val="24"/>
          <w:lang w:eastAsia="zh-CN"/>
        </w:rPr>
        <w:t>上行0.3</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6E4B59">
        <w:rPr>
          <w:rFonts w:ascii="华文楷体" w:hAnsi="华文楷体" w:hint="eastAsia"/>
          <w:sz w:val="24"/>
          <w:szCs w:val="24"/>
          <w:lang w:eastAsia="zh-CN"/>
        </w:rPr>
        <w:t>下行</w:t>
      </w:r>
      <w:proofErr w:type="gramEnd"/>
      <w:r w:rsidR="008626FC">
        <w:rPr>
          <w:rFonts w:ascii="华文楷体" w:hAnsi="华文楷体" w:hint="eastAsia"/>
          <w:sz w:val="24"/>
          <w:szCs w:val="24"/>
          <w:lang w:eastAsia="zh-CN"/>
        </w:rPr>
        <w:t>0.7</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3C0E83">
        <w:rPr>
          <w:rFonts w:ascii="华文楷体" w:hAnsi="华文楷体" w:hint="eastAsia"/>
          <w:sz w:val="24"/>
          <w:szCs w:val="24"/>
          <w:lang w:eastAsia="zh-CN"/>
        </w:rPr>
        <w:t>3</w:t>
      </w:r>
      <w:r w:rsidR="008626FC">
        <w:rPr>
          <w:rFonts w:ascii="华文楷体" w:hAnsi="华文楷体" w:hint="eastAsia"/>
          <w:sz w:val="24"/>
          <w:szCs w:val="24"/>
          <w:lang w:eastAsia="zh-CN"/>
        </w:rPr>
        <w:t>7</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8626FC">
        <w:tblPrEx>
          <w:tblCellMar>
            <w:left w:w="108" w:type="dxa"/>
            <w:right w:w="108" w:type="dxa"/>
          </w:tblCellMar>
        </w:tblPrEx>
        <w:trPr>
          <w:jc w:val="center"/>
        </w:trPr>
        <w:tc>
          <w:tcPr>
            <w:tcW w:w="4939" w:type="dxa"/>
            <w:vAlign w:val="center"/>
          </w:tcPr>
          <w:p w14:paraId="678C97B0" w14:textId="6DEE3BAE" w:rsidR="00E0626C" w:rsidRPr="007E0340" w:rsidRDefault="008626FC" w:rsidP="002104B2">
            <w:pPr>
              <w:rPr>
                <w:noProof/>
              </w:rPr>
            </w:pPr>
            <w:r>
              <w:rPr>
                <w:noProof/>
              </w:rPr>
              <w:drawing>
                <wp:inline distT="0" distB="0" distL="0" distR="0" wp14:anchorId="67746DE1" wp14:editId="34521508">
                  <wp:extent cx="2999105" cy="1707542"/>
                  <wp:effectExtent l="0" t="0" r="0" b="6985"/>
                  <wp:docPr id="6" name="图表 6">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25E41D6A" w:rsidR="00E0626C" w:rsidRPr="007E0340" w:rsidRDefault="008626FC" w:rsidP="009A2BA0">
            <w:pPr>
              <w:jc w:val="center"/>
              <w:rPr>
                <w:noProof/>
                <w:szCs w:val="18"/>
              </w:rPr>
            </w:pPr>
            <w:r>
              <w:rPr>
                <w:noProof/>
              </w:rPr>
              <w:drawing>
                <wp:inline distT="0" distB="0" distL="0" distR="0" wp14:anchorId="3B4920B5" wp14:editId="4BFDB17E">
                  <wp:extent cx="2998470" cy="1761407"/>
                  <wp:effectExtent l="0" t="0" r="0" b="0"/>
                  <wp:docPr id="8" name="图表 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23593E97"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B2629" w:rsidRPr="009B2629">
        <w:rPr>
          <w:rFonts w:ascii="华文楷体" w:hAnsi="华文楷体" w:hint="eastAsia"/>
          <w:sz w:val="24"/>
          <w:szCs w:val="24"/>
          <w:lang w:eastAsia="zh-CN"/>
        </w:rPr>
        <w:t>主要期限品种涨跌互现，其中1年期限品种适度下行0-2BP；3年中票上行1BP；3年企业债下行0-5BP，5年企业债震荡,小幅上行0.3BP，7年企业债上行1.2BP；</w:t>
      </w:r>
      <w:proofErr w:type="gramStart"/>
      <w:r w:rsidR="009B2629" w:rsidRPr="009B2629">
        <w:rPr>
          <w:rFonts w:ascii="华文楷体" w:hAnsi="华文楷体" w:hint="eastAsia"/>
          <w:sz w:val="24"/>
          <w:szCs w:val="24"/>
          <w:lang w:eastAsia="zh-CN"/>
        </w:rPr>
        <w:t>城投债品种</w:t>
      </w:r>
      <w:proofErr w:type="gramEnd"/>
      <w:r w:rsidR="009B2629" w:rsidRPr="009B2629">
        <w:rPr>
          <w:rFonts w:ascii="华文楷体" w:hAnsi="华文楷体" w:hint="eastAsia"/>
          <w:sz w:val="24"/>
          <w:szCs w:val="24"/>
          <w:lang w:eastAsia="zh-CN"/>
        </w:rPr>
        <w:t>适度调整，3Y品种上行0-4BP，5年</w:t>
      </w:r>
      <w:proofErr w:type="gramStart"/>
      <w:r w:rsidR="009B2629" w:rsidRPr="009B2629">
        <w:rPr>
          <w:rFonts w:ascii="华文楷体" w:hAnsi="华文楷体" w:hint="eastAsia"/>
          <w:sz w:val="24"/>
          <w:szCs w:val="24"/>
          <w:lang w:eastAsia="zh-CN"/>
        </w:rPr>
        <w:t>城投债</w:t>
      </w:r>
      <w:proofErr w:type="gramEnd"/>
      <w:r w:rsidR="009B2629" w:rsidRPr="009B2629">
        <w:rPr>
          <w:rFonts w:ascii="华文楷体" w:hAnsi="华文楷体" w:hint="eastAsia"/>
          <w:sz w:val="24"/>
          <w:szCs w:val="24"/>
          <w:lang w:eastAsia="zh-CN"/>
        </w:rPr>
        <w:t>AA+评级上行0.8BP，AAA评级下行约3BP；7年品种震荡为主，幅度在-1~1BP。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9B2629">
        <w:rPr>
          <w:rFonts w:ascii="华文楷体" w:hAnsi="华文楷体" w:hint="eastAsia"/>
          <w:sz w:val="24"/>
          <w:szCs w:val="24"/>
          <w:lang w:eastAsia="zh-CN"/>
        </w:rPr>
        <w:t>4</w:t>
      </w:r>
      <w:r w:rsidR="00A55DFD">
        <w:rPr>
          <w:rFonts w:ascii="华文楷体" w:hAnsi="华文楷体" w:hint="eastAsia"/>
          <w:sz w:val="24"/>
          <w:szCs w:val="24"/>
          <w:lang w:eastAsia="zh-CN"/>
        </w:rPr>
        <w:t>-</w:t>
      </w:r>
      <w:r w:rsidR="00A55DFD">
        <w:rPr>
          <w:rFonts w:ascii="华文楷体" w:hAnsi="华文楷体"/>
          <w:sz w:val="24"/>
          <w:szCs w:val="24"/>
          <w:lang w:eastAsia="zh-CN"/>
        </w:rPr>
        <w:t>28</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w:t>
      </w:r>
      <w:r w:rsidR="009111E9">
        <w:rPr>
          <w:rFonts w:ascii="华文楷体" w:hAnsi="华文楷体"/>
          <w:sz w:val="24"/>
          <w:szCs w:val="24"/>
          <w:lang w:eastAsia="zh-CN"/>
        </w:rPr>
        <w:t>0</w:t>
      </w:r>
      <w:r w:rsidR="00EF3B44">
        <w:rPr>
          <w:rFonts w:ascii="华文楷体" w:hAnsi="华文楷体" w:hint="eastAsia"/>
          <w:sz w:val="24"/>
          <w:szCs w:val="24"/>
          <w:lang w:eastAsia="zh-CN"/>
        </w:rPr>
        <w:t>-</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9E4AE5">
        <w:rPr>
          <w:rFonts w:ascii="华文楷体" w:hAnsi="华文楷体" w:hint="eastAsia"/>
          <w:sz w:val="24"/>
          <w:szCs w:val="24"/>
          <w:lang w:eastAsia="zh-CN"/>
        </w:rPr>
        <w:t>7</w:t>
      </w:r>
      <w:r w:rsidR="004F1AB3">
        <w:rPr>
          <w:rFonts w:ascii="华文楷体" w:hAnsi="华文楷体" w:hint="eastAsia"/>
          <w:sz w:val="24"/>
          <w:szCs w:val="24"/>
          <w:lang w:eastAsia="zh-CN"/>
        </w:rPr>
        <w:t>-2</w:t>
      </w:r>
      <w:r w:rsidR="009B2629">
        <w:rPr>
          <w:rFonts w:ascii="华文楷体" w:hAnsi="华文楷体" w:hint="eastAsia"/>
          <w:sz w:val="24"/>
          <w:szCs w:val="24"/>
          <w:lang w:eastAsia="zh-CN"/>
        </w:rPr>
        <w:t>0</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9B2629" w:rsidRPr="009B2629" w14:paraId="430FE910" w14:textId="77777777" w:rsidTr="009B2629">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7BC70644"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1D486A4C"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E22A85E"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2A21849"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F8A5EFD"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2A6B1223"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8A396DD"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6DF876E"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85B7D6D"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8E778BE"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r>
            <w:tr w:rsidR="009B2629" w:rsidRPr="009B2629" w14:paraId="076CBCC2" w14:textId="77777777" w:rsidTr="009B2629">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46CF50F"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302300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3.03 </w:t>
                  </w:r>
                </w:p>
              </w:tc>
              <w:tc>
                <w:tcPr>
                  <w:tcW w:w="921" w:type="dxa"/>
                  <w:tcBorders>
                    <w:top w:val="nil"/>
                    <w:left w:val="nil"/>
                    <w:bottom w:val="single" w:sz="8" w:space="0" w:color="FFFFFF"/>
                    <w:right w:val="single" w:sz="8" w:space="0" w:color="FFFFFF"/>
                  </w:tcBorders>
                  <w:shd w:val="clear" w:color="000000" w:fill="FCD5B4"/>
                  <w:noWrap/>
                  <w:vAlign w:val="center"/>
                  <w:hideMark/>
                </w:tcPr>
                <w:p w14:paraId="35F8F50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3.21 </w:t>
                  </w:r>
                </w:p>
              </w:tc>
              <w:tc>
                <w:tcPr>
                  <w:tcW w:w="921" w:type="dxa"/>
                  <w:tcBorders>
                    <w:top w:val="nil"/>
                    <w:left w:val="nil"/>
                    <w:bottom w:val="single" w:sz="8" w:space="0" w:color="FFFFFF"/>
                    <w:right w:val="single" w:sz="8" w:space="0" w:color="FFFFFF"/>
                  </w:tcBorders>
                  <w:shd w:val="clear" w:color="000000" w:fill="FCD5B4"/>
                  <w:noWrap/>
                  <w:vAlign w:val="center"/>
                  <w:hideMark/>
                </w:tcPr>
                <w:p w14:paraId="2ADDC74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3.55 </w:t>
                  </w:r>
                </w:p>
              </w:tc>
              <w:tc>
                <w:tcPr>
                  <w:tcW w:w="921" w:type="dxa"/>
                  <w:tcBorders>
                    <w:top w:val="nil"/>
                    <w:left w:val="nil"/>
                    <w:bottom w:val="single" w:sz="8" w:space="0" w:color="FFFFFF"/>
                    <w:right w:val="single" w:sz="8" w:space="0" w:color="FFFFFF"/>
                  </w:tcBorders>
                  <w:shd w:val="clear" w:color="000000" w:fill="FCD5B4"/>
                  <w:noWrap/>
                  <w:vAlign w:val="center"/>
                  <w:hideMark/>
                </w:tcPr>
                <w:p w14:paraId="193269D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5.73 </w:t>
                  </w:r>
                </w:p>
              </w:tc>
              <w:tc>
                <w:tcPr>
                  <w:tcW w:w="1157" w:type="dxa"/>
                  <w:tcBorders>
                    <w:top w:val="nil"/>
                    <w:left w:val="nil"/>
                    <w:bottom w:val="single" w:sz="8" w:space="0" w:color="FFFFFF"/>
                    <w:right w:val="single" w:sz="8" w:space="0" w:color="FFFFFF"/>
                  </w:tcBorders>
                  <w:shd w:val="clear" w:color="000000" w:fill="FCD5B4"/>
                  <w:noWrap/>
                  <w:vAlign w:val="center"/>
                  <w:hideMark/>
                </w:tcPr>
                <w:p w14:paraId="3E13841F"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0DC06E6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0.45 </w:t>
                  </w:r>
                </w:p>
              </w:tc>
              <w:tc>
                <w:tcPr>
                  <w:tcW w:w="921" w:type="dxa"/>
                  <w:tcBorders>
                    <w:top w:val="nil"/>
                    <w:left w:val="nil"/>
                    <w:bottom w:val="single" w:sz="8" w:space="0" w:color="FFFFFF"/>
                    <w:right w:val="single" w:sz="8" w:space="0" w:color="FFFFFF"/>
                  </w:tcBorders>
                  <w:shd w:val="clear" w:color="000000" w:fill="FCD5B4"/>
                  <w:noWrap/>
                  <w:vAlign w:val="center"/>
                  <w:hideMark/>
                </w:tcPr>
                <w:p w14:paraId="2A57664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0.63 </w:t>
                  </w:r>
                </w:p>
              </w:tc>
              <w:tc>
                <w:tcPr>
                  <w:tcW w:w="921" w:type="dxa"/>
                  <w:tcBorders>
                    <w:top w:val="nil"/>
                    <w:left w:val="nil"/>
                    <w:bottom w:val="single" w:sz="8" w:space="0" w:color="FFFFFF"/>
                    <w:right w:val="single" w:sz="8" w:space="0" w:color="FFFFFF"/>
                  </w:tcBorders>
                  <w:shd w:val="clear" w:color="000000" w:fill="FCD5B4"/>
                  <w:noWrap/>
                  <w:vAlign w:val="center"/>
                  <w:hideMark/>
                </w:tcPr>
                <w:p w14:paraId="75FB0F2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0.97 </w:t>
                  </w:r>
                </w:p>
              </w:tc>
              <w:tc>
                <w:tcPr>
                  <w:tcW w:w="921" w:type="dxa"/>
                  <w:tcBorders>
                    <w:top w:val="nil"/>
                    <w:left w:val="nil"/>
                    <w:bottom w:val="single" w:sz="8" w:space="0" w:color="FFFFFF"/>
                    <w:right w:val="single" w:sz="8" w:space="0" w:color="FFFFFF"/>
                  </w:tcBorders>
                  <w:shd w:val="clear" w:color="000000" w:fill="FCD5B4"/>
                  <w:noWrap/>
                  <w:vAlign w:val="center"/>
                  <w:hideMark/>
                </w:tcPr>
                <w:p w14:paraId="3B820E5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3.15 </w:t>
                  </w:r>
                </w:p>
              </w:tc>
            </w:tr>
            <w:tr w:rsidR="009B2629" w:rsidRPr="009B2629" w14:paraId="7D06A1D6"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19204D6"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09D085F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3.59 </w:t>
                  </w:r>
                </w:p>
              </w:tc>
              <w:tc>
                <w:tcPr>
                  <w:tcW w:w="921" w:type="dxa"/>
                  <w:tcBorders>
                    <w:top w:val="nil"/>
                    <w:left w:val="nil"/>
                    <w:bottom w:val="single" w:sz="8" w:space="0" w:color="FFFFFF"/>
                    <w:right w:val="single" w:sz="8" w:space="0" w:color="FFFFFF"/>
                  </w:tcBorders>
                  <w:shd w:val="clear" w:color="000000" w:fill="FDE9D9"/>
                  <w:noWrap/>
                  <w:vAlign w:val="center"/>
                  <w:hideMark/>
                </w:tcPr>
                <w:p w14:paraId="1FAF66A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3.84 </w:t>
                  </w:r>
                </w:p>
              </w:tc>
              <w:tc>
                <w:tcPr>
                  <w:tcW w:w="921" w:type="dxa"/>
                  <w:tcBorders>
                    <w:top w:val="nil"/>
                    <w:left w:val="nil"/>
                    <w:bottom w:val="single" w:sz="8" w:space="0" w:color="FFFFFF"/>
                    <w:right w:val="single" w:sz="8" w:space="0" w:color="FFFFFF"/>
                  </w:tcBorders>
                  <w:shd w:val="clear" w:color="000000" w:fill="FDE9D9"/>
                  <w:noWrap/>
                  <w:vAlign w:val="center"/>
                  <w:hideMark/>
                </w:tcPr>
                <w:p w14:paraId="270241C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4.30 </w:t>
                  </w:r>
                </w:p>
              </w:tc>
              <w:tc>
                <w:tcPr>
                  <w:tcW w:w="921" w:type="dxa"/>
                  <w:tcBorders>
                    <w:top w:val="nil"/>
                    <w:left w:val="nil"/>
                    <w:bottom w:val="single" w:sz="8" w:space="0" w:color="FFFFFF"/>
                    <w:right w:val="single" w:sz="8" w:space="0" w:color="FFFFFF"/>
                  </w:tcBorders>
                  <w:shd w:val="clear" w:color="000000" w:fill="FDE9D9"/>
                  <w:noWrap/>
                  <w:vAlign w:val="center"/>
                  <w:hideMark/>
                </w:tcPr>
                <w:p w14:paraId="1CA1533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6.47 </w:t>
                  </w:r>
                </w:p>
              </w:tc>
              <w:tc>
                <w:tcPr>
                  <w:tcW w:w="1157" w:type="dxa"/>
                  <w:tcBorders>
                    <w:top w:val="nil"/>
                    <w:left w:val="nil"/>
                    <w:bottom w:val="single" w:sz="8" w:space="0" w:color="FFFFFF"/>
                    <w:right w:val="single" w:sz="8" w:space="0" w:color="FFFFFF"/>
                  </w:tcBorders>
                  <w:shd w:val="clear" w:color="000000" w:fill="FDE9D9"/>
                  <w:noWrap/>
                  <w:vAlign w:val="center"/>
                  <w:hideMark/>
                </w:tcPr>
                <w:p w14:paraId="74025778"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18E2856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0.72 </w:t>
                  </w:r>
                </w:p>
              </w:tc>
              <w:tc>
                <w:tcPr>
                  <w:tcW w:w="921" w:type="dxa"/>
                  <w:tcBorders>
                    <w:top w:val="nil"/>
                    <w:left w:val="nil"/>
                    <w:bottom w:val="single" w:sz="8" w:space="0" w:color="FFFFFF"/>
                    <w:right w:val="single" w:sz="8" w:space="0" w:color="FFFFFF"/>
                  </w:tcBorders>
                  <w:shd w:val="clear" w:color="000000" w:fill="FDE9D9"/>
                  <w:noWrap/>
                  <w:vAlign w:val="center"/>
                  <w:hideMark/>
                </w:tcPr>
                <w:p w14:paraId="4524FFD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0.97 </w:t>
                  </w:r>
                </w:p>
              </w:tc>
              <w:tc>
                <w:tcPr>
                  <w:tcW w:w="921" w:type="dxa"/>
                  <w:tcBorders>
                    <w:top w:val="nil"/>
                    <w:left w:val="nil"/>
                    <w:bottom w:val="single" w:sz="8" w:space="0" w:color="FFFFFF"/>
                    <w:right w:val="single" w:sz="8" w:space="0" w:color="FFFFFF"/>
                  </w:tcBorders>
                  <w:shd w:val="clear" w:color="000000" w:fill="FDE9D9"/>
                  <w:noWrap/>
                  <w:vAlign w:val="center"/>
                  <w:hideMark/>
                </w:tcPr>
                <w:p w14:paraId="3778784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1.43 </w:t>
                  </w:r>
                </w:p>
              </w:tc>
              <w:tc>
                <w:tcPr>
                  <w:tcW w:w="921" w:type="dxa"/>
                  <w:tcBorders>
                    <w:top w:val="nil"/>
                    <w:left w:val="nil"/>
                    <w:bottom w:val="single" w:sz="8" w:space="0" w:color="FFFFFF"/>
                    <w:right w:val="single" w:sz="8" w:space="0" w:color="FFFFFF"/>
                  </w:tcBorders>
                  <w:shd w:val="clear" w:color="000000" w:fill="FDE9D9"/>
                  <w:noWrap/>
                  <w:vAlign w:val="center"/>
                  <w:hideMark/>
                </w:tcPr>
                <w:p w14:paraId="23AB486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3.60 </w:t>
                  </w:r>
                </w:p>
              </w:tc>
            </w:tr>
            <w:tr w:rsidR="009B2629" w:rsidRPr="009B2629" w14:paraId="7CA64D30"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27B94F1"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5A0DA15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3.77 </w:t>
                  </w:r>
                </w:p>
              </w:tc>
              <w:tc>
                <w:tcPr>
                  <w:tcW w:w="921" w:type="dxa"/>
                  <w:tcBorders>
                    <w:top w:val="nil"/>
                    <w:left w:val="nil"/>
                    <w:bottom w:val="single" w:sz="8" w:space="0" w:color="FFFFFF"/>
                    <w:right w:val="single" w:sz="8" w:space="0" w:color="FFFFFF"/>
                  </w:tcBorders>
                  <w:shd w:val="clear" w:color="000000" w:fill="FCD5B4"/>
                  <w:noWrap/>
                  <w:vAlign w:val="center"/>
                  <w:hideMark/>
                </w:tcPr>
                <w:p w14:paraId="57F26A0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4.12 </w:t>
                  </w:r>
                </w:p>
              </w:tc>
              <w:tc>
                <w:tcPr>
                  <w:tcW w:w="921" w:type="dxa"/>
                  <w:tcBorders>
                    <w:top w:val="nil"/>
                    <w:left w:val="nil"/>
                    <w:bottom w:val="single" w:sz="8" w:space="0" w:color="FFFFFF"/>
                    <w:right w:val="single" w:sz="8" w:space="0" w:color="FFFFFF"/>
                  </w:tcBorders>
                  <w:shd w:val="clear" w:color="000000" w:fill="FCD5B4"/>
                  <w:noWrap/>
                  <w:vAlign w:val="center"/>
                  <w:hideMark/>
                </w:tcPr>
                <w:p w14:paraId="09D9A77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4.61 </w:t>
                  </w:r>
                </w:p>
              </w:tc>
              <w:tc>
                <w:tcPr>
                  <w:tcW w:w="921" w:type="dxa"/>
                  <w:tcBorders>
                    <w:top w:val="nil"/>
                    <w:left w:val="nil"/>
                    <w:bottom w:val="single" w:sz="8" w:space="0" w:color="FFFFFF"/>
                    <w:right w:val="single" w:sz="8" w:space="0" w:color="FFFFFF"/>
                  </w:tcBorders>
                  <w:shd w:val="clear" w:color="000000" w:fill="FCD5B4"/>
                  <w:noWrap/>
                  <w:vAlign w:val="center"/>
                  <w:hideMark/>
                </w:tcPr>
                <w:p w14:paraId="7DF9764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6.78 </w:t>
                  </w:r>
                </w:p>
              </w:tc>
              <w:tc>
                <w:tcPr>
                  <w:tcW w:w="1157" w:type="dxa"/>
                  <w:tcBorders>
                    <w:top w:val="nil"/>
                    <w:left w:val="nil"/>
                    <w:bottom w:val="single" w:sz="8" w:space="0" w:color="FFFFFF"/>
                    <w:right w:val="single" w:sz="8" w:space="0" w:color="FFFFFF"/>
                  </w:tcBorders>
                  <w:shd w:val="clear" w:color="000000" w:fill="FCD5B4"/>
                  <w:noWrap/>
                  <w:vAlign w:val="center"/>
                  <w:hideMark/>
                </w:tcPr>
                <w:p w14:paraId="663BBF5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1D291B8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0.77 </w:t>
                  </w:r>
                </w:p>
              </w:tc>
              <w:tc>
                <w:tcPr>
                  <w:tcW w:w="921" w:type="dxa"/>
                  <w:tcBorders>
                    <w:top w:val="nil"/>
                    <w:left w:val="nil"/>
                    <w:bottom w:val="single" w:sz="8" w:space="0" w:color="FFFFFF"/>
                    <w:right w:val="single" w:sz="8" w:space="0" w:color="FFFFFF"/>
                  </w:tcBorders>
                  <w:shd w:val="clear" w:color="000000" w:fill="FCD5B4"/>
                  <w:noWrap/>
                  <w:vAlign w:val="center"/>
                  <w:hideMark/>
                </w:tcPr>
                <w:p w14:paraId="4D12654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1.12 </w:t>
                  </w:r>
                </w:p>
              </w:tc>
              <w:tc>
                <w:tcPr>
                  <w:tcW w:w="921" w:type="dxa"/>
                  <w:tcBorders>
                    <w:top w:val="nil"/>
                    <w:left w:val="nil"/>
                    <w:bottom w:val="single" w:sz="8" w:space="0" w:color="FFFFFF"/>
                    <w:right w:val="single" w:sz="8" w:space="0" w:color="FFFFFF"/>
                  </w:tcBorders>
                  <w:shd w:val="clear" w:color="000000" w:fill="FCD5B4"/>
                  <w:noWrap/>
                  <w:vAlign w:val="center"/>
                  <w:hideMark/>
                </w:tcPr>
                <w:p w14:paraId="55C4676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1.61 </w:t>
                  </w:r>
                </w:p>
              </w:tc>
              <w:tc>
                <w:tcPr>
                  <w:tcW w:w="921" w:type="dxa"/>
                  <w:tcBorders>
                    <w:top w:val="nil"/>
                    <w:left w:val="nil"/>
                    <w:bottom w:val="single" w:sz="8" w:space="0" w:color="FFFFFF"/>
                    <w:right w:val="single" w:sz="8" w:space="0" w:color="FFFFFF"/>
                  </w:tcBorders>
                  <w:shd w:val="clear" w:color="000000" w:fill="FCD5B4"/>
                  <w:noWrap/>
                  <w:vAlign w:val="center"/>
                  <w:hideMark/>
                </w:tcPr>
                <w:p w14:paraId="6AC0AC7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3.78 </w:t>
                  </w:r>
                </w:p>
              </w:tc>
            </w:tr>
            <w:tr w:rsidR="009B2629" w:rsidRPr="009B2629" w14:paraId="76ED9FBB"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2EC2E77"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9BF40C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3.51 </w:t>
                  </w:r>
                </w:p>
              </w:tc>
              <w:tc>
                <w:tcPr>
                  <w:tcW w:w="921" w:type="dxa"/>
                  <w:tcBorders>
                    <w:top w:val="nil"/>
                    <w:left w:val="nil"/>
                    <w:bottom w:val="single" w:sz="8" w:space="0" w:color="FFFFFF"/>
                    <w:right w:val="single" w:sz="8" w:space="0" w:color="FFFFFF"/>
                  </w:tcBorders>
                  <w:shd w:val="clear" w:color="000000" w:fill="FDE9D9"/>
                  <w:noWrap/>
                  <w:vAlign w:val="center"/>
                  <w:hideMark/>
                </w:tcPr>
                <w:p w14:paraId="0925F3C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3.77 </w:t>
                  </w:r>
                </w:p>
              </w:tc>
              <w:tc>
                <w:tcPr>
                  <w:tcW w:w="921" w:type="dxa"/>
                  <w:tcBorders>
                    <w:top w:val="nil"/>
                    <w:left w:val="nil"/>
                    <w:bottom w:val="single" w:sz="8" w:space="0" w:color="FFFFFF"/>
                    <w:right w:val="single" w:sz="8" w:space="0" w:color="FFFFFF"/>
                  </w:tcBorders>
                  <w:shd w:val="clear" w:color="000000" w:fill="FDE9D9"/>
                  <w:noWrap/>
                  <w:vAlign w:val="center"/>
                  <w:hideMark/>
                </w:tcPr>
                <w:p w14:paraId="1006FEE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4.27 </w:t>
                  </w:r>
                </w:p>
              </w:tc>
              <w:tc>
                <w:tcPr>
                  <w:tcW w:w="921" w:type="dxa"/>
                  <w:tcBorders>
                    <w:top w:val="nil"/>
                    <w:left w:val="nil"/>
                    <w:bottom w:val="single" w:sz="8" w:space="0" w:color="FFFFFF"/>
                    <w:right w:val="single" w:sz="8" w:space="0" w:color="FFFFFF"/>
                  </w:tcBorders>
                  <w:shd w:val="clear" w:color="000000" w:fill="FDE9D9"/>
                  <w:noWrap/>
                  <w:vAlign w:val="center"/>
                  <w:hideMark/>
                </w:tcPr>
                <w:p w14:paraId="776EA2C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6.47 </w:t>
                  </w:r>
                </w:p>
              </w:tc>
              <w:tc>
                <w:tcPr>
                  <w:tcW w:w="1157" w:type="dxa"/>
                  <w:tcBorders>
                    <w:top w:val="nil"/>
                    <w:left w:val="nil"/>
                    <w:bottom w:val="single" w:sz="8" w:space="0" w:color="FFFFFF"/>
                    <w:right w:val="single" w:sz="8" w:space="0" w:color="FFFFFF"/>
                  </w:tcBorders>
                  <w:shd w:val="clear" w:color="000000" w:fill="FDE9D9"/>
                  <w:noWrap/>
                  <w:vAlign w:val="center"/>
                  <w:hideMark/>
                </w:tcPr>
                <w:p w14:paraId="6A68E1C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54AB400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0.64 </w:t>
                  </w:r>
                </w:p>
              </w:tc>
              <w:tc>
                <w:tcPr>
                  <w:tcW w:w="921" w:type="dxa"/>
                  <w:tcBorders>
                    <w:top w:val="nil"/>
                    <w:left w:val="nil"/>
                    <w:bottom w:val="single" w:sz="8" w:space="0" w:color="FFFFFF"/>
                    <w:right w:val="single" w:sz="8" w:space="0" w:color="FFFFFF"/>
                  </w:tcBorders>
                  <w:shd w:val="clear" w:color="000000" w:fill="FDE9D9"/>
                  <w:noWrap/>
                  <w:vAlign w:val="center"/>
                  <w:hideMark/>
                </w:tcPr>
                <w:p w14:paraId="48C41C1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0.90 </w:t>
                  </w:r>
                </w:p>
              </w:tc>
              <w:tc>
                <w:tcPr>
                  <w:tcW w:w="921" w:type="dxa"/>
                  <w:tcBorders>
                    <w:top w:val="nil"/>
                    <w:left w:val="nil"/>
                    <w:bottom w:val="single" w:sz="8" w:space="0" w:color="FFFFFF"/>
                    <w:right w:val="single" w:sz="8" w:space="0" w:color="FFFFFF"/>
                  </w:tcBorders>
                  <w:shd w:val="clear" w:color="000000" w:fill="FDE9D9"/>
                  <w:noWrap/>
                  <w:vAlign w:val="center"/>
                  <w:hideMark/>
                </w:tcPr>
                <w:p w14:paraId="267780F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1.40 </w:t>
                  </w:r>
                </w:p>
              </w:tc>
              <w:tc>
                <w:tcPr>
                  <w:tcW w:w="921" w:type="dxa"/>
                  <w:tcBorders>
                    <w:top w:val="nil"/>
                    <w:left w:val="nil"/>
                    <w:bottom w:val="single" w:sz="8" w:space="0" w:color="FFFFFF"/>
                    <w:right w:val="single" w:sz="8" w:space="0" w:color="FFFFFF"/>
                  </w:tcBorders>
                  <w:shd w:val="clear" w:color="000000" w:fill="FDE9D9"/>
                  <w:noWrap/>
                  <w:vAlign w:val="center"/>
                  <w:hideMark/>
                </w:tcPr>
                <w:p w14:paraId="519C5EC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3.60 </w:t>
                  </w:r>
                </w:p>
              </w:tc>
            </w:tr>
            <w:tr w:rsidR="009B2629" w:rsidRPr="009B2629" w14:paraId="2441EA6A"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1515D128"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105A7B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3.74 </w:t>
                  </w:r>
                </w:p>
              </w:tc>
              <w:tc>
                <w:tcPr>
                  <w:tcW w:w="921" w:type="dxa"/>
                  <w:tcBorders>
                    <w:top w:val="nil"/>
                    <w:left w:val="nil"/>
                    <w:bottom w:val="single" w:sz="8" w:space="0" w:color="FFFFFF"/>
                    <w:right w:val="single" w:sz="8" w:space="0" w:color="FFFFFF"/>
                  </w:tcBorders>
                  <w:shd w:val="clear" w:color="000000" w:fill="FCD5B4"/>
                  <w:noWrap/>
                  <w:vAlign w:val="center"/>
                  <w:hideMark/>
                </w:tcPr>
                <w:p w14:paraId="50FF526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4.00 </w:t>
                  </w:r>
                </w:p>
              </w:tc>
              <w:tc>
                <w:tcPr>
                  <w:tcW w:w="921" w:type="dxa"/>
                  <w:tcBorders>
                    <w:top w:val="nil"/>
                    <w:left w:val="nil"/>
                    <w:bottom w:val="single" w:sz="8" w:space="0" w:color="FFFFFF"/>
                    <w:right w:val="single" w:sz="8" w:space="0" w:color="FFFFFF"/>
                  </w:tcBorders>
                  <w:shd w:val="clear" w:color="000000" w:fill="FCD5B4"/>
                  <w:noWrap/>
                  <w:vAlign w:val="center"/>
                  <w:hideMark/>
                </w:tcPr>
                <w:p w14:paraId="6E08DAC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4.51 </w:t>
                  </w:r>
                </w:p>
              </w:tc>
              <w:tc>
                <w:tcPr>
                  <w:tcW w:w="921" w:type="dxa"/>
                  <w:tcBorders>
                    <w:top w:val="nil"/>
                    <w:left w:val="nil"/>
                    <w:bottom w:val="single" w:sz="8" w:space="0" w:color="FFFFFF"/>
                    <w:right w:val="single" w:sz="8" w:space="0" w:color="FFFFFF"/>
                  </w:tcBorders>
                  <w:shd w:val="clear" w:color="000000" w:fill="FCD5B4"/>
                  <w:noWrap/>
                  <w:vAlign w:val="center"/>
                  <w:hideMark/>
                </w:tcPr>
                <w:p w14:paraId="64BD499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6.71 </w:t>
                  </w:r>
                </w:p>
              </w:tc>
              <w:tc>
                <w:tcPr>
                  <w:tcW w:w="1157" w:type="dxa"/>
                  <w:tcBorders>
                    <w:top w:val="nil"/>
                    <w:left w:val="nil"/>
                    <w:bottom w:val="single" w:sz="8" w:space="0" w:color="FFFFFF"/>
                    <w:right w:val="single" w:sz="8" w:space="0" w:color="FFFFFF"/>
                  </w:tcBorders>
                  <w:shd w:val="clear" w:color="000000" w:fill="FCD5B4"/>
                  <w:noWrap/>
                  <w:vAlign w:val="center"/>
                  <w:hideMark/>
                </w:tcPr>
                <w:p w14:paraId="4CBE506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3C201C2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0.74 </w:t>
                  </w:r>
                </w:p>
              </w:tc>
              <w:tc>
                <w:tcPr>
                  <w:tcW w:w="921" w:type="dxa"/>
                  <w:tcBorders>
                    <w:top w:val="nil"/>
                    <w:left w:val="nil"/>
                    <w:bottom w:val="single" w:sz="8" w:space="0" w:color="FFFFFF"/>
                    <w:right w:val="single" w:sz="8" w:space="0" w:color="FFFFFF"/>
                  </w:tcBorders>
                  <w:shd w:val="clear" w:color="000000" w:fill="FCD5B4"/>
                  <w:noWrap/>
                  <w:vAlign w:val="center"/>
                  <w:hideMark/>
                </w:tcPr>
                <w:p w14:paraId="36E49A4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1.00 </w:t>
                  </w:r>
                </w:p>
              </w:tc>
              <w:tc>
                <w:tcPr>
                  <w:tcW w:w="921" w:type="dxa"/>
                  <w:tcBorders>
                    <w:top w:val="nil"/>
                    <w:left w:val="nil"/>
                    <w:bottom w:val="single" w:sz="8" w:space="0" w:color="FFFFFF"/>
                    <w:right w:val="single" w:sz="8" w:space="0" w:color="FFFFFF"/>
                  </w:tcBorders>
                  <w:shd w:val="clear" w:color="000000" w:fill="FCD5B4"/>
                  <w:noWrap/>
                  <w:vAlign w:val="center"/>
                  <w:hideMark/>
                </w:tcPr>
                <w:p w14:paraId="7AFF394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1.51 </w:t>
                  </w:r>
                </w:p>
              </w:tc>
              <w:tc>
                <w:tcPr>
                  <w:tcW w:w="921" w:type="dxa"/>
                  <w:tcBorders>
                    <w:top w:val="nil"/>
                    <w:left w:val="nil"/>
                    <w:bottom w:val="single" w:sz="8" w:space="0" w:color="FFFFFF"/>
                    <w:right w:val="single" w:sz="8" w:space="0" w:color="FFFFFF"/>
                  </w:tcBorders>
                  <w:shd w:val="clear" w:color="000000" w:fill="FCD5B4"/>
                  <w:noWrap/>
                  <w:vAlign w:val="center"/>
                  <w:hideMark/>
                </w:tcPr>
                <w:p w14:paraId="2C46694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3.71 </w:t>
                  </w:r>
                </w:p>
              </w:tc>
            </w:tr>
            <w:tr w:rsidR="009B2629" w:rsidRPr="009B2629" w14:paraId="3DCE224C"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FCAB6A2"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ECD1B5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3.90 </w:t>
                  </w:r>
                </w:p>
              </w:tc>
              <w:tc>
                <w:tcPr>
                  <w:tcW w:w="921" w:type="dxa"/>
                  <w:tcBorders>
                    <w:top w:val="nil"/>
                    <w:left w:val="nil"/>
                    <w:bottom w:val="single" w:sz="8" w:space="0" w:color="FFFFFF"/>
                    <w:right w:val="single" w:sz="8" w:space="0" w:color="FFFFFF"/>
                  </w:tcBorders>
                  <w:shd w:val="clear" w:color="000000" w:fill="FDE9D9"/>
                  <w:noWrap/>
                  <w:vAlign w:val="center"/>
                  <w:hideMark/>
                </w:tcPr>
                <w:p w14:paraId="4D9E1B0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4.18 </w:t>
                  </w:r>
                </w:p>
              </w:tc>
              <w:tc>
                <w:tcPr>
                  <w:tcW w:w="921" w:type="dxa"/>
                  <w:tcBorders>
                    <w:top w:val="nil"/>
                    <w:left w:val="nil"/>
                    <w:bottom w:val="single" w:sz="8" w:space="0" w:color="FFFFFF"/>
                    <w:right w:val="single" w:sz="8" w:space="0" w:color="FFFFFF"/>
                  </w:tcBorders>
                  <w:shd w:val="clear" w:color="000000" w:fill="FDE9D9"/>
                  <w:noWrap/>
                  <w:vAlign w:val="center"/>
                  <w:hideMark/>
                </w:tcPr>
                <w:p w14:paraId="457F369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4.69 </w:t>
                  </w:r>
                </w:p>
              </w:tc>
              <w:tc>
                <w:tcPr>
                  <w:tcW w:w="921" w:type="dxa"/>
                  <w:tcBorders>
                    <w:top w:val="nil"/>
                    <w:left w:val="nil"/>
                    <w:bottom w:val="single" w:sz="8" w:space="0" w:color="FFFFFF"/>
                    <w:right w:val="single" w:sz="8" w:space="0" w:color="FFFFFF"/>
                  </w:tcBorders>
                  <w:shd w:val="clear" w:color="000000" w:fill="FDE9D9"/>
                  <w:noWrap/>
                  <w:vAlign w:val="center"/>
                  <w:hideMark/>
                </w:tcPr>
                <w:p w14:paraId="3C5E9D1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6.89 </w:t>
                  </w:r>
                </w:p>
              </w:tc>
              <w:tc>
                <w:tcPr>
                  <w:tcW w:w="1157" w:type="dxa"/>
                  <w:tcBorders>
                    <w:top w:val="nil"/>
                    <w:left w:val="nil"/>
                    <w:bottom w:val="single" w:sz="8" w:space="0" w:color="FFFFFF"/>
                    <w:right w:val="single" w:sz="8" w:space="0" w:color="FFFFFF"/>
                  </w:tcBorders>
                  <w:shd w:val="clear" w:color="000000" w:fill="FDE9D9"/>
                  <w:noWrap/>
                  <w:vAlign w:val="center"/>
                  <w:hideMark/>
                </w:tcPr>
                <w:p w14:paraId="14BD71D2"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42C43F6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0.72 </w:t>
                  </w:r>
                </w:p>
              </w:tc>
              <w:tc>
                <w:tcPr>
                  <w:tcW w:w="921" w:type="dxa"/>
                  <w:tcBorders>
                    <w:top w:val="nil"/>
                    <w:left w:val="nil"/>
                    <w:bottom w:val="single" w:sz="8" w:space="0" w:color="FFFFFF"/>
                    <w:right w:val="single" w:sz="8" w:space="0" w:color="FFFFFF"/>
                  </w:tcBorders>
                  <w:shd w:val="clear" w:color="000000" w:fill="FDE9D9"/>
                  <w:noWrap/>
                  <w:vAlign w:val="center"/>
                  <w:hideMark/>
                </w:tcPr>
                <w:p w14:paraId="7DC25D5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1.00 </w:t>
                  </w:r>
                </w:p>
              </w:tc>
              <w:tc>
                <w:tcPr>
                  <w:tcW w:w="921" w:type="dxa"/>
                  <w:tcBorders>
                    <w:top w:val="nil"/>
                    <w:left w:val="nil"/>
                    <w:bottom w:val="single" w:sz="8" w:space="0" w:color="FFFFFF"/>
                    <w:right w:val="single" w:sz="8" w:space="0" w:color="FFFFFF"/>
                  </w:tcBorders>
                  <w:shd w:val="clear" w:color="000000" w:fill="FDE9D9"/>
                  <w:noWrap/>
                  <w:vAlign w:val="center"/>
                  <w:hideMark/>
                </w:tcPr>
                <w:p w14:paraId="2484A30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1.51 </w:t>
                  </w:r>
                </w:p>
              </w:tc>
              <w:tc>
                <w:tcPr>
                  <w:tcW w:w="921" w:type="dxa"/>
                  <w:tcBorders>
                    <w:top w:val="nil"/>
                    <w:left w:val="nil"/>
                    <w:bottom w:val="single" w:sz="8" w:space="0" w:color="FFFFFF"/>
                    <w:right w:val="single" w:sz="8" w:space="0" w:color="FFFFFF"/>
                  </w:tcBorders>
                  <w:shd w:val="clear" w:color="000000" w:fill="FDE9D9"/>
                  <w:noWrap/>
                  <w:vAlign w:val="center"/>
                  <w:hideMark/>
                </w:tcPr>
                <w:p w14:paraId="0F6F59A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3.71 </w:t>
                  </w:r>
                </w:p>
              </w:tc>
            </w:tr>
            <w:tr w:rsidR="009B2629" w:rsidRPr="009B2629" w14:paraId="2C24CB9D"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80688EA"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1DBF418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3.60 </w:t>
                  </w:r>
                </w:p>
              </w:tc>
              <w:tc>
                <w:tcPr>
                  <w:tcW w:w="921" w:type="dxa"/>
                  <w:tcBorders>
                    <w:top w:val="nil"/>
                    <w:left w:val="nil"/>
                    <w:bottom w:val="single" w:sz="8" w:space="0" w:color="FFFFFF"/>
                    <w:right w:val="single" w:sz="8" w:space="0" w:color="FFFFFF"/>
                  </w:tcBorders>
                  <w:shd w:val="clear" w:color="000000" w:fill="FCD5B4"/>
                  <w:noWrap/>
                  <w:vAlign w:val="center"/>
                  <w:hideMark/>
                </w:tcPr>
                <w:p w14:paraId="4D421E6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3.79 </w:t>
                  </w:r>
                </w:p>
              </w:tc>
              <w:tc>
                <w:tcPr>
                  <w:tcW w:w="921" w:type="dxa"/>
                  <w:tcBorders>
                    <w:top w:val="nil"/>
                    <w:left w:val="nil"/>
                    <w:bottom w:val="single" w:sz="8" w:space="0" w:color="FFFFFF"/>
                    <w:right w:val="single" w:sz="8" w:space="0" w:color="FFFFFF"/>
                  </w:tcBorders>
                  <w:shd w:val="clear" w:color="000000" w:fill="FCD5B4"/>
                  <w:noWrap/>
                  <w:vAlign w:val="center"/>
                  <w:hideMark/>
                </w:tcPr>
                <w:p w14:paraId="7C94418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3.96 </w:t>
                  </w:r>
                </w:p>
              </w:tc>
              <w:tc>
                <w:tcPr>
                  <w:tcW w:w="921" w:type="dxa"/>
                  <w:tcBorders>
                    <w:top w:val="nil"/>
                    <w:left w:val="nil"/>
                    <w:bottom w:val="single" w:sz="8" w:space="0" w:color="FFFFFF"/>
                    <w:right w:val="single" w:sz="8" w:space="0" w:color="FFFFFF"/>
                  </w:tcBorders>
                  <w:shd w:val="clear" w:color="000000" w:fill="FCD5B4"/>
                  <w:noWrap/>
                  <w:vAlign w:val="center"/>
                  <w:hideMark/>
                </w:tcPr>
                <w:p w14:paraId="5EA202F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6.57 </w:t>
                  </w:r>
                </w:p>
              </w:tc>
              <w:tc>
                <w:tcPr>
                  <w:tcW w:w="1157" w:type="dxa"/>
                  <w:tcBorders>
                    <w:top w:val="nil"/>
                    <w:left w:val="nil"/>
                    <w:bottom w:val="single" w:sz="8" w:space="0" w:color="FFFFFF"/>
                    <w:right w:val="single" w:sz="8" w:space="0" w:color="FFFFFF"/>
                  </w:tcBorders>
                  <w:shd w:val="clear" w:color="000000" w:fill="FCD5B4"/>
                  <w:noWrap/>
                  <w:vAlign w:val="center"/>
                  <w:hideMark/>
                </w:tcPr>
                <w:p w14:paraId="0859EAB3"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7C8D846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CD5B4"/>
                  <w:noWrap/>
                  <w:vAlign w:val="center"/>
                  <w:hideMark/>
                </w:tcPr>
                <w:p w14:paraId="5C1C75A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0.92 </w:t>
                  </w:r>
                </w:p>
              </w:tc>
              <w:tc>
                <w:tcPr>
                  <w:tcW w:w="921" w:type="dxa"/>
                  <w:tcBorders>
                    <w:top w:val="nil"/>
                    <w:left w:val="nil"/>
                    <w:bottom w:val="single" w:sz="8" w:space="0" w:color="FFFFFF"/>
                    <w:right w:val="single" w:sz="8" w:space="0" w:color="FFFFFF"/>
                  </w:tcBorders>
                  <w:shd w:val="clear" w:color="000000" w:fill="FCD5B4"/>
                  <w:noWrap/>
                  <w:vAlign w:val="center"/>
                  <w:hideMark/>
                </w:tcPr>
                <w:p w14:paraId="4ADA373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1.09 </w:t>
                  </w:r>
                </w:p>
              </w:tc>
              <w:tc>
                <w:tcPr>
                  <w:tcW w:w="921" w:type="dxa"/>
                  <w:tcBorders>
                    <w:top w:val="nil"/>
                    <w:left w:val="nil"/>
                    <w:bottom w:val="single" w:sz="8" w:space="0" w:color="FFFFFF"/>
                    <w:right w:val="single" w:sz="8" w:space="0" w:color="FFFFFF"/>
                  </w:tcBorders>
                  <w:shd w:val="clear" w:color="000000" w:fill="FCD5B4"/>
                  <w:noWrap/>
                  <w:vAlign w:val="center"/>
                  <w:hideMark/>
                </w:tcPr>
                <w:p w14:paraId="308652D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3.70 </w:t>
                  </w:r>
                </w:p>
              </w:tc>
            </w:tr>
            <w:tr w:rsidR="009B2629" w:rsidRPr="009B2629" w14:paraId="4CC3AF5A"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AA400C8"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0BEBBB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3.83 </w:t>
                  </w:r>
                </w:p>
              </w:tc>
              <w:tc>
                <w:tcPr>
                  <w:tcW w:w="921" w:type="dxa"/>
                  <w:tcBorders>
                    <w:top w:val="nil"/>
                    <w:left w:val="nil"/>
                    <w:bottom w:val="single" w:sz="8" w:space="0" w:color="FFFFFF"/>
                    <w:right w:val="single" w:sz="8" w:space="0" w:color="FFFFFF"/>
                  </w:tcBorders>
                  <w:shd w:val="clear" w:color="000000" w:fill="FDE9D9"/>
                  <w:noWrap/>
                  <w:vAlign w:val="center"/>
                  <w:hideMark/>
                </w:tcPr>
                <w:p w14:paraId="50344B1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4.15 </w:t>
                  </w:r>
                </w:p>
              </w:tc>
              <w:tc>
                <w:tcPr>
                  <w:tcW w:w="921" w:type="dxa"/>
                  <w:tcBorders>
                    <w:top w:val="nil"/>
                    <w:left w:val="nil"/>
                    <w:bottom w:val="single" w:sz="8" w:space="0" w:color="FFFFFF"/>
                    <w:right w:val="single" w:sz="8" w:space="0" w:color="FFFFFF"/>
                  </w:tcBorders>
                  <w:shd w:val="clear" w:color="000000" w:fill="FDE9D9"/>
                  <w:noWrap/>
                  <w:vAlign w:val="center"/>
                  <w:hideMark/>
                </w:tcPr>
                <w:p w14:paraId="0132D6D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4.59 </w:t>
                  </w:r>
                </w:p>
              </w:tc>
              <w:tc>
                <w:tcPr>
                  <w:tcW w:w="921" w:type="dxa"/>
                  <w:tcBorders>
                    <w:top w:val="nil"/>
                    <w:left w:val="nil"/>
                    <w:bottom w:val="single" w:sz="8" w:space="0" w:color="FFFFFF"/>
                    <w:right w:val="single" w:sz="8" w:space="0" w:color="FFFFFF"/>
                  </w:tcBorders>
                  <w:shd w:val="clear" w:color="000000" w:fill="FDE9D9"/>
                  <w:noWrap/>
                  <w:vAlign w:val="center"/>
                  <w:hideMark/>
                </w:tcPr>
                <w:p w14:paraId="1668527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7.28 </w:t>
                  </w:r>
                </w:p>
              </w:tc>
              <w:tc>
                <w:tcPr>
                  <w:tcW w:w="1157" w:type="dxa"/>
                  <w:tcBorders>
                    <w:top w:val="nil"/>
                    <w:left w:val="nil"/>
                    <w:bottom w:val="single" w:sz="8" w:space="0" w:color="FFFFFF"/>
                    <w:right w:val="single" w:sz="8" w:space="0" w:color="FFFFFF"/>
                  </w:tcBorders>
                  <w:shd w:val="clear" w:color="000000" w:fill="FDE9D9"/>
                  <w:noWrap/>
                  <w:vAlign w:val="center"/>
                  <w:hideMark/>
                </w:tcPr>
                <w:p w14:paraId="3B2F8135"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287CB08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0.83 </w:t>
                  </w:r>
                </w:p>
              </w:tc>
              <w:tc>
                <w:tcPr>
                  <w:tcW w:w="921" w:type="dxa"/>
                  <w:tcBorders>
                    <w:top w:val="nil"/>
                    <w:left w:val="nil"/>
                    <w:bottom w:val="single" w:sz="8" w:space="0" w:color="FFFFFF"/>
                    <w:right w:val="single" w:sz="8" w:space="0" w:color="FFFFFF"/>
                  </w:tcBorders>
                  <w:shd w:val="clear" w:color="000000" w:fill="FDE9D9"/>
                  <w:noWrap/>
                  <w:vAlign w:val="center"/>
                  <w:hideMark/>
                </w:tcPr>
                <w:p w14:paraId="528CD3C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DE9D9"/>
                  <w:noWrap/>
                  <w:vAlign w:val="center"/>
                  <w:hideMark/>
                </w:tcPr>
                <w:p w14:paraId="7FA6587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1.59 </w:t>
                  </w:r>
                </w:p>
              </w:tc>
              <w:tc>
                <w:tcPr>
                  <w:tcW w:w="921" w:type="dxa"/>
                  <w:tcBorders>
                    <w:top w:val="nil"/>
                    <w:left w:val="nil"/>
                    <w:bottom w:val="single" w:sz="8" w:space="0" w:color="FFFFFF"/>
                    <w:right w:val="single" w:sz="8" w:space="0" w:color="FFFFFF"/>
                  </w:tcBorders>
                  <w:shd w:val="clear" w:color="000000" w:fill="FDE9D9"/>
                  <w:noWrap/>
                  <w:vAlign w:val="center"/>
                  <w:hideMark/>
                </w:tcPr>
                <w:p w14:paraId="2B9D4DF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4.28 </w:t>
                  </w:r>
                </w:p>
              </w:tc>
            </w:tr>
            <w:tr w:rsidR="009B2629" w:rsidRPr="009B2629" w14:paraId="01E5066B" w14:textId="77777777" w:rsidTr="009B2629">
              <w:trPr>
                <w:trHeight w:val="300"/>
              </w:trPr>
              <w:tc>
                <w:tcPr>
                  <w:tcW w:w="1350" w:type="dxa"/>
                  <w:tcBorders>
                    <w:top w:val="nil"/>
                    <w:left w:val="nil"/>
                    <w:bottom w:val="nil"/>
                    <w:right w:val="nil"/>
                  </w:tcBorders>
                  <w:shd w:val="clear" w:color="000000" w:fill="FCD5B4"/>
                  <w:noWrap/>
                  <w:vAlign w:val="center"/>
                  <w:hideMark/>
                </w:tcPr>
                <w:p w14:paraId="0A2AEE42"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2C03164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4.06 </w:t>
                  </w:r>
                </w:p>
              </w:tc>
              <w:tc>
                <w:tcPr>
                  <w:tcW w:w="921" w:type="dxa"/>
                  <w:tcBorders>
                    <w:top w:val="nil"/>
                    <w:left w:val="nil"/>
                    <w:bottom w:val="single" w:sz="8" w:space="0" w:color="FFFFFF"/>
                    <w:right w:val="single" w:sz="8" w:space="0" w:color="FFFFFF"/>
                  </w:tcBorders>
                  <w:shd w:val="clear" w:color="000000" w:fill="FCD5B4"/>
                  <w:noWrap/>
                  <w:vAlign w:val="center"/>
                  <w:hideMark/>
                </w:tcPr>
                <w:p w14:paraId="0D7B1D8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4.43 </w:t>
                  </w:r>
                </w:p>
              </w:tc>
              <w:tc>
                <w:tcPr>
                  <w:tcW w:w="921" w:type="dxa"/>
                  <w:tcBorders>
                    <w:top w:val="nil"/>
                    <w:left w:val="nil"/>
                    <w:bottom w:val="single" w:sz="8" w:space="0" w:color="FFFFFF"/>
                    <w:right w:val="single" w:sz="8" w:space="0" w:color="FFFFFF"/>
                  </w:tcBorders>
                  <w:shd w:val="clear" w:color="000000" w:fill="FCD5B4"/>
                  <w:noWrap/>
                  <w:vAlign w:val="center"/>
                  <w:hideMark/>
                </w:tcPr>
                <w:p w14:paraId="4729900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4.90 </w:t>
                  </w:r>
                </w:p>
              </w:tc>
              <w:tc>
                <w:tcPr>
                  <w:tcW w:w="921" w:type="dxa"/>
                  <w:tcBorders>
                    <w:top w:val="nil"/>
                    <w:left w:val="nil"/>
                    <w:bottom w:val="single" w:sz="8" w:space="0" w:color="FFFFFF"/>
                    <w:right w:val="single" w:sz="8" w:space="0" w:color="FFFFFF"/>
                  </w:tcBorders>
                  <w:shd w:val="clear" w:color="000000" w:fill="FCD5B4"/>
                  <w:noWrap/>
                  <w:vAlign w:val="center"/>
                  <w:hideMark/>
                </w:tcPr>
                <w:p w14:paraId="208816C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7.59 </w:t>
                  </w:r>
                </w:p>
              </w:tc>
              <w:tc>
                <w:tcPr>
                  <w:tcW w:w="1157" w:type="dxa"/>
                  <w:tcBorders>
                    <w:top w:val="nil"/>
                    <w:left w:val="nil"/>
                    <w:bottom w:val="nil"/>
                    <w:right w:val="nil"/>
                  </w:tcBorders>
                  <w:shd w:val="clear" w:color="000000" w:fill="FCD5B4"/>
                  <w:noWrap/>
                  <w:vAlign w:val="center"/>
                  <w:hideMark/>
                </w:tcPr>
                <w:p w14:paraId="1FDF3BF2"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520B705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CD5B4"/>
                  <w:noWrap/>
                  <w:vAlign w:val="center"/>
                  <w:hideMark/>
                </w:tcPr>
                <w:p w14:paraId="1BE22AC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1.24 </w:t>
                  </w:r>
                </w:p>
              </w:tc>
              <w:tc>
                <w:tcPr>
                  <w:tcW w:w="921" w:type="dxa"/>
                  <w:tcBorders>
                    <w:top w:val="nil"/>
                    <w:left w:val="nil"/>
                    <w:bottom w:val="single" w:sz="8" w:space="0" w:color="FFFFFF"/>
                    <w:right w:val="single" w:sz="8" w:space="0" w:color="FFFFFF"/>
                  </w:tcBorders>
                  <w:shd w:val="clear" w:color="000000" w:fill="FCD5B4"/>
                  <w:noWrap/>
                  <w:vAlign w:val="center"/>
                  <w:hideMark/>
                </w:tcPr>
                <w:p w14:paraId="4E90C8D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1.71 </w:t>
                  </w:r>
                </w:p>
              </w:tc>
              <w:tc>
                <w:tcPr>
                  <w:tcW w:w="921" w:type="dxa"/>
                  <w:tcBorders>
                    <w:top w:val="nil"/>
                    <w:left w:val="nil"/>
                    <w:bottom w:val="single" w:sz="8" w:space="0" w:color="FFFFFF"/>
                    <w:right w:val="single" w:sz="8" w:space="0" w:color="FFFFFF"/>
                  </w:tcBorders>
                  <w:shd w:val="clear" w:color="000000" w:fill="FCD5B4"/>
                  <w:noWrap/>
                  <w:vAlign w:val="center"/>
                  <w:hideMark/>
                </w:tcPr>
                <w:p w14:paraId="2376068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4.40 </w:t>
                  </w:r>
                </w:p>
              </w:tc>
            </w:tr>
            <w:tr w:rsidR="009B2629" w:rsidRPr="009B2629" w14:paraId="7B7CA0E9" w14:textId="77777777" w:rsidTr="009B2629">
              <w:trPr>
                <w:trHeight w:val="150"/>
              </w:trPr>
              <w:tc>
                <w:tcPr>
                  <w:tcW w:w="1350" w:type="dxa"/>
                  <w:tcBorders>
                    <w:top w:val="nil"/>
                    <w:left w:val="nil"/>
                    <w:bottom w:val="nil"/>
                    <w:right w:val="nil"/>
                  </w:tcBorders>
                  <w:shd w:val="clear" w:color="auto" w:fill="auto"/>
                  <w:noWrap/>
                  <w:vAlign w:val="center"/>
                  <w:hideMark/>
                </w:tcPr>
                <w:p w14:paraId="4A33F224" w14:textId="77777777" w:rsidR="009B2629" w:rsidRPr="009B2629" w:rsidRDefault="009B2629" w:rsidP="009B2629">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45DD1C8E"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E9D5D62"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61464BA"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768EB2A" w14:textId="77777777" w:rsidR="009B2629" w:rsidRPr="009B2629" w:rsidRDefault="009B2629" w:rsidP="009B2629">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6F12A1EA"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8DA9148"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40459FD"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5FD08CB"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77470AF7" w14:textId="77777777" w:rsidR="009B2629" w:rsidRPr="009B2629" w:rsidRDefault="009B2629" w:rsidP="009B2629">
                  <w:pPr>
                    <w:widowControl/>
                    <w:jc w:val="center"/>
                    <w:rPr>
                      <w:rFonts w:ascii="Times New Roman" w:eastAsia="Times New Roman" w:hAnsi="Times New Roman"/>
                      <w:kern w:val="0"/>
                      <w:sz w:val="20"/>
                      <w:szCs w:val="20"/>
                    </w:rPr>
                  </w:pPr>
                </w:p>
              </w:tc>
            </w:tr>
            <w:tr w:rsidR="009B2629" w:rsidRPr="009B2629" w14:paraId="21E9F2E9" w14:textId="77777777" w:rsidTr="009B2629">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7735FC28" w14:textId="77777777" w:rsidR="009B2629" w:rsidRPr="009B2629" w:rsidRDefault="009B2629" w:rsidP="009B2629">
                  <w:pPr>
                    <w:widowControl/>
                    <w:jc w:val="center"/>
                    <w:rPr>
                      <w:rFonts w:ascii="楷体" w:eastAsia="楷体" w:hAnsi="楷体" w:cs="宋体"/>
                      <w:b/>
                      <w:bCs/>
                      <w:color w:val="FFFFFF"/>
                      <w:kern w:val="0"/>
                      <w:sz w:val="20"/>
                      <w:szCs w:val="20"/>
                    </w:rPr>
                  </w:pPr>
                  <w:proofErr w:type="gramStart"/>
                  <w:r w:rsidRPr="009B2629">
                    <w:rPr>
                      <w:rFonts w:ascii="楷体" w:eastAsia="楷体" w:hAnsi="楷体" w:cs="宋体" w:hint="eastAsia"/>
                      <w:b/>
                      <w:bCs/>
                      <w:color w:val="FFFFFF"/>
                      <w:kern w:val="0"/>
                      <w:sz w:val="20"/>
                      <w:szCs w:val="20"/>
                    </w:rPr>
                    <w:t>周变化</w:t>
                  </w:r>
                  <w:proofErr w:type="gramEnd"/>
                  <w:r w:rsidRPr="009B2629">
                    <w:rPr>
                      <w:rFonts w:ascii="楷体" w:eastAsia="楷体" w:hAnsi="楷体" w:cs="宋体" w:hint="eastAsia"/>
                      <w:b/>
                      <w:bCs/>
                      <w:color w:val="FFFFFF"/>
                      <w:kern w:val="0"/>
                      <w:sz w:val="20"/>
                      <w:szCs w:val="20"/>
                    </w:rPr>
                    <w:t>(BP)</w:t>
                  </w:r>
                </w:p>
              </w:tc>
              <w:tc>
                <w:tcPr>
                  <w:tcW w:w="920" w:type="dxa"/>
                  <w:tcBorders>
                    <w:top w:val="nil"/>
                    <w:left w:val="nil"/>
                    <w:bottom w:val="single" w:sz="12" w:space="0" w:color="FFFFFF"/>
                    <w:right w:val="single" w:sz="8" w:space="0" w:color="FFFFFF"/>
                  </w:tcBorders>
                  <w:shd w:val="clear" w:color="000000" w:fill="F79646"/>
                  <w:noWrap/>
                  <w:vAlign w:val="center"/>
                  <w:hideMark/>
                </w:tcPr>
                <w:p w14:paraId="6D1791ED"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C4613A1"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76BDBEE"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FE12E80"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6CC1B3B2"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5E17B3A4"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E537DB5"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40A6E81"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F3E3E54"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r>
            <w:tr w:rsidR="009B2629" w:rsidRPr="009B2629" w14:paraId="5CE1B970" w14:textId="77777777" w:rsidTr="009B2629">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71898AE"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5A6225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CD5B4"/>
                  <w:noWrap/>
                  <w:vAlign w:val="center"/>
                  <w:hideMark/>
                </w:tcPr>
                <w:p w14:paraId="0180BA0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0.0 </w:t>
                  </w:r>
                </w:p>
              </w:tc>
              <w:tc>
                <w:tcPr>
                  <w:tcW w:w="921" w:type="dxa"/>
                  <w:tcBorders>
                    <w:top w:val="nil"/>
                    <w:left w:val="nil"/>
                    <w:bottom w:val="single" w:sz="8" w:space="0" w:color="FFFFFF"/>
                    <w:right w:val="single" w:sz="8" w:space="0" w:color="FFFFFF"/>
                  </w:tcBorders>
                  <w:shd w:val="clear" w:color="000000" w:fill="FCD5B4"/>
                  <w:noWrap/>
                  <w:vAlign w:val="center"/>
                  <w:hideMark/>
                </w:tcPr>
                <w:p w14:paraId="426E592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CD5B4"/>
                  <w:noWrap/>
                  <w:vAlign w:val="center"/>
                  <w:hideMark/>
                </w:tcPr>
                <w:p w14:paraId="1E5F954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53EF5F46"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126D20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695428F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2.7 </w:t>
                  </w:r>
                </w:p>
              </w:tc>
              <w:tc>
                <w:tcPr>
                  <w:tcW w:w="921" w:type="dxa"/>
                  <w:tcBorders>
                    <w:top w:val="nil"/>
                    <w:left w:val="nil"/>
                    <w:bottom w:val="single" w:sz="8" w:space="0" w:color="FFFFFF"/>
                    <w:right w:val="single" w:sz="8" w:space="0" w:color="FFFFFF"/>
                  </w:tcBorders>
                  <w:shd w:val="clear" w:color="000000" w:fill="FCD5B4"/>
                  <w:noWrap/>
                  <w:vAlign w:val="center"/>
                  <w:hideMark/>
                </w:tcPr>
                <w:p w14:paraId="5CB45E1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0E89F0A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-1.3 </w:t>
                  </w:r>
                </w:p>
              </w:tc>
            </w:tr>
            <w:tr w:rsidR="009B2629" w:rsidRPr="009B2629" w14:paraId="717CEA36"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A93F32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78E4D7F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1.0 </w:t>
                  </w:r>
                </w:p>
              </w:tc>
              <w:tc>
                <w:tcPr>
                  <w:tcW w:w="921" w:type="dxa"/>
                  <w:tcBorders>
                    <w:top w:val="nil"/>
                    <w:left w:val="nil"/>
                    <w:bottom w:val="single" w:sz="8" w:space="0" w:color="FFFFFF"/>
                    <w:right w:val="single" w:sz="8" w:space="0" w:color="FFFFFF"/>
                  </w:tcBorders>
                  <w:shd w:val="clear" w:color="000000" w:fill="FDE9D9"/>
                  <w:noWrap/>
                  <w:vAlign w:val="center"/>
                  <w:hideMark/>
                </w:tcPr>
                <w:p w14:paraId="7E3F128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1.0 </w:t>
                  </w:r>
                </w:p>
              </w:tc>
              <w:tc>
                <w:tcPr>
                  <w:tcW w:w="921" w:type="dxa"/>
                  <w:tcBorders>
                    <w:top w:val="nil"/>
                    <w:left w:val="nil"/>
                    <w:bottom w:val="single" w:sz="8" w:space="0" w:color="FFFFFF"/>
                    <w:right w:val="single" w:sz="8" w:space="0" w:color="FFFFFF"/>
                  </w:tcBorders>
                  <w:shd w:val="clear" w:color="000000" w:fill="FDE9D9"/>
                  <w:noWrap/>
                  <w:vAlign w:val="center"/>
                  <w:hideMark/>
                </w:tcPr>
                <w:p w14:paraId="54B6843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-1.0 </w:t>
                  </w:r>
                </w:p>
              </w:tc>
              <w:tc>
                <w:tcPr>
                  <w:tcW w:w="921" w:type="dxa"/>
                  <w:tcBorders>
                    <w:top w:val="nil"/>
                    <w:left w:val="nil"/>
                    <w:bottom w:val="single" w:sz="8" w:space="0" w:color="FFFFFF"/>
                    <w:right w:val="single" w:sz="8" w:space="0" w:color="FFFFFF"/>
                  </w:tcBorders>
                  <w:shd w:val="clear" w:color="000000" w:fill="FDE9D9"/>
                  <w:noWrap/>
                  <w:vAlign w:val="center"/>
                  <w:hideMark/>
                </w:tcPr>
                <w:p w14:paraId="78FAC3E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-1.0 </w:t>
                  </w:r>
                </w:p>
              </w:tc>
              <w:tc>
                <w:tcPr>
                  <w:tcW w:w="1157" w:type="dxa"/>
                  <w:tcBorders>
                    <w:top w:val="nil"/>
                    <w:left w:val="nil"/>
                    <w:bottom w:val="single" w:sz="8" w:space="0" w:color="FFFFFF"/>
                    <w:right w:val="single" w:sz="8" w:space="0" w:color="FFFFFF"/>
                  </w:tcBorders>
                  <w:shd w:val="clear" w:color="000000" w:fill="FDE9D9"/>
                  <w:noWrap/>
                  <w:vAlign w:val="center"/>
                  <w:hideMark/>
                </w:tcPr>
                <w:p w14:paraId="4739C51D"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0E4BC7E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2.8 </w:t>
                  </w:r>
                </w:p>
              </w:tc>
              <w:tc>
                <w:tcPr>
                  <w:tcW w:w="921" w:type="dxa"/>
                  <w:tcBorders>
                    <w:top w:val="nil"/>
                    <w:left w:val="nil"/>
                    <w:bottom w:val="single" w:sz="8" w:space="0" w:color="FFFFFF"/>
                    <w:right w:val="single" w:sz="8" w:space="0" w:color="FFFFFF"/>
                  </w:tcBorders>
                  <w:shd w:val="clear" w:color="000000" w:fill="FDE9D9"/>
                  <w:noWrap/>
                  <w:vAlign w:val="center"/>
                  <w:hideMark/>
                </w:tcPr>
                <w:p w14:paraId="0C3F83C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2.8 </w:t>
                  </w:r>
                </w:p>
              </w:tc>
              <w:tc>
                <w:tcPr>
                  <w:tcW w:w="921" w:type="dxa"/>
                  <w:tcBorders>
                    <w:top w:val="nil"/>
                    <w:left w:val="nil"/>
                    <w:bottom w:val="single" w:sz="8" w:space="0" w:color="FFFFFF"/>
                    <w:right w:val="single" w:sz="8" w:space="0" w:color="FFFFFF"/>
                  </w:tcBorders>
                  <w:shd w:val="clear" w:color="000000" w:fill="FDE9D9"/>
                  <w:noWrap/>
                  <w:vAlign w:val="center"/>
                  <w:hideMark/>
                </w:tcPr>
                <w:p w14:paraId="7BAFA4A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1C4DD8A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 </w:t>
                  </w:r>
                </w:p>
              </w:tc>
            </w:tr>
            <w:tr w:rsidR="009B2629" w:rsidRPr="009B2629" w14:paraId="29A609BB"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0320344"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79B4260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-2.0 </w:t>
                  </w:r>
                </w:p>
              </w:tc>
              <w:tc>
                <w:tcPr>
                  <w:tcW w:w="921" w:type="dxa"/>
                  <w:tcBorders>
                    <w:top w:val="nil"/>
                    <w:left w:val="nil"/>
                    <w:bottom w:val="single" w:sz="8" w:space="0" w:color="FFFFFF"/>
                    <w:right w:val="single" w:sz="8" w:space="0" w:color="FFFFFF"/>
                  </w:tcBorders>
                  <w:shd w:val="clear" w:color="000000" w:fill="FCD5B4"/>
                  <w:noWrap/>
                  <w:vAlign w:val="center"/>
                  <w:hideMark/>
                </w:tcPr>
                <w:p w14:paraId="0F241B6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CD5B4"/>
                  <w:noWrap/>
                  <w:vAlign w:val="center"/>
                  <w:hideMark/>
                </w:tcPr>
                <w:p w14:paraId="773C539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CD5B4"/>
                  <w:noWrap/>
                  <w:vAlign w:val="center"/>
                  <w:hideMark/>
                </w:tcPr>
                <w:p w14:paraId="6060073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5F01EC3F"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67D1253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5D8DCA9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23A2806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2C252FC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-2.9 </w:t>
                  </w:r>
                </w:p>
              </w:tc>
            </w:tr>
            <w:tr w:rsidR="009B2629" w:rsidRPr="009B2629" w14:paraId="2F197408"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1D0261F"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9534F4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-4.4 </w:t>
                  </w:r>
                </w:p>
              </w:tc>
              <w:tc>
                <w:tcPr>
                  <w:tcW w:w="921" w:type="dxa"/>
                  <w:tcBorders>
                    <w:top w:val="nil"/>
                    <w:left w:val="nil"/>
                    <w:bottom w:val="single" w:sz="8" w:space="0" w:color="FFFFFF"/>
                    <w:right w:val="single" w:sz="8" w:space="0" w:color="FFFFFF"/>
                  </w:tcBorders>
                  <w:shd w:val="clear" w:color="000000" w:fill="FDE9D9"/>
                  <w:noWrap/>
                  <w:vAlign w:val="center"/>
                  <w:hideMark/>
                </w:tcPr>
                <w:p w14:paraId="5C150C5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-0.4 </w:t>
                  </w:r>
                </w:p>
              </w:tc>
              <w:tc>
                <w:tcPr>
                  <w:tcW w:w="921" w:type="dxa"/>
                  <w:tcBorders>
                    <w:top w:val="nil"/>
                    <w:left w:val="nil"/>
                    <w:bottom w:val="single" w:sz="8" w:space="0" w:color="FFFFFF"/>
                    <w:right w:val="single" w:sz="8" w:space="0" w:color="FFFFFF"/>
                  </w:tcBorders>
                  <w:shd w:val="clear" w:color="000000" w:fill="FDE9D9"/>
                  <w:noWrap/>
                  <w:vAlign w:val="center"/>
                  <w:hideMark/>
                </w:tcPr>
                <w:p w14:paraId="2E88471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-0.4 </w:t>
                  </w:r>
                </w:p>
              </w:tc>
              <w:tc>
                <w:tcPr>
                  <w:tcW w:w="921" w:type="dxa"/>
                  <w:tcBorders>
                    <w:top w:val="nil"/>
                    <w:left w:val="nil"/>
                    <w:bottom w:val="single" w:sz="8" w:space="0" w:color="FFFFFF"/>
                    <w:right w:val="single" w:sz="8" w:space="0" w:color="FFFFFF"/>
                  </w:tcBorders>
                  <w:shd w:val="clear" w:color="000000" w:fill="FDE9D9"/>
                  <w:noWrap/>
                  <w:vAlign w:val="center"/>
                  <w:hideMark/>
                </w:tcPr>
                <w:p w14:paraId="3D1D22F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-0.4 </w:t>
                  </w:r>
                </w:p>
              </w:tc>
              <w:tc>
                <w:tcPr>
                  <w:tcW w:w="1157" w:type="dxa"/>
                  <w:tcBorders>
                    <w:top w:val="nil"/>
                    <w:left w:val="nil"/>
                    <w:bottom w:val="single" w:sz="8" w:space="0" w:color="FFFFFF"/>
                    <w:right w:val="single" w:sz="8" w:space="0" w:color="FFFFFF"/>
                  </w:tcBorders>
                  <w:shd w:val="clear" w:color="000000" w:fill="FDE9D9"/>
                  <w:noWrap/>
                  <w:vAlign w:val="center"/>
                  <w:hideMark/>
                </w:tcPr>
                <w:p w14:paraId="21D41CA1"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615B025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-2.7 </w:t>
                  </w:r>
                </w:p>
              </w:tc>
              <w:tc>
                <w:tcPr>
                  <w:tcW w:w="921" w:type="dxa"/>
                  <w:tcBorders>
                    <w:top w:val="nil"/>
                    <w:left w:val="nil"/>
                    <w:bottom w:val="single" w:sz="8" w:space="0" w:color="FFFFFF"/>
                    <w:right w:val="single" w:sz="8" w:space="0" w:color="FFFFFF"/>
                  </w:tcBorders>
                  <w:shd w:val="clear" w:color="000000" w:fill="FDE9D9"/>
                  <w:noWrap/>
                  <w:vAlign w:val="center"/>
                  <w:hideMark/>
                </w:tcPr>
                <w:p w14:paraId="7B76744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0A571D5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4B0C39F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1.3 </w:t>
                  </w:r>
                </w:p>
              </w:tc>
            </w:tr>
            <w:tr w:rsidR="009B2629" w:rsidRPr="009B2629" w14:paraId="6992DFFC"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E851791"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52E60C8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5E7ADAB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0.3 </w:t>
                  </w:r>
                </w:p>
              </w:tc>
              <w:tc>
                <w:tcPr>
                  <w:tcW w:w="921" w:type="dxa"/>
                  <w:tcBorders>
                    <w:top w:val="nil"/>
                    <w:left w:val="nil"/>
                    <w:bottom w:val="single" w:sz="8" w:space="0" w:color="FFFFFF"/>
                    <w:right w:val="single" w:sz="8" w:space="0" w:color="FFFFFF"/>
                  </w:tcBorders>
                  <w:shd w:val="clear" w:color="000000" w:fill="FCD5B4"/>
                  <w:noWrap/>
                  <w:vAlign w:val="center"/>
                  <w:hideMark/>
                </w:tcPr>
                <w:p w14:paraId="2A25E2F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0A801B6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1.3 </w:t>
                  </w:r>
                </w:p>
              </w:tc>
              <w:tc>
                <w:tcPr>
                  <w:tcW w:w="1157" w:type="dxa"/>
                  <w:tcBorders>
                    <w:top w:val="nil"/>
                    <w:left w:val="nil"/>
                    <w:bottom w:val="single" w:sz="8" w:space="0" w:color="FFFFFF"/>
                    <w:right w:val="single" w:sz="8" w:space="0" w:color="FFFFFF"/>
                  </w:tcBorders>
                  <w:shd w:val="clear" w:color="000000" w:fill="FCD5B4"/>
                  <w:noWrap/>
                  <w:vAlign w:val="center"/>
                  <w:hideMark/>
                </w:tcPr>
                <w:p w14:paraId="6FA929AB"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47B075B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1.4 </w:t>
                  </w:r>
                </w:p>
              </w:tc>
              <w:tc>
                <w:tcPr>
                  <w:tcW w:w="921" w:type="dxa"/>
                  <w:tcBorders>
                    <w:top w:val="nil"/>
                    <w:left w:val="nil"/>
                    <w:bottom w:val="single" w:sz="8" w:space="0" w:color="FFFFFF"/>
                    <w:right w:val="single" w:sz="8" w:space="0" w:color="FFFFFF"/>
                  </w:tcBorders>
                  <w:shd w:val="clear" w:color="000000" w:fill="FCD5B4"/>
                  <w:noWrap/>
                  <w:vAlign w:val="center"/>
                  <w:hideMark/>
                </w:tcPr>
                <w:p w14:paraId="57A1ADC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1.4 </w:t>
                  </w:r>
                </w:p>
              </w:tc>
              <w:tc>
                <w:tcPr>
                  <w:tcW w:w="921" w:type="dxa"/>
                  <w:tcBorders>
                    <w:top w:val="nil"/>
                    <w:left w:val="nil"/>
                    <w:bottom w:val="single" w:sz="8" w:space="0" w:color="FFFFFF"/>
                    <w:right w:val="single" w:sz="8" w:space="0" w:color="FFFFFF"/>
                  </w:tcBorders>
                  <w:shd w:val="clear" w:color="000000" w:fill="FCD5B4"/>
                  <w:noWrap/>
                  <w:vAlign w:val="center"/>
                  <w:hideMark/>
                </w:tcPr>
                <w:p w14:paraId="709558A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2C76EDF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2.4 </w:t>
                  </w:r>
                </w:p>
              </w:tc>
            </w:tr>
            <w:tr w:rsidR="009B2629" w:rsidRPr="009B2629" w14:paraId="67F98237"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2A7B18B"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36530A0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2AB44A9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619D73F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2.2 </w:t>
                  </w:r>
                </w:p>
              </w:tc>
              <w:tc>
                <w:tcPr>
                  <w:tcW w:w="921" w:type="dxa"/>
                  <w:tcBorders>
                    <w:top w:val="nil"/>
                    <w:left w:val="nil"/>
                    <w:bottom w:val="single" w:sz="8" w:space="0" w:color="FFFFFF"/>
                    <w:right w:val="single" w:sz="8" w:space="0" w:color="FFFFFF"/>
                  </w:tcBorders>
                  <w:shd w:val="clear" w:color="000000" w:fill="FDE9D9"/>
                  <w:noWrap/>
                  <w:vAlign w:val="center"/>
                  <w:hideMark/>
                </w:tcPr>
                <w:p w14:paraId="7076BC0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2.2 </w:t>
                  </w:r>
                </w:p>
              </w:tc>
              <w:tc>
                <w:tcPr>
                  <w:tcW w:w="1157" w:type="dxa"/>
                  <w:tcBorders>
                    <w:top w:val="nil"/>
                    <w:left w:val="nil"/>
                    <w:bottom w:val="single" w:sz="8" w:space="0" w:color="FFFFFF"/>
                    <w:right w:val="single" w:sz="8" w:space="0" w:color="FFFFFF"/>
                  </w:tcBorders>
                  <w:shd w:val="clear" w:color="000000" w:fill="FDE9D9"/>
                  <w:noWrap/>
                  <w:vAlign w:val="center"/>
                  <w:hideMark/>
                </w:tcPr>
                <w:p w14:paraId="1617FE3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3181055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3DB771C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4195244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1.7 </w:t>
                  </w:r>
                </w:p>
              </w:tc>
              <w:tc>
                <w:tcPr>
                  <w:tcW w:w="921" w:type="dxa"/>
                  <w:tcBorders>
                    <w:top w:val="nil"/>
                    <w:left w:val="nil"/>
                    <w:bottom w:val="single" w:sz="8" w:space="0" w:color="FFFFFF"/>
                    <w:right w:val="single" w:sz="8" w:space="0" w:color="FFFFFF"/>
                  </w:tcBorders>
                  <w:shd w:val="clear" w:color="000000" w:fill="FDE9D9"/>
                  <w:noWrap/>
                  <w:vAlign w:val="center"/>
                  <w:hideMark/>
                </w:tcPr>
                <w:p w14:paraId="119DA61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1.7 </w:t>
                  </w:r>
                </w:p>
              </w:tc>
            </w:tr>
            <w:tr w:rsidR="009B2629" w:rsidRPr="009B2629" w14:paraId="07CBE46D"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6A056B38"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6CEF2B1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CD5B4"/>
                  <w:noWrap/>
                  <w:vAlign w:val="center"/>
                  <w:hideMark/>
                </w:tcPr>
                <w:p w14:paraId="2E560DB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3658197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CD5B4"/>
                  <w:noWrap/>
                  <w:vAlign w:val="center"/>
                  <w:hideMark/>
                </w:tcPr>
                <w:p w14:paraId="6CD4CB3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9.7 </w:t>
                  </w:r>
                </w:p>
              </w:tc>
              <w:tc>
                <w:tcPr>
                  <w:tcW w:w="1157" w:type="dxa"/>
                  <w:tcBorders>
                    <w:top w:val="nil"/>
                    <w:left w:val="nil"/>
                    <w:bottom w:val="single" w:sz="8" w:space="0" w:color="FFFFFF"/>
                    <w:right w:val="single" w:sz="8" w:space="0" w:color="FFFFFF"/>
                  </w:tcBorders>
                  <w:shd w:val="clear" w:color="000000" w:fill="FCD5B4"/>
                  <w:noWrap/>
                  <w:vAlign w:val="center"/>
                  <w:hideMark/>
                </w:tcPr>
                <w:p w14:paraId="3A8585B4"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2F671A3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2.4 </w:t>
                  </w:r>
                </w:p>
              </w:tc>
              <w:tc>
                <w:tcPr>
                  <w:tcW w:w="921" w:type="dxa"/>
                  <w:tcBorders>
                    <w:top w:val="nil"/>
                    <w:left w:val="nil"/>
                    <w:bottom w:val="single" w:sz="8" w:space="0" w:color="FFFFFF"/>
                    <w:right w:val="single" w:sz="8" w:space="0" w:color="FFFFFF"/>
                  </w:tcBorders>
                  <w:shd w:val="clear" w:color="000000" w:fill="FCD5B4"/>
                  <w:noWrap/>
                  <w:vAlign w:val="center"/>
                  <w:hideMark/>
                </w:tcPr>
                <w:p w14:paraId="21648E7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5.4 </w:t>
                  </w:r>
                </w:p>
              </w:tc>
              <w:tc>
                <w:tcPr>
                  <w:tcW w:w="921" w:type="dxa"/>
                  <w:tcBorders>
                    <w:top w:val="nil"/>
                    <w:left w:val="nil"/>
                    <w:bottom w:val="single" w:sz="8" w:space="0" w:color="FFFFFF"/>
                    <w:right w:val="single" w:sz="8" w:space="0" w:color="FFFFFF"/>
                  </w:tcBorders>
                  <w:shd w:val="clear" w:color="000000" w:fill="FCD5B4"/>
                  <w:noWrap/>
                  <w:vAlign w:val="center"/>
                  <w:hideMark/>
                </w:tcPr>
                <w:p w14:paraId="29B920D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0.4 </w:t>
                  </w:r>
                </w:p>
              </w:tc>
              <w:tc>
                <w:tcPr>
                  <w:tcW w:w="921" w:type="dxa"/>
                  <w:tcBorders>
                    <w:top w:val="nil"/>
                    <w:left w:val="nil"/>
                    <w:bottom w:val="single" w:sz="8" w:space="0" w:color="FFFFFF"/>
                    <w:right w:val="single" w:sz="8" w:space="0" w:color="FFFFFF"/>
                  </w:tcBorders>
                  <w:shd w:val="clear" w:color="000000" w:fill="FCD5B4"/>
                  <w:noWrap/>
                  <w:vAlign w:val="center"/>
                  <w:hideMark/>
                </w:tcPr>
                <w:p w14:paraId="3E2E0D9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11.4 </w:t>
                  </w:r>
                </w:p>
              </w:tc>
            </w:tr>
            <w:tr w:rsidR="009B2629" w:rsidRPr="009B2629" w14:paraId="16AAD069"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406CE2A"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041FED5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-3.2 </w:t>
                  </w:r>
                </w:p>
              </w:tc>
              <w:tc>
                <w:tcPr>
                  <w:tcW w:w="921" w:type="dxa"/>
                  <w:tcBorders>
                    <w:top w:val="nil"/>
                    <w:left w:val="nil"/>
                    <w:bottom w:val="single" w:sz="8" w:space="0" w:color="FFFFFF"/>
                    <w:right w:val="single" w:sz="8" w:space="0" w:color="FFFFFF"/>
                  </w:tcBorders>
                  <w:shd w:val="clear" w:color="000000" w:fill="FDE9D9"/>
                  <w:noWrap/>
                  <w:vAlign w:val="center"/>
                  <w:hideMark/>
                </w:tcPr>
                <w:p w14:paraId="57DFD78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415D0C9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-0.2 </w:t>
                  </w:r>
                </w:p>
              </w:tc>
              <w:tc>
                <w:tcPr>
                  <w:tcW w:w="921" w:type="dxa"/>
                  <w:tcBorders>
                    <w:top w:val="nil"/>
                    <w:left w:val="nil"/>
                    <w:bottom w:val="single" w:sz="8" w:space="0" w:color="FFFFFF"/>
                    <w:right w:val="single" w:sz="8" w:space="0" w:color="FFFFFF"/>
                  </w:tcBorders>
                  <w:shd w:val="clear" w:color="000000" w:fill="FDE9D9"/>
                  <w:noWrap/>
                  <w:vAlign w:val="center"/>
                  <w:hideMark/>
                </w:tcPr>
                <w:p w14:paraId="29BA05C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1.8 </w:t>
                  </w:r>
                </w:p>
              </w:tc>
              <w:tc>
                <w:tcPr>
                  <w:tcW w:w="1157" w:type="dxa"/>
                  <w:tcBorders>
                    <w:top w:val="nil"/>
                    <w:left w:val="nil"/>
                    <w:bottom w:val="single" w:sz="8" w:space="0" w:color="FFFFFF"/>
                    <w:right w:val="single" w:sz="8" w:space="0" w:color="FFFFFF"/>
                  </w:tcBorders>
                  <w:shd w:val="clear" w:color="000000" w:fill="FDE9D9"/>
                  <w:noWrap/>
                  <w:vAlign w:val="center"/>
                  <w:hideMark/>
                </w:tcPr>
                <w:p w14:paraId="607C9136"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25DBB05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-2.1 </w:t>
                  </w:r>
                </w:p>
              </w:tc>
              <w:tc>
                <w:tcPr>
                  <w:tcW w:w="921" w:type="dxa"/>
                  <w:tcBorders>
                    <w:top w:val="nil"/>
                    <w:left w:val="nil"/>
                    <w:bottom w:val="single" w:sz="8" w:space="0" w:color="FFFFFF"/>
                    <w:right w:val="single" w:sz="8" w:space="0" w:color="FFFFFF"/>
                  </w:tcBorders>
                  <w:shd w:val="clear" w:color="000000" w:fill="FDE9D9"/>
                  <w:noWrap/>
                  <w:vAlign w:val="center"/>
                  <w:hideMark/>
                </w:tcPr>
                <w:p w14:paraId="7809C14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1.9 </w:t>
                  </w:r>
                </w:p>
              </w:tc>
              <w:tc>
                <w:tcPr>
                  <w:tcW w:w="921" w:type="dxa"/>
                  <w:tcBorders>
                    <w:top w:val="nil"/>
                    <w:left w:val="nil"/>
                    <w:bottom w:val="single" w:sz="8" w:space="0" w:color="FFFFFF"/>
                    <w:right w:val="single" w:sz="8" w:space="0" w:color="FFFFFF"/>
                  </w:tcBorders>
                  <w:shd w:val="clear" w:color="000000" w:fill="FDE9D9"/>
                  <w:noWrap/>
                  <w:vAlign w:val="center"/>
                  <w:hideMark/>
                </w:tcPr>
                <w:p w14:paraId="2948339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51F09C5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2.9 </w:t>
                  </w:r>
                </w:p>
              </w:tc>
            </w:tr>
            <w:tr w:rsidR="009B2629" w:rsidRPr="009B2629" w14:paraId="71770AE5" w14:textId="77777777" w:rsidTr="009B2629">
              <w:trPr>
                <w:trHeight w:val="300"/>
              </w:trPr>
              <w:tc>
                <w:tcPr>
                  <w:tcW w:w="1350" w:type="dxa"/>
                  <w:tcBorders>
                    <w:top w:val="nil"/>
                    <w:left w:val="nil"/>
                    <w:bottom w:val="nil"/>
                    <w:right w:val="nil"/>
                  </w:tcBorders>
                  <w:shd w:val="clear" w:color="000000" w:fill="FCD5B4"/>
                  <w:noWrap/>
                  <w:vAlign w:val="center"/>
                  <w:hideMark/>
                </w:tcPr>
                <w:p w14:paraId="320A09F6"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462CF69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-1.1 </w:t>
                  </w:r>
                </w:p>
              </w:tc>
              <w:tc>
                <w:tcPr>
                  <w:tcW w:w="921" w:type="dxa"/>
                  <w:tcBorders>
                    <w:top w:val="nil"/>
                    <w:left w:val="nil"/>
                    <w:bottom w:val="single" w:sz="8" w:space="0" w:color="FFFFFF"/>
                    <w:right w:val="single" w:sz="8" w:space="0" w:color="FFFFFF"/>
                  </w:tcBorders>
                  <w:shd w:val="clear" w:color="000000" w:fill="FCD5B4"/>
                  <w:noWrap/>
                  <w:vAlign w:val="center"/>
                  <w:hideMark/>
                </w:tcPr>
                <w:p w14:paraId="45FCB8A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0B43ADB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3E6B116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0.9 </w:t>
                  </w:r>
                </w:p>
              </w:tc>
              <w:tc>
                <w:tcPr>
                  <w:tcW w:w="1157" w:type="dxa"/>
                  <w:tcBorders>
                    <w:top w:val="nil"/>
                    <w:left w:val="nil"/>
                    <w:bottom w:val="nil"/>
                    <w:right w:val="nil"/>
                  </w:tcBorders>
                  <w:shd w:val="clear" w:color="000000" w:fill="FCD5B4"/>
                  <w:noWrap/>
                  <w:vAlign w:val="center"/>
                  <w:hideMark/>
                </w:tcPr>
                <w:p w14:paraId="2C88704B"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0948C41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FF0000"/>
                      <w:kern w:val="0"/>
                      <w:szCs w:val="21"/>
                    </w:rPr>
                    <w:t xml:space="preserve">-1.5 </w:t>
                  </w:r>
                </w:p>
              </w:tc>
              <w:tc>
                <w:tcPr>
                  <w:tcW w:w="921" w:type="dxa"/>
                  <w:tcBorders>
                    <w:top w:val="nil"/>
                    <w:left w:val="nil"/>
                    <w:bottom w:val="single" w:sz="8" w:space="0" w:color="FFFFFF"/>
                    <w:right w:val="single" w:sz="8" w:space="0" w:color="FFFFFF"/>
                  </w:tcBorders>
                  <w:shd w:val="clear" w:color="000000" w:fill="FCD5B4"/>
                  <w:noWrap/>
                  <w:vAlign w:val="center"/>
                  <w:hideMark/>
                </w:tcPr>
                <w:p w14:paraId="47976DD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0.5 </w:t>
                  </w:r>
                </w:p>
              </w:tc>
              <w:tc>
                <w:tcPr>
                  <w:tcW w:w="921" w:type="dxa"/>
                  <w:tcBorders>
                    <w:top w:val="nil"/>
                    <w:left w:val="nil"/>
                    <w:bottom w:val="single" w:sz="8" w:space="0" w:color="FFFFFF"/>
                    <w:right w:val="single" w:sz="8" w:space="0" w:color="FFFFFF"/>
                  </w:tcBorders>
                  <w:shd w:val="clear" w:color="000000" w:fill="FCD5B4"/>
                  <w:noWrap/>
                  <w:vAlign w:val="center"/>
                  <w:hideMark/>
                </w:tcPr>
                <w:p w14:paraId="175D8F8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0.5 </w:t>
                  </w:r>
                </w:p>
              </w:tc>
              <w:tc>
                <w:tcPr>
                  <w:tcW w:w="921" w:type="dxa"/>
                  <w:tcBorders>
                    <w:top w:val="nil"/>
                    <w:left w:val="nil"/>
                    <w:bottom w:val="single" w:sz="8" w:space="0" w:color="FFFFFF"/>
                    <w:right w:val="single" w:sz="8" w:space="0" w:color="FFFFFF"/>
                  </w:tcBorders>
                  <w:shd w:val="clear" w:color="000000" w:fill="FCD5B4"/>
                  <w:noWrap/>
                  <w:vAlign w:val="center"/>
                  <w:hideMark/>
                </w:tcPr>
                <w:p w14:paraId="7B57C6E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 xml:space="preserve">0.5 </w:t>
                  </w:r>
                </w:p>
              </w:tc>
            </w:tr>
            <w:tr w:rsidR="009B2629" w:rsidRPr="009B2629" w14:paraId="07B79DDB" w14:textId="77777777" w:rsidTr="009B2629">
              <w:trPr>
                <w:trHeight w:val="150"/>
              </w:trPr>
              <w:tc>
                <w:tcPr>
                  <w:tcW w:w="1350" w:type="dxa"/>
                  <w:tcBorders>
                    <w:top w:val="nil"/>
                    <w:left w:val="nil"/>
                    <w:bottom w:val="nil"/>
                    <w:right w:val="nil"/>
                  </w:tcBorders>
                  <w:shd w:val="clear" w:color="auto" w:fill="auto"/>
                  <w:noWrap/>
                  <w:vAlign w:val="center"/>
                  <w:hideMark/>
                </w:tcPr>
                <w:p w14:paraId="7EE9F830" w14:textId="77777777" w:rsidR="009B2629" w:rsidRPr="009B2629" w:rsidRDefault="009B2629" w:rsidP="009B2629">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70E33329"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72E911F"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0823B63"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F2D18BD" w14:textId="77777777" w:rsidR="009B2629" w:rsidRPr="009B2629" w:rsidRDefault="009B2629" w:rsidP="009B2629">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501AC0FC"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D6A5179"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2C46533"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236B31FE" w14:textId="77777777" w:rsidR="009B2629" w:rsidRPr="009B2629" w:rsidRDefault="009B2629" w:rsidP="009B2629">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269964B" w14:textId="77777777" w:rsidR="009B2629" w:rsidRPr="009B2629" w:rsidRDefault="009B2629" w:rsidP="009B2629">
                  <w:pPr>
                    <w:widowControl/>
                    <w:jc w:val="center"/>
                    <w:rPr>
                      <w:rFonts w:ascii="Times New Roman" w:eastAsia="Times New Roman" w:hAnsi="Times New Roman"/>
                      <w:kern w:val="0"/>
                      <w:sz w:val="20"/>
                      <w:szCs w:val="20"/>
                    </w:rPr>
                  </w:pPr>
                </w:p>
              </w:tc>
            </w:tr>
            <w:tr w:rsidR="009B2629" w:rsidRPr="009B2629" w14:paraId="6D61B892" w14:textId="77777777" w:rsidTr="009B2629">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2A2F8F89"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7DA23E5A"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43EFCC1"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F734DE9"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580964C"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112B35B"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05778A6C"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605F4F9"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D93E6F3"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E0FC0BB" w14:textId="77777777" w:rsidR="009B2629" w:rsidRPr="009B2629" w:rsidRDefault="009B2629" w:rsidP="009B2629">
                  <w:pPr>
                    <w:widowControl/>
                    <w:jc w:val="center"/>
                    <w:rPr>
                      <w:rFonts w:ascii="楷体" w:eastAsia="楷体" w:hAnsi="楷体" w:cs="宋体"/>
                      <w:b/>
                      <w:bCs/>
                      <w:color w:val="FFFFFF"/>
                      <w:kern w:val="0"/>
                      <w:sz w:val="20"/>
                      <w:szCs w:val="20"/>
                    </w:rPr>
                  </w:pPr>
                  <w:r w:rsidRPr="009B2629">
                    <w:rPr>
                      <w:rFonts w:ascii="楷体" w:eastAsia="楷体" w:hAnsi="楷体" w:cs="宋体" w:hint="eastAsia"/>
                      <w:b/>
                      <w:bCs/>
                      <w:color w:val="FFFFFF"/>
                      <w:kern w:val="0"/>
                      <w:sz w:val="20"/>
                      <w:szCs w:val="20"/>
                    </w:rPr>
                    <w:t>AA-</w:t>
                  </w:r>
                </w:p>
              </w:tc>
            </w:tr>
            <w:tr w:rsidR="009B2629" w:rsidRPr="009B2629" w14:paraId="09FEF952" w14:textId="77777777" w:rsidTr="009B2629">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58F2B5F1"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723AD6F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CD5B4"/>
                  <w:noWrap/>
                  <w:vAlign w:val="center"/>
                  <w:hideMark/>
                </w:tcPr>
                <w:p w14:paraId="5655713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26E5EAE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CD5B4"/>
                  <w:noWrap/>
                  <w:vAlign w:val="center"/>
                  <w:hideMark/>
                </w:tcPr>
                <w:p w14:paraId="5D72880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64%</w:t>
                  </w:r>
                </w:p>
              </w:tc>
              <w:tc>
                <w:tcPr>
                  <w:tcW w:w="1157" w:type="dxa"/>
                  <w:tcBorders>
                    <w:top w:val="nil"/>
                    <w:left w:val="nil"/>
                    <w:bottom w:val="single" w:sz="8" w:space="0" w:color="FFFFFF"/>
                    <w:right w:val="single" w:sz="8" w:space="0" w:color="FFFFFF"/>
                  </w:tcBorders>
                  <w:shd w:val="clear" w:color="000000" w:fill="FCD5B4"/>
                  <w:noWrap/>
                  <w:vAlign w:val="center"/>
                  <w:hideMark/>
                </w:tcPr>
                <w:p w14:paraId="0DD926A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5EAD5BD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3BA837C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3F70480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5188D92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69%</w:t>
                  </w:r>
                </w:p>
              </w:tc>
            </w:tr>
            <w:tr w:rsidR="009B2629" w:rsidRPr="009B2629" w14:paraId="22B9F1B0"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5AF7DF5"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087FD83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DE9D9"/>
                  <w:noWrap/>
                  <w:vAlign w:val="center"/>
                  <w:hideMark/>
                </w:tcPr>
                <w:p w14:paraId="2B95FF3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DE9D9"/>
                  <w:noWrap/>
                  <w:vAlign w:val="center"/>
                  <w:hideMark/>
                </w:tcPr>
                <w:p w14:paraId="346C769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33%</w:t>
                  </w:r>
                </w:p>
              </w:tc>
              <w:tc>
                <w:tcPr>
                  <w:tcW w:w="921" w:type="dxa"/>
                  <w:tcBorders>
                    <w:top w:val="nil"/>
                    <w:left w:val="nil"/>
                    <w:bottom w:val="single" w:sz="8" w:space="0" w:color="FFFFFF"/>
                    <w:right w:val="single" w:sz="8" w:space="0" w:color="FFFFFF"/>
                  </w:tcBorders>
                  <w:shd w:val="clear" w:color="000000" w:fill="FDE9D9"/>
                  <w:noWrap/>
                  <w:vAlign w:val="center"/>
                  <w:hideMark/>
                </w:tcPr>
                <w:p w14:paraId="400D31C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67%</w:t>
                  </w:r>
                </w:p>
              </w:tc>
              <w:tc>
                <w:tcPr>
                  <w:tcW w:w="1157" w:type="dxa"/>
                  <w:tcBorders>
                    <w:top w:val="nil"/>
                    <w:left w:val="nil"/>
                    <w:bottom w:val="single" w:sz="8" w:space="0" w:color="FFFFFF"/>
                    <w:right w:val="single" w:sz="8" w:space="0" w:color="FFFFFF"/>
                  </w:tcBorders>
                  <w:shd w:val="clear" w:color="000000" w:fill="FDE9D9"/>
                  <w:noWrap/>
                  <w:vAlign w:val="center"/>
                  <w:hideMark/>
                </w:tcPr>
                <w:p w14:paraId="553B735D"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64C588F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0924E8F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DE9D9"/>
                  <w:noWrap/>
                  <w:vAlign w:val="center"/>
                  <w:hideMark/>
                </w:tcPr>
                <w:p w14:paraId="680B09A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FC7CE"/>
                  <w:noWrap/>
                  <w:vAlign w:val="center"/>
                  <w:hideMark/>
                </w:tcPr>
                <w:p w14:paraId="0A7E1A0C" w14:textId="77777777" w:rsidR="009B2629" w:rsidRPr="009B2629" w:rsidRDefault="009B2629" w:rsidP="009B2629">
                  <w:pPr>
                    <w:widowControl/>
                    <w:jc w:val="center"/>
                    <w:rPr>
                      <w:rFonts w:eastAsia="等线" w:cs="Calibri"/>
                      <w:color w:val="9C0006"/>
                      <w:kern w:val="0"/>
                      <w:szCs w:val="21"/>
                    </w:rPr>
                  </w:pPr>
                  <w:r w:rsidRPr="009B2629">
                    <w:rPr>
                      <w:rFonts w:eastAsia="等线" w:cs="Calibri"/>
                      <w:color w:val="9C0006"/>
                      <w:kern w:val="0"/>
                      <w:szCs w:val="21"/>
                    </w:rPr>
                    <w:t>82%</w:t>
                  </w:r>
                </w:p>
              </w:tc>
            </w:tr>
            <w:tr w:rsidR="009B2629" w:rsidRPr="009B2629" w14:paraId="634126A5"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279B0A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217B981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1D878460"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72EE29A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35C17A4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58%</w:t>
                  </w:r>
                </w:p>
              </w:tc>
              <w:tc>
                <w:tcPr>
                  <w:tcW w:w="1157" w:type="dxa"/>
                  <w:tcBorders>
                    <w:top w:val="nil"/>
                    <w:left w:val="nil"/>
                    <w:bottom w:val="single" w:sz="8" w:space="0" w:color="FFFFFF"/>
                    <w:right w:val="single" w:sz="8" w:space="0" w:color="FFFFFF"/>
                  </w:tcBorders>
                  <w:shd w:val="clear" w:color="000000" w:fill="FCD5B4"/>
                  <w:noWrap/>
                  <w:vAlign w:val="center"/>
                  <w:hideMark/>
                </w:tcPr>
                <w:p w14:paraId="5A7E05D5"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2FB2B41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75B4A06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2D7AE13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5E1EEB9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68%</w:t>
                  </w:r>
                </w:p>
              </w:tc>
            </w:tr>
            <w:tr w:rsidR="009B2629" w:rsidRPr="009B2629" w14:paraId="20FC48A9"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5746E84"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6EC0B15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DE9D9"/>
                  <w:noWrap/>
                  <w:vAlign w:val="center"/>
                  <w:hideMark/>
                </w:tcPr>
                <w:p w14:paraId="71604C5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165CA70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31%</w:t>
                  </w:r>
                </w:p>
              </w:tc>
              <w:tc>
                <w:tcPr>
                  <w:tcW w:w="921" w:type="dxa"/>
                  <w:tcBorders>
                    <w:top w:val="nil"/>
                    <w:left w:val="nil"/>
                    <w:bottom w:val="single" w:sz="8" w:space="0" w:color="FFFFFF"/>
                    <w:right w:val="single" w:sz="8" w:space="0" w:color="FFFFFF"/>
                  </w:tcBorders>
                  <w:shd w:val="clear" w:color="000000" w:fill="FDE9D9"/>
                  <w:noWrap/>
                  <w:vAlign w:val="center"/>
                  <w:hideMark/>
                </w:tcPr>
                <w:p w14:paraId="7B817FA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66%</w:t>
                  </w:r>
                </w:p>
              </w:tc>
              <w:tc>
                <w:tcPr>
                  <w:tcW w:w="1157" w:type="dxa"/>
                  <w:tcBorders>
                    <w:top w:val="nil"/>
                    <w:left w:val="nil"/>
                    <w:bottom w:val="single" w:sz="8" w:space="0" w:color="FFFFFF"/>
                    <w:right w:val="single" w:sz="8" w:space="0" w:color="FFFFFF"/>
                  </w:tcBorders>
                  <w:shd w:val="clear" w:color="000000" w:fill="FDE9D9"/>
                  <w:noWrap/>
                  <w:vAlign w:val="center"/>
                  <w:hideMark/>
                </w:tcPr>
                <w:p w14:paraId="320B1305"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6DE5694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1504A70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6E898B0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2DA7FF5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78%</w:t>
                  </w:r>
                </w:p>
              </w:tc>
            </w:tr>
            <w:tr w:rsidR="009B2629" w:rsidRPr="009B2629" w14:paraId="67ACC58E"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97C45E0"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7F916AFA"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08C1F96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14898C3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7BD4920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24F359BC"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6C63B85"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1DE615F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CD5B4"/>
                  <w:noWrap/>
                  <w:vAlign w:val="center"/>
                  <w:hideMark/>
                </w:tcPr>
                <w:p w14:paraId="1EE5647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614D25B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63%</w:t>
                  </w:r>
                </w:p>
              </w:tc>
            </w:tr>
            <w:tr w:rsidR="009B2629" w:rsidRPr="009B2629" w14:paraId="3E91A28C"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6A23BDE3"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78389D7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2EFE66BB"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DE9D9"/>
                  <w:noWrap/>
                  <w:vAlign w:val="center"/>
                  <w:hideMark/>
                </w:tcPr>
                <w:p w14:paraId="70B7CEE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56894BE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41%</w:t>
                  </w:r>
                </w:p>
              </w:tc>
              <w:tc>
                <w:tcPr>
                  <w:tcW w:w="1157" w:type="dxa"/>
                  <w:tcBorders>
                    <w:top w:val="nil"/>
                    <w:left w:val="nil"/>
                    <w:bottom w:val="single" w:sz="8" w:space="0" w:color="FFFFFF"/>
                    <w:right w:val="single" w:sz="8" w:space="0" w:color="FFFFFF"/>
                  </w:tcBorders>
                  <w:shd w:val="clear" w:color="000000" w:fill="FDE9D9"/>
                  <w:noWrap/>
                  <w:vAlign w:val="center"/>
                  <w:hideMark/>
                </w:tcPr>
                <w:p w14:paraId="6C310087" w14:textId="77777777" w:rsidR="009B2629" w:rsidRPr="009B2629" w:rsidRDefault="009B2629" w:rsidP="009B2629">
                  <w:pPr>
                    <w:widowControl/>
                    <w:jc w:val="center"/>
                    <w:rPr>
                      <w:rFonts w:ascii="楷体" w:eastAsia="楷体" w:hAnsi="楷体" w:cs="宋体"/>
                      <w:color w:val="000000"/>
                      <w:kern w:val="0"/>
                      <w:sz w:val="20"/>
                      <w:szCs w:val="20"/>
                    </w:rPr>
                  </w:pPr>
                  <w:r w:rsidRPr="009B2629">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2EEE3CA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5%</w:t>
                  </w:r>
                </w:p>
              </w:tc>
              <w:tc>
                <w:tcPr>
                  <w:tcW w:w="921" w:type="dxa"/>
                  <w:tcBorders>
                    <w:top w:val="nil"/>
                    <w:left w:val="nil"/>
                    <w:bottom w:val="single" w:sz="8" w:space="0" w:color="FFFFFF"/>
                    <w:right w:val="single" w:sz="8" w:space="0" w:color="FFFFFF"/>
                  </w:tcBorders>
                  <w:shd w:val="clear" w:color="000000" w:fill="FDE9D9"/>
                  <w:noWrap/>
                  <w:vAlign w:val="center"/>
                  <w:hideMark/>
                </w:tcPr>
                <w:p w14:paraId="049A4F4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2EDF300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4341637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46%</w:t>
                  </w:r>
                </w:p>
              </w:tc>
            </w:tr>
            <w:tr w:rsidR="009B2629" w:rsidRPr="009B2629" w14:paraId="579A454A" w14:textId="77777777" w:rsidTr="009B2629">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415B849"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004BCA2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7696D09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12CC56C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442A853C"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75%</w:t>
                  </w:r>
                </w:p>
              </w:tc>
              <w:tc>
                <w:tcPr>
                  <w:tcW w:w="1157" w:type="dxa"/>
                  <w:tcBorders>
                    <w:top w:val="nil"/>
                    <w:left w:val="nil"/>
                    <w:bottom w:val="single" w:sz="8" w:space="0" w:color="FFFFFF"/>
                    <w:right w:val="single" w:sz="8" w:space="0" w:color="FFFFFF"/>
                  </w:tcBorders>
                  <w:shd w:val="clear" w:color="000000" w:fill="FCD5B4"/>
                  <w:noWrap/>
                  <w:vAlign w:val="center"/>
                  <w:hideMark/>
                </w:tcPr>
                <w:p w14:paraId="2E462052"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3Y</w:t>
                  </w:r>
                </w:p>
              </w:tc>
              <w:tc>
                <w:tcPr>
                  <w:tcW w:w="921" w:type="dxa"/>
                  <w:tcBorders>
                    <w:top w:val="nil"/>
                    <w:left w:val="nil"/>
                    <w:bottom w:val="single" w:sz="8" w:space="0" w:color="FFFFFF"/>
                    <w:right w:val="single" w:sz="8" w:space="0" w:color="FFFFFF"/>
                  </w:tcBorders>
                  <w:shd w:val="clear" w:color="000000" w:fill="FCD5B4"/>
                  <w:noWrap/>
                  <w:vAlign w:val="center"/>
                  <w:hideMark/>
                </w:tcPr>
                <w:p w14:paraId="5352B53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26FFE1F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17%</w:t>
                  </w:r>
                </w:p>
              </w:tc>
              <w:tc>
                <w:tcPr>
                  <w:tcW w:w="921" w:type="dxa"/>
                  <w:tcBorders>
                    <w:top w:val="nil"/>
                    <w:left w:val="nil"/>
                    <w:bottom w:val="single" w:sz="8" w:space="0" w:color="FFFFFF"/>
                    <w:right w:val="single" w:sz="8" w:space="0" w:color="FFFFFF"/>
                  </w:tcBorders>
                  <w:shd w:val="clear" w:color="000000" w:fill="FCD5B4"/>
                  <w:noWrap/>
                  <w:vAlign w:val="center"/>
                  <w:hideMark/>
                </w:tcPr>
                <w:p w14:paraId="418D984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FC7CE"/>
                  <w:noWrap/>
                  <w:vAlign w:val="center"/>
                  <w:hideMark/>
                </w:tcPr>
                <w:p w14:paraId="7017AED0" w14:textId="77777777" w:rsidR="009B2629" w:rsidRPr="009B2629" w:rsidRDefault="009B2629" w:rsidP="009B2629">
                  <w:pPr>
                    <w:widowControl/>
                    <w:jc w:val="center"/>
                    <w:rPr>
                      <w:rFonts w:eastAsia="等线" w:cs="Calibri"/>
                      <w:color w:val="9C0006"/>
                      <w:kern w:val="0"/>
                      <w:szCs w:val="21"/>
                    </w:rPr>
                  </w:pPr>
                  <w:r w:rsidRPr="009B2629">
                    <w:rPr>
                      <w:rFonts w:eastAsia="等线" w:cs="Calibri"/>
                      <w:color w:val="9C0006"/>
                      <w:kern w:val="0"/>
                      <w:szCs w:val="21"/>
                    </w:rPr>
                    <w:t>85%</w:t>
                  </w:r>
                </w:p>
              </w:tc>
            </w:tr>
            <w:tr w:rsidR="009B2629" w:rsidRPr="009B2629" w14:paraId="5887E51F" w14:textId="77777777" w:rsidTr="009B2629">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4611F18"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2CF2B52F"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DE9D9"/>
                  <w:noWrap/>
                  <w:vAlign w:val="center"/>
                  <w:hideMark/>
                </w:tcPr>
                <w:p w14:paraId="761DA144"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69C09BB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DE9D9"/>
                  <w:noWrap/>
                  <w:vAlign w:val="center"/>
                  <w:hideMark/>
                </w:tcPr>
                <w:p w14:paraId="1D21EE62"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81%</w:t>
                  </w:r>
                </w:p>
              </w:tc>
              <w:tc>
                <w:tcPr>
                  <w:tcW w:w="1157" w:type="dxa"/>
                  <w:tcBorders>
                    <w:top w:val="nil"/>
                    <w:left w:val="nil"/>
                    <w:bottom w:val="single" w:sz="8" w:space="0" w:color="FFFFFF"/>
                    <w:right w:val="single" w:sz="8" w:space="0" w:color="FFFFFF"/>
                  </w:tcBorders>
                  <w:shd w:val="clear" w:color="000000" w:fill="FDE9D9"/>
                  <w:noWrap/>
                  <w:vAlign w:val="center"/>
                  <w:hideMark/>
                </w:tcPr>
                <w:p w14:paraId="39C2DC9A"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5Y</w:t>
                  </w:r>
                </w:p>
              </w:tc>
              <w:tc>
                <w:tcPr>
                  <w:tcW w:w="921" w:type="dxa"/>
                  <w:tcBorders>
                    <w:top w:val="nil"/>
                    <w:left w:val="nil"/>
                    <w:bottom w:val="single" w:sz="8" w:space="0" w:color="FFFFFF"/>
                    <w:right w:val="single" w:sz="8" w:space="0" w:color="FFFFFF"/>
                  </w:tcBorders>
                  <w:shd w:val="clear" w:color="000000" w:fill="FDE9D9"/>
                  <w:noWrap/>
                  <w:vAlign w:val="center"/>
                  <w:hideMark/>
                </w:tcPr>
                <w:p w14:paraId="0395BFD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DE9D9"/>
                  <w:noWrap/>
                  <w:vAlign w:val="center"/>
                  <w:hideMark/>
                </w:tcPr>
                <w:p w14:paraId="22EE327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DE9D9"/>
                  <w:noWrap/>
                  <w:vAlign w:val="center"/>
                  <w:hideMark/>
                </w:tcPr>
                <w:p w14:paraId="2711D286"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30%</w:t>
                  </w:r>
                </w:p>
              </w:tc>
              <w:tc>
                <w:tcPr>
                  <w:tcW w:w="921" w:type="dxa"/>
                  <w:tcBorders>
                    <w:top w:val="nil"/>
                    <w:left w:val="nil"/>
                    <w:bottom w:val="single" w:sz="8" w:space="0" w:color="FFFFFF"/>
                    <w:right w:val="single" w:sz="8" w:space="0" w:color="FFFFFF"/>
                  </w:tcBorders>
                  <w:shd w:val="clear" w:color="000000" w:fill="FFC7CE"/>
                  <w:noWrap/>
                  <w:vAlign w:val="center"/>
                  <w:hideMark/>
                </w:tcPr>
                <w:p w14:paraId="71C61E5E" w14:textId="77777777" w:rsidR="009B2629" w:rsidRPr="009B2629" w:rsidRDefault="009B2629" w:rsidP="009B2629">
                  <w:pPr>
                    <w:widowControl/>
                    <w:jc w:val="center"/>
                    <w:rPr>
                      <w:rFonts w:eastAsia="等线" w:cs="Calibri"/>
                      <w:color w:val="9C0006"/>
                      <w:kern w:val="0"/>
                      <w:szCs w:val="21"/>
                    </w:rPr>
                  </w:pPr>
                  <w:r w:rsidRPr="009B2629">
                    <w:rPr>
                      <w:rFonts w:eastAsia="等线" w:cs="Calibri"/>
                      <w:color w:val="9C0006"/>
                      <w:kern w:val="0"/>
                      <w:szCs w:val="21"/>
                    </w:rPr>
                    <w:t>91%</w:t>
                  </w:r>
                </w:p>
              </w:tc>
            </w:tr>
            <w:tr w:rsidR="009B2629" w:rsidRPr="009B2629" w14:paraId="5EBA3B52" w14:textId="77777777" w:rsidTr="009B2629">
              <w:trPr>
                <w:trHeight w:val="300"/>
              </w:trPr>
              <w:tc>
                <w:tcPr>
                  <w:tcW w:w="1350" w:type="dxa"/>
                  <w:tcBorders>
                    <w:top w:val="nil"/>
                    <w:left w:val="nil"/>
                    <w:bottom w:val="nil"/>
                    <w:right w:val="nil"/>
                  </w:tcBorders>
                  <w:shd w:val="clear" w:color="000000" w:fill="FCD5B4"/>
                  <w:noWrap/>
                  <w:vAlign w:val="center"/>
                  <w:hideMark/>
                </w:tcPr>
                <w:p w14:paraId="706DC288"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3DCCC74E"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7406C463"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CD5B4"/>
                  <w:noWrap/>
                  <w:vAlign w:val="center"/>
                  <w:hideMark/>
                </w:tcPr>
                <w:p w14:paraId="42A90DFD"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CD5B4"/>
                  <w:noWrap/>
                  <w:vAlign w:val="center"/>
                  <w:hideMark/>
                </w:tcPr>
                <w:p w14:paraId="6A8A7ED8"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76%</w:t>
                  </w:r>
                </w:p>
              </w:tc>
              <w:tc>
                <w:tcPr>
                  <w:tcW w:w="1157" w:type="dxa"/>
                  <w:tcBorders>
                    <w:top w:val="nil"/>
                    <w:left w:val="nil"/>
                    <w:bottom w:val="nil"/>
                    <w:right w:val="nil"/>
                  </w:tcBorders>
                  <w:shd w:val="clear" w:color="000000" w:fill="FCD5B4"/>
                  <w:noWrap/>
                  <w:vAlign w:val="center"/>
                  <w:hideMark/>
                </w:tcPr>
                <w:p w14:paraId="5E311FCD" w14:textId="77777777" w:rsidR="009B2629" w:rsidRPr="009B2629" w:rsidRDefault="009B2629" w:rsidP="009B2629">
                  <w:pPr>
                    <w:widowControl/>
                    <w:jc w:val="center"/>
                    <w:rPr>
                      <w:rFonts w:ascii="楷体" w:eastAsia="楷体" w:hAnsi="楷体" w:cs="宋体"/>
                      <w:color w:val="000000"/>
                      <w:kern w:val="0"/>
                      <w:sz w:val="20"/>
                      <w:szCs w:val="20"/>
                    </w:rPr>
                  </w:pPr>
                  <w:proofErr w:type="gramStart"/>
                  <w:r w:rsidRPr="009B2629">
                    <w:rPr>
                      <w:rFonts w:ascii="楷体" w:eastAsia="楷体" w:hAnsi="楷体" w:cs="宋体" w:hint="eastAsia"/>
                      <w:color w:val="000000"/>
                      <w:kern w:val="0"/>
                      <w:sz w:val="20"/>
                      <w:szCs w:val="20"/>
                    </w:rPr>
                    <w:t>城投债</w:t>
                  </w:r>
                  <w:proofErr w:type="gramEnd"/>
                  <w:r w:rsidRPr="009B2629">
                    <w:rPr>
                      <w:rFonts w:ascii="楷体" w:eastAsia="楷体" w:hAnsi="楷体" w:cs="宋体" w:hint="eastAsia"/>
                      <w:color w:val="000000"/>
                      <w:kern w:val="0"/>
                      <w:sz w:val="20"/>
                      <w:szCs w:val="20"/>
                    </w:rPr>
                    <w:t>7Y</w:t>
                  </w:r>
                </w:p>
              </w:tc>
              <w:tc>
                <w:tcPr>
                  <w:tcW w:w="921" w:type="dxa"/>
                  <w:tcBorders>
                    <w:top w:val="nil"/>
                    <w:left w:val="nil"/>
                    <w:bottom w:val="single" w:sz="8" w:space="0" w:color="FFFFFF"/>
                    <w:right w:val="single" w:sz="8" w:space="0" w:color="FFFFFF"/>
                  </w:tcBorders>
                  <w:shd w:val="clear" w:color="000000" w:fill="FCD5B4"/>
                  <w:noWrap/>
                  <w:vAlign w:val="center"/>
                  <w:hideMark/>
                </w:tcPr>
                <w:p w14:paraId="1D9DD491"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CD5B4"/>
                  <w:noWrap/>
                  <w:vAlign w:val="center"/>
                  <w:hideMark/>
                </w:tcPr>
                <w:p w14:paraId="4AF07107"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052CF5C9" w14:textId="77777777" w:rsidR="009B2629" w:rsidRPr="009B2629" w:rsidRDefault="009B2629" w:rsidP="009B2629">
                  <w:pPr>
                    <w:widowControl/>
                    <w:jc w:val="center"/>
                    <w:rPr>
                      <w:rFonts w:eastAsia="等线" w:cs="Calibri"/>
                      <w:color w:val="000000"/>
                      <w:kern w:val="0"/>
                      <w:szCs w:val="21"/>
                    </w:rPr>
                  </w:pPr>
                  <w:r w:rsidRPr="009B2629">
                    <w:rPr>
                      <w:rFonts w:eastAsia="等线" w:cs="Calibri"/>
                      <w:color w:val="000000"/>
                      <w:kern w:val="0"/>
                      <w:szCs w:val="21"/>
                    </w:rPr>
                    <w:t>26%</w:t>
                  </w:r>
                </w:p>
              </w:tc>
              <w:tc>
                <w:tcPr>
                  <w:tcW w:w="921" w:type="dxa"/>
                  <w:tcBorders>
                    <w:top w:val="nil"/>
                    <w:left w:val="nil"/>
                    <w:bottom w:val="single" w:sz="8" w:space="0" w:color="FFFFFF"/>
                    <w:right w:val="single" w:sz="8" w:space="0" w:color="FFFFFF"/>
                  </w:tcBorders>
                  <w:shd w:val="clear" w:color="000000" w:fill="FFC7CE"/>
                  <w:noWrap/>
                  <w:vAlign w:val="center"/>
                  <w:hideMark/>
                </w:tcPr>
                <w:p w14:paraId="28DDC423" w14:textId="77777777" w:rsidR="009B2629" w:rsidRPr="009B2629" w:rsidRDefault="009B2629" w:rsidP="009B2629">
                  <w:pPr>
                    <w:widowControl/>
                    <w:jc w:val="center"/>
                    <w:rPr>
                      <w:rFonts w:eastAsia="等线" w:cs="Calibri"/>
                      <w:color w:val="9C0006"/>
                      <w:kern w:val="0"/>
                      <w:szCs w:val="21"/>
                    </w:rPr>
                  </w:pPr>
                  <w:r w:rsidRPr="009B2629">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73465B2"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AA4BE4" w:rsidRPr="00AA4BE4">
        <w:rPr>
          <w:rFonts w:ascii="华文楷体" w:hAnsi="华文楷体" w:hint="eastAsia"/>
          <w:sz w:val="24"/>
          <w:szCs w:val="24"/>
          <w:lang w:eastAsia="zh-CN"/>
        </w:rPr>
        <w:t>各板块持续反弹，创业</w:t>
      </w:r>
      <w:proofErr w:type="gramStart"/>
      <w:r w:rsidR="00AA4BE4" w:rsidRPr="00AA4BE4">
        <w:rPr>
          <w:rFonts w:ascii="华文楷体" w:hAnsi="华文楷体" w:hint="eastAsia"/>
          <w:sz w:val="24"/>
          <w:szCs w:val="24"/>
          <w:lang w:eastAsia="zh-CN"/>
        </w:rPr>
        <w:t>板反弹</w:t>
      </w:r>
      <w:proofErr w:type="gramEnd"/>
      <w:r w:rsidR="00AA4BE4" w:rsidRPr="00AA4BE4">
        <w:rPr>
          <w:rFonts w:ascii="华文楷体" w:hAnsi="华文楷体" w:hint="eastAsia"/>
          <w:sz w:val="24"/>
          <w:szCs w:val="24"/>
          <w:lang w:eastAsia="zh-CN"/>
        </w:rPr>
        <w:t>幅度相对略高，成交量除上证50指数成交上涨外，其他板块成交量适度萎缩。</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307DB0">
        <w:rPr>
          <w:rFonts w:ascii="华文楷体" w:hAnsi="华文楷体" w:hint="eastAsia"/>
          <w:sz w:val="24"/>
          <w:szCs w:val="24"/>
          <w:lang w:eastAsia="zh-CN"/>
        </w:rPr>
        <w:t>+</w:t>
      </w:r>
      <w:r w:rsidR="00AA4BE4">
        <w:rPr>
          <w:rFonts w:ascii="华文楷体" w:hAnsi="华文楷体" w:hint="eastAsia"/>
          <w:sz w:val="24"/>
          <w:szCs w:val="24"/>
          <w:lang w:eastAsia="zh-CN"/>
        </w:rPr>
        <w:t>1.9</w:t>
      </w:r>
      <w:r w:rsidR="00AC28BB">
        <w:rPr>
          <w:rFonts w:ascii="华文楷体" w:hAnsi="华文楷体"/>
          <w:sz w:val="24"/>
          <w:szCs w:val="24"/>
          <w:lang w:eastAsia="zh-CN"/>
        </w:rPr>
        <w:t>%、</w:t>
      </w:r>
      <w:r w:rsidR="00307DB0">
        <w:rPr>
          <w:rFonts w:ascii="华文楷体" w:hAnsi="华文楷体" w:hint="eastAsia"/>
          <w:sz w:val="24"/>
          <w:szCs w:val="24"/>
          <w:lang w:eastAsia="zh-CN"/>
        </w:rPr>
        <w:t>+</w:t>
      </w:r>
      <w:r w:rsidR="00AA4BE4">
        <w:rPr>
          <w:rFonts w:ascii="华文楷体" w:hAnsi="华文楷体" w:hint="eastAsia"/>
          <w:sz w:val="24"/>
          <w:szCs w:val="24"/>
          <w:lang w:eastAsia="zh-CN"/>
        </w:rPr>
        <w:t>3.9</w:t>
      </w:r>
      <w:r w:rsidR="00AC28BB">
        <w:rPr>
          <w:rFonts w:ascii="华文楷体" w:hAnsi="华文楷体"/>
          <w:sz w:val="24"/>
          <w:szCs w:val="24"/>
          <w:lang w:eastAsia="zh-CN"/>
        </w:rPr>
        <w:t>%、</w:t>
      </w:r>
      <w:r w:rsidR="00307DB0">
        <w:rPr>
          <w:rFonts w:ascii="华文楷体" w:hAnsi="华文楷体" w:hint="eastAsia"/>
          <w:sz w:val="24"/>
          <w:szCs w:val="24"/>
          <w:lang w:eastAsia="zh-CN"/>
        </w:rPr>
        <w:t>+</w:t>
      </w:r>
      <w:r w:rsidR="00AA4BE4">
        <w:rPr>
          <w:rFonts w:ascii="华文楷体" w:hAnsi="华文楷体" w:hint="eastAsia"/>
          <w:sz w:val="24"/>
          <w:szCs w:val="24"/>
          <w:lang w:eastAsia="zh-CN"/>
        </w:rPr>
        <w:t>2.5</w:t>
      </w:r>
      <w:r w:rsidR="00307DB0">
        <w:rPr>
          <w:rFonts w:ascii="华文楷体" w:hAnsi="华文楷体" w:hint="eastAsia"/>
          <w:sz w:val="24"/>
          <w:szCs w:val="24"/>
          <w:lang w:eastAsia="zh-CN"/>
        </w:rPr>
        <w:t>%</w:t>
      </w:r>
      <w:r w:rsidR="00AC28BB">
        <w:rPr>
          <w:rFonts w:ascii="华文楷体" w:hAnsi="华文楷体" w:hint="eastAsia"/>
          <w:sz w:val="24"/>
          <w:szCs w:val="24"/>
          <w:lang w:eastAsia="zh-CN"/>
        </w:rPr>
        <w:t>和</w:t>
      </w:r>
      <w:r w:rsidR="00307DB0">
        <w:rPr>
          <w:rFonts w:ascii="华文楷体" w:hAnsi="华文楷体" w:hint="eastAsia"/>
          <w:sz w:val="24"/>
          <w:szCs w:val="24"/>
          <w:lang w:eastAsia="zh-CN"/>
        </w:rPr>
        <w:t>+</w:t>
      </w:r>
      <w:r w:rsidR="00AA4BE4">
        <w:rPr>
          <w:rFonts w:ascii="华文楷体" w:hAnsi="华文楷体"/>
          <w:sz w:val="24"/>
          <w:szCs w:val="24"/>
          <w:lang w:eastAsia="zh-CN"/>
        </w:rPr>
        <w:t>2.5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087A74">
        <w:rPr>
          <w:rFonts w:ascii="华文楷体" w:hAnsi="华文楷体" w:hint="eastAsia"/>
          <w:sz w:val="24"/>
          <w:szCs w:val="24"/>
          <w:lang w:eastAsia="zh-CN"/>
        </w:rPr>
        <w:t>上</w:t>
      </w:r>
      <w:r w:rsidR="00307DB0">
        <w:rPr>
          <w:rFonts w:ascii="华文楷体" w:hAnsi="华文楷体" w:hint="eastAsia"/>
          <w:sz w:val="24"/>
          <w:szCs w:val="24"/>
          <w:lang w:eastAsia="zh-CN"/>
        </w:rPr>
        <w:t>周略跌</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AA4BE4">
        <w:rPr>
          <w:rFonts w:ascii="华文楷体" w:hAnsi="华文楷体"/>
          <w:sz w:val="24"/>
          <w:szCs w:val="24"/>
          <w:lang w:eastAsia="zh-CN"/>
        </w:rPr>
        <w:t>微</w:t>
      </w:r>
      <w:proofErr w:type="gramEnd"/>
      <w:r w:rsidR="00AA4BE4">
        <w:rPr>
          <w:rFonts w:ascii="华文楷体" w:hAnsi="华文楷体"/>
          <w:sz w:val="24"/>
          <w:szCs w:val="24"/>
          <w:lang w:eastAsia="zh-CN"/>
        </w:rPr>
        <w:t>涨</w:t>
      </w:r>
      <w:r w:rsidR="00307DB0">
        <w:rPr>
          <w:rFonts w:ascii="华文楷体" w:hAnsi="华文楷体" w:hint="eastAsia"/>
          <w:sz w:val="24"/>
          <w:szCs w:val="24"/>
          <w:lang w:eastAsia="zh-CN"/>
        </w:rPr>
        <w:t>0.6</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lastRenderedPageBreak/>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AA4BE4">
        <w:tblPrEx>
          <w:tblCellMar>
            <w:left w:w="108" w:type="dxa"/>
            <w:right w:w="108" w:type="dxa"/>
          </w:tblCellMar>
        </w:tblPrEx>
        <w:trPr>
          <w:trHeight w:val="2921"/>
          <w:jc w:val="center"/>
        </w:trPr>
        <w:tc>
          <w:tcPr>
            <w:tcW w:w="4939" w:type="dxa"/>
            <w:vAlign w:val="center"/>
          </w:tcPr>
          <w:p w14:paraId="5C83721A" w14:textId="6E88F8B5" w:rsidR="00E0626C" w:rsidRPr="00345C30" w:rsidRDefault="00AA4BE4" w:rsidP="00345C30">
            <w:pPr>
              <w:widowControl/>
              <w:jc w:val="left"/>
              <w:rPr>
                <w:rFonts w:ascii="宋体" w:hAnsi="宋体" w:cs="宋体"/>
                <w:kern w:val="0"/>
                <w:sz w:val="24"/>
                <w:szCs w:val="24"/>
              </w:rPr>
            </w:pPr>
            <w:r w:rsidRPr="00AA4BE4">
              <w:rPr>
                <w:rFonts w:ascii="宋体" w:hAnsi="宋体" w:cs="宋体"/>
                <w:noProof/>
                <w:kern w:val="0"/>
                <w:sz w:val="24"/>
                <w:szCs w:val="24"/>
              </w:rPr>
              <w:drawing>
                <wp:inline distT="0" distB="0" distL="0" distR="0" wp14:anchorId="3D992427" wp14:editId="117669C1">
                  <wp:extent cx="3085106" cy="1939290"/>
                  <wp:effectExtent l="0" t="0" r="1270" b="3810"/>
                  <wp:docPr id="11" name="图片 11" descr="C:\Users\Tang\AppData\Local\Temp\16176838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1617683800(1).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56672" cy="1984276"/>
                          </a:xfrm>
                          <a:prstGeom prst="rect">
                            <a:avLst/>
                          </a:prstGeom>
                          <a:noFill/>
                          <a:ln>
                            <a:noFill/>
                          </a:ln>
                        </pic:spPr>
                      </pic:pic>
                    </a:graphicData>
                  </a:graphic>
                </wp:inline>
              </w:drawing>
            </w:r>
          </w:p>
        </w:tc>
        <w:tc>
          <w:tcPr>
            <w:tcW w:w="4938" w:type="dxa"/>
            <w:vAlign w:val="center"/>
          </w:tcPr>
          <w:p w14:paraId="39BD4383" w14:textId="59AD7E4B" w:rsidR="00E0626C" w:rsidRPr="007E0340" w:rsidRDefault="00AA4BE4" w:rsidP="009A2BA0">
            <w:pPr>
              <w:jc w:val="center"/>
              <w:rPr>
                <w:noProof/>
                <w:szCs w:val="18"/>
              </w:rPr>
            </w:pPr>
            <w:r>
              <w:rPr>
                <w:noProof/>
              </w:rPr>
              <w:drawing>
                <wp:inline distT="0" distB="0" distL="0" distR="0" wp14:anchorId="6FD2E420" wp14:editId="6A3EDB44">
                  <wp:extent cx="2998470" cy="1898236"/>
                  <wp:effectExtent l="0" t="0" r="0" b="6985"/>
                  <wp:docPr id="15" name="图表 15">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7C2E654"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087A74">
        <w:rPr>
          <w:rFonts w:ascii="华文楷体" w:hAnsi="华文楷体" w:hint="eastAsia"/>
          <w:sz w:val="24"/>
          <w:szCs w:val="24"/>
          <w:lang w:eastAsia="zh-CN"/>
        </w:rPr>
        <w:t>上</w:t>
      </w:r>
      <w:r w:rsidR="00F704B5" w:rsidRPr="00F704B5">
        <w:rPr>
          <w:rFonts w:ascii="华文楷体" w:hAnsi="华文楷体" w:hint="eastAsia"/>
          <w:sz w:val="24"/>
          <w:szCs w:val="24"/>
          <w:lang w:eastAsia="zh-CN"/>
        </w:rPr>
        <w:t>周</w:t>
      </w:r>
      <w:r w:rsidR="006A4DF4" w:rsidRPr="006A4DF4">
        <w:rPr>
          <w:rFonts w:ascii="华文楷体" w:hAnsi="华文楷体" w:hint="eastAsia"/>
          <w:sz w:val="24"/>
          <w:szCs w:val="24"/>
          <w:lang w:eastAsia="zh-CN"/>
        </w:rPr>
        <w:t>主要港口动力煤平均价上涨6.05%。PTA产业链</w:t>
      </w:r>
      <w:proofErr w:type="gramStart"/>
      <w:r w:rsidR="006A4DF4" w:rsidRPr="006A4DF4">
        <w:rPr>
          <w:rFonts w:ascii="华文楷体" w:hAnsi="华文楷体" w:hint="eastAsia"/>
          <w:sz w:val="24"/>
          <w:szCs w:val="24"/>
          <w:lang w:eastAsia="zh-CN"/>
        </w:rPr>
        <w:t>负荷率环比</w:t>
      </w:r>
      <w:proofErr w:type="gramEnd"/>
      <w:r w:rsidR="006A4DF4" w:rsidRPr="006A4DF4">
        <w:rPr>
          <w:rFonts w:ascii="华文楷体" w:hAnsi="华文楷体" w:hint="eastAsia"/>
          <w:sz w:val="24"/>
          <w:szCs w:val="24"/>
          <w:lang w:eastAsia="zh-CN"/>
        </w:rPr>
        <w:t>上</w:t>
      </w:r>
      <w:r w:rsidR="00087A74">
        <w:rPr>
          <w:rFonts w:ascii="华文楷体" w:hAnsi="华文楷体" w:hint="eastAsia"/>
          <w:sz w:val="24"/>
          <w:szCs w:val="24"/>
          <w:lang w:eastAsia="zh-CN"/>
        </w:rPr>
        <w:t>一</w:t>
      </w:r>
      <w:r w:rsidR="006A4DF4" w:rsidRPr="006A4DF4">
        <w:rPr>
          <w:rFonts w:ascii="华文楷体" w:hAnsi="华文楷体" w:hint="eastAsia"/>
          <w:sz w:val="24"/>
          <w:szCs w:val="24"/>
          <w:lang w:eastAsia="zh-CN"/>
        </w:rPr>
        <w:t>周下降1.16%，近两周产业链负荷率维持在80%左右。中国玻璃综合指数回升0.28%</w:t>
      </w:r>
      <w:r w:rsidR="0066547A" w:rsidRPr="0066547A">
        <w:rPr>
          <w:rFonts w:ascii="华文楷体" w:hAnsi="华文楷体" w:hint="eastAsia"/>
          <w:sz w:val="24"/>
          <w:szCs w:val="24"/>
          <w:lang w:eastAsia="zh-CN"/>
        </w:rPr>
        <w:t>。</w:t>
      </w:r>
      <w:proofErr w:type="spellStart"/>
      <w:r w:rsidR="006A4DF4" w:rsidRPr="006A4DF4">
        <w:rPr>
          <w:rFonts w:ascii="华文楷体" w:hAnsi="华文楷体" w:hint="eastAsia"/>
          <w:sz w:val="24"/>
          <w:szCs w:val="24"/>
          <w:lang w:eastAsia="zh-CN"/>
        </w:rPr>
        <w:t>Myspic</w:t>
      </w:r>
      <w:proofErr w:type="spellEnd"/>
      <w:r w:rsidR="006A4DF4" w:rsidRPr="006A4DF4">
        <w:rPr>
          <w:rFonts w:ascii="华文楷体" w:hAnsi="华文楷体" w:hint="eastAsia"/>
          <w:sz w:val="24"/>
          <w:szCs w:val="24"/>
          <w:lang w:eastAsia="zh-CN"/>
        </w:rPr>
        <w:t>综合全国钢铁价格指数上行3.13%，各类钢材价格涨幅均有所扩大。主要品种中，螺纹钢、热卷、高线价格本周分别上涨2.98%、5.03%、2.76%；库存方面，各</w:t>
      </w:r>
      <w:proofErr w:type="gramStart"/>
      <w:r w:rsidR="006A4DF4" w:rsidRPr="006A4DF4">
        <w:rPr>
          <w:rFonts w:ascii="华文楷体" w:hAnsi="华文楷体" w:hint="eastAsia"/>
          <w:sz w:val="24"/>
          <w:szCs w:val="24"/>
          <w:lang w:eastAsia="zh-CN"/>
        </w:rPr>
        <w:t>品种环</w:t>
      </w:r>
      <w:proofErr w:type="gramEnd"/>
      <w:r w:rsidR="006A4DF4" w:rsidRPr="006A4DF4">
        <w:rPr>
          <w:rFonts w:ascii="华文楷体" w:hAnsi="华文楷体" w:hint="eastAsia"/>
          <w:sz w:val="24"/>
          <w:szCs w:val="24"/>
          <w:lang w:eastAsia="zh-CN"/>
        </w:rPr>
        <w:t>比降幅显著：螺纹钢、热卷、线材库存分别减少4.80%、4.43%、5.35%。</w:t>
      </w:r>
    </w:p>
    <w:p w14:paraId="21425444" w14:textId="1CDD3A9F"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6A4DF4" w:rsidRPr="006A4DF4">
        <w:rPr>
          <w:rFonts w:ascii="华文楷体" w:hAnsi="华文楷体" w:hint="eastAsia"/>
          <w:sz w:val="24"/>
          <w:szCs w:val="24"/>
          <w:lang w:eastAsia="zh-CN"/>
        </w:rPr>
        <w:t>30大中城市商品房平均成交</w:t>
      </w:r>
      <w:proofErr w:type="gramStart"/>
      <w:r w:rsidR="006A4DF4" w:rsidRPr="006A4DF4">
        <w:rPr>
          <w:rFonts w:ascii="华文楷体" w:hAnsi="华文楷体" w:hint="eastAsia"/>
          <w:sz w:val="24"/>
          <w:szCs w:val="24"/>
          <w:lang w:eastAsia="zh-CN"/>
        </w:rPr>
        <w:t>面积环</w:t>
      </w:r>
      <w:proofErr w:type="gramEnd"/>
      <w:r w:rsidR="006A4DF4" w:rsidRPr="006A4DF4">
        <w:rPr>
          <w:rFonts w:ascii="华文楷体" w:hAnsi="华文楷体" w:hint="eastAsia"/>
          <w:sz w:val="24"/>
          <w:szCs w:val="24"/>
          <w:lang w:eastAsia="zh-CN"/>
        </w:rPr>
        <w:t>比下降约5.52%，一线</w:t>
      </w:r>
      <w:proofErr w:type="gramStart"/>
      <w:r w:rsidR="006A4DF4" w:rsidRPr="006A4DF4">
        <w:rPr>
          <w:rFonts w:ascii="华文楷体" w:hAnsi="华文楷体" w:hint="eastAsia"/>
          <w:sz w:val="24"/>
          <w:szCs w:val="24"/>
          <w:lang w:eastAsia="zh-CN"/>
        </w:rPr>
        <w:t>城市环</w:t>
      </w:r>
      <w:proofErr w:type="gramEnd"/>
      <w:r w:rsidR="006A4DF4" w:rsidRPr="006A4DF4">
        <w:rPr>
          <w:rFonts w:ascii="华文楷体" w:hAnsi="华文楷体" w:hint="eastAsia"/>
          <w:sz w:val="24"/>
          <w:szCs w:val="24"/>
          <w:lang w:eastAsia="zh-CN"/>
        </w:rPr>
        <w:t>比增11.35%，而二线城市下降15.11%</w:t>
      </w:r>
      <w:r w:rsidR="0066547A">
        <w:rPr>
          <w:rFonts w:ascii="华文楷体" w:hAnsi="华文楷体" w:hint="eastAsia"/>
          <w:sz w:val="24"/>
          <w:szCs w:val="24"/>
          <w:lang w:eastAsia="zh-CN"/>
        </w:rPr>
        <w:t>。</w:t>
      </w:r>
      <w:r w:rsidR="006A4DF4" w:rsidRPr="006A4DF4">
        <w:rPr>
          <w:rFonts w:ascii="华文楷体" w:hAnsi="华文楷体" w:hint="eastAsia"/>
          <w:sz w:val="24"/>
          <w:szCs w:val="24"/>
          <w:lang w:eastAsia="zh-CN"/>
        </w:rPr>
        <w:t>100大中城市土地成交</w:t>
      </w:r>
      <w:proofErr w:type="gramStart"/>
      <w:r w:rsidR="006A4DF4" w:rsidRPr="006A4DF4">
        <w:rPr>
          <w:rFonts w:ascii="华文楷体" w:hAnsi="华文楷体" w:hint="eastAsia"/>
          <w:sz w:val="24"/>
          <w:szCs w:val="24"/>
          <w:lang w:eastAsia="zh-CN"/>
        </w:rPr>
        <w:t>面积环</w:t>
      </w:r>
      <w:proofErr w:type="gramEnd"/>
      <w:r w:rsidR="006A4DF4" w:rsidRPr="006A4DF4">
        <w:rPr>
          <w:rFonts w:ascii="华文楷体" w:hAnsi="华文楷体" w:hint="eastAsia"/>
          <w:sz w:val="24"/>
          <w:szCs w:val="24"/>
          <w:lang w:eastAsia="zh-CN"/>
        </w:rPr>
        <w:t>比下降62.68%，克而瑞研究中心数据，3月全国土地溢价率进一步回升至16.9%，</w:t>
      </w:r>
      <w:proofErr w:type="gramStart"/>
      <w:r w:rsidR="006A4DF4" w:rsidRPr="006A4DF4">
        <w:rPr>
          <w:rFonts w:ascii="华文楷体" w:hAnsi="华文楷体" w:hint="eastAsia"/>
          <w:sz w:val="24"/>
          <w:szCs w:val="24"/>
          <w:lang w:eastAsia="zh-CN"/>
        </w:rPr>
        <w:t>续创2020年</w:t>
      </w:r>
      <w:proofErr w:type="gramEnd"/>
      <w:r w:rsidR="006A4DF4" w:rsidRPr="006A4DF4">
        <w:rPr>
          <w:rFonts w:ascii="华文楷体" w:hAnsi="华文楷体" w:hint="eastAsia"/>
          <w:sz w:val="24"/>
          <w:szCs w:val="24"/>
          <w:lang w:eastAsia="zh-CN"/>
        </w:rPr>
        <w:t>以来新高</w:t>
      </w:r>
      <w:r w:rsidR="006A4DF4">
        <w:rPr>
          <w:rFonts w:ascii="华文楷体" w:hAnsi="华文楷体" w:hint="eastAsia"/>
          <w:sz w:val="24"/>
          <w:szCs w:val="24"/>
          <w:lang w:eastAsia="zh-CN"/>
        </w:rPr>
        <w:t>。</w:t>
      </w:r>
    </w:p>
    <w:p w14:paraId="77CCCEDF" w14:textId="2E620EA8"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6A4DF4" w:rsidRPr="006A4DF4">
        <w:rPr>
          <w:rFonts w:ascii="华文楷体" w:hAnsi="华文楷体" w:hint="eastAsia"/>
          <w:bCs/>
          <w:sz w:val="24"/>
          <w:szCs w:val="24"/>
          <w:lang w:eastAsia="zh-CN"/>
        </w:rPr>
        <w:t>波罗的海干散货指数较上</w:t>
      </w:r>
      <w:r w:rsidR="00087A74">
        <w:rPr>
          <w:rFonts w:ascii="华文楷体" w:hAnsi="华文楷体" w:hint="eastAsia"/>
          <w:bCs/>
          <w:sz w:val="24"/>
          <w:szCs w:val="24"/>
          <w:lang w:eastAsia="zh-CN"/>
        </w:rPr>
        <w:t>一</w:t>
      </w:r>
      <w:r w:rsidR="006A4DF4" w:rsidRPr="006A4DF4">
        <w:rPr>
          <w:rFonts w:ascii="华文楷体" w:hAnsi="华文楷体" w:hint="eastAsia"/>
          <w:bCs/>
          <w:sz w:val="24"/>
          <w:szCs w:val="24"/>
          <w:lang w:eastAsia="zh-CN"/>
        </w:rPr>
        <w:t>周回落5.89%，中国进口干散货运价指数走势较上周回落1.5%。上海出口集装箱指数（SCFI）</w:t>
      </w:r>
      <w:r w:rsidR="00087A74">
        <w:rPr>
          <w:rFonts w:ascii="华文楷体" w:hAnsi="华文楷体" w:hint="eastAsia"/>
          <w:bCs/>
          <w:sz w:val="24"/>
          <w:szCs w:val="24"/>
          <w:lang w:eastAsia="zh-CN"/>
        </w:rPr>
        <w:t>上</w:t>
      </w:r>
      <w:r w:rsidR="006A4DF4" w:rsidRPr="006A4DF4">
        <w:rPr>
          <w:rFonts w:ascii="华文楷体" w:hAnsi="华文楷体" w:hint="eastAsia"/>
          <w:bCs/>
          <w:sz w:val="24"/>
          <w:szCs w:val="24"/>
          <w:lang w:eastAsia="zh-CN"/>
        </w:rPr>
        <w:t>周回升0.57%；中国出口集装箱运价指数（CCFI）</w:t>
      </w:r>
      <w:r w:rsidR="00087A74">
        <w:rPr>
          <w:rFonts w:ascii="华文楷体" w:hAnsi="华文楷体" w:hint="eastAsia"/>
          <w:bCs/>
          <w:sz w:val="24"/>
          <w:szCs w:val="24"/>
          <w:lang w:eastAsia="zh-CN"/>
        </w:rPr>
        <w:t>上</w:t>
      </w:r>
      <w:r w:rsidR="006A4DF4" w:rsidRPr="006A4DF4">
        <w:rPr>
          <w:rFonts w:ascii="华文楷体" w:hAnsi="华文楷体" w:hint="eastAsia"/>
          <w:bCs/>
          <w:sz w:val="24"/>
          <w:szCs w:val="24"/>
          <w:lang w:eastAsia="zh-CN"/>
        </w:rPr>
        <w:t>周上行0.44%。</w:t>
      </w:r>
    </w:p>
    <w:p w14:paraId="0542DAC4" w14:textId="29060BEC"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6547A" w:rsidRPr="0066547A">
        <w:rPr>
          <w:rFonts w:ascii="华文楷体" w:hAnsi="华文楷体" w:hint="eastAsia"/>
          <w:bCs/>
          <w:sz w:val="24"/>
          <w:szCs w:val="24"/>
          <w:lang w:eastAsia="zh-CN"/>
        </w:rPr>
        <w:t>从猪价来看，</w:t>
      </w:r>
      <w:r w:rsidR="00087A74">
        <w:rPr>
          <w:rFonts w:ascii="华文楷体" w:hAnsi="华文楷体" w:hint="eastAsia"/>
          <w:bCs/>
          <w:sz w:val="24"/>
          <w:szCs w:val="24"/>
          <w:lang w:eastAsia="zh-CN"/>
        </w:rPr>
        <w:t>上</w:t>
      </w:r>
      <w:r w:rsidR="009E0419" w:rsidRPr="009E0419">
        <w:rPr>
          <w:rFonts w:ascii="华文楷体" w:hAnsi="华文楷体" w:hint="eastAsia"/>
          <w:bCs/>
          <w:sz w:val="24"/>
          <w:szCs w:val="24"/>
          <w:lang w:eastAsia="zh-CN"/>
        </w:rPr>
        <w:t>周农业部公布的全国平均批发价下降至35.72元/公斤，环比上</w:t>
      </w:r>
      <w:r w:rsidR="00087A74">
        <w:rPr>
          <w:rFonts w:ascii="华文楷体" w:hAnsi="华文楷体" w:hint="eastAsia"/>
          <w:bCs/>
          <w:sz w:val="24"/>
          <w:szCs w:val="24"/>
          <w:lang w:eastAsia="zh-CN"/>
        </w:rPr>
        <w:t>一</w:t>
      </w:r>
      <w:r w:rsidR="009E0419" w:rsidRPr="009E0419">
        <w:rPr>
          <w:rFonts w:ascii="华文楷体" w:hAnsi="华文楷体" w:hint="eastAsia"/>
          <w:bCs/>
          <w:sz w:val="24"/>
          <w:szCs w:val="24"/>
          <w:lang w:eastAsia="zh-CN"/>
        </w:rPr>
        <w:t>周末下降2.9%。本周鸡蛋价格小幅继续反弹0.66%</w:t>
      </w:r>
      <w:r w:rsidR="009E0419">
        <w:rPr>
          <w:rFonts w:ascii="华文楷体" w:hAnsi="华文楷体" w:hint="eastAsia"/>
          <w:bCs/>
          <w:sz w:val="24"/>
          <w:szCs w:val="24"/>
          <w:lang w:eastAsia="zh-CN"/>
        </w:rPr>
        <w:t>。</w:t>
      </w:r>
      <w:r w:rsidR="009E0419" w:rsidRPr="009E0419">
        <w:rPr>
          <w:rFonts w:ascii="华文楷体" w:hAnsi="华文楷体" w:hint="eastAsia"/>
          <w:bCs/>
          <w:sz w:val="24"/>
          <w:szCs w:val="24"/>
          <w:lang w:eastAsia="zh-CN"/>
        </w:rPr>
        <w:t>蔬菜价格延续回落</w:t>
      </w:r>
      <w:r w:rsidR="009E0419">
        <w:rPr>
          <w:rFonts w:ascii="华文楷体" w:hAnsi="华文楷体" w:hint="eastAsia"/>
          <w:bCs/>
          <w:sz w:val="24"/>
          <w:szCs w:val="24"/>
          <w:lang w:eastAsia="zh-CN"/>
        </w:rPr>
        <w:t>；水果价格略有上涨</w:t>
      </w:r>
      <w:r w:rsidR="009E0419" w:rsidRPr="009E0419">
        <w:rPr>
          <w:rFonts w:ascii="华文楷体" w:hAnsi="华文楷体" w:hint="eastAsia"/>
          <w:bCs/>
          <w:sz w:val="24"/>
          <w:szCs w:val="24"/>
          <w:lang w:eastAsia="zh-CN"/>
        </w:rPr>
        <w:t>；水产品价格周环比继续上涨0.83%，牛肉、羊肉价格</w:t>
      </w:r>
      <w:proofErr w:type="gramStart"/>
      <w:r w:rsidR="009E0419" w:rsidRPr="009E0419">
        <w:rPr>
          <w:rFonts w:ascii="华文楷体" w:hAnsi="华文楷体" w:hint="eastAsia"/>
          <w:bCs/>
          <w:sz w:val="24"/>
          <w:szCs w:val="24"/>
          <w:lang w:eastAsia="zh-CN"/>
        </w:rPr>
        <w:t>由涨转跌</w:t>
      </w:r>
      <w:proofErr w:type="gramEnd"/>
      <w:r w:rsidR="009E0419" w:rsidRPr="009E0419">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9E0419" w:rsidRPr="009E0419">
        <w:rPr>
          <w:rFonts w:ascii="华文楷体" w:hAnsi="华文楷体" w:hint="eastAsia"/>
          <w:bCs/>
          <w:sz w:val="24"/>
          <w:szCs w:val="24"/>
          <w:lang w:eastAsia="zh-CN"/>
        </w:rPr>
        <w:t>长江有色市场现货价格铜、铝、铅、锌价分别变化-0.84%、0.22%、0.56%、-0.91%；海外价格来看，LME铜、铝、铅、</w:t>
      </w:r>
      <w:proofErr w:type="gramStart"/>
      <w:r w:rsidR="009E0419" w:rsidRPr="009E0419">
        <w:rPr>
          <w:rFonts w:ascii="华文楷体" w:hAnsi="华文楷体" w:hint="eastAsia"/>
          <w:bCs/>
          <w:sz w:val="24"/>
          <w:szCs w:val="24"/>
          <w:lang w:eastAsia="zh-CN"/>
        </w:rPr>
        <w:t>锌较上</w:t>
      </w:r>
      <w:proofErr w:type="gramEnd"/>
      <w:r w:rsidR="009E0419" w:rsidRPr="009E0419">
        <w:rPr>
          <w:rFonts w:ascii="华文楷体" w:hAnsi="华文楷体" w:hint="eastAsia"/>
          <w:bCs/>
          <w:sz w:val="24"/>
          <w:szCs w:val="24"/>
          <w:lang w:eastAsia="zh-CN"/>
        </w:rPr>
        <w:t>周环比变化分别为-1.41%、-0.36%、0.25%、-0.62%。</w:t>
      </w:r>
    </w:p>
    <w:p w14:paraId="29155A05" w14:textId="3E54B483"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F704B5" w:rsidRPr="00F704B5">
        <w:rPr>
          <w:rFonts w:ascii="华文楷体" w:hAnsi="华文楷体" w:hint="eastAsia"/>
          <w:bCs/>
          <w:sz w:val="24"/>
          <w:szCs w:val="24"/>
          <w:lang w:eastAsia="zh-CN"/>
        </w:rPr>
        <w:t>乘联会最新数据显示，</w:t>
      </w:r>
      <w:r w:rsidR="009E0419" w:rsidRPr="009E0419">
        <w:rPr>
          <w:rFonts w:ascii="华文楷体" w:hAnsi="华文楷体" w:hint="eastAsia"/>
          <w:bCs/>
          <w:sz w:val="24"/>
          <w:szCs w:val="24"/>
          <w:lang w:eastAsia="zh-CN"/>
        </w:rPr>
        <w:t>3月第四周的日均零售在5.2万辆左右，较2019年同期水平低约21%</w:t>
      </w:r>
      <w:r w:rsidR="0066547A">
        <w:rPr>
          <w:rFonts w:ascii="华文楷体" w:hAnsi="华文楷体" w:hint="eastAsia"/>
          <w:bCs/>
          <w:sz w:val="24"/>
          <w:szCs w:val="24"/>
          <w:lang w:eastAsia="zh-CN"/>
        </w:rPr>
        <w:t>。</w:t>
      </w:r>
      <w:r w:rsidR="009E0419" w:rsidRPr="009E0419">
        <w:rPr>
          <w:rFonts w:ascii="华文楷体" w:hAnsi="华文楷体" w:hint="eastAsia"/>
          <w:bCs/>
          <w:sz w:val="24"/>
          <w:szCs w:val="24"/>
          <w:lang w:eastAsia="zh-CN"/>
        </w:rPr>
        <w:t>批发方面，3月第四周主要厂商批发销量达到日均5.7万辆，同比2019年3月下降26%</w:t>
      </w:r>
      <w:r w:rsidR="009E0419">
        <w:rPr>
          <w:rFonts w:ascii="华文楷体" w:hAnsi="华文楷体" w:hint="eastAsia"/>
          <w:bCs/>
          <w:sz w:val="24"/>
          <w:szCs w:val="24"/>
          <w:lang w:eastAsia="zh-CN"/>
        </w:rPr>
        <w:t>。</w:t>
      </w:r>
    </w:p>
    <w:p w14:paraId="6C0621FD" w14:textId="6804366C"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9E0419" w:rsidRPr="009E0419">
        <w:rPr>
          <w:rFonts w:ascii="华文楷体" w:hAnsi="华文楷体" w:hint="eastAsia"/>
          <w:bCs/>
          <w:sz w:val="24"/>
          <w:szCs w:val="24"/>
          <w:lang w:eastAsia="zh-CN"/>
        </w:rPr>
        <w:t>布伦</w:t>
      </w:r>
      <w:proofErr w:type="gramStart"/>
      <w:r w:rsidR="009E0419" w:rsidRPr="009E0419">
        <w:rPr>
          <w:rFonts w:ascii="华文楷体" w:hAnsi="华文楷体" w:hint="eastAsia"/>
          <w:bCs/>
          <w:sz w:val="24"/>
          <w:szCs w:val="24"/>
          <w:lang w:eastAsia="zh-CN"/>
        </w:rPr>
        <w:t>特</w:t>
      </w:r>
      <w:proofErr w:type="gramEnd"/>
      <w:r w:rsidR="009E0419" w:rsidRPr="009E0419">
        <w:rPr>
          <w:rFonts w:ascii="华文楷体" w:hAnsi="华文楷体" w:hint="eastAsia"/>
          <w:bCs/>
          <w:sz w:val="24"/>
          <w:szCs w:val="24"/>
          <w:lang w:eastAsia="zh-CN"/>
        </w:rPr>
        <w:t>原油环比上</w:t>
      </w:r>
      <w:r w:rsidR="00087A74">
        <w:rPr>
          <w:rFonts w:ascii="华文楷体" w:hAnsi="华文楷体" w:hint="eastAsia"/>
          <w:bCs/>
          <w:sz w:val="24"/>
          <w:szCs w:val="24"/>
          <w:lang w:eastAsia="zh-CN"/>
        </w:rPr>
        <w:t>一</w:t>
      </w:r>
      <w:r w:rsidR="009E0419" w:rsidRPr="009E0419">
        <w:rPr>
          <w:rFonts w:ascii="华文楷体" w:hAnsi="华文楷体" w:hint="eastAsia"/>
          <w:bCs/>
          <w:sz w:val="24"/>
          <w:szCs w:val="24"/>
          <w:lang w:eastAsia="zh-CN"/>
        </w:rPr>
        <w:t>周五跌1.59%至63.54美元/桶；WTI原油价格上涨0.78%至61.45美元/桶。</w:t>
      </w:r>
    </w:p>
    <w:p w14:paraId="35D3E229" w14:textId="0988FD85"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9E0419" w:rsidRPr="009E0419">
        <w:rPr>
          <w:rFonts w:ascii="华文楷体" w:hAnsi="华文楷体" w:hint="eastAsia"/>
          <w:bCs/>
          <w:sz w:val="24"/>
          <w:szCs w:val="24"/>
          <w:lang w:eastAsia="zh-CN"/>
        </w:rPr>
        <w:t>3月金融数据、通胀数据，美联储公布货币政策会议纪要</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578E1982" w:rsidR="00FF7903" w:rsidRPr="00884635" w:rsidRDefault="00FF7903" w:rsidP="009A2BA0">
      <w:pPr>
        <w:pStyle w:val="Header2"/>
        <w:spacing w:before="120"/>
        <w:rPr>
          <w:rFonts w:eastAsia="PMingLiU"/>
          <w:sz w:val="28"/>
          <w:szCs w:val="21"/>
          <w:lang w:eastAsia="zh-CN"/>
        </w:rPr>
      </w:pPr>
      <w:r>
        <w:rPr>
          <w:sz w:val="28"/>
          <w:szCs w:val="21"/>
          <w:lang w:eastAsia="zh-CN"/>
        </w:rPr>
        <w:lastRenderedPageBreak/>
        <w:t>2</w:t>
      </w:r>
      <w:r>
        <w:rPr>
          <w:rFonts w:hint="eastAsia"/>
          <w:sz w:val="28"/>
          <w:szCs w:val="21"/>
          <w:lang w:eastAsia="zh-CN"/>
        </w:rPr>
        <w:t>、</w:t>
      </w:r>
      <w:r w:rsidR="00087A74">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01758412"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233F53" w:rsidRPr="00233F53">
        <w:rPr>
          <w:rFonts w:ascii="华文楷体" w:hAnsi="华文楷体" w:hint="eastAsia"/>
          <w:sz w:val="24"/>
          <w:szCs w:val="24"/>
          <w:lang w:eastAsia="zh-CN"/>
        </w:rPr>
        <w:t>债券供给方面，利率</w:t>
      </w:r>
      <w:proofErr w:type="gramStart"/>
      <w:r w:rsidR="00233F53" w:rsidRPr="00233F53">
        <w:rPr>
          <w:rFonts w:ascii="华文楷体" w:hAnsi="华文楷体" w:hint="eastAsia"/>
          <w:sz w:val="24"/>
          <w:szCs w:val="24"/>
          <w:lang w:eastAsia="zh-CN"/>
        </w:rPr>
        <w:t>债目前</w:t>
      </w:r>
      <w:proofErr w:type="gramEnd"/>
      <w:r w:rsidR="00233F53" w:rsidRPr="00233F53">
        <w:rPr>
          <w:rFonts w:ascii="华文楷体" w:hAnsi="华文楷体" w:hint="eastAsia"/>
          <w:sz w:val="24"/>
          <w:szCs w:val="24"/>
          <w:lang w:eastAsia="zh-CN"/>
        </w:rPr>
        <w:t>相对平稳，主要源于今年国债（不含贴现国债）发行在1月份便接近6000亿，约占比10% ，接近往年一季度的发行总量，高峰预计仍在2、3季度，后三季度整体规模会适度减轻。供给方面更多关注地方债发行情况，2季度新增地方债发行约2.4</w:t>
      </w:r>
      <w:proofErr w:type="gramStart"/>
      <w:r w:rsidR="00233F53" w:rsidRPr="00233F53">
        <w:rPr>
          <w:rFonts w:ascii="华文楷体" w:hAnsi="华文楷体" w:hint="eastAsia"/>
          <w:sz w:val="24"/>
          <w:szCs w:val="24"/>
          <w:lang w:eastAsia="zh-CN"/>
        </w:rPr>
        <w:t>万亿</w:t>
      </w:r>
      <w:proofErr w:type="gramEnd"/>
      <w:r w:rsidR="00233F53" w:rsidRPr="00233F53">
        <w:rPr>
          <w:rFonts w:ascii="华文楷体" w:hAnsi="华文楷体" w:hint="eastAsia"/>
          <w:sz w:val="24"/>
          <w:szCs w:val="24"/>
          <w:lang w:eastAsia="zh-CN"/>
        </w:rPr>
        <w:t>，全年预计2021年地方债新增供给预计4.6</w:t>
      </w:r>
      <w:proofErr w:type="gramStart"/>
      <w:r w:rsidR="00233F53" w:rsidRPr="00233F53">
        <w:rPr>
          <w:rFonts w:ascii="华文楷体" w:hAnsi="华文楷体" w:hint="eastAsia"/>
          <w:sz w:val="24"/>
          <w:szCs w:val="24"/>
          <w:lang w:eastAsia="zh-CN"/>
        </w:rPr>
        <w:t>万亿</w:t>
      </w:r>
      <w:proofErr w:type="gramEnd"/>
      <w:r w:rsidR="00233F53" w:rsidRPr="00233F53">
        <w:rPr>
          <w:rFonts w:ascii="华文楷体" w:hAnsi="华文楷体" w:hint="eastAsia"/>
          <w:sz w:val="24"/>
          <w:szCs w:val="24"/>
          <w:lang w:eastAsia="zh-CN"/>
        </w:rPr>
        <w:t>元。2021年3月初下达提前额度后，可能在4、5月达到供给高点。海外方面，美国经济修复情况相对略好，欧洲和新兴国家疫情修复仍存在一定反复过程，关注三、四季度国内外需求恢复下，内外基本面是否会形成共振效应。市场方面，当前资金</w:t>
      </w:r>
      <w:proofErr w:type="gramStart"/>
      <w:r w:rsidR="00233F53" w:rsidRPr="00233F53">
        <w:rPr>
          <w:rFonts w:ascii="华文楷体" w:hAnsi="华文楷体" w:hint="eastAsia"/>
          <w:sz w:val="24"/>
          <w:szCs w:val="24"/>
          <w:lang w:eastAsia="zh-CN"/>
        </w:rPr>
        <w:t>面整体</w:t>
      </w:r>
      <w:proofErr w:type="gramEnd"/>
      <w:r w:rsidR="00233F53" w:rsidRPr="00233F53">
        <w:rPr>
          <w:rFonts w:ascii="华文楷体" w:hAnsi="华文楷体" w:hint="eastAsia"/>
          <w:sz w:val="24"/>
          <w:szCs w:val="24"/>
          <w:lang w:eastAsia="zh-CN"/>
        </w:rPr>
        <w:t>平稳，央行公开市场逆回购操作完全对冲当期到期量，连续四周资金供给完全对冲到期量，净投放为0。商业银行共发行同业存单2601.4亿元，相比上周发行量下降明显，连续三周下降。后续值得关注的是，当前市场回购日均量处于整体略高水平，上</w:t>
      </w:r>
      <w:r w:rsidR="00087A74">
        <w:rPr>
          <w:rFonts w:ascii="华文楷体" w:hAnsi="华文楷体" w:hint="eastAsia"/>
          <w:sz w:val="24"/>
          <w:szCs w:val="24"/>
          <w:lang w:eastAsia="zh-CN"/>
        </w:rPr>
        <w:t>一</w:t>
      </w:r>
      <w:r w:rsidR="00233F53" w:rsidRPr="00233F53">
        <w:rPr>
          <w:rFonts w:ascii="华文楷体" w:hAnsi="华文楷体" w:hint="eastAsia"/>
          <w:sz w:val="24"/>
          <w:szCs w:val="24"/>
          <w:lang w:eastAsia="zh-CN"/>
        </w:rPr>
        <w:t>周日均量为3.73</w:t>
      </w:r>
      <w:proofErr w:type="gramStart"/>
      <w:r w:rsidR="00233F53" w:rsidRPr="00233F53">
        <w:rPr>
          <w:rFonts w:ascii="华文楷体" w:hAnsi="华文楷体" w:hint="eastAsia"/>
          <w:sz w:val="24"/>
          <w:szCs w:val="24"/>
          <w:lang w:eastAsia="zh-CN"/>
        </w:rPr>
        <w:t>万亿</w:t>
      </w:r>
      <w:proofErr w:type="gramEnd"/>
      <w:r w:rsidR="00233F53" w:rsidRPr="00233F53">
        <w:rPr>
          <w:rFonts w:ascii="华文楷体" w:hAnsi="华文楷体" w:hint="eastAsia"/>
          <w:sz w:val="24"/>
          <w:szCs w:val="24"/>
          <w:lang w:eastAsia="zh-CN"/>
        </w:rPr>
        <w:t>，超过3.5</w:t>
      </w:r>
      <w:proofErr w:type="gramStart"/>
      <w:r w:rsidR="00233F53" w:rsidRPr="00233F53">
        <w:rPr>
          <w:rFonts w:ascii="华文楷体" w:hAnsi="华文楷体" w:hint="eastAsia"/>
          <w:sz w:val="24"/>
          <w:szCs w:val="24"/>
          <w:lang w:eastAsia="zh-CN"/>
        </w:rPr>
        <w:t>万亿</w:t>
      </w:r>
      <w:proofErr w:type="gramEnd"/>
      <w:r w:rsidR="00233F53" w:rsidRPr="00233F53">
        <w:rPr>
          <w:rFonts w:ascii="华文楷体" w:hAnsi="华文楷体" w:hint="eastAsia"/>
          <w:sz w:val="24"/>
          <w:szCs w:val="24"/>
          <w:lang w:eastAsia="zh-CN"/>
        </w:rPr>
        <w:t>。密切关注四月中缴税和债券供给可能对债市带来的扰动。</w:t>
      </w:r>
    </w:p>
    <w:p w14:paraId="2C3F4BD1" w14:textId="3CDDEBEB"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233F53">
        <w:rPr>
          <w:rFonts w:ascii="华文楷体" w:hAnsi="华文楷体" w:hint="eastAsia"/>
          <w:sz w:val="24"/>
          <w:szCs w:val="24"/>
          <w:lang w:eastAsia="zh-CN"/>
        </w:rPr>
        <w:t>中低评级债券成交情绪持续较弱，信用风险</w:t>
      </w:r>
      <w:proofErr w:type="gramStart"/>
      <w:r w:rsidR="00233F53">
        <w:rPr>
          <w:rFonts w:ascii="华文楷体" w:hAnsi="华文楷体" w:hint="eastAsia"/>
          <w:sz w:val="24"/>
          <w:szCs w:val="24"/>
          <w:lang w:eastAsia="zh-CN"/>
        </w:rPr>
        <w:t>偏好仍</w:t>
      </w:r>
      <w:proofErr w:type="gramEnd"/>
      <w:r w:rsidR="00233F53">
        <w:rPr>
          <w:rFonts w:ascii="华文楷体" w:hAnsi="华文楷体" w:hint="eastAsia"/>
          <w:sz w:val="24"/>
          <w:szCs w:val="24"/>
          <w:lang w:eastAsia="zh-CN"/>
        </w:rPr>
        <w:t>相对偏低，机构目前仍在针对持仓情况进行风险排查梳理阶段</w:t>
      </w:r>
      <w:r w:rsidR="00DE343B">
        <w:rPr>
          <w:rFonts w:ascii="华文楷体" w:hAnsi="华文楷体" w:hint="eastAsia"/>
          <w:sz w:val="24"/>
          <w:szCs w:val="24"/>
          <w:lang w:eastAsia="zh-CN"/>
        </w:rPr>
        <w:t>。</w:t>
      </w:r>
    </w:p>
    <w:p w14:paraId="4C893BAE" w14:textId="1B73E949"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233F53" w:rsidRPr="00233F53">
        <w:rPr>
          <w:rFonts w:ascii="华文楷体" w:hAnsi="华文楷体" w:hint="eastAsia"/>
          <w:sz w:val="24"/>
          <w:szCs w:val="24"/>
          <w:lang w:eastAsia="zh-CN"/>
        </w:rPr>
        <w:t>A股市场修复幅度明显好于前周，成交量适度萎缩，转债表现略弱于权益，涨幅不及权益市场，估值有所回升。后续关注年报和</w:t>
      </w:r>
      <w:proofErr w:type="gramStart"/>
      <w:r w:rsidR="00233F53" w:rsidRPr="00233F53">
        <w:rPr>
          <w:rFonts w:ascii="华文楷体" w:hAnsi="华文楷体" w:hint="eastAsia"/>
          <w:sz w:val="24"/>
          <w:szCs w:val="24"/>
          <w:lang w:eastAsia="zh-CN"/>
        </w:rPr>
        <w:t>一</w:t>
      </w:r>
      <w:proofErr w:type="gramEnd"/>
      <w:r w:rsidR="00233F53" w:rsidRPr="00233F53">
        <w:rPr>
          <w:rFonts w:ascii="华文楷体" w:hAnsi="华文楷体" w:hint="eastAsia"/>
          <w:sz w:val="24"/>
          <w:szCs w:val="24"/>
          <w:lang w:eastAsia="zh-CN"/>
        </w:rPr>
        <w:t>季报业绩披露情况，关注盈利能力</w:t>
      </w:r>
      <w:r w:rsidR="00087A74">
        <w:rPr>
          <w:rFonts w:ascii="华文楷体" w:hAnsi="华文楷体" w:hint="eastAsia"/>
          <w:sz w:val="24"/>
          <w:szCs w:val="24"/>
          <w:lang w:eastAsia="zh-CN"/>
        </w:rPr>
        <w:t>表现</w:t>
      </w:r>
      <w:r w:rsidR="00233F53" w:rsidRPr="00233F53">
        <w:rPr>
          <w:rFonts w:ascii="华文楷体" w:hAnsi="华文楷体" w:hint="eastAsia"/>
          <w:sz w:val="24"/>
          <w:szCs w:val="24"/>
          <w:lang w:eastAsia="zh-CN"/>
        </w:rPr>
        <w:t>更好的板块和个股为主。</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725341CA"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233F53">
              <w:rPr>
                <w:rFonts w:hint="eastAsia"/>
              </w:rPr>
              <w:t>持续</w:t>
            </w:r>
            <w:r w:rsidR="006D72C8">
              <w:rPr>
                <w:rFonts w:hint="eastAsia"/>
              </w:rPr>
              <w:t>回调</w:t>
            </w:r>
          </w:p>
        </w:tc>
        <w:tc>
          <w:tcPr>
            <w:tcW w:w="4938" w:type="dxa"/>
            <w:vAlign w:val="center"/>
          </w:tcPr>
          <w:p w14:paraId="02A10F26" w14:textId="57A71E54"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233F53">
              <w:rPr>
                <w:rFonts w:hint="eastAsia"/>
              </w:rPr>
              <w:t>持续</w:t>
            </w:r>
            <w:r w:rsidR="006D72C8">
              <w:rPr>
                <w:rFonts w:hint="eastAsia"/>
              </w:rPr>
              <w:t>回调</w:t>
            </w:r>
          </w:p>
        </w:tc>
      </w:tr>
      <w:tr w:rsidR="001D35B3" w:rsidRPr="006A5F34" w14:paraId="205667F1" w14:textId="77777777" w:rsidTr="00233F53">
        <w:tblPrEx>
          <w:tblCellMar>
            <w:left w:w="108" w:type="dxa"/>
            <w:right w:w="108" w:type="dxa"/>
          </w:tblCellMar>
        </w:tblPrEx>
        <w:trPr>
          <w:jc w:val="center"/>
        </w:trPr>
        <w:tc>
          <w:tcPr>
            <w:tcW w:w="4939" w:type="dxa"/>
            <w:vAlign w:val="center"/>
          </w:tcPr>
          <w:p w14:paraId="56C782C2" w14:textId="4021591A" w:rsidR="001D35B3" w:rsidRPr="007E0340" w:rsidRDefault="00233F53" w:rsidP="009A2BA0">
            <w:pPr>
              <w:jc w:val="center"/>
              <w:rPr>
                <w:noProof/>
              </w:rPr>
            </w:pPr>
            <w:r>
              <w:rPr>
                <w:noProof/>
              </w:rPr>
              <w:drawing>
                <wp:inline distT="0" distB="0" distL="0" distR="0" wp14:anchorId="5A64225F" wp14:editId="10B3F943">
                  <wp:extent cx="2999105" cy="1918363"/>
                  <wp:effectExtent l="0" t="0" r="0" b="5715"/>
                  <wp:docPr id="16" name="图表 16">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68F0AA57" w:rsidR="001D35B3" w:rsidRPr="007E0340" w:rsidRDefault="00233F53" w:rsidP="009A2BA0">
            <w:pPr>
              <w:jc w:val="center"/>
              <w:rPr>
                <w:noProof/>
                <w:szCs w:val="18"/>
              </w:rPr>
            </w:pPr>
            <w:r>
              <w:rPr>
                <w:noProof/>
              </w:rPr>
              <w:drawing>
                <wp:inline distT="0" distB="0" distL="0" distR="0" wp14:anchorId="73C3BF4B" wp14:editId="4D4C41EB">
                  <wp:extent cx="2998470" cy="1897601"/>
                  <wp:effectExtent l="0" t="0" r="0" b="7620"/>
                  <wp:docPr id="17" name="图表 17">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AE7FF1C"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AE1C6A">
              <w:rPr>
                <w:rFonts w:hint="eastAsia"/>
              </w:rPr>
              <w:t>持续</w:t>
            </w:r>
            <w:r w:rsidR="00DE343B">
              <w:rPr>
                <w:rFonts w:hint="eastAsia"/>
              </w:rPr>
              <w:t>回升</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233F53">
        <w:tblPrEx>
          <w:tblCellMar>
            <w:left w:w="108" w:type="dxa"/>
            <w:right w:w="108" w:type="dxa"/>
          </w:tblCellMar>
        </w:tblPrEx>
        <w:trPr>
          <w:trHeight w:val="2987"/>
          <w:jc w:val="center"/>
        </w:trPr>
        <w:tc>
          <w:tcPr>
            <w:tcW w:w="4939" w:type="dxa"/>
            <w:vAlign w:val="center"/>
          </w:tcPr>
          <w:p w14:paraId="0BAC1731" w14:textId="17BFEEBD" w:rsidR="001D35B3" w:rsidRPr="007E0340" w:rsidRDefault="00233F53" w:rsidP="009A2BA0">
            <w:pPr>
              <w:jc w:val="center"/>
              <w:rPr>
                <w:noProof/>
              </w:rPr>
            </w:pPr>
            <w:r>
              <w:rPr>
                <w:noProof/>
              </w:rPr>
              <w:drawing>
                <wp:inline distT="0" distB="0" distL="0" distR="0" wp14:anchorId="393674CB" wp14:editId="34EB38C8">
                  <wp:extent cx="2999105" cy="1892797"/>
                  <wp:effectExtent l="0" t="0" r="10795" b="0"/>
                  <wp:docPr id="18" name="图表 18">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62AB6AF8" w:rsidR="001D35B3" w:rsidRPr="007E0340" w:rsidRDefault="00233F53" w:rsidP="009A2BA0">
            <w:pPr>
              <w:jc w:val="center"/>
              <w:rPr>
                <w:noProof/>
                <w:szCs w:val="18"/>
              </w:rPr>
            </w:pPr>
            <w:r>
              <w:rPr>
                <w:noProof/>
              </w:rPr>
              <w:drawing>
                <wp:inline distT="0" distB="0" distL="0" distR="0" wp14:anchorId="65339F08" wp14:editId="363751BF">
                  <wp:extent cx="2998470" cy="1927722"/>
                  <wp:effectExtent l="0" t="0" r="0" b="0"/>
                  <wp:docPr id="19" name="图表 19">
                    <a:extLst xmlns:a="http://schemas.openxmlformats.org/drawingml/2006/main">
                      <a:ext uri="{FF2B5EF4-FFF2-40B4-BE49-F238E27FC236}">
                        <a16:creationId xmlns:lc="http://schemas.openxmlformats.org/drawingml/2006/lockedCanvas" xmlns="" xmlns:a16="http://schemas.microsoft.com/office/drawing/2014/main" xmlns:xdr="http://schemas.openxmlformats.org/drawingml/2006/spreadsheetDrawing" xmlns:w15="http://schemas.microsoft.com/office/word/2012/wordml" xmlns:w="http://schemas.openxmlformats.org/wordprocessingml/2006/main" xmlns:w10="urn:schemas-microsoft-com:office:word" xmlns:v="urn:schemas-microsoft-com:vml" xmlns:o="urn:schemas-microsoft-com:office:office"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1B56D189" w:rsidR="00594303" w:rsidRDefault="00087A74" w:rsidP="009A2BA0">
      <w:pPr>
        <w:pStyle w:val="Body-text"/>
        <w:spacing w:after="0"/>
        <w:rPr>
          <w:rFonts w:ascii="华文楷体" w:hAnsi="华文楷体"/>
          <w:sz w:val="24"/>
          <w:szCs w:val="24"/>
          <w:lang w:eastAsia="zh-CN"/>
        </w:rPr>
      </w:pPr>
      <w:r>
        <w:rPr>
          <w:rFonts w:ascii="微软雅黑" w:eastAsia="微软雅黑" w:hAnsi="微软雅黑" w:hint="eastAsia"/>
          <w:color w:val="474747"/>
          <w:shd w:val="clear" w:color="auto" w:fill="FFFFFF"/>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36DE518D" w14:textId="7872FD17" w:rsidR="001170AF" w:rsidRPr="001A1299" w:rsidRDefault="001170AF" w:rsidP="00087A74">
      <w:pPr>
        <w:widowControl/>
        <w:jc w:val="left"/>
        <w:rPr>
          <w:rFonts w:ascii="华文楷体" w:hAnsi="华文楷体"/>
          <w:sz w:val="24"/>
          <w:szCs w:val="24"/>
        </w:rPr>
      </w:pPr>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6F286B" w14:textId="77777777" w:rsidR="004377C4" w:rsidRDefault="004377C4">
      <w:r>
        <w:separator/>
      </w:r>
    </w:p>
  </w:endnote>
  <w:endnote w:type="continuationSeparator" w:id="0">
    <w:p w14:paraId="3F54218D" w14:textId="77777777" w:rsidR="004377C4" w:rsidRDefault="004377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3402AD" w:rsidRDefault="003402AD">
        <w:pPr>
          <w:pStyle w:val="a4"/>
          <w:jc w:val="right"/>
        </w:pPr>
        <w:r>
          <w:fldChar w:fldCharType="begin"/>
        </w:r>
        <w:r>
          <w:instrText>PAGE   \* MERGEFORMAT</w:instrText>
        </w:r>
        <w:r>
          <w:fldChar w:fldCharType="separate"/>
        </w:r>
        <w:r w:rsidR="00087A74" w:rsidRPr="00087A74">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60B524" w14:textId="77777777" w:rsidR="004377C4" w:rsidRDefault="004377C4">
      <w:r>
        <w:separator/>
      </w:r>
    </w:p>
  </w:footnote>
  <w:footnote w:type="continuationSeparator" w:id="0">
    <w:p w14:paraId="32872794" w14:textId="77777777" w:rsidR="004377C4" w:rsidRDefault="004377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3402AD" w:rsidRDefault="003402A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A74"/>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7C4"/>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4C0"/>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8FC"/>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3963"/>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H:\&#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44134</c:v>
                </c:pt>
                <c:pt idx="1">
                  <c:v>44141</c:v>
                </c:pt>
                <c:pt idx="2">
                  <c:v>44148</c:v>
                </c:pt>
                <c:pt idx="3">
                  <c:v>44155</c:v>
                </c:pt>
                <c:pt idx="4">
                  <c:v>44162</c:v>
                </c:pt>
                <c:pt idx="5">
                  <c:v>44169</c:v>
                </c:pt>
                <c:pt idx="6">
                  <c:v>44176</c:v>
                </c:pt>
                <c:pt idx="7">
                  <c:v>44183</c:v>
                </c:pt>
                <c:pt idx="8">
                  <c:v>44190</c:v>
                </c:pt>
                <c:pt idx="9">
                  <c:v>44197</c:v>
                </c:pt>
                <c:pt idx="10">
                  <c:v>44204</c:v>
                </c:pt>
                <c:pt idx="11">
                  <c:v>44211</c:v>
                </c:pt>
                <c:pt idx="12">
                  <c:v>44218</c:v>
                </c:pt>
                <c:pt idx="13">
                  <c:v>44225</c:v>
                </c:pt>
                <c:pt idx="14">
                  <c:v>44232</c:v>
                </c:pt>
                <c:pt idx="15">
                  <c:v>44239</c:v>
                </c:pt>
                <c:pt idx="16">
                  <c:v>44246</c:v>
                </c:pt>
                <c:pt idx="17">
                  <c:v>44253</c:v>
                </c:pt>
                <c:pt idx="18">
                  <c:v>44260</c:v>
                </c:pt>
                <c:pt idx="19">
                  <c:v>44267</c:v>
                </c:pt>
                <c:pt idx="20">
                  <c:v>44274</c:v>
                </c:pt>
                <c:pt idx="21">
                  <c:v>44281</c:v>
                </c:pt>
                <c:pt idx="22">
                  <c:v>44288</c:v>
                </c:pt>
              </c:numCache>
            </c:numRef>
          </c:cat>
          <c:val>
            <c:numRef>
              <c:f>央行!$B$5:$B$27</c:f>
              <c:numCache>
                <c:formatCode>###,###,###,###,##0.00</c:formatCode>
                <c:ptCount val="23"/>
                <c:pt idx="0">
                  <c:v>5150</c:v>
                </c:pt>
                <c:pt idx="1">
                  <c:v>3200</c:v>
                </c:pt>
                <c:pt idx="2">
                  <c:v>5500</c:v>
                </c:pt>
                <c:pt idx="3">
                  <c:v>3000</c:v>
                </c:pt>
                <c:pt idx="4">
                  <c:v>4350</c:v>
                </c:pt>
                <c:pt idx="5">
                  <c:v>2000</c:v>
                </c:pt>
                <c:pt idx="6">
                  <c:v>1500</c:v>
                </c:pt>
                <c:pt idx="7">
                  <c:v>600</c:v>
                </c:pt>
                <c:pt idx="8">
                  <c:v>4300</c:v>
                </c:pt>
                <c:pt idx="9">
                  <c:v>1750</c:v>
                </c:pt>
                <c:pt idx="10">
                  <c:v>550</c:v>
                </c:pt>
                <c:pt idx="11">
                  <c:v>160</c:v>
                </c:pt>
                <c:pt idx="12">
                  <c:v>6140</c:v>
                </c:pt>
                <c:pt idx="13">
                  <c:v>3890</c:v>
                </c:pt>
                <c:pt idx="14">
                  <c:v>4800</c:v>
                </c:pt>
                <c:pt idx="15">
                  <c:v>2300</c:v>
                </c:pt>
                <c:pt idx="16">
                  <c:v>400</c:v>
                </c:pt>
                <c:pt idx="17">
                  <c:v>800</c:v>
                </c:pt>
                <c:pt idx="18">
                  <c:v>550</c:v>
                </c:pt>
                <c:pt idx="19">
                  <c:v>500</c:v>
                </c:pt>
                <c:pt idx="20">
                  <c:v>500</c:v>
                </c:pt>
                <c:pt idx="21">
                  <c:v>550</c:v>
                </c:pt>
                <c:pt idx="22">
                  <c:v>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44134</c:v>
                </c:pt>
                <c:pt idx="1">
                  <c:v>44141</c:v>
                </c:pt>
                <c:pt idx="2">
                  <c:v>44148</c:v>
                </c:pt>
                <c:pt idx="3">
                  <c:v>44155</c:v>
                </c:pt>
                <c:pt idx="4">
                  <c:v>44162</c:v>
                </c:pt>
                <c:pt idx="5">
                  <c:v>44169</c:v>
                </c:pt>
                <c:pt idx="6">
                  <c:v>44176</c:v>
                </c:pt>
                <c:pt idx="7">
                  <c:v>44183</c:v>
                </c:pt>
                <c:pt idx="8">
                  <c:v>44190</c:v>
                </c:pt>
                <c:pt idx="9">
                  <c:v>44197</c:v>
                </c:pt>
                <c:pt idx="10">
                  <c:v>44204</c:v>
                </c:pt>
                <c:pt idx="11">
                  <c:v>44211</c:v>
                </c:pt>
                <c:pt idx="12">
                  <c:v>44218</c:v>
                </c:pt>
                <c:pt idx="13">
                  <c:v>44225</c:v>
                </c:pt>
                <c:pt idx="14">
                  <c:v>44232</c:v>
                </c:pt>
                <c:pt idx="15">
                  <c:v>44239</c:v>
                </c:pt>
                <c:pt idx="16">
                  <c:v>44246</c:v>
                </c:pt>
                <c:pt idx="17">
                  <c:v>44253</c:v>
                </c:pt>
                <c:pt idx="18">
                  <c:v>44260</c:v>
                </c:pt>
                <c:pt idx="19">
                  <c:v>44267</c:v>
                </c:pt>
                <c:pt idx="20">
                  <c:v>44274</c:v>
                </c:pt>
                <c:pt idx="21">
                  <c:v>44281</c:v>
                </c:pt>
                <c:pt idx="22">
                  <c:v>44288</c:v>
                </c:pt>
              </c:numCache>
            </c:numRef>
          </c:cat>
          <c:val>
            <c:numRef>
              <c:f>央行!$C$5:$C$27</c:f>
              <c:numCache>
                <c:formatCode>###,###,###,###,##0.00</c:formatCode>
                <c:ptCount val="23"/>
                <c:pt idx="0">
                  <c:v>-3250</c:v>
                </c:pt>
                <c:pt idx="1">
                  <c:v>-5100</c:v>
                </c:pt>
                <c:pt idx="2">
                  <c:v>-3200</c:v>
                </c:pt>
                <c:pt idx="3">
                  <c:v>-5500</c:v>
                </c:pt>
                <c:pt idx="4">
                  <c:v>-3050</c:v>
                </c:pt>
                <c:pt idx="5">
                  <c:v>-4300</c:v>
                </c:pt>
                <c:pt idx="6">
                  <c:v>-2000</c:v>
                </c:pt>
                <c:pt idx="7">
                  <c:v>-1500</c:v>
                </c:pt>
                <c:pt idx="8">
                  <c:v>-650</c:v>
                </c:pt>
                <c:pt idx="9">
                  <c:v>-800</c:v>
                </c:pt>
                <c:pt idx="10">
                  <c:v>-5200</c:v>
                </c:pt>
                <c:pt idx="11">
                  <c:v>-550</c:v>
                </c:pt>
                <c:pt idx="12">
                  <c:v>-160</c:v>
                </c:pt>
                <c:pt idx="13">
                  <c:v>-6190</c:v>
                </c:pt>
                <c:pt idx="14">
                  <c:v>-3840</c:v>
                </c:pt>
                <c:pt idx="15">
                  <c:v>-2800</c:v>
                </c:pt>
                <c:pt idx="16">
                  <c:v>-3800</c:v>
                </c:pt>
                <c:pt idx="17">
                  <c:v>-950</c:v>
                </c:pt>
                <c:pt idx="18">
                  <c:v>-800</c:v>
                </c:pt>
                <c:pt idx="19">
                  <c:v>-500</c:v>
                </c:pt>
                <c:pt idx="20">
                  <c:v>-500</c:v>
                </c:pt>
                <c:pt idx="21">
                  <c:v>-550</c:v>
                </c:pt>
                <c:pt idx="22">
                  <c:v>-500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47690624"/>
        <c:axId val="44771328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44134</c:v>
                </c:pt>
                <c:pt idx="1">
                  <c:v>44141</c:v>
                </c:pt>
                <c:pt idx="2">
                  <c:v>44148</c:v>
                </c:pt>
                <c:pt idx="3">
                  <c:v>44155</c:v>
                </c:pt>
                <c:pt idx="4">
                  <c:v>44162</c:v>
                </c:pt>
                <c:pt idx="5">
                  <c:v>44169</c:v>
                </c:pt>
                <c:pt idx="6">
                  <c:v>44176</c:v>
                </c:pt>
                <c:pt idx="7">
                  <c:v>44183</c:v>
                </c:pt>
                <c:pt idx="8">
                  <c:v>44190</c:v>
                </c:pt>
                <c:pt idx="9">
                  <c:v>44197</c:v>
                </c:pt>
                <c:pt idx="10">
                  <c:v>44204</c:v>
                </c:pt>
                <c:pt idx="11">
                  <c:v>44211</c:v>
                </c:pt>
                <c:pt idx="12">
                  <c:v>44218</c:v>
                </c:pt>
                <c:pt idx="13">
                  <c:v>44225</c:v>
                </c:pt>
                <c:pt idx="14">
                  <c:v>44232</c:v>
                </c:pt>
                <c:pt idx="15">
                  <c:v>44239</c:v>
                </c:pt>
                <c:pt idx="16">
                  <c:v>44246</c:v>
                </c:pt>
                <c:pt idx="17">
                  <c:v>44253</c:v>
                </c:pt>
                <c:pt idx="18">
                  <c:v>44260</c:v>
                </c:pt>
                <c:pt idx="19">
                  <c:v>44267</c:v>
                </c:pt>
                <c:pt idx="20">
                  <c:v>44274</c:v>
                </c:pt>
                <c:pt idx="21">
                  <c:v>44281</c:v>
                </c:pt>
                <c:pt idx="22">
                  <c:v>44288</c:v>
                </c:pt>
              </c:numCache>
            </c:numRef>
          </c:cat>
          <c:val>
            <c:numRef>
              <c:f>央行!$D$5:$D$27</c:f>
              <c:numCache>
                <c:formatCode>###,###,###,###,##0.00</c:formatCode>
                <c:ptCount val="23"/>
                <c:pt idx="0">
                  <c:v>1900</c:v>
                </c:pt>
                <c:pt idx="1">
                  <c:v>-1900</c:v>
                </c:pt>
                <c:pt idx="2">
                  <c:v>2300</c:v>
                </c:pt>
                <c:pt idx="3">
                  <c:v>-2500</c:v>
                </c:pt>
                <c:pt idx="4">
                  <c:v>1300</c:v>
                </c:pt>
                <c:pt idx="5">
                  <c:v>-2300</c:v>
                </c:pt>
                <c:pt idx="6">
                  <c:v>-500</c:v>
                </c:pt>
                <c:pt idx="7">
                  <c:v>-900</c:v>
                </c:pt>
                <c:pt idx="8">
                  <c:v>3650</c:v>
                </c:pt>
                <c:pt idx="9">
                  <c:v>950</c:v>
                </c:pt>
                <c:pt idx="10">
                  <c:v>-4650</c:v>
                </c:pt>
                <c:pt idx="11">
                  <c:v>-390</c:v>
                </c:pt>
                <c:pt idx="12">
                  <c:v>5980</c:v>
                </c:pt>
                <c:pt idx="13">
                  <c:v>-2300</c:v>
                </c:pt>
                <c:pt idx="14">
                  <c:v>960</c:v>
                </c:pt>
                <c:pt idx="15">
                  <c:v>-500</c:v>
                </c:pt>
                <c:pt idx="16">
                  <c:v>-3400</c:v>
                </c:pt>
                <c:pt idx="17">
                  <c:v>-150</c:v>
                </c:pt>
                <c:pt idx="18">
                  <c:v>-250</c:v>
                </c:pt>
                <c:pt idx="19">
                  <c:v>0</c:v>
                </c:pt>
                <c:pt idx="20">
                  <c:v>0</c:v>
                </c:pt>
                <c:pt idx="21">
                  <c:v>0</c:v>
                </c:pt>
                <c:pt idx="22">
                  <c:v>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47690624"/>
        <c:axId val="447713280"/>
      </c:lineChart>
      <c:catAx>
        <c:axId val="4476906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7713280"/>
        <c:crosses val="autoZero"/>
        <c:auto val="0"/>
        <c:lblAlgn val="ctr"/>
        <c:lblOffset val="0"/>
        <c:tickMarkSkip val="2"/>
        <c:noMultiLvlLbl val="0"/>
      </c:catAx>
      <c:valAx>
        <c:axId val="4477132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769062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071206315220762"/>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44288</c:v>
                </c:pt>
                <c:pt idx="1">
                  <c:v>44287</c:v>
                </c:pt>
                <c:pt idx="2">
                  <c:v>44286</c:v>
                </c:pt>
                <c:pt idx="3">
                  <c:v>44285</c:v>
                </c:pt>
                <c:pt idx="4">
                  <c:v>44284</c:v>
                </c:pt>
                <c:pt idx="5">
                  <c:v>44281</c:v>
                </c:pt>
                <c:pt idx="6">
                  <c:v>44280</c:v>
                </c:pt>
                <c:pt idx="7">
                  <c:v>44279</c:v>
                </c:pt>
                <c:pt idx="8">
                  <c:v>44278</c:v>
                </c:pt>
                <c:pt idx="9">
                  <c:v>44277</c:v>
                </c:pt>
                <c:pt idx="10">
                  <c:v>44274</c:v>
                </c:pt>
                <c:pt idx="11">
                  <c:v>44273</c:v>
                </c:pt>
                <c:pt idx="12">
                  <c:v>44272</c:v>
                </c:pt>
                <c:pt idx="13">
                  <c:v>44271</c:v>
                </c:pt>
                <c:pt idx="14">
                  <c:v>44270</c:v>
                </c:pt>
                <c:pt idx="15">
                  <c:v>44267</c:v>
                </c:pt>
                <c:pt idx="16">
                  <c:v>44266</c:v>
                </c:pt>
                <c:pt idx="17">
                  <c:v>44265</c:v>
                </c:pt>
                <c:pt idx="18">
                  <c:v>44264</c:v>
                </c:pt>
                <c:pt idx="19">
                  <c:v>44263</c:v>
                </c:pt>
                <c:pt idx="20">
                  <c:v>44260</c:v>
                </c:pt>
                <c:pt idx="21">
                  <c:v>44259</c:v>
                </c:pt>
                <c:pt idx="22">
                  <c:v>44258</c:v>
                </c:pt>
                <c:pt idx="23">
                  <c:v>44257</c:v>
                </c:pt>
                <c:pt idx="24">
                  <c:v>44256</c:v>
                </c:pt>
                <c:pt idx="25">
                  <c:v>44253</c:v>
                </c:pt>
                <c:pt idx="26">
                  <c:v>44252</c:v>
                </c:pt>
                <c:pt idx="27">
                  <c:v>44251</c:v>
                </c:pt>
                <c:pt idx="28">
                  <c:v>44250</c:v>
                </c:pt>
                <c:pt idx="29">
                  <c:v>44249</c:v>
                </c:pt>
                <c:pt idx="30">
                  <c:v>44247</c:v>
                </c:pt>
                <c:pt idx="31">
                  <c:v>44246</c:v>
                </c:pt>
                <c:pt idx="32">
                  <c:v>44245</c:v>
                </c:pt>
                <c:pt idx="33">
                  <c:v>44237</c:v>
                </c:pt>
                <c:pt idx="34">
                  <c:v>44236</c:v>
                </c:pt>
                <c:pt idx="35">
                  <c:v>44235</c:v>
                </c:pt>
                <c:pt idx="36">
                  <c:v>44234</c:v>
                </c:pt>
                <c:pt idx="37">
                  <c:v>44232</c:v>
                </c:pt>
                <c:pt idx="38">
                  <c:v>44231</c:v>
                </c:pt>
                <c:pt idx="39">
                  <c:v>44230</c:v>
                </c:pt>
                <c:pt idx="40">
                  <c:v>44229</c:v>
                </c:pt>
                <c:pt idx="41">
                  <c:v>44228</c:v>
                </c:pt>
                <c:pt idx="42">
                  <c:v>44225</c:v>
                </c:pt>
                <c:pt idx="43">
                  <c:v>44224</c:v>
                </c:pt>
                <c:pt idx="44">
                  <c:v>44223</c:v>
                </c:pt>
                <c:pt idx="45">
                  <c:v>44222</c:v>
                </c:pt>
                <c:pt idx="46">
                  <c:v>44221</c:v>
                </c:pt>
                <c:pt idx="47">
                  <c:v>44218</c:v>
                </c:pt>
                <c:pt idx="48">
                  <c:v>44217</c:v>
                </c:pt>
                <c:pt idx="49">
                  <c:v>44216</c:v>
                </c:pt>
                <c:pt idx="50">
                  <c:v>44215</c:v>
                </c:pt>
                <c:pt idx="51">
                  <c:v>44214</c:v>
                </c:pt>
                <c:pt idx="52">
                  <c:v>44211</c:v>
                </c:pt>
                <c:pt idx="53">
                  <c:v>44210</c:v>
                </c:pt>
                <c:pt idx="54">
                  <c:v>44209</c:v>
                </c:pt>
                <c:pt idx="55">
                  <c:v>44208</c:v>
                </c:pt>
                <c:pt idx="56">
                  <c:v>44207</c:v>
                </c:pt>
                <c:pt idx="57">
                  <c:v>44204</c:v>
                </c:pt>
                <c:pt idx="58">
                  <c:v>44203</c:v>
                </c:pt>
              </c:numCache>
            </c:numRef>
          </c:cat>
          <c:val>
            <c:numRef>
              <c:f>资金!$B$3:$B$61</c:f>
              <c:numCache>
                <c:formatCode>###,###,###,###,##0.0000</c:formatCode>
                <c:ptCount val="59"/>
                <c:pt idx="0">
                  <c:v>1.7512000000000001</c:v>
                </c:pt>
                <c:pt idx="1">
                  <c:v>2.1960000000000002</c:v>
                </c:pt>
                <c:pt idx="2">
                  <c:v>2.3929</c:v>
                </c:pt>
                <c:pt idx="3">
                  <c:v>1.8808</c:v>
                </c:pt>
                <c:pt idx="4">
                  <c:v>1.8393999999999999</c:v>
                </c:pt>
                <c:pt idx="5">
                  <c:v>1.8057000000000001</c:v>
                </c:pt>
                <c:pt idx="6">
                  <c:v>2.0571999999999999</c:v>
                </c:pt>
                <c:pt idx="7">
                  <c:v>1.8817999999999999</c:v>
                </c:pt>
                <c:pt idx="8">
                  <c:v>2.0042</c:v>
                </c:pt>
                <c:pt idx="9">
                  <c:v>2.0869</c:v>
                </c:pt>
                <c:pt idx="10">
                  <c:v>2.1583999999999999</c:v>
                </c:pt>
                <c:pt idx="11">
                  <c:v>2.2496999999999998</c:v>
                </c:pt>
                <c:pt idx="12">
                  <c:v>2.024</c:v>
                </c:pt>
                <c:pt idx="13">
                  <c:v>2.1652</c:v>
                </c:pt>
                <c:pt idx="14">
                  <c:v>2.2884000000000002</c:v>
                </c:pt>
                <c:pt idx="15">
                  <c:v>1.8247</c:v>
                </c:pt>
                <c:pt idx="16">
                  <c:v>1.8349</c:v>
                </c:pt>
                <c:pt idx="17">
                  <c:v>1.7825</c:v>
                </c:pt>
                <c:pt idx="18">
                  <c:v>2.0304000000000002</c:v>
                </c:pt>
                <c:pt idx="19">
                  <c:v>1.7479</c:v>
                </c:pt>
                <c:pt idx="20">
                  <c:v>1.6113999999999999</c:v>
                </c:pt>
                <c:pt idx="21">
                  <c:v>1.9486000000000001</c:v>
                </c:pt>
                <c:pt idx="22">
                  <c:v>1.532</c:v>
                </c:pt>
                <c:pt idx="23">
                  <c:v>1.8036000000000001</c:v>
                </c:pt>
                <c:pt idx="24">
                  <c:v>2.1819999999999999</c:v>
                </c:pt>
                <c:pt idx="25">
                  <c:v>2.2122000000000002</c:v>
                </c:pt>
                <c:pt idx="26">
                  <c:v>1.7466999999999999</c:v>
                </c:pt>
                <c:pt idx="27">
                  <c:v>1.5522</c:v>
                </c:pt>
                <c:pt idx="28">
                  <c:v>1.9908999999999999</c:v>
                </c:pt>
                <c:pt idx="29">
                  <c:v>1.5585</c:v>
                </c:pt>
                <c:pt idx="30">
                  <c:v>1.4419</c:v>
                </c:pt>
                <c:pt idx="31">
                  <c:v>1.8237000000000001</c:v>
                </c:pt>
                <c:pt idx="32">
                  <c:v>2.3538999999999999</c:v>
                </c:pt>
                <c:pt idx="33">
                  <c:v>1.8607</c:v>
                </c:pt>
                <c:pt idx="34">
                  <c:v>1.7911999999999999</c:v>
                </c:pt>
                <c:pt idx="35">
                  <c:v>1.9377</c:v>
                </c:pt>
                <c:pt idx="36">
                  <c:v>1.5358000000000001</c:v>
                </c:pt>
                <c:pt idx="37">
                  <c:v>1.8911</c:v>
                </c:pt>
                <c:pt idx="38">
                  <c:v>2.1088</c:v>
                </c:pt>
                <c:pt idx="39">
                  <c:v>1.9271</c:v>
                </c:pt>
                <c:pt idx="40">
                  <c:v>2.2991999999999999</c:v>
                </c:pt>
                <c:pt idx="41">
                  <c:v>3.0550999999999999</c:v>
                </c:pt>
                <c:pt idx="42">
                  <c:v>6.5883000000000003</c:v>
                </c:pt>
                <c:pt idx="43">
                  <c:v>4.2148000000000003</c:v>
                </c:pt>
                <c:pt idx="44">
                  <c:v>3.5893999999999999</c:v>
                </c:pt>
                <c:pt idx="45">
                  <c:v>3.1797</c:v>
                </c:pt>
                <c:pt idx="46">
                  <c:v>2.6110000000000002</c:v>
                </c:pt>
                <c:pt idx="47">
                  <c:v>2.5579000000000001</c:v>
                </c:pt>
                <c:pt idx="48">
                  <c:v>2.7303000000000002</c:v>
                </c:pt>
                <c:pt idx="49">
                  <c:v>2.6476999999999999</c:v>
                </c:pt>
                <c:pt idx="50">
                  <c:v>2.4173</c:v>
                </c:pt>
                <c:pt idx="51">
                  <c:v>2.2145999999999999</c:v>
                </c:pt>
                <c:pt idx="52">
                  <c:v>1.81</c:v>
                </c:pt>
                <c:pt idx="53">
                  <c:v>1.7403999999999999</c:v>
                </c:pt>
                <c:pt idx="54">
                  <c:v>1.466</c:v>
                </c:pt>
                <c:pt idx="55">
                  <c:v>1.4098999999999999</c:v>
                </c:pt>
                <c:pt idx="56">
                  <c:v>1.2854000000000001</c:v>
                </c:pt>
                <c:pt idx="57">
                  <c:v>1.0166999999999999</c:v>
                </c:pt>
                <c:pt idx="58">
                  <c:v>0.99309999999999998</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44288</c:v>
                </c:pt>
                <c:pt idx="1">
                  <c:v>44287</c:v>
                </c:pt>
                <c:pt idx="2">
                  <c:v>44286</c:v>
                </c:pt>
                <c:pt idx="3">
                  <c:v>44285</c:v>
                </c:pt>
                <c:pt idx="4">
                  <c:v>44284</c:v>
                </c:pt>
                <c:pt idx="5">
                  <c:v>44281</c:v>
                </c:pt>
                <c:pt idx="6">
                  <c:v>44280</c:v>
                </c:pt>
                <c:pt idx="7">
                  <c:v>44279</c:v>
                </c:pt>
                <c:pt idx="8">
                  <c:v>44278</c:v>
                </c:pt>
                <c:pt idx="9">
                  <c:v>44277</c:v>
                </c:pt>
                <c:pt idx="10">
                  <c:v>44274</c:v>
                </c:pt>
                <c:pt idx="11">
                  <c:v>44273</c:v>
                </c:pt>
                <c:pt idx="12">
                  <c:v>44272</c:v>
                </c:pt>
                <c:pt idx="13">
                  <c:v>44271</c:v>
                </c:pt>
                <c:pt idx="14">
                  <c:v>44270</c:v>
                </c:pt>
                <c:pt idx="15">
                  <c:v>44267</c:v>
                </c:pt>
                <c:pt idx="16">
                  <c:v>44266</c:v>
                </c:pt>
                <c:pt idx="17">
                  <c:v>44265</c:v>
                </c:pt>
                <c:pt idx="18">
                  <c:v>44264</c:v>
                </c:pt>
                <c:pt idx="19">
                  <c:v>44263</c:v>
                </c:pt>
                <c:pt idx="20">
                  <c:v>44260</c:v>
                </c:pt>
                <c:pt idx="21">
                  <c:v>44259</c:v>
                </c:pt>
                <c:pt idx="22">
                  <c:v>44258</c:v>
                </c:pt>
                <c:pt idx="23">
                  <c:v>44257</c:v>
                </c:pt>
                <c:pt idx="24">
                  <c:v>44256</c:v>
                </c:pt>
                <c:pt idx="25">
                  <c:v>44253</c:v>
                </c:pt>
                <c:pt idx="26">
                  <c:v>44252</c:v>
                </c:pt>
                <c:pt idx="27">
                  <c:v>44251</c:v>
                </c:pt>
                <c:pt idx="28">
                  <c:v>44250</c:v>
                </c:pt>
                <c:pt idx="29">
                  <c:v>44249</c:v>
                </c:pt>
                <c:pt idx="30">
                  <c:v>44247</c:v>
                </c:pt>
                <c:pt idx="31">
                  <c:v>44246</c:v>
                </c:pt>
                <c:pt idx="32">
                  <c:v>44245</c:v>
                </c:pt>
                <c:pt idx="33">
                  <c:v>44237</c:v>
                </c:pt>
                <c:pt idx="34">
                  <c:v>44236</c:v>
                </c:pt>
                <c:pt idx="35">
                  <c:v>44235</c:v>
                </c:pt>
                <c:pt idx="36">
                  <c:v>44234</c:v>
                </c:pt>
                <c:pt idx="37">
                  <c:v>44232</c:v>
                </c:pt>
                <c:pt idx="38">
                  <c:v>44231</c:v>
                </c:pt>
                <c:pt idx="39">
                  <c:v>44230</c:v>
                </c:pt>
                <c:pt idx="40">
                  <c:v>44229</c:v>
                </c:pt>
                <c:pt idx="41">
                  <c:v>44228</c:v>
                </c:pt>
                <c:pt idx="42">
                  <c:v>44225</c:v>
                </c:pt>
                <c:pt idx="43">
                  <c:v>44224</c:v>
                </c:pt>
                <c:pt idx="44">
                  <c:v>44223</c:v>
                </c:pt>
                <c:pt idx="45">
                  <c:v>44222</c:v>
                </c:pt>
                <c:pt idx="46">
                  <c:v>44221</c:v>
                </c:pt>
                <c:pt idx="47">
                  <c:v>44218</c:v>
                </c:pt>
                <c:pt idx="48">
                  <c:v>44217</c:v>
                </c:pt>
                <c:pt idx="49">
                  <c:v>44216</c:v>
                </c:pt>
                <c:pt idx="50">
                  <c:v>44215</c:v>
                </c:pt>
                <c:pt idx="51">
                  <c:v>44214</c:v>
                </c:pt>
                <c:pt idx="52">
                  <c:v>44211</c:v>
                </c:pt>
                <c:pt idx="53">
                  <c:v>44210</c:v>
                </c:pt>
                <c:pt idx="54">
                  <c:v>44209</c:v>
                </c:pt>
                <c:pt idx="55">
                  <c:v>44208</c:v>
                </c:pt>
                <c:pt idx="56">
                  <c:v>44207</c:v>
                </c:pt>
                <c:pt idx="57">
                  <c:v>44204</c:v>
                </c:pt>
                <c:pt idx="58">
                  <c:v>44203</c:v>
                </c:pt>
              </c:numCache>
            </c:numRef>
          </c:cat>
          <c:val>
            <c:numRef>
              <c:f>资金!$C$3:$C$61</c:f>
              <c:numCache>
                <c:formatCode>###,###,###,###,##0.0000</c:formatCode>
                <c:ptCount val="59"/>
                <c:pt idx="0">
                  <c:v>2.0823999999999998</c:v>
                </c:pt>
                <c:pt idx="1">
                  <c:v>2.2355999999999998</c:v>
                </c:pt>
                <c:pt idx="2">
                  <c:v>2.6713</c:v>
                </c:pt>
                <c:pt idx="3">
                  <c:v>2.4952000000000001</c:v>
                </c:pt>
                <c:pt idx="4">
                  <c:v>2.4664000000000001</c:v>
                </c:pt>
                <c:pt idx="5">
                  <c:v>2.4746000000000001</c:v>
                </c:pt>
                <c:pt idx="6">
                  <c:v>2.4559000000000002</c:v>
                </c:pt>
                <c:pt idx="7">
                  <c:v>1.9964</c:v>
                </c:pt>
                <c:pt idx="8">
                  <c:v>2.1162000000000001</c:v>
                </c:pt>
                <c:pt idx="9">
                  <c:v>2.1791</c:v>
                </c:pt>
                <c:pt idx="10">
                  <c:v>2.1913999999999998</c:v>
                </c:pt>
                <c:pt idx="11">
                  <c:v>2.1907999999999999</c:v>
                </c:pt>
                <c:pt idx="12">
                  <c:v>2.1332</c:v>
                </c:pt>
                <c:pt idx="13">
                  <c:v>2.302</c:v>
                </c:pt>
                <c:pt idx="14">
                  <c:v>2.3008000000000002</c:v>
                </c:pt>
                <c:pt idx="15">
                  <c:v>2.0649999999999999</c:v>
                </c:pt>
                <c:pt idx="16">
                  <c:v>2.0508999999999999</c:v>
                </c:pt>
                <c:pt idx="17">
                  <c:v>2.0379</c:v>
                </c:pt>
                <c:pt idx="18">
                  <c:v>2.0366</c:v>
                </c:pt>
                <c:pt idx="19">
                  <c:v>2.0465</c:v>
                </c:pt>
                <c:pt idx="20">
                  <c:v>1.9971000000000001</c:v>
                </c:pt>
                <c:pt idx="21">
                  <c:v>2.0945999999999998</c:v>
                </c:pt>
                <c:pt idx="22">
                  <c:v>1.9888999999999999</c:v>
                </c:pt>
                <c:pt idx="23">
                  <c:v>2.1551999999999998</c:v>
                </c:pt>
                <c:pt idx="24">
                  <c:v>2.2427000000000001</c:v>
                </c:pt>
                <c:pt idx="25">
                  <c:v>2.3666999999999998</c:v>
                </c:pt>
                <c:pt idx="26">
                  <c:v>2.2989999999999999</c:v>
                </c:pt>
                <c:pt idx="27">
                  <c:v>2.3325999999999998</c:v>
                </c:pt>
                <c:pt idx="28">
                  <c:v>2.4706999999999999</c:v>
                </c:pt>
                <c:pt idx="29">
                  <c:v>2.4460999999999999</c:v>
                </c:pt>
                <c:pt idx="30">
                  <c:v>2.0444</c:v>
                </c:pt>
                <c:pt idx="31">
                  <c:v>2.0552999999999999</c:v>
                </c:pt>
                <c:pt idx="32">
                  <c:v>2.294</c:v>
                </c:pt>
                <c:pt idx="33">
                  <c:v>2.1448</c:v>
                </c:pt>
                <c:pt idx="34">
                  <c:v>2.5484</c:v>
                </c:pt>
                <c:pt idx="35">
                  <c:v>2.5283000000000002</c:v>
                </c:pt>
                <c:pt idx="36">
                  <c:v>2.4319999999999999</c:v>
                </c:pt>
                <c:pt idx="37">
                  <c:v>2.2995999999999999</c:v>
                </c:pt>
                <c:pt idx="38">
                  <c:v>2.5297000000000001</c:v>
                </c:pt>
                <c:pt idx="39">
                  <c:v>2.2336</c:v>
                </c:pt>
                <c:pt idx="40">
                  <c:v>2.5807000000000002</c:v>
                </c:pt>
                <c:pt idx="41">
                  <c:v>3.7665999999999999</c:v>
                </c:pt>
                <c:pt idx="42">
                  <c:v>4.3929999999999998</c:v>
                </c:pt>
                <c:pt idx="43">
                  <c:v>4.8315000000000001</c:v>
                </c:pt>
                <c:pt idx="44">
                  <c:v>4.0193000000000003</c:v>
                </c:pt>
                <c:pt idx="45">
                  <c:v>3.3340999999999998</c:v>
                </c:pt>
                <c:pt idx="46">
                  <c:v>2.7936999999999999</c:v>
                </c:pt>
                <c:pt idx="47">
                  <c:v>2.5236000000000001</c:v>
                </c:pt>
                <c:pt idx="48">
                  <c:v>2.7056</c:v>
                </c:pt>
                <c:pt idx="49">
                  <c:v>2.8475000000000001</c:v>
                </c:pt>
                <c:pt idx="50">
                  <c:v>2.7555000000000001</c:v>
                </c:pt>
                <c:pt idx="51">
                  <c:v>2.2976000000000001</c:v>
                </c:pt>
                <c:pt idx="52">
                  <c:v>2.0333999999999999</c:v>
                </c:pt>
                <c:pt idx="53">
                  <c:v>2.0226000000000002</c:v>
                </c:pt>
                <c:pt idx="54">
                  <c:v>2.0316000000000001</c:v>
                </c:pt>
                <c:pt idx="55">
                  <c:v>1.9894000000000001</c:v>
                </c:pt>
                <c:pt idx="56">
                  <c:v>1.9881</c:v>
                </c:pt>
                <c:pt idx="57">
                  <c:v>1.9588000000000001</c:v>
                </c:pt>
                <c:pt idx="58">
                  <c:v>1.9403999999999999</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47724544"/>
        <c:axId val="447738624"/>
      </c:lineChart>
      <c:dateAx>
        <c:axId val="4477245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7738624"/>
        <c:crosses val="autoZero"/>
        <c:auto val="0"/>
        <c:lblOffset val="0"/>
        <c:baseTimeUnit val="days"/>
        <c:majorUnit val="14"/>
        <c:majorTimeUnit val="days"/>
        <c:minorUnit val="7"/>
        <c:minorTimeUnit val="days"/>
      </c:dateAx>
      <c:valAx>
        <c:axId val="44773862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772454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-11.919999999999998</c:v>
                </c:pt>
                <c:pt idx="1">
                  <c:v>-3.180000000000005</c:v>
                </c:pt>
                <c:pt idx="2">
                  <c:v>-2.729999999999988</c:v>
                </c:pt>
                <c:pt idx="3">
                  <c:v>-1.7500000000000071</c:v>
                </c:pt>
                <c:pt idx="4">
                  <c:v>-1.0900000000000354</c:v>
                </c:pt>
                <c:pt idx="5">
                  <c:v>0.45999999999999375</c:v>
                </c:pt>
                <c:pt idx="6">
                  <c:v>0.27999999999996916</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447832448"/>
        <c:axId val="447834368"/>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1.7764</c:v>
                </c:pt>
                <c:pt idx="1">
                  <c:v>1.9706999999999999</c:v>
                </c:pt>
                <c:pt idx="2">
                  <c:v>2.58</c:v>
                </c:pt>
                <c:pt idx="3">
                  <c:v>2.8685</c:v>
                </c:pt>
                <c:pt idx="4">
                  <c:v>2.9992999999999999</c:v>
                </c:pt>
                <c:pt idx="5">
                  <c:v>3.1852</c:v>
                </c:pt>
                <c:pt idx="6">
                  <c:v>3.2012999999999998</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1.8956</c:v>
                </c:pt>
                <c:pt idx="1">
                  <c:v>2.0024999999999999</c:v>
                </c:pt>
                <c:pt idx="2">
                  <c:v>2.6073</c:v>
                </c:pt>
                <c:pt idx="3">
                  <c:v>2.8860000000000001</c:v>
                </c:pt>
                <c:pt idx="4">
                  <c:v>3.0102000000000002</c:v>
                </c:pt>
                <c:pt idx="5">
                  <c:v>3.1806000000000001</c:v>
                </c:pt>
                <c:pt idx="6">
                  <c:v>3.1985000000000001</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47845888"/>
        <c:axId val="447844352"/>
      </c:lineChart>
      <c:dateAx>
        <c:axId val="4478324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7834368"/>
        <c:crosses val="autoZero"/>
        <c:auto val="0"/>
        <c:lblOffset val="0"/>
        <c:baseTimeUnit val="days"/>
      </c:dateAx>
      <c:valAx>
        <c:axId val="44783436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7832448"/>
        <c:crosses val="autoZero"/>
        <c:crossBetween val="between"/>
      </c:valAx>
      <c:valAx>
        <c:axId val="447844352"/>
        <c:scaling>
          <c:orientation val="minMax"/>
        </c:scaling>
        <c:delete val="0"/>
        <c:axPos val="r"/>
        <c:numFmt formatCode="#,##0.0_);[Red]\(#,##0.0\)" sourceLinked="0"/>
        <c:majorTickMark val="out"/>
        <c:minorTickMark val="none"/>
        <c:tickLblPos val="nextTo"/>
        <c:spPr>
          <a:ln w="3175">
            <a:solidFill>
              <a:sysClr val="windowText" lastClr="000000"/>
            </a:solidFill>
          </a:ln>
        </c:spPr>
        <c:crossAx val="447845888"/>
        <c:crosses val="max"/>
        <c:crossBetween val="between"/>
      </c:valAx>
      <c:dateAx>
        <c:axId val="447845888"/>
        <c:scaling>
          <c:orientation val="minMax"/>
        </c:scaling>
        <c:delete val="1"/>
        <c:axPos val="b"/>
        <c:numFmt formatCode="General" sourceLinked="1"/>
        <c:majorTickMark val="out"/>
        <c:minorTickMark val="none"/>
        <c:tickLblPos val="nextTo"/>
        <c:crossAx val="447844352"/>
        <c:crosses val="autoZero"/>
        <c:auto val="0"/>
        <c:lblOffset val="100"/>
        <c:baseTimeUnit val="years"/>
      </c:dateAx>
    </c:plotArea>
    <c:legend>
      <c:legendPos val="r"/>
      <c:layout>
        <c:manualLayout>
          <c:xMode val="edge"/>
          <c:yMode val="edge"/>
          <c:x val="0.12684250801489111"/>
          <c:y val="2.3338008743700642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-8.7099999999999955</c:v>
                </c:pt>
                <c:pt idx="1">
                  <c:v>-8.4999999999999964</c:v>
                </c:pt>
                <c:pt idx="2">
                  <c:v>-2.3200000000000109</c:v>
                </c:pt>
                <c:pt idx="3">
                  <c:v>-1.4299999999999979</c:v>
                </c:pt>
                <c:pt idx="4">
                  <c:v>-1.2999999999999901</c:v>
                </c:pt>
                <c:pt idx="5">
                  <c:v>1.0800000000000143</c:v>
                </c:pt>
                <c:pt idx="6">
                  <c:v>-0.73999999999996291</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453727744"/>
        <c:axId val="45372966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1.9094</c:v>
                </c:pt>
                <c:pt idx="1">
                  <c:v>2.073</c:v>
                </c:pt>
                <c:pt idx="2">
                  <c:v>2.7557999999999998</c:v>
                </c:pt>
                <c:pt idx="3">
                  <c:v>3.1848999999999998</c:v>
                </c:pt>
                <c:pt idx="4">
                  <c:v>3.3597000000000001</c:v>
                </c:pt>
                <c:pt idx="5">
                  <c:v>3.5329000000000002</c:v>
                </c:pt>
                <c:pt idx="6">
                  <c:v>3.5727000000000002</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1.9964999999999999</c:v>
                </c:pt>
                <c:pt idx="1">
                  <c:v>2.1579999999999999</c:v>
                </c:pt>
                <c:pt idx="2">
                  <c:v>2.7789999999999999</c:v>
                </c:pt>
                <c:pt idx="3">
                  <c:v>3.1991999999999998</c:v>
                </c:pt>
                <c:pt idx="4">
                  <c:v>3.3727</c:v>
                </c:pt>
                <c:pt idx="5">
                  <c:v>3.5221</c:v>
                </c:pt>
                <c:pt idx="6">
                  <c:v>3.5800999999999998</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466315904"/>
        <c:axId val="466314368"/>
      </c:lineChart>
      <c:dateAx>
        <c:axId val="4537277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3729664"/>
        <c:crosses val="autoZero"/>
        <c:auto val="0"/>
        <c:lblOffset val="0"/>
        <c:baseTimeUnit val="days"/>
      </c:dateAx>
      <c:valAx>
        <c:axId val="45372966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3727744"/>
        <c:crosses val="autoZero"/>
        <c:crossBetween val="between"/>
      </c:valAx>
      <c:valAx>
        <c:axId val="466314368"/>
        <c:scaling>
          <c:orientation val="minMax"/>
        </c:scaling>
        <c:delete val="0"/>
        <c:axPos val="r"/>
        <c:numFmt formatCode="#,##0.0_);[Red]\(#,##0.0\)" sourceLinked="0"/>
        <c:majorTickMark val="out"/>
        <c:minorTickMark val="none"/>
        <c:tickLblPos val="nextTo"/>
        <c:spPr>
          <a:ln w="3175">
            <a:solidFill>
              <a:sysClr val="windowText" lastClr="000000"/>
            </a:solidFill>
          </a:ln>
        </c:spPr>
        <c:crossAx val="466315904"/>
        <c:crosses val="max"/>
        <c:crossBetween val="between"/>
      </c:valAx>
      <c:dateAx>
        <c:axId val="466315904"/>
        <c:scaling>
          <c:orientation val="minMax"/>
        </c:scaling>
        <c:delete val="1"/>
        <c:axPos val="b"/>
        <c:numFmt formatCode="General" sourceLinked="1"/>
        <c:majorTickMark val="out"/>
        <c:minorTickMark val="none"/>
        <c:tickLblPos val="nextTo"/>
        <c:crossAx val="466314368"/>
        <c:crosses val="autoZero"/>
        <c:auto val="0"/>
        <c:lblOffset val="100"/>
        <c:baseTimeUnit val="years"/>
      </c:dateAx>
    </c:plotArea>
    <c:legend>
      <c:legendPos val="r"/>
      <c:layout>
        <c:manualLayout>
          <c:xMode val="edge"/>
          <c:yMode val="edge"/>
          <c:x val="0.10142405960373121"/>
          <c:y val="2.333525474840347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44288</c:v>
                </c:pt>
                <c:pt idx="1">
                  <c:v>44281</c:v>
                </c:pt>
                <c:pt idx="2">
                  <c:v>44274</c:v>
                </c:pt>
                <c:pt idx="3">
                  <c:v>44267</c:v>
                </c:pt>
                <c:pt idx="4">
                  <c:v>44260</c:v>
                </c:pt>
                <c:pt idx="5">
                  <c:v>44253</c:v>
                </c:pt>
                <c:pt idx="6">
                  <c:v>44246</c:v>
                </c:pt>
                <c:pt idx="7">
                  <c:v>44237</c:v>
                </c:pt>
                <c:pt idx="8">
                  <c:v>44232</c:v>
                </c:pt>
                <c:pt idx="9">
                  <c:v>44225</c:v>
                </c:pt>
                <c:pt idx="10">
                  <c:v>44218</c:v>
                </c:pt>
                <c:pt idx="11">
                  <c:v>44211</c:v>
                </c:pt>
                <c:pt idx="12">
                  <c:v>44204</c:v>
                </c:pt>
                <c:pt idx="13">
                  <c:v>44196</c:v>
                </c:pt>
                <c:pt idx="14">
                  <c:v>44190</c:v>
                </c:pt>
                <c:pt idx="15">
                  <c:v>44183</c:v>
                </c:pt>
                <c:pt idx="16">
                  <c:v>44176</c:v>
                </c:pt>
                <c:pt idx="17">
                  <c:v>44169</c:v>
                </c:pt>
                <c:pt idx="18">
                  <c:v>44162</c:v>
                </c:pt>
                <c:pt idx="19">
                  <c:v>44155</c:v>
                </c:pt>
                <c:pt idx="20">
                  <c:v>44148</c:v>
                </c:pt>
                <c:pt idx="21">
                  <c:v>44141</c:v>
                </c:pt>
                <c:pt idx="22">
                  <c:v>44134</c:v>
                </c:pt>
                <c:pt idx="23">
                  <c:v>44127</c:v>
                </c:pt>
              </c:numCache>
            </c:numRef>
          </c:cat>
          <c:val>
            <c:numRef>
              <c:f>转债!$H$5:$H$28</c:f>
              <c:numCache>
                <c:formatCode>General</c:formatCode>
                <c:ptCount val="24"/>
                <c:pt idx="0">
                  <c:v>0.43259869697018782</c:v>
                </c:pt>
                <c:pt idx="1">
                  <c:v>-0.1524862703750185</c:v>
                </c:pt>
                <c:pt idx="2">
                  <c:v>0.42060478224636988</c:v>
                </c:pt>
                <c:pt idx="3">
                  <c:v>0.40517624648801487</c:v>
                </c:pt>
                <c:pt idx="4">
                  <c:v>8.6410703805639422E-2</c:v>
                </c:pt>
                <c:pt idx="5">
                  <c:v>-0.38426867241266871</c:v>
                </c:pt>
                <c:pt idx="6">
                  <c:v>1.1305627572047339</c:v>
                </c:pt>
                <c:pt idx="7">
                  <c:v>-0.52914971049689008</c:v>
                </c:pt>
                <c:pt idx="8">
                  <c:v>-3.2967727919134937</c:v>
                </c:pt>
                <c:pt idx="9">
                  <c:v>-1.0571818062126925</c:v>
                </c:pt>
                <c:pt idx="10">
                  <c:v>2.8517167789687825</c:v>
                </c:pt>
                <c:pt idx="11">
                  <c:v>1.9158643237462858</c:v>
                </c:pt>
                <c:pt idx="12">
                  <c:v>1.9589878989578091</c:v>
                </c:pt>
                <c:pt idx="13">
                  <c:v>0.39495416007568895</c:v>
                </c:pt>
                <c:pt idx="14">
                  <c:v>-0.78840908081091454</c:v>
                </c:pt>
                <c:pt idx="15">
                  <c:v>-0.96286602224817663</c:v>
                </c:pt>
                <c:pt idx="16">
                  <c:v>-1.1201225996156028</c:v>
                </c:pt>
                <c:pt idx="17">
                  <c:v>0.58595725205237148</c:v>
                </c:pt>
                <c:pt idx="18">
                  <c:v>0.41910554290589541</c:v>
                </c:pt>
                <c:pt idx="19">
                  <c:v>-0.2279934153408214</c:v>
                </c:pt>
                <c:pt idx="20">
                  <c:v>-0.19825395860518791</c:v>
                </c:pt>
                <c:pt idx="21">
                  <c:v>0.15682043501383802</c:v>
                </c:pt>
                <c:pt idx="22">
                  <c:v>-0.27504227173468232</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44288</c:v>
                </c:pt>
                <c:pt idx="1">
                  <c:v>44281</c:v>
                </c:pt>
                <c:pt idx="2">
                  <c:v>44274</c:v>
                </c:pt>
                <c:pt idx="3">
                  <c:v>44267</c:v>
                </c:pt>
                <c:pt idx="4">
                  <c:v>44260</c:v>
                </c:pt>
                <c:pt idx="5">
                  <c:v>44253</c:v>
                </c:pt>
                <c:pt idx="6">
                  <c:v>44246</c:v>
                </c:pt>
                <c:pt idx="7">
                  <c:v>44237</c:v>
                </c:pt>
                <c:pt idx="8">
                  <c:v>44232</c:v>
                </c:pt>
                <c:pt idx="9">
                  <c:v>44225</c:v>
                </c:pt>
                <c:pt idx="10">
                  <c:v>44218</c:v>
                </c:pt>
                <c:pt idx="11">
                  <c:v>44211</c:v>
                </c:pt>
                <c:pt idx="12">
                  <c:v>44204</c:v>
                </c:pt>
                <c:pt idx="13">
                  <c:v>44196</c:v>
                </c:pt>
                <c:pt idx="14">
                  <c:v>44190</c:v>
                </c:pt>
                <c:pt idx="15">
                  <c:v>44183</c:v>
                </c:pt>
                <c:pt idx="16">
                  <c:v>44176</c:v>
                </c:pt>
                <c:pt idx="17">
                  <c:v>44169</c:v>
                </c:pt>
                <c:pt idx="18">
                  <c:v>44162</c:v>
                </c:pt>
                <c:pt idx="19">
                  <c:v>44155</c:v>
                </c:pt>
                <c:pt idx="20">
                  <c:v>44148</c:v>
                </c:pt>
                <c:pt idx="21">
                  <c:v>44141</c:v>
                </c:pt>
                <c:pt idx="22">
                  <c:v>44134</c:v>
                </c:pt>
                <c:pt idx="23">
                  <c:v>44127</c:v>
                </c:pt>
              </c:numCache>
            </c:numRef>
          </c:cat>
          <c:val>
            <c:numRef>
              <c:f>转债!$I$5:$I$28</c:f>
              <c:numCache>
                <c:formatCode>General</c:formatCode>
                <c:ptCount val="24"/>
                <c:pt idx="0">
                  <c:v>0.61433289452412776</c:v>
                </c:pt>
                <c:pt idx="1">
                  <c:v>0.58721739361013991</c:v>
                </c:pt>
                <c:pt idx="2">
                  <c:v>0.41785243522003412</c:v>
                </c:pt>
                <c:pt idx="3">
                  <c:v>0.33154473672729612</c:v>
                </c:pt>
                <c:pt idx="4">
                  <c:v>0.3213657316523344</c:v>
                </c:pt>
                <c:pt idx="5">
                  <c:v>0.17158894269220237</c:v>
                </c:pt>
                <c:pt idx="6">
                  <c:v>0.19853336789061871</c:v>
                </c:pt>
                <c:pt idx="7">
                  <c:v>0.27363560701512135</c:v>
                </c:pt>
                <c:pt idx="8">
                  <c:v>0.28954564856087384</c:v>
                </c:pt>
                <c:pt idx="9">
                  <c:v>0.48422981285172195</c:v>
                </c:pt>
                <c:pt idx="10">
                  <c:v>0.86589973423387701</c:v>
                </c:pt>
                <c:pt idx="11">
                  <c:v>0.79062641939382505</c:v>
                </c:pt>
                <c:pt idx="12">
                  <c:v>0.80131865161541249</c:v>
                </c:pt>
                <c:pt idx="13">
                  <c:v>0.77625605928799413</c:v>
                </c:pt>
                <c:pt idx="14">
                  <c:v>0.49834355938422892</c:v>
                </c:pt>
                <c:pt idx="15">
                  <c:v>0.17672121415857056</c:v>
                </c:pt>
                <c:pt idx="16">
                  <c:v>4.6361518912840793E-2</c:v>
                </c:pt>
                <c:pt idx="17">
                  <c:v>2.7372114487222987E-3</c:v>
                </c:pt>
                <c:pt idx="18">
                  <c:v>-0.17244432126993781</c:v>
                </c:pt>
                <c:pt idx="19">
                  <c:v>-0.35848916192573466</c:v>
                </c:pt>
                <c:pt idx="20">
                  <c:v>-8.972921280364643E-2</c:v>
                </c:pt>
                <c:pt idx="21">
                  <c:v>0.13078738453458083</c:v>
                </c:pt>
                <c:pt idx="22">
                  <c:v>0.1093173822336091</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44288</c:v>
                </c:pt>
                <c:pt idx="1">
                  <c:v>44281</c:v>
                </c:pt>
                <c:pt idx="2">
                  <c:v>44274</c:v>
                </c:pt>
                <c:pt idx="3">
                  <c:v>44267</c:v>
                </c:pt>
                <c:pt idx="4">
                  <c:v>44260</c:v>
                </c:pt>
                <c:pt idx="5">
                  <c:v>44253</c:v>
                </c:pt>
                <c:pt idx="6">
                  <c:v>44246</c:v>
                </c:pt>
                <c:pt idx="7">
                  <c:v>44237</c:v>
                </c:pt>
                <c:pt idx="8">
                  <c:v>44232</c:v>
                </c:pt>
                <c:pt idx="9">
                  <c:v>44225</c:v>
                </c:pt>
                <c:pt idx="10">
                  <c:v>44218</c:v>
                </c:pt>
                <c:pt idx="11">
                  <c:v>44211</c:v>
                </c:pt>
                <c:pt idx="12">
                  <c:v>44204</c:v>
                </c:pt>
                <c:pt idx="13">
                  <c:v>44196</c:v>
                </c:pt>
                <c:pt idx="14">
                  <c:v>44190</c:v>
                </c:pt>
                <c:pt idx="15">
                  <c:v>44183</c:v>
                </c:pt>
                <c:pt idx="16">
                  <c:v>44176</c:v>
                </c:pt>
                <c:pt idx="17">
                  <c:v>44169</c:v>
                </c:pt>
                <c:pt idx="18">
                  <c:v>44162</c:v>
                </c:pt>
                <c:pt idx="19">
                  <c:v>44155</c:v>
                </c:pt>
                <c:pt idx="20">
                  <c:v>44148</c:v>
                </c:pt>
                <c:pt idx="21">
                  <c:v>44141</c:v>
                </c:pt>
                <c:pt idx="22">
                  <c:v>44134</c:v>
                </c:pt>
                <c:pt idx="23">
                  <c:v>44127</c:v>
                </c:pt>
              </c:numCache>
            </c:numRef>
          </c:cat>
          <c:val>
            <c:numRef>
              <c:f>转债!$J$5:$J$28</c:f>
              <c:numCache>
                <c:formatCode>General</c:formatCode>
                <c:ptCount val="24"/>
                <c:pt idx="0">
                  <c:v>9.3900586503545611</c:v>
                </c:pt>
                <c:pt idx="1">
                  <c:v>6.7712748920570665</c:v>
                </c:pt>
                <c:pt idx="2">
                  <c:v>6.1164210629248039</c:v>
                </c:pt>
                <c:pt idx="3">
                  <c:v>9.0683814588830014</c:v>
                </c:pt>
                <c:pt idx="4">
                  <c:v>11.535637866714143</c:v>
                </c:pt>
                <c:pt idx="5">
                  <c:v>13.103197187251592</c:v>
                </c:pt>
                <c:pt idx="6">
                  <c:v>22.472323285079398</c:v>
                </c:pt>
                <c:pt idx="7">
                  <c:v>23.0843222853524</c:v>
                </c:pt>
                <c:pt idx="8">
                  <c:v>16.211249955255802</c:v>
                </c:pt>
                <c:pt idx="9">
                  <c:v>13.425412686746018</c:v>
                </c:pt>
                <c:pt idx="10">
                  <c:v>18.041539619438709</c:v>
                </c:pt>
                <c:pt idx="11">
                  <c:v>15.67436611740105</c:v>
                </c:pt>
                <c:pt idx="12">
                  <c:v>16.465920513818833</c:v>
                </c:pt>
                <c:pt idx="13">
                  <c:v>10.444031849947866</c:v>
                </c:pt>
                <c:pt idx="14">
                  <c:v>6.8565522078989805</c:v>
                </c:pt>
                <c:pt idx="15">
                  <c:v>5.9654638103251889</c:v>
                </c:pt>
                <c:pt idx="16">
                  <c:v>3.627032565791577</c:v>
                </c:pt>
                <c:pt idx="17">
                  <c:v>7.3631254892854381</c:v>
                </c:pt>
                <c:pt idx="18">
                  <c:v>5.5584944677512516</c:v>
                </c:pt>
                <c:pt idx="19">
                  <c:v>4.7642400539274599</c:v>
                </c:pt>
                <c:pt idx="20">
                  <c:v>2.9323630168740067</c:v>
                </c:pt>
                <c:pt idx="21">
                  <c:v>3.5441373689169886</c:v>
                </c:pt>
                <c:pt idx="22">
                  <c:v>-0.49071438794132671</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59047296"/>
        <c:axId val="459048832"/>
      </c:lineChart>
      <c:dateAx>
        <c:axId val="4590472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59048832"/>
        <c:crosses val="autoZero"/>
        <c:auto val="0"/>
        <c:lblOffset val="0"/>
        <c:baseTimeUnit val="days"/>
        <c:majorUnit val="14"/>
        <c:majorTimeUnit val="days"/>
      </c:dateAx>
      <c:valAx>
        <c:axId val="45904883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904729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2871.89</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440932608"/>
        <c:axId val="440946688"/>
      </c:lineChart>
      <c:dateAx>
        <c:axId val="4409326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0946688"/>
        <c:crosses val="autoZero"/>
        <c:auto val="0"/>
        <c:lblOffset val="0"/>
        <c:baseTimeUnit val="days"/>
        <c:majorUnit val="1"/>
        <c:majorTimeUnit val="months"/>
      </c:dateAx>
      <c:valAx>
        <c:axId val="44094668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09326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148.41999999999999</c:v>
                </c:pt>
                <c:pt idx="88">
                  <c:v>148.56</c:v>
                </c:pt>
                <c:pt idx="89">
                  <c:v>149.21</c:v>
                </c:pt>
                <c:pt idx="90">
                  <c:v>149.47</c:v>
                </c:pt>
                <c:pt idx="91">
                  <c:v>149.88</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440977664"/>
        <c:axId val="440983552"/>
      </c:lineChart>
      <c:dateAx>
        <c:axId val="4409776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40983552"/>
        <c:crosses val="autoZero"/>
        <c:auto val="0"/>
        <c:lblOffset val="0"/>
        <c:baseTimeUnit val="days"/>
        <c:majorUnit val="1"/>
        <c:majorTimeUnit val="months"/>
      </c:dateAx>
      <c:valAx>
        <c:axId val="44098355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409776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汇率!$A$4:$A$28</c:f>
              <c:numCache>
                <c:formatCode>yyyy\-mm\-dd;@</c:formatCode>
                <c:ptCount val="25"/>
                <c:pt idx="0">
                  <c:v>44289</c:v>
                </c:pt>
                <c:pt idx="1">
                  <c:v>44282</c:v>
                </c:pt>
                <c:pt idx="2">
                  <c:v>44275</c:v>
                </c:pt>
                <c:pt idx="3">
                  <c:v>44268</c:v>
                </c:pt>
                <c:pt idx="4">
                  <c:v>44261</c:v>
                </c:pt>
                <c:pt idx="5">
                  <c:v>44254</c:v>
                </c:pt>
                <c:pt idx="6">
                  <c:v>44247</c:v>
                </c:pt>
                <c:pt idx="7">
                  <c:v>44240</c:v>
                </c:pt>
                <c:pt idx="8">
                  <c:v>44233</c:v>
                </c:pt>
                <c:pt idx="9">
                  <c:v>44226</c:v>
                </c:pt>
                <c:pt idx="10">
                  <c:v>44219</c:v>
                </c:pt>
                <c:pt idx="11">
                  <c:v>44212</c:v>
                </c:pt>
                <c:pt idx="12">
                  <c:v>44205</c:v>
                </c:pt>
                <c:pt idx="13">
                  <c:v>44198</c:v>
                </c:pt>
                <c:pt idx="14">
                  <c:v>44191</c:v>
                </c:pt>
                <c:pt idx="15">
                  <c:v>44184</c:v>
                </c:pt>
                <c:pt idx="16">
                  <c:v>44177</c:v>
                </c:pt>
                <c:pt idx="17">
                  <c:v>44170</c:v>
                </c:pt>
                <c:pt idx="18">
                  <c:v>44163</c:v>
                </c:pt>
                <c:pt idx="19">
                  <c:v>44156</c:v>
                </c:pt>
                <c:pt idx="20">
                  <c:v>44149</c:v>
                </c:pt>
                <c:pt idx="21">
                  <c:v>44142</c:v>
                </c:pt>
                <c:pt idx="22">
                  <c:v>44135</c:v>
                </c:pt>
                <c:pt idx="23">
                  <c:v>44128</c:v>
                </c:pt>
                <c:pt idx="24">
                  <c:v>44121</c:v>
                </c:pt>
              </c:numCache>
            </c:numRef>
          </c:cat>
          <c:val>
            <c:numRef>
              <c:f>汇率!$B$4:$B$28</c:f>
              <c:numCache>
                <c:formatCode>###,###,###,###,##0.00</c:formatCode>
                <c:ptCount val="25"/>
                <c:pt idx="0">
                  <c:v>6.5612000000000004</c:v>
                </c:pt>
                <c:pt idx="1">
                  <c:v>6.5407000000000002</c:v>
                </c:pt>
                <c:pt idx="2">
                  <c:v>6.5045000000000002</c:v>
                </c:pt>
                <c:pt idx="3">
                  <c:v>6.5035999999999996</c:v>
                </c:pt>
                <c:pt idx="4">
                  <c:v>6.4767999999999999</c:v>
                </c:pt>
                <c:pt idx="5">
                  <c:v>6.4589999999999996</c:v>
                </c:pt>
                <c:pt idx="6">
                  <c:v>6.4574999999999996</c:v>
                </c:pt>
                <c:pt idx="7">
                  <c:v>6.4379999999999997</c:v>
                </c:pt>
                <c:pt idx="8">
                  <c:v>6.4809999999999999</c:v>
                </c:pt>
                <c:pt idx="9">
                  <c:v>6.4611999999999998</c:v>
                </c:pt>
                <c:pt idx="10">
                  <c:v>6.4776999999999996</c:v>
                </c:pt>
                <c:pt idx="11">
                  <c:v>6.4752000000000001</c:v>
                </c:pt>
                <c:pt idx="12">
                  <c:v>6.4718999999999998</c:v>
                </c:pt>
                <c:pt idx="13">
                  <c:v>6.5397999999999996</c:v>
                </c:pt>
                <c:pt idx="14">
                  <c:v>6.5240999999999998</c:v>
                </c:pt>
                <c:pt idx="15">
                  <c:v>6.5415000000000001</c:v>
                </c:pt>
                <c:pt idx="16">
                  <c:v>6.5411000000000001</c:v>
                </c:pt>
                <c:pt idx="17">
                  <c:v>6.5301999999999998</c:v>
                </c:pt>
                <c:pt idx="18">
                  <c:v>6.5823</c:v>
                </c:pt>
                <c:pt idx="19">
                  <c:v>6.5713999999999997</c:v>
                </c:pt>
                <c:pt idx="20">
                  <c:v>6.6143999999999998</c:v>
                </c:pt>
                <c:pt idx="21">
                  <c:v>6.6215000000000002</c:v>
                </c:pt>
                <c:pt idx="22">
                  <c:v>6.7001999999999997</c:v>
                </c:pt>
                <c:pt idx="23">
                  <c:v>6.6689999999999996</c:v>
                </c:pt>
                <c:pt idx="24">
                  <c:v>6.6981999999999999</c:v>
                </c:pt>
              </c:numCache>
            </c:numRef>
          </c:val>
          <c:smooth val="1"/>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458823936"/>
        <c:axId val="45884211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汇率!$A$4:$A$28</c:f>
              <c:numCache>
                <c:formatCode>yyyy\-mm\-dd;@</c:formatCode>
                <c:ptCount val="25"/>
                <c:pt idx="0">
                  <c:v>44289</c:v>
                </c:pt>
                <c:pt idx="1">
                  <c:v>44282</c:v>
                </c:pt>
                <c:pt idx="2">
                  <c:v>44275</c:v>
                </c:pt>
                <c:pt idx="3">
                  <c:v>44268</c:v>
                </c:pt>
                <c:pt idx="4">
                  <c:v>44261</c:v>
                </c:pt>
                <c:pt idx="5">
                  <c:v>44254</c:v>
                </c:pt>
                <c:pt idx="6">
                  <c:v>44247</c:v>
                </c:pt>
                <c:pt idx="7">
                  <c:v>44240</c:v>
                </c:pt>
                <c:pt idx="8">
                  <c:v>44233</c:v>
                </c:pt>
                <c:pt idx="9">
                  <c:v>44226</c:v>
                </c:pt>
                <c:pt idx="10">
                  <c:v>44219</c:v>
                </c:pt>
                <c:pt idx="11">
                  <c:v>44212</c:v>
                </c:pt>
                <c:pt idx="12">
                  <c:v>44205</c:v>
                </c:pt>
                <c:pt idx="13">
                  <c:v>44198</c:v>
                </c:pt>
                <c:pt idx="14">
                  <c:v>44191</c:v>
                </c:pt>
                <c:pt idx="15">
                  <c:v>44184</c:v>
                </c:pt>
                <c:pt idx="16">
                  <c:v>44177</c:v>
                </c:pt>
                <c:pt idx="17">
                  <c:v>44170</c:v>
                </c:pt>
                <c:pt idx="18">
                  <c:v>44163</c:v>
                </c:pt>
                <c:pt idx="19">
                  <c:v>44156</c:v>
                </c:pt>
                <c:pt idx="20">
                  <c:v>44149</c:v>
                </c:pt>
                <c:pt idx="21">
                  <c:v>44142</c:v>
                </c:pt>
                <c:pt idx="22">
                  <c:v>44135</c:v>
                </c:pt>
                <c:pt idx="23">
                  <c:v>44128</c:v>
                </c:pt>
                <c:pt idx="24">
                  <c:v>44121</c:v>
                </c:pt>
              </c:numCache>
            </c:numRef>
          </c:cat>
          <c:val>
            <c:numRef>
              <c:f>汇率!$C$4:$C$28</c:f>
              <c:numCache>
                <c:formatCode>###,###,###,###,##0.00</c:formatCode>
                <c:ptCount val="25"/>
                <c:pt idx="0">
                  <c:v>148.13</c:v>
                </c:pt>
                <c:pt idx="1">
                  <c:v>152.85000000000002</c:v>
                </c:pt>
                <c:pt idx="2">
                  <c:v>149.64000000000001</c:v>
                </c:pt>
                <c:pt idx="3">
                  <c:v>162.13</c:v>
                </c:pt>
                <c:pt idx="4">
                  <c:v>168.56999999999996</c:v>
                </c:pt>
                <c:pt idx="5">
                  <c:v>183.98</c:v>
                </c:pt>
                <c:pt idx="6">
                  <c:v>191.78</c:v>
                </c:pt>
                <c:pt idx="7">
                  <c:v>209.49</c:v>
                </c:pt>
                <c:pt idx="8">
                  <c:v>202.64000000000001</c:v>
                </c:pt>
                <c:pt idx="9">
                  <c:v>206.86</c:v>
                </c:pt>
                <c:pt idx="10">
                  <c:v>201.85</c:v>
                </c:pt>
                <c:pt idx="11">
                  <c:v>204.07999999999998</c:v>
                </c:pt>
                <c:pt idx="12">
                  <c:v>201.56</c:v>
                </c:pt>
                <c:pt idx="13">
                  <c:v>221.29</c:v>
                </c:pt>
                <c:pt idx="14">
                  <c:v>229.03000000000003</c:v>
                </c:pt>
                <c:pt idx="15">
                  <c:v>234.02000000000004</c:v>
                </c:pt>
                <c:pt idx="16">
                  <c:v>239.51000000000002</c:v>
                </c:pt>
                <c:pt idx="17">
                  <c:v>229.50999999999996</c:v>
                </c:pt>
                <c:pt idx="18">
                  <c:v>246</c:v>
                </c:pt>
                <c:pt idx="19">
                  <c:v>248</c:v>
                </c:pt>
                <c:pt idx="20">
                  <c:v>238.15</c:v>
                </c:pt>
                <c:pt idx="21">
                  <c:v>237.63</c:v>
                </c:pt>
                <c:pt idx="22">
                  <c:v>230.10000000000002</c:v>
                </c:pt>
                <c:pt idx="23">
                  <c:v>234.57</c:v>
                </c:pt>
                <c:pt idx="24">
                  <c:v>246.02000000000004</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458845184"/>
        <c:axId val="458843648"/>
      </c:lineChart>
      <c:dateAx>
        <c:axId val="4588239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8842112"/>
        <c:crosses val="autoZero"/>
        <c:auto val="0"/>
        <c:lblOffset val="0"/>
        <c:baseTimeUnit val="days"/>
      </c:dateAx>
      <c:valAx>
        <c:axId val="45884211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8823936"/>
        <c:crosses val="autoZero"/>
        <c:crossBetween val="between"/>
      </c:valAx>
      <c:valAx>
        <c:axId val="458843648"/>
        <c:scaling>
          <c:orientation val="minMax"/>
        </c:scaling>
        <c:delete val="0"/>
        <c:axPos val="r"/>
        <c:numFmt formatCode="#,##0_);[Red]\(#,##0\)" sourceLinked="0"/>
        <c:majorTickMark val="out"/>
        <c:minorTickMark val="none"/>
        <c:tickLblPos val="nextTo"/>
        <c:spPr>
          <a:ln w="3175">
            <a:solidFill>
              <a:sysClr val="windowText" lastClr="000000"/>
            </a:solidFill>
          </a:ln>
        </c:spPr>
        <c:crossAx val="458845184"/>
        <c:crosses val="max"/>
        <c:crossBetween val="between"/>
      </c:valAx>
      <c:dateAx>
        <c:axId val="458845184"/>
        <c:scaling>
          <c:orientation val="minMax"/>
        </c:scaling>
        <c:delete val="1"/>
        <c:axPos val="b"/>
        <c:numFmt formatCode="yyyy\-mm\-dd;@" sourceLinked="1"/>
        <c:majorTickMark val="out"/>
        <c:minorTickMark val="none"/>
        <c:tickLblPos val="nextTo"/>
        <c:crossAx val="45884364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35</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ser>
        <c:dLbls>
          <c:showLegendKey val="0"/>
          <c:showVal val="0"/>
          <c:showCatName val="0"/>
          <c:showSerName val="0"/>
          <c:showPercent val="0"/>
          <c:showBubbleSize val="0"/>
        </c:dLbls>
        <c:marker val="1"/>
        <c:smooth val="0"/>
        <c:axId val="458880512"/>
        <c:axId val="458882048"/>
      </c:lineChart>
      <c:dateAx>
        <c:axId val="458880512"/>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58882048"/>
        <c:crosses val="autoZero"/>
        <c:auto val="0"/>
        <c:lblOffset val="0"/>
        <c:baseTimeUnit val="days"/>
        <c:majorUnit val="1"/>
        <c:majorTimeUnit val="months"/>
      </c:dateAx>
      <c:valAx>
        <c:axId val="45888204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58880512"/>
        <c:crosses val="autoZero"/>
        <c:crossBetween val="between"/>
      </c:valAx>
      <c:spPr>
        <a:solidFill>
          <a:schemeClr val="bg1"/>
        </a:solidFill>
        <a:ln>
          <a:noFill/>
        </a:ln>
        <a:effectLst/>
      </c:spPr>
    </c:plotArea>
    <c:legend>
      <c:legendPos val="r"/>
      <c:layout>
        <c:manualLayout>
          <c:xMode val="edge"/>
          <c:yMode val="edge"/>
          <c:x val="0.15225"/>
          <c:y val="2.3337707786526686E-3"/>
          <c:w val="0.74224421121438589"/>
          <c:h val="8.591316530244264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5.18881E-7</cdr:y>
    </cdr:from>
    <cdr:to>
      <cdr:x>0.1432</cdr:x>
      <cdr:y>0.07839</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29370" cy="1510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8A155-22AD-452F-8090-3055D40FB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740</Words>
  <Characters>4221</Characters>
  <Application>Microsoft Office Word</Application>
  <DocSecurity>0</DocSecurity>
  <Lines>35</Lines>
  <Paragraphs>9</Paragraphs>
  <ScaleCrop>false</ScaleCrop>
  <Company>Microsoft</Company>
  <LinksUpToDate>false</LinksUpToDate>
  <CharactersWithSpaces>4952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2021-04-06T05:25:00Z</dcterms:created>
  <dcterms:modified xsi:type="dcterms:W3CDTF">2021-04-06T05:25:00Z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