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C8DFD9B"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793F51">
        <w:rPr>
          <w:rFonts w:ascii="楷体" w:eastAsia="楷体" w:hAnsi="楷体" w:hint="eastAsia"/>
          <w:sz w:val="28"/>
          <w:szCs w:val="28"/>
        </w:rPr>
        <w:t>基本面多空</w:t>
      </w:r>
      <w:r w:rsidR="00695DD9">
        <w:rPr>
          <w:rFonts w:ascii="楷体" w:eastAsia="楷体" w:hAnsi="楷体" w:hint="eastAsia"/>
          <w:sz w:val="28"/>
          <w:szCs w:val="28"/>
        </w:rPr>
        <w:t>交叠</w:t>
      </w:r>
      <w:r w:rsidR="00CD02EA">
        <w:rPr>
          <w:rFonts w:ascii="楷体" w:eastAsia="楷体" w:hAnsi="楷体" w:hint="eastAsia"/>
          <w:sz w:val="28"/>
          <w:szCs w:val="28"/>
        </w:rPr>
        <w:t>，</w:t>
      </w:r>
      <w:r w:rsidR="00793F51">
        <w:rPr>
          <w:rFonts w:ascii="楷体" w:eastAsia="楷体" w:hAnsi="楷体" w:hint="eastAsia"/>
          <w:sz w:val="28"/>
          <w:szCs w:val="28"/>
        </w:rPr>
        <w:t>债市静待机会出现</w:t>
      </w:r>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77777777" w:rsidR="00695DD9" w:rsidRDefault="000550B2" w:rsidP="00695DD9">
      <w:pPr>
        <w:pStyle w:val="Header1"/>
        <w:spacing w:before="240"/>
        <w:ind w:firstLine="480"/>
        <w:rPr>
          <w:rFonts w:ascii="华文楷体" w:hAnsi="华文楷体"/>
          <w:b w:val="0"/>
          <w:smallCaps w:val="0"/>
          <w:color w:val="auto"/>
          <w:sz w:val="24"/>
          <w:szCs w:val="24"/>
        </w:rPr>
      </w:pPr>
      <w:r w:rsidRPr="000550B2">
        <w:rPr>
          <w:rFonts w:ascii="华文楷体" w:hAnsi="华文楷体" w:hint="eastAsia"/>
          <w:b w:val="0"/>
          <w:smallCaps w:val="0"/>
          <w:color w:val="auto"/>
          <w:sz w:val="24"/>
          <w:szCs w:val="24"/>
        </w:rPr>
        <w:t>统计局公布数据显示，</w:t>
      </w:r>
      <w:r w:rsidR="0090508B" w:rsidRPr="0090508B">
        <w:rPr>
          <w:rFonts w:ascii="华文楷体" w:hAnsi="华文楷体" w:hint="eastAsia"/>
          <w:b w:val="0"/>
          <w:smallCaps w:val="0"/>
          <w:color w:val="auto"/>
          <w:sz w:val="24"/>
          <w:szCs w:val="24"/>
        </w:rPr>
        <w:t>中国3月M2同比增9.4%，新增人民币贷款2.73</w:t>
      </w:r>
      <w:proofErr w:type="gramStart"/>
      <w:r w:rsidR="0090508B" w:rsidRPr="0090508B">
        <w:rPr>
          <w:rFonts w:ascii="华文楷体" w:hAnsi="华文楷体" w:hint="eastAsia"/>
          <w:b w:val="0"/>
          <w:smallCaps w:val="0"/>
          <w:color w:val="auto"/>
          <w:sz w:val="24"/>
          <w:szCs w:val="24"/>
        </w:rPr>
        <w:t>万亿</w:t>
      </w:r>
      <w:proofErr w:type="gramEnd"/>
      <w:r w:rsidR="0090508B" w:rsidRPr="0090508B">
        <w:rPr>
          <w:rFonts w:ascii="华文楷体" w:hAnsi="华文楷体" w:hint="eastAsia"/>
          <w:b w:val="0"/>
          <w:smallCaps w:val="0"/>
          <w:color w:val="auto"/>
          <w:sz w:val="24"/>
          <w:szCs w:val="24"/>
        </w:rPr>
        <w:t>元，前值1.36</w:t>
      </w:r>
      <w:proofErr w:type="gramStart"/>
      <w:r w:rsidR="0090508B" w:rsidRPr="0090508B">
        <w:rPr>
          <w:rFonts w:ascii="华文楷体" w:hAnsi="华文楷体" w:hint="eastAsia"/>
          <w:b w:val="0"/>
          <w:smallCaps w:val="0"/>
          <w:color w:val="auto"/>
          <w:sz w:val="24"/>
          <w:szCs w:val="24"/>
        </w:rPr>
        <w:t>万亿</w:t>
      </w:r>
      <w:proofErr w:type="gramEnd"/>
      <w:r w:rsidR="0090508B" w:rsidRPr="0090508B">
        <w:rPr>
          <w:rFonts w:ascii="华文楷体" w:hAnsi="华文楷体" w:hint="eastAsia"/>
          <w:b w:val="0"/>
          <w:smallCaps w:val="0"/>
          <w:color w:val="auto"/>
          <w:sz w:val="24"/>
          <w:szCs w:val="24"/>
        </w:rPr>
        <w:t>元；</w:t>
      </w:r>
      <w:proofErr w:type="gramStart"/>
      <w:r w:rsidR="0090508B" w:rsidRPr="0090508B">
        <w:rPr>
          <w:rFonts w:ascii="华文楷体" w:hAnsi="华文楷体" w:hint="eastAsia"/>
          <w:b w:val="0"/>
          <w:smallCaps w:val="0"/>
          <w:color w:val="auto"/>
          <w:sz w:val="24"/>
          <w:szCs w:val="24"/>
        </w:rPr>
        <w:t>社融同比</w:t>
      </w:r>
      <w:proofErr w:type="gramEnd"/>
      <w:r w:rsidR="0090508B" w:rsidRPr="0090508B">
        <w:rPr>
          <w:rFonts w:ascii="华文楷体" w:hAnsi="华文楷体" w:hint="eastAsia"/>
          <w:b w:val="0"/>
          <w:smallCaps w:val="0"/>
          <w:color w:val="auto"/>
          <w:sz w:val="24"/>
          <w:szCs w:val="24"/>
        </w:rPr>
        <w:t>增长12.3%。中国3月进出口同比增34.2%，贸易顺差138亿美元；出口同比增30.6%，进口同比增38.1%。</w:t>
      </w:r>
      <w:r w:rsidR="0090508B">
        <w:rPr>
          <w:rFonts w:ascii="华文楷体" w:hAnsi="华文楷体" w:hint="eastAsia"/>
          <w:b w:val="0"/>
          <w:smallCaps w:val="0"/>
          <w:color w:val="auto"/>
          <w:sz w:val="24"/>
          <w:szCs w:val="24"/>
        </w:rPr>
        <w:t>2020年</w:t>
      </w:r>
      <w:r w:rsidR="0090508B" w:rsidRPr="0090508B">
        <w:rPr>
          <w:rFonts w:ascii="华文楷体" w:hAnsi="华文楷体" w:hint="eastAsia"/>
          <w:b w:val="0"/>
          <w:smallCaps w:val="0"/>
          <w:color w:val="auto"/>
          <w:sz w:val="24"/>
          <w:szCs w:val="24"/>
        </w:rPr>
        <w:t>3</w:t>
      </w:r>
      <w:r w:rsidR="0090508B">
        <w:rPr>
          <w:rFonts w:ascii="华文楷体" w:hAnsi="华文楷体" w:hint="eastAsia"/>
          <w:b w:val="0"/>
          <w:smallCaps w:val="0"/>
          <w:color w:val="auto"/>
          <w:sz w:val="24"/>
          <w:szCs w:val="24"/>
        </w:rPr>
        <w:t>月及一季度经济数据，</w:t>
      </w:r>
      <w:r w:rsidR="0090508B" w:rsidRPr="0090508B">
        <w:rPr>
          <w:rFonts w:ascii="华文楷体" w:hAnsi="华文楷体" w:hint="eastAsia"/>
          <w:b w:val="0"/>
          <w:smallCaps w:val="0"/>
          <w:color w:val="auto"/>
          <w:sz w:val="24"/>
          <w:szCs w:val="24"/>
        </w:rPr>
        <w:t>一季度实际GDP同比增长18.3%，环比增长0.6%；3月份规模以上工业增加值同比增长14.1%；1-3月全国固定资产投资同比增长25.6%，两年平均增长是2.9%。3月社会消费品零售总额同比增长34.2%，两年平均增速为6.3%。</w:t>
      </w:r>
    </w:p>
    <w:p w14:paraId="5A697563" w14:textId="13CB2459" w:rsidR="00695DD9" w:rsidRPr="00695DD9" w:rsidRDefault="0090508B" w:rsidP="00695DD9">
      <w:pPr>
        <w:pStyle w:val="Header1"/>
        <w:spacing w:before="240"/>
        <w:ind w:firstLine="480"/>
        <w:rPr>
          <w:rFonts w:ascii="华文楷体" w:hAnsi="华文楷体"/>
          <w:b w:val="0"/>
          <w:smallCaps w:val="0"/>
          <w:color w:val="auto"/>
          <w:sz w:val="24"/>
          <w:szCs w:val="24"/>
        </w:rPr>
      </w:pPr>
      <w:r w:rsidRPr="00695DD9">
        <w:rPr>
          <w:rFonts w:ascii="华文楷体" w:hAnsi="华文楷体" w:hint="eastAsia"/>
          <w:b w:val="0"/>
          <w:smallCaps w:val="0"/>
          <w:color w:val="auto"/>
          <w:sz w:val="24"/>
          <w:szCs w:val="24"/>
        </w:rPr>
        <w:t>几个数据来看：</w:t>
      </w:r>
      <w:r w:rsidR="00695DD9" w:rsidRPr="00695DD9">
        <w:rPr>
          <w:rFonts w:ascii="华文楷体" w:hAnsi="华文楷体" w:hint="eastAsia"/>
          <w:b w:val="0"/>
          <w:color w:val="auto"/>
          <w:sz w:val="24"/>
          <w:szCs w:val="24"/>
        </w:rPr>
        <w:t>金融数据，新增人民币贷款27300亿元，市场预期25000亿元，前值13600亿元。社会融资规模33400亿元，市场预期36000亿元，前值17129亿元。M2同比9.4%，市场预期9.6%，前值10.1%；M1同比7.1%，前值7.4%。</w:t>
      </w:r>
      <w:proofErr w:type="gramStart"/>
      <w:r w:rsidR="00695DD9">
        <w:rPr>
          <w:rFonts w:ascii="华文楷体" w:hAnsi="华文楷体" w:hint="eastAsia"/>
          <w:b w:val="0"/>
          <w:color w:val="auto"/>
          <w:sz w:val="24"/>
          <w:szCs w:val="24"/>
        </w:rPr>
        <w:t>社融增速</w:t>
      </w:r>
      <w:proofErr w:type="gramEnd"/>
      <w:r w:rsidR="00695DD9">
        <w:rPr>
          <w:rFonts w:ascii="华文楷体" w:hAnsi="华文楷体" w:hint="eastAsia"/>
          <w:b w:val="0"/>
          <w:color w:val="auto"/>
          <w:sz w:val="24"/>
          <w:szCs w:val="24"/>
        </w:rPr>
        <w:t>适度放缓，但剔除疫情因素后实际绝对规模仍不低。</w:t>
      </w:r>
      <w:proofErr w:type="gramStart"/>
      <w:r w:rsidR="00695DD9" w:rsidRPr="00695DD9">
        <w:rPr>
          <w:rFonts w:ascii="华文楷体" w:hAnsi="华文楷体" w:hint="eastAsia"/>
          <w:b w:val="0"/>
          <w:color w:val="auto"/>
          <w:sz w:val="24"/>
          <w:szCs w:val="24"/>
        </w:rPr>
        <w:t>3月社融同比</w:t>
      </w:r>
      <w:proofErr w:type="gramEnd"/>
      <w:r w:rsidR="00695DD9" w:rsidRPr="00695DD9">
        <w:rPr>
          <w:rFonts w:ascii="华文楷体" w:hAnsi="华文楷体" w:hint="eastAsia"/>
          <w:b w:val="0"/>
          <w:color w:val="auto"/>
          <w:sz w:val="24"/>
          <w:szCs w:val="24"/>
        </w:rPr>
        <w:t>增速12.3%，较2月回落1个百分点，剔除政府债的增速11.2%，回落0.9个百分点。3月</w:t>
      </w:r>
      <w:proofErr w:type="gramStart"/>
      <w:r w:rsidR="00695DD9" w:rsidRPr="00695DD9">
        <w:rPr>
          <w:rFonts w:ascii="华文楷体" w:hAnsi="华文楷体" w:hint="eastAsia"/>
          <w:b w:val="0"/>
          <w:color w:val="auto"/>
          <w:sz w:val="24"/>
          <w:szCs w:val="24"/>
        </w:rPr>
        <w:t>社融规模</w:t>
      </w:r>
      <w:proofErr w:type="gramEnd"/>
      <w:r w:rsidR="00695DD9" w:rsidRPr="00695DD9">
        <w:rPr>
          <w:rFonts w:ascii="华文楷体" w:hAnsi="华文楷体" w:hint="eastAsia"/>
          <w:b w:val="0"/>
          <w:color w:val="auto"/>
          <w:sz w:val="24"/>
          <w:szCs w:val="24"/>
        </w:rPr>
        <w:t>33400亿元，同比少增18400亿</w:t>
      </w:r>
      <w:r w:rsidR="00695DD9">
        <w:rPr>
          <w:rFonts w:ascii="华文楷体" w:hAnsi="华文楷体" w:hint="eastAsia"/>
          <w:b w:val="0"/>
          <w:color w:val="auto"/>
          <w:sz w:val="24"/>
          <w:szCs w:val="24"/>
        </w:rPr>
        <w:t>，</w:t>
      </w:r>
      <w:r w:rsidR="00695DD9" w:rsidRPr="00695DD9">
        <w:rPr>
          <w:rFonts w:ascii="华文楷体" w:hAnsi="华文楷体" w:hint="eastAsia"/>
          <w:b w:val="0"/>
          <w:color w:val="auto"/>
          <w:sz w:val="24"/>
          <w:szCs w:val="24"/>
        </w:rPr>
        <w:t>相较2019年同期多增近4000亿。3月新增信贷27300亿元，较2019年同期多增约1</w:t>
      </w:r>
      <w:proofErr w:type="gramStart"/>
      <w:r w:rsidR="00695DD9" w:rsidRPr="00695DD9">
        <w:rPr>
          <w:rFonts w:ascii="华文楷体" w:hAnsi="华文楷体" w:hint="eastAsia"/>
          <w:b w:val="0"/>
          <w:color w:val="auto"/>
          <w:sz w:val="24"/>
          <w:szCs w:val="24"/>
        </w:rPr>
        <w:t>万亿</w:t>
      </w:r>
      <w:proofErr w:type="gramEnd"/>
      <w:r w:rsidR="00695DD9" w:rsidRPr="00695DD9">
        <w:rPr>
          <w:rFonts w:ascii="华文楷体" w:hAnsi="华文楷体" w:hint="eastAsia"/>
          <w:b w:val="0"/>
          <w:color w:val="auto"/>
          <w:sz w:val="24"/>
          <w:szCs w:val="24"/>
        </w:rPr>
        <w:t>。今年一季度</w:t>
      </w:r>
      <w:proofErr w:type="gramStart"/>
      <w:r w:rsidR="00695DD9" w:rsidRPr="00695DD9">
        <w:rPr>
          <w:rFonts w:ascii="华文楷体" w:hAnsi="华文楷体" w:hint="eastAsia"/>
          <w:b w:val="0"/>
          <w:color w:val="auto"/>
          <w:sz w:val="24"/>
          <w:szCs w:val="24"/>
        </w:rPr>
        <w:t>社融再次</w:t>
      </w:r>
      <w:proofErr w:type="gramEnd"/>
      <w:r w:rsidR="00695DD9" w:rsidRPr="00695DD9">
        <w:rPr>
          <w:rFonts w:ascii="华文楷体" w:hAnsi="华文楷体" w:hint="eastAsia"/>
          <w:b w:val="0"/>
          <w:color w:val="auto"/>
          <w:sz w:val="24"/>
          <w:szCs w:val="24"/>
        </w:rPr>
        <w:t>突破10</w:t>
      </w:r>
      <w:proofErr w:type="gramStart"/>
      <w:r w:rsidR="00695DD9" w:rsidRPr="00695DD9">
        <w:rPr>
          <w:rFonts w:ascii="华文楷体" w:hAnsi="华文楷体" w:hint="eastAsia"/>
          <w:b w:val="0"/>
          <w:color w:val="auto"/>
          <w:sz w:val="24"/>
          <w:szCs w:val="24"/>
        </w:rPr>
        <w:t>万亿</w:t>
      </w:r>
      <w:proofErr w:type="gramEnd"/>
      <w:r w:rsidR="00695DD9">
        <w:rPr>
          <w:rFonts w:ascii="华文楷体" w:hAnsi="华文楷体" w:hint="eastAsia"/>
          <w:b w:val="0"/>
          <w:color w:val="auto"/>
          <w:sz w:val="24"/>
          <w:szCs w:val="24"/>
        </w:rPr>
        <w:t>。其中，</w:t>
      </w:r>
      <w:r w:rsidR="00695DD9" w:rsidRPr="00695DD9">
        <w:rPr>
          <w:rFonts w:ascii="华文楷体" w:hAnsi="华文楷体" w:hint="eastAsia"/>
          <w:b w:val="0"/>
          <w:color w:val="auto"/>
          <w:sz w:val="24"/>
          <w:szCs w:val="24"/>
        </w:rPr>
        <w:t>非金融企业贷款新增16000亿元，同比少增4500亿元。其中中长期贷款新增13300亿元，同比多增3657亿元，中长期占比相较去年和前年同期分别提高39</w:t>
      </w:r>
      <w:r w:rsidR="00695DD9">
        <w:rPr>
          <w:rFonts w:ascii="华文楷体" w:hAnsi="华文楷体" w:hint="eastAsia"/>
          <w:b w:val="0"/>
          <w:color w:val="auto"/>
          <w:sz w:val="24"/>
          <w:szCs w:val="24"/>
        </w:rPr>
        <w:t>个百分点和</w:t>
      </w:r>
      <w:r w:rsidR="00695DD9" w:rsidRPr="00695DD9">
        <w:rPr>
          <w:rFonts w:ascii="华文楷体" w:hAnsi="华文楷体" w:hint="eastAsia"/>
          <w:b w:val="0"/>
          <w:color w:val="auto"/>
          <w:sz w:val="24"/>
          <w:szCs w:val="24"/>
        </w:rPr>
        <w:t>24个百分点</w:t>
      </w:r>
      <w:r w:rsidR="00695DD9">
        <w:rPr>
          <w:rFonts w:ascii="华文楷体" w:hAnsi="华文楷体" w:hint="eastAsia"/>
          <w:b w:val="0"/>
          <w:color w:val="auto"/>
          <w:sz w:val="24"/>
          <w:szCs w:val="24"/>
        </w:rPr>
        <w:t>。</w:t>
      </w:r>
      <w:r w:rsidR="00695DD9" w:rsidRPr="00695DD9">
        <w:rPr>
          <w:rFonts w:ascii="华文楷体" w:hAnsi="华文楷体" w:hint="eastAsia"/>
          <w:b w:val="0"/>
          <w:color w:val="auto"/>
          <w:sz w:val="24"/>
          <w:szCs w:val="24"/>
        </w:rPr>
        <w:t>非标融资-4129亿元，同比多减6338亿元</w:t>
      </w:r>
      <w:r w:rsidR="00695DD9">
        <w:rPr>
          <w:rFonts w:ascii="华文楷体" w:hAnsi="华文楷体" w:hint="eastAsia"/>
          <w:b w:val="0"/>
          <w:color w:val="auto"/>
          <w:sz w:val="24"/>
          <w:szCs w:val="24"/>
        </w:rPr>
        <w:t>，</w:t>
      </w:r>
      <w:r w:rsidR="00695DD9" w:rsidRPr="00695DD9">
        <w:rPr>
          <w:rFonts w:ascii="华文楷体" w:hAnsi="华文楷体" w:hint="eastAsia"/>
          <w:b w:val="0"/>
          <w:color w:val="auto"/>
          <w:sz w:val="24"/>
          <w:szCs w:val="24"/>
        </w:rPr>
        <w:t>委托与信托贷款合计减少1832亿元，未贴现银行承兑汇票融资减少2297亿元，主要受政策影响较大。</w:t>
      </w:r>
    </w:p>
    <w:p w14:paraId="6218EA0E" w14:textId="43C96CCE" w:rsidR="0090508B" w:rsidRPr="0090508B" w:rsidRDefault="0090508B" w:rsidP="0090508B">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投资及房地产数据，</w:t>
      </w:r>
      <w:r w:rsidRPr="0090508B">
        <w:rPr>
          <w:rFonts w:ascii="华文楷体" w:hAnsi="华文楷体" w:hint="eastAsia"/>
          <w:b w:val="0"/>
          <w:smallCaps w:val="0"/>
          <w:color w:val="auto"/>
          <w:sz w:val="24"/>
          <w:szCs w:val="24"/>
        </w:rPr>
        <w:t>1-3月基建投资增速29.7%，较2019年同期增长4.4%，剔除基数效应后的</w:t>
      </w:r>
      <w:proofErr w:type="gramStart"/>
      <w:r w:rsidRPr="0090508B">
        <w:rPr>
          <w:rFonts w:ascii="华文楷体" w:hAnsi="华文楷体" w:hint="eastAsia"/>
          <w:b w:val="0"/>
          <w:smallCaps w:val="0"/>
          <w:color w:val="auto"/>
          <w:sz w:val="24"/>
          <w:szCs w:val="24"/>
        </w:rPr>
        <w:t>增速回正</w:t>
      </w:r>
      <w:proofErr w:type="gramEnd"/>
      <w:r>
        <w:rPr>
          <w:rFonts w:ascii="华文楷体" w:hAnsi="华文楷体" w:hint="eastAsia"/>
          <w:b w:val="0"/>
          <w:smallCaps w:val="0"/>
          <w:color w:val="auto"/>
          <w:sz w:val="24"/>
          <w:szCs w:val="24"/>
        </w:rPr>
        <w:t>。</w:t>
      </w:r>
      <w:r w:rsidRPr="0090508B">
        <w:rPr>
          <w:rFonts w:ascii="华文楷体" w:hAnsi="华文楷体" w:hint="eastAsia"/>
          <w:b w:val="0"/>
          <w:smallCaps w:val="0"/>
          <w:color w:val="auto"/>
          <w:sz w:val="24"/>
          <w:szCs w:val="24"/>
        </w:rPr>
        <w:t>1-3月地产累计投资增速达到29.8%，较2019年同期增长15.9%；3月单月增速达到14.8%，同比2019年增16.1%，地产投资韧性依旧。地产销售表现亮眼。</w:t>
      </w:r>
    </w:p>
    <w:p w14:paraId="2B992EB5" w14:textId="15F687DC" w:rsidR="0090508B" w:rsidRPr="0090508B" w:rsidRDefault="0090508B" w:rsidP="0090508B">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制造业及工业数据，</w:t>
      </w:r>
      <w:r w:rsidRPr="0090508B">
        <w:rPr>
          <w:rFonts w:ascii="华文楷体" w:hAnsi="华文楷体" w:hint="eastAsia"/>
          <w:b w:val="0"/>
          <w:smallCaps w:val="0"/>
          <w:color w:val="auto"/>
          <w:sz w:val="24"/>
          <w:szCs w:val="24"/>
        </w:rPr>
        <w:t>制造业投资1-3月累计同比增长29.8%，较2019年同期下降2.9%，修复速度</w:t>
      </w:r>
      <w:r>
        <w:rPr>
          <w:rFonts w:ascii="华文楷体" w:hAnsi="华文楷体" w:hint="eastAsia"/>
          <w:b w:val="0"/>
          <w:smallCaps w:val="0"/>
          <w:color w:val="auto"/>
          <w:sz w:val="24"/>
          <w:szCs w:val="24"/>
        </w:rPr>
        <w:t>偏慢</w:t>
      </w:r>
      <w:r w:rsidRPr="0090508B">
        <w:rPr>
          <w:rFonts w:ascii="华文楷体" w:hAnsi="华文楷体" w:hint="eastAsia"/>
          <w:b w:val="0"/>
          <w:smallCaps w:val="0"/>
          <w:color w:val="auto"/>
          <w:sz w:val="24"/>
          <w:szCs w:val="24"/>
        </w:rPr>
        <w:t>；前期基数较低的汽车制造同比2019年</w:t>
      </w:r>
      <w:proofErr w:type="gramStart"/>
      <w:r w:rsidRPr="0090508B">
        <w:rPr>
          <w:rFonts w:ascii="华文楷体" w:hAnsi="华文楷体" w:hint="eastAsia"/>
          <w:b w:val="0"/>
          <w:smallCaps w:val="0"/>
          <w:color w:val="auto"/>
          <w:sz w:val="24"/>
          <w:szCs w:val="24"/>
        </w:rPr>
        <w:t>增速转</w:t>
      </w:r>
      <w:proofErr w:type="gramEnd"/>
      <w:r w:rsidRPr="0090508B">
        <w:rPr>
          <w:rFonts w:ascii="华文楷体" w:hAnsi="华文楷体" w:hint="eastAsia"/>
          <w:b w:val="0"/>
          <w:smallCaps w:val="0"/>
          <w:color w:val="auto"/>
          <w:sz w:val="24"/>
          <w:szCs w:val="24"/>
        </w:rPr>
        <w:t>负。3月工业增速为14.1%，略低于市场预期，较2019年同期增长12.8%，两年平均增速6.8%，处于近年来较高的水平，制造业仍然是主要带动分项。</w:t>
      </w:r>
    </w:p>
    <w:p w14:paraId="075C5FA0" w14:textId="0D681766" w:rsidR="0090508B" w:rsidRPr="0090508B" w:rsidRDefault="0090508B" w:rsidP="0090508B">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消费社零数据，</w:t>
      </w:r>
      <w:proofErr w:type="gramStart"/>
      <w:r w:rsidRPr="0090508B">
        <w:rPr>
          <w:rFonts w:ascii="华文楷体" w:hAnsi="华文楷体" w:hint="eastAsia"/>
          <w:b w:val="0"/>
          <w:smallCaps w:val="0"/>
          <w:color w:val="auto"/>
          <w:sz w:val="24"/>
          <w:szCs w:val="24"/>
        </w:rPr>
        <w:t>3月社零增速</w:t>
      </w:r>
      <w:proofErr w:type="gramEnd"/>
      <w:r w:rsidRPr="0090508B">
        <w:rPr>
          <w:rFonts w:ascii="华文楷体" w:hAnsi="华文楷体" w:hint="eastAsia"/>
          <w:b w:val="0"/>
          <w:smallCaps w:val="0"/>
          <w:color w:val="auto"/>
          <w:sz w:val="24"/>
          <w:szCs w:val="24"/>
        </w:rPr>
        <w:t>34.2%，超出市场预期，同比2019年增长11.8%；1-</w:t>
      </w:r>
      <w:proofErr w:type="gramStart"/>
      <w:r w:rsidRPr="0090508B">
        <w:rPr>
          <w:rFonts w:ascii="华文楷体" w:hAnsi="华文楷体" w:hint="eastAsia"/>
          <w:b w:val="0"/>
          <w:smallCaps w:val="0"/>
          <w:color w:val="auto"/>
          <w:sz w:val="24"/>
          <w:szCs w:val="24"/>
        </w:rPr>
        <w:t>3月社零增速</w:t>
      </w:r>
      <w:proofErr w:type="gramEnd"/>
      <w:r w:rsidRPr="0090508B">
        <w:rPr>
          <w:rFonts w:ascii="华文楷体" w:hAnsi="华文楷体" w:hint="eastAsia"/>
          <w:b w:val="0"/>
          <w:smallCaps w:val="0"/>
          <w:color w:val="auto"/>
          <w:sz w:val="24"/>
          <w:szCs w:val="24"/>
        </w:rPr>
        <w:t>33.8%，较2019年同期增7.6%，而1-2月增速为5.6%，显示消费仍在继续修复。石油制品消费增速则在成品油价连续上调的影响下</w:t>
      </w:r>
      <w:r>
        <w:rPr>
          <w:rFonts w:ascii="华文楷体" w:hAnsi="华文楷体" w:hint="eastAsia"/>
          <w:b w:val="0"/>
          <w:smallCaps w:val="0"/>
          <w:color w:val="auto"/>
          <w:sz w:val="24"/>
          <w:szCs w:val="24"/>
        </w:rPr>
        <w:t>适度</w:t>
      </w:r>
      <w:r w:rsidRPr="0090508B">
        <w:rPr>
          <w:rFonts w:ascii="华文楷体" w:hAnsi="华文楷体" w:hint="eastAsia"/>
          <w:b w:val="0"/>
          <w:smallCaps w:val="0"/>
          <w:color w:val="auto"/>
          <w:sz w:val="24"/>
          <w:szCs w:val="24"/>
        </w:rPr>
        <w:t>回升。</w:t>
      </w:r>
    </w:p>
    <w:p w14:paraId="090EC56C" w14:textId="0BB80FDF" w:rsidR="0090508B" w:rsidRPr="000550B2" w:rsidRDefault="00695DD9" w:rsidP="002D0C9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整体看，金融数据和经济数据仍相对强劲，信贷数据显示当前需求相对较好，但需关注</w:t>
      </w:r>
      <w:r w:rsidR="002D0C96">
        <w:rPr>
          <w:rFonts w:ascii="华文楷体" w:hAnsi="华文楷体" w:hint="eastAsia"/>
          <w:b w:val="0"/>
          <w:smallCaps w:val="0"/>
          <w:color w:val="auto"/>
          <w:sz w:val="24"/>
          <w:szCs w:val="24"/>
        </w:rPr>
        <w:t>3月贷款同比少增一定程度带动存款派生减弱，M</w:t>
      </w:r>
      <w:r w:rsidR="002D0C96">
        <w:rPr>
          <w:rFonts w:ascii="华文楷体" w:hAnsi="华文楷体"/>
          <w:b w:val="0"/>
          <w:smallCaps w:val="0"/>
          <w:color w:val="auto"/>
          <w:sz w:val="24"/>
          <w:szCs w:val="24"/>
        </w:rPr>
        <w:t>2</w:t>
      </w:r>
      <w:r w:rsidR="002D0C96">
        <w:rPr>
          <w:rFonts w:ascii="华文楷体" w:hAnsi="华文楷体" w:hint="eastAsia"/>
          <w:b w:val="0"/>
          <w:smallCaps w:val="0"/>
          <w:color w:val="auto"/>
          <w:sz w:val="24"/>
          <w:szCs w:val="24"/>
        </w:rPr>
        <w:t>同比9</w:t>
      </w:r>
      <w:r w:rsidR="002D0C96">
        <w:rPr>
          <w:rFonts w:ascii="华文楷体" w:hAnsi="华文楷体"/>
          <w:b w:val="0"/>
          <w:smallCaps w:val="0"/>
          <w:color w:val="auto"/>
          <w:sz w:val="24"/>
          <w:szCs w:val="24"/>
        </w:rPr>
        <w:t>.4</w:t>
      </w:r>
      <w:r w:rsidR="002D0C96">
        <w:rPr>
          <w:rFonts w:ascii="华文楷体" w:hAnsi="华文楷体" w:hint="eastAsia"/>
          <w:b w:val="0"/>
          <w:smallCaps w:val="0"/>
          <w:color w:val="auto"/>
          <w:sz w:val="24"/>
          <w:szCs w:val="24"/>
        </w:rPr>
        <w:t>%，M</w:t>
      </w:r>
      <w:r w:rsidR="002D0C96">
        <w:rPr>
          <w:rFonts w:ascii="华文楷体" w:hAnsi="华文楷体"/>
          <w:b w:val="0"/>
          <w:smallCaps w:val="0"/>
          <w:color w:val="auto"/>
          <w:sz w:val="24"/>
          <w:szCs w:val="24"/>
        </w:rPr>
        <w:t>1</w:t>
      </w:r>
      <w:r w:rsidR="002D0C96">
        <w:rPr>
          <w:rFonts w:ascii="华文楷体" w:hAnsi="华文楷体" w:hint="eastAsia"/>
          <w:b w:val="0"/>
          <w:smallCaps w:val="0"/>
          <w:color w:val="auto"/>
          <w:sz w:val="24"/>
          <w:szCs w:val="24"/>
        </w:rPr>
        <w:t>同比7</w:t>
      </w:r>
      <w:r w:rsidR="002D0C96">
        <w:rPr>
          <w:rFonts w:ascii="华文楷体" w:hAnsi="华文楷体"/>
          <w:b w:val="0"/>
          <w:smallCaps w:val="0"/>
          <w:color w:val="auto"/>
          <w:sz w:val="24"/>
          <w:szCs w:val="24"/>
        </w:rPr>
        <w:t>.1</w:t>
      </w:r>
      <w:r w:rsidR="002D0C96">
        <w:rPr>
          <w:rFonts w:ascii="华文楷体" w:hAnsi="华文楷体" w:hint="eastAsia"/>
          <w:b w:val="0"/>
          <w:smallCaps w:val="0"/>
          <w:color w:val="auto"/>
          <w:sz w:val="24"/>
          <w:szCs w:val="24"/>
        </w:rPr>
        <w:t>%均适度下降，其中企业存款同比少增1</w:t>
      </w:r>
      <w:r w:rsidR="002D0C96">
        <w:rPr>
          <w:rFonts w:ascii="华文楷体" w:hAnsi="华文楷体"/>
          <w:b w:val="0"/>
          <w:smallCaps w:val="0"/>
          <w:color w:val="auto"/>
          <w:sz w:val="24"/>
          <w:szCs w:val="24"/>
        </w:rPr>
        <w:t>.457</w:t>
      </w:r>
      <w:proofErr w:type="gramStart"/>
      <w:r w:rsidR="002D0C96">
        <w:rPr>
          <w:rFonts w:ascii="华文楷体" w:hAnsi="华文楷体" w:hint="eastAsia"/>
          <w:b w:val="0"/>
          <w:smallCaps w:val="0"/>
          <w:color w:val="auto"/>
          <w:sz w:val="24"/>
          <w:szCs w:val="24"/>
        </w:rPr>
        <w:t>万亿</w:t>
      </w:r>
      <w:proofErr w:type="gramEnd"/>
      <w:r w:rsidR="002D0C96">
        <w:rPr>
          <w:rFonts w:ascii="华文楷体" w:hAnsi="华文楷体" w:hint="eastAsia"/>
          <w:b w:val="0"/>
          <w:smallCaps w:val="0"/>
          <w:color w:val="auto"/>
          <w:sz w:val="24"/>
          <w:szCs w:val="24"/>
        </w:rPr>
        <w:t>，</w:t>
      </w:r>
      <w:r w:rsidR="002D0C96" w:rsidRPr="002D0C96">
        <w:rPr>
          <w:rFonts w:ascii="华文楷体" w:hAnsi="华文楷体" w:hint="eastAsia"/>
          <w:b w:val="0"/>
          <w:smallCaps w:val="0"/>
          <w:color w:val="auto"/>
          <w:sz w:val="24"/>
          <w:szCs w:val="24"/>
        </w:rPr>
        <w:t>财政存款-4854亿元，同比少减2499亿元，财政投放力度不弱</w:t>
      </w:r>
      <w:r w:rsidR="002D0C96">
        <w:rPr>
          <w:rFonts w:ascii="华文楷体" w:hAnsi="华文楷体" w:hint="eastAsia"/>
          <w:b w:val="0"/>
          <w:smallCaps w:val="0"/>
          <w:color w:val="auto"/>
          <w:sz w:val="24"/>
          <w:szCs w:val="24"/>
        </w:rPr>
        <w:t>。综合考虑今年整体要保证宏观杠杆率</w:t>
      </w:r>
      <w:r w:rsidR="002D0C96" w:rsidRPr="002D0C96">
        <w:rPr>
          <w:rFonts w:ascii="华文楷体" w:hAnsi="华文楷体" w:hint="eastAsia"/>
          <w:b w:val="0"/>
          <w:smallCaps w:val="0"/>
          <w:color w:val="auto"/>
          <w:sz w:val="24"/>
          <w:szCs w:val="24"/>
        </w:rPr>
        <w:t>继续保持基本平稳</w:t>
      </w:r>
      <w:r w:rsidR="002D0C96">
        <w:rPr>
          <w:rFonts w:ascii="华文楷体" w:hAnsi="华文楷体" w:hint="eastAsia"/>
          <w:b w:val="0"/>
          <w:smallCaps w:val="0"/>
          <w:color w:val="auto"/>
          <w:sz w:val="24"/>
          <w:szCs w:val="24"/>
        </w:rPr>
        <w:t>，仍有一定政策结构性调控压力存在。后续密切关注</w:t>
      </w:r>
      <w:proofErr w:type="gramStart"/>
      <w:r w:rsidR="002D0C96">
        <w:rPr>
          <w:rFonts w:ascii="华文楷体" w:hAnsi="华文楷体" w:hint="eastAsia"/>
          <w:b w:val="0"/>
          <w:smallCaps w:val="0"/>
          <w:color w:val="auto"/>
          <w:sz w:val="24"/>
          <w:szCs w:val="24"/>
        </w:rPr>
        <w:t>基本面环比</w:t>
      </w:r>
      <w:proofErr w:type="gramEnd"/>
      <w:r w:rsidR="002D0C96">
        <w:rPr>
          <w:rFonts w:ascii="华文楷体" w:hAnsi="华文楷体" w:hint="eastAsia"/>
          <w:b w:val="0"/>
          <w:smallCaps w:val="0"/>
          <w:color w:val="auto"/>
          <w:sz w:val="24"/>
          <w:szCs w:val="24"/>
        </w:rPr>
        <w:t>变化情况，当前市场存在一定多空分歧，数据的预期差将对市场</w:t>
      </w:r>
      <w:r w:rsidR="00275140">
        <w:rPr>
          <w:rFonts w:ascii="华文楷体" w:hAnsi="华文楷体" w:hint="eastAsia"/>
          <w:b w:val="0"/>
          <w:smallCaps w:val="0"/>
          <w:color w:val="auto"/>
          <w:sz w:val="24"/>
          <w:szCs w:val="24"/>
        </w:rPr>
        <w:t>后续走势</w:t>
      </w:r>
      <w:r w:rsidR="002D0C96">
        <w:rPr>
          <w:rFonts w:ascii="华文楷体" w:hAnsi="华文楷体" w:hint="eastAsia"/>
          <w:b w:val="0"/>
          <w:smallCaps w:val="0"/>
          <w:color w:val="auto"/>
          <w:sz w:val="24"/>
          <w:szCs w:val="24"/>
        </w:rPr>
        <w:t>产生一定扰动。</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6CF7D53A"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B92F0A">
        <w:rPr>
          <w:rFonts w:ascii="华文楷体" w:hAnsi="华文楷体" w:hint="eastAsia"/>
          <w:sz w:val="24"/>
          <w:szCs w:val="24"/>
          <w:lang w:eastAsia="zh-CN"/>
        </w:rPr>
        <w:t>净</w:t>
      </w:r>
      <w:r w:rsidR="003C1F1C">
        <w:rPr>
          <w:rFonts w:ascii="华文楷体" w:hAnsi="华文楷体" w:hint="eastAsia"/>
          <w:sz w:val="24"/>
          <w:szCs w:val="24"/>
          <w:lang w:eastAsia="zh-CN"/>
        </w:rPr>
        <w:t>投放</w:t>
      </w:r>
      <w:r w:rsidR="00B92F0A">
        <w:rPr>
          <w:rFonts w:ascii="华文楷体" w:hAnsi="华文楷体" w:hint="eastAsia"/>
          <w:sz w:val="24"/>
          <w:szCs w:val="24"/>
          <w:lang w:eastAsia="zh-CN"/>
        </w:rPr>
        <w:t>100亿</w:t>
      </w:r>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847EB6">
        <w:rPr>
          <w:rFonts w:ascii="华文楷体" w:hAnsi="华文楷体" w:hint="eastAsia"/>
          <w:sz w:val="24"/>
          <w:szCs w:val="24"/>
          <w:lang w:eastAsia="zh-CN"/>
        </w:rPr>
        <w:t>持续</w:t>
      </w:r>
      <w:r w:rsidR="003C1F1C">
        <w:rPr>
          <w:rFonts w:ascii="华文楷体" w:hAnsi="华文楷体" w:hint="eastAsia"/>
          <w:sz w:val="24"/>
          <w:szCs w:val="24"/>
          <w:lang w:eastAsia="zh-CN"/>
        </w:rPr>
        <w:t>平稳，小幅上</w:t>
      </w:r>
      <w:r w:rsidR="00847EB6">
        <w:rPr>
          <w:rFonts w:ascii="华文楷体" w:hAnsi="华文楷体" w:hint="eastAsia"/>
          <w:sz w:val="24"/>
          <w:szCs w:val="24"/>
          <w:lang w:eastAsia="zh-CN"/>
        </w:rPr>
        <w:t>行</w:t>
      </w:r>
      <w:r w:rsidR="003C1F1C">
        <w:rPr>
          <w:rFonts w:ascii="华文楷体" w:hAnsi="华文楷体" w:hint="eastAsia"/>
          <w:sz w:val="24"/>
          <w:szCs w:val="24"/>
          <w:lang w:eastAsia="zh-CN"/>
        </w:rPr>
        <w:t>，上行幅度有限</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3C1F1C">
        <w:rPr>
          <w:rFonts w:ascii="华文楷体" w:hAnsi="华文楷体" w:hint="eastAsia"/>
          <w:sz w:val="24"/>
          <w:szCs w:val="24"/>
          <w:lang w:eastAsia="zh-CN"/>
        </w:rPr>
        <w:t>上</w:t>
      </w:r>
      <w:r w:rsidR="00414307">
        <w:rPr>
          <w:rFonts w:ascii="华文楷体" w:hAnsi="华文楷体" w:hint="eastAsia"/>
          <w:sz w:val="24"/>
          <w:szCs w:val="24"/>
          <w:lang w:eastAsia="zh-CN"/>
        </w:rPr>
        <w:t>行</w:t>
      </w:r>
      <w:r w:rsidR="003C1F1C">
        <w:rPr>
          <w:rFonts w:ascii="华文楷体" w:hAnsi="华文楷体" w:hint="eastAsia"/>
          <w:sz w:val="24"/>
          <w:szCs w:val="24"/>
          <w:lang w:eastAsia="zh-CN"/>
        </w:rPr>
        <w:t>15</w:t>
      </w:r>
      <w:r w:rsidR="002D361C">
        <w:rPr>
          <w:rFonts w:ascii="华文楷体" w:hAnsi="华文楷体" w:hint="eastAsia"/>
          <w:sz w:val="24"/>
          <w:szCs w:val="24"/>
          <w:lang w:eastAsia="zh-CN"/>
        </w:rPr>
        <w:t>BP至</w:t>
      </w:r>
      <w:r w:rsidR="00414307">
        <w:rPr>
          <w:rFonts w:ascii="华文楷体" w:hAnsi="华文楷体" w:hint="eastAsia"/>
          <w:sz w:val="24"/>
          <w:szCs w:val="24"/>
          <w:lang w:eastAsia="zh-CN"/>
        </w:rPr>
        <w:t>1</w:t>
      </w:r>
      <w:r w:rsidR="00B92F0A">
        <w:rPr>
          <w:rFonts w:ascii="华文楷体" w:hAnsi="华文楷体" w:hint="eastAsia"/>
          <w:sz w:val="24"/>
          <w:szCs w:val="24"/>
          <w:lang w:eastAsia="zh-CN"/>
        </w:rPr>
        <w:t>.</w:t>
      </w:r>
      <w:r w:rsidR="003C1F1C">
        <w:rPr>
          <w:rFonts w:ascii="华文楷体" w:hAnsi="华文楷体" w:hint="eastAsia"/>
          <w:sz w:val="24"/>
          <w:szCs w:val="24"/>
          <w:lang w:eastAsia="zh-CN"/>
        </w:rPr>
        <w:t>97</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3C1F1C">
        <w:rPr>
          <w:rFonts w:ascii="华文楷体" w:hAnsi="华文楷体" w:hint="eastAsia"/>
          <w:sz w:val="24"/>
          <w:szCs w:val="24"/>
          <w:lang w:eastAsia="zh-CN"/>
        </w:rPr>
        <w:t>上</w:t>
      </w:r>
      <w:r w:rsidR="00847EB6">
        <w:rPr>
          <w:rFonts w:ascii="华文楷体" w:hAnsi="华文楷体" w:hint="eastAsia"/>
          <w:sz w:val="24"/>
          <w:szCs w:val="24"/>
          <w:lang w:eastAsia="zh-CN"/>
        </w:rPr>
        <w:t>行</w:t>
      </w:r>
      <w:r w:rsidR="003C1F1C">
        <w:rPr>
          <w:rFonts w:ascii="华文楷体" w:hAnsi="华文楷体" w:hint="eastAsia"/>
          <w:sz w:val="24"/>
          <w:szCs w:val="24"/>
          <w:lang w:eastAsia="zh-CN"/>
        </w:rPr>
        <w:t>24</w:t>
      </w:r>
      <w:r w:rsidR="00D9413F">
        <w:rPr>
          <w:rFonts w:ascii="华文楷体" w:hAnsi="华文楷体" w:hint="eastAsia"/>
          <w:sz w:val="24"/>
          <w:szCs w:val="24"/>
          <w:lang w:eastAsia="zh-CN"/>
        </w:rPr>
        <w:t>BP至</w:t>
      </w:r>
      <w:r w:rsidR="003C1F1C">
        <w:rPr>
          <w:rFonts w:ascii="华文楷体" w:hAnsi="华文楷体" w:hint="eastAsia"/>
          <w:sz w:val="24"/>
          <w:szCs w:val="24"/>
          <w:lang w:eastAsia="zh-CN"/>
        </w:rPr>
        <w:t>2.17</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，跨月归来资金价格持续平稳，</w:t>
      </w:r>
      <w:r w:rsidR="00B92F0A">
        <w:rPr>
          <w:rFonts w:ascii="华文楷体" w:hAnsi="华文楷体" w:hint="eastAsia"/>
          <w:sz w:val="24"/>
          <w:szCs w:val="24"/>
          <w:lang w:eastAsia="zh-CN"/>
        </w:rPr>
        <w:t>隔夜7</w:t>
      </w:r>
      <w:r w:rsidR="003C1F1C">
        <w:rPr>
          <w:rFonts w:ascii="华文楷体" w:hAnsi="华文楷体" w:hint="eastAsia"/>
          <w:sz w:val="24"/>
          <w:szCs w:val="24"/>
          <w:lang w:eastAsia="zh-CN"/>
        </w:rPr>
        <w:t>天利差水平持续收</w:t>
      </w:r>
      <w:r w:rsidR="00B92F0A">
        <w:rPr>
          <w:rFonts w:ascii="华文楷体" w:hAnsi="华文楷体" w:hint="eastAsia"/>
          <w:sz w:val="24"/>
          <w:szCs w:val="24"/>
          <w:lang w:eastAsia="zh-CN"/>
        </w:rPr>
        <w:t>窄</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E7765C">
        <w:tblPrEx>
          <w:tblCellMar>
            <w:left w:w="108" w:type="dxa"/>
            <w:right w:w="108" w:type="dxa"/>
          </w:tblCellMar>
        </w:tblPrEx>
        <w:trPr>
          <w:jc w:val="center"/>
        </w:trPr>
        <w:tc>
          <w:tcPr>
            <w:tcW w:w="4939" w:type="dxa"/>
            <w:vAlign w:val="center"/>
          </w:tcPr>
          <w:p w14:paraId="60AEAEDC" w14:textId="5A0D2A1B" w:rsidR="00E0626C" w:rsidRPr="003C6AC1" w:rsidRDefault="00E7765C" w:rsidP="009A2BA0">
            <w:pPr>
              <w:jc w:val="center"/>
              <w:rPr>
                <w:noProof/>
                <w:sz w:val="20"/>
              </w:rPr>
            </w:pPr>
            <w:r>
              <w:rPr>
                <w:noProof/>
              </w:rPr>
              <w:drawing>
                <wp:inline distT="0" distB="0" distL="0" distR="0" wp14:anchorId="46153F1A" wp14:editId="65C05B22">
                  <wp:extent cx="2999105" cy="1746783"/>
                  <wp:effectExtent l="0" t="0" r="0" b="6350"/>
                  <wp:docPr id="1" name="图表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B4202B2" w:rsidR="00E0626C" w:rsidRPr="00F62F43" w:rsidRDefault="00E7765C" w:rsidP="009A2BA0">
            <w:pPr>
              <w:jc w:val="center"/>
              <w:rPr>
                <w:noProof/>
                <w:sz w:val="16"/>
                <w:szCs w:val="18"/>
              </w:rPr>
            </w:pPr>
            <w:r>
              <w:rPr>
                <w:noProof/>
              </w:rPr>
              <w:drawing>
                <wp:inline distT="0" distB="0" distL="0" distR="0" wp14:anchorId="4E6E22AE" wp14:editId="0BA85609">
                  <wp:extent cx="3065069" cy="1746250"/>
                  <wp:effectExtent l="0" t="0" r="2540" b="6350"/>
                  <wp:docPr id="19" name="图表 19">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1ED01F2"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F45C6B">
        <w:rPr>
          <w:rFonts w:ascii="华文楷体" w:hAnsi="华文楷体" w:hint="eastAsia"/>
          <w:sz w:val="24"/>
          <w:szCs w:val="24"/>
          <w:lang w:eastAsia="zh-CN"/>
        </w:rPr>
        <w:t>品种</w:t>
      </w:r>
      <w:r>
        <w:rPr>
          <w:rFonts w:ascii="华文楷体" w:hAnsi="华文楷体" w:hint="eastAsia"/>
          <w:sz w:val="24"/>
          <w:szCs w:val="24"/>
          <w:lang w:eastAsia="zh-CN"/>
        </w:rPr>
        <w:t>多数下行，3M期限适度上行波动略大</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8626FC">
        <w:rPr>
          <w:rFonts w:ascii="华文楷体" w:hAnsi="华文楷体" w:hint="eastAsia"/>
          <w:sz w:val="24"/>
          <w:szCs w:val="24"/>
          <w:lang w:eastAsia="zh-CN"/>
        </w:rPr>
        <w:t>6</w:t>
      </w:r>
      <w:r>
        <w:rPr>
          <w:rFonts w:ascii="华文楷体" w:hAnsi="华文楷体" w:hint="eastAsia"/>
          <w:sz w:val="24"/>
          <w:szCs w:val="24"/>
          <w:lang w:eastAsia="zh-CN"/>
        </w:rPr>
        <w:t>3</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20149">
        <w:rPr>
          <w:rFonts w:ascii="华文楷体" w:hAnsi="华文楷体"/>
          <w:sz w:val="24"/>
          <w:szCs w:val="24"/>
          <w:lang w:eastAsia="zh-CN"/>
        </w:rPr>
        <w:t>8</w:t>
      </w:r>
      <w:r>
        <w:rPr>
          <w:rFonts w:ascii="华文楷体" w:hAnsi="华文楷体" w:hint="eastAsia"/>
          <w:sz w:val="24"/>
          <w:szCs w:val="24"/>
          <w:lang w:eastAsia="zh-CN"/>
        </w:rPr>
        <w:t>7</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Pr>
          <w:rFonts w:ascii="华文楷体" w:hAnsi="华文楷体" w:hint="eastAsia"/>
          <w:sz w:val="24"/>
          <w:szCs w:val="24"/>
          <w:lang w:eastAsia="zh-CN"/>
        </w:rPr>
        <w:t>下行4.9</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Pr>
          <w:rFonts w:ascii="华文楷体" w:hAnsi="华文楷体" w:hint="eastAsia"/>
          <w:sz w:val="24"/>
          <w:szCs w:val="24"/>
          <w:lang w:eastAsia="zh-CN"/>
        </w:rPr>
        <w:t>下行</w:t>
      </w:r>
      <w:proofErr w:type="gramEnd"/>
      <w:r>
        <w:rPr>
          <w:rFonts w:ascii="华文楷体" w:hAnsi="华文楷体" w:hint="eastAsia"/>
          <w:sz w:val="24"/>
          <w:szCs w:val="24"/>
          <w:lang w:eastAsia="zh-CN"/>
        </w:rPr>
        <w:t>5.7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3C0E83">
        <w:rPr>
          <w:rFonts w:ascii="华文楷体" w:hAnsi="华文楷体" w:hint="eastAsia"/>
          <w:sz w:val="24"/>
          <w:szCs w:val="24"/>
          <w:lang w:eastAsia="zh-CN"/>
        </w:rPr>
        <w:t>3</w:t>
      </w:r>
      <w:r>
        <w:rPr>
          <w:rFonts w:ascii="华文楷体" w:hAnsi="华文楷体" w:hint="eastAsia"/>
          <w:sz w:val="24"/>
          <w:szCs w:val="24"/>
          <w:lang w:eastAsia="zh-CN"/>
        </w:rPr>
        <w:t>6</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3645F">
        <w:tblPrEx>
          <w:tblCellMar>
            <w:left w:w="108" w:type="dxa"/>
            <w:right w:w="108" w:type="dxa"/>
          </w:tblCellMar>
        </w:tblPrEx>
        <w:trPr>
          <w:jc w:val="center"/>
        </w:trPr>
        <w:tc>
          <w:tcPr>
            <w:tcW w:w="4939" w:type="dxa"/>
            <w:vAlign w:val="center"/>
          </w:tcPr>
          <w:p w14:paraId="678C97B0" w14:textId="5269ACF8" w:rsidR="00E0626C" w:rsidRPr="007E0340" w:rsidRDefault="0093645F" w:rsidP="002104B2">
            <w:pPr>
              <w:rPr>
                <w:noProof/>
              </w:rPr>
            </w:pPr>
            <w:r>
              <w:rPr>
                <w:noProof/>
              </w:rPr>
              <w:drawing>
                <wp:inline distT="0" distB="0" distL="0" distR="0" wp14:anchorId="3B1D93B7" wp14:editId="4B104F89">
                  <wp:extent cx="2999105" cy="1750695"/>
                  <wp:effectExtent l="0" t="0" r="0" b="1905"/>
                  <wp:docPr id="17" name="图表 17">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4F91A7EF" w:rsidR="00E0626C" w:rsidRPr="007E0340" w:rsidRDefault="0093645F" w:rsidP="009A2BA0">
            <w:pPr>
              <w:jc w:val="center"/>
              <w:rPr>
                <w:noProof/>
                <w:szCs w:val="18"/>
              </w:rPr>
            </w:pPr>
            <w:r>
              <w:rPr>
                <w:noProof/>
              </w:rPr>
              <w:drawing>
                <wp:inline distT="0" distB="0" distL="0" distR="0" wp14:anchorId="21E4543E" wp14:editId="202A2794">
                  <wp:extent cx="2998470" cy="1750594"/>
                  <wp:effectExtent l="0" t="0" r="0" b="2540"/>
                  <wp:docPr id="18" name="图表 1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15348422"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3645F" w:rsidRPr="0093645F">
        <w:rPr>
          <w:rFonts w:ascii="华文楷体" w:hAnsi="华文楷体" w:hint="eastAsia"/>
          <w:sz w:val="24"/>
          <w:szCs w:val="24"/>
          <w:lang w:eastAsia="zh-CN"/>
        </w:rPr>
        <w:t>主要期限品种适度下行，其中1Y期限和3Y期限下行幅度相对明显，幅度在3-8BP，</w:t>
      </w:r>
      <w:proofErr w:type="gramStart"/>
      <w:r w:rsidR="0093645F" w:rsidRPr="0093645F">
        <w:rPr>
          <w:rFonts w:ascii="华文楷体" w:hAnsi="华文楷体" w:hint="eastAsia"/>
          <w:sz w:val="24"/>
          <w:szCs w:val="24"/>
          <w:lang w:eastAsia="zh-CN"/>
        </w:rPr>
        <w:t>城投债</w:t>
      </w:r>
      <w:proofErr w:type="gramEnd"/>
      <w:r w:rsidR="0093645F" w:rsidRPr="0093645F">
        <w:rPr>
          <w:rFonts w:ascii="华文楷体" w:hAnsi="华文楷体" w:hint="eastAsia"/>
          <w:sz w:val="24"/>
          <w:szCs w:val="24"/>
          <w:lang w:eastAsia="zh-CN"/>
        </w:rPr>
        <w:t>3Y和5Y期限均有较明显下行，幅度在5-10BP，整体情绪及表现相对较好。</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93645F">
        <w:rPr>
          <w:rFonts w:ascii="华文楷体" w:hAnsi="华文楷体" w:hint="eastAsia"/>
          <w:sz w:val="24"/>
          <w:szCs w:val="24"/>
          <w:lang w:eastAsia="zh-CN"/>
        </w:rPr>
        <w:t>2</w:t>
      </w:r>
      <w:r w:rsidR="00A55DFD">
        <w:rPr>
          <w:rFonts w:ascii="华文楷体" w:hAnsi="华文楷体" w:hint="eastAsia"/>
          <w:sz w:val="24"/>
          <w:szCs w:val="24"/>
          <w:lang w:eastAsia="zh-CN"/>
        </w:rPr>
        <w:t>-</w:t>
      </w:r>
      <w:r w:rsidR="00A55DFD">
        <w:rPr>
          <w:rFonts w:ascii="华文楷体" w:hAnsi="华文楷体"/>
          <w:sz w:val="24"/>
          <w:szCs w:val="24"/>
          <w:lang w:eastAsia="zh-CN"/>
        </w:rPr>
        <w:t>2</w:t>
      </w:r>
      <w:r w:rsidR="00F54091">
        <w:rPr>
          <w:rFonts w:ascii="华文楷体" w:hAnsi="华文楷体" w:hint="eastAsia"/>
          <w:sz w:val="24"/>
          <w:szCs w:val="24"/>
          <w:lang w:eastAsia="zh-CN"/>
        </w:rPr>
        <w:t>6</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18</w:t>
      </w:r>
      <w:r w:rsidR="00EF3B44">
        <w:rPr>
          <w:rFonts w:ascii="华文楷体" w:hAnsi="华文楷体" w:hint="eastAsia"/>
          <w:sz w:val="24"/>
          <w:szCs w:val="24"/>
          <w:lang w:eastAsia="zh-CN"/>
        </w:rPr>
        <w:t>-</w:t>
      </w:r>
      <w:r w:rsidR="00F54091">
        <w:rPr>
          <w:rFonts w:ascii="华文楷体" w:hAnsi="华文楷体" w:hint="eastAsia"/>
          <w:sz w:val="24"/>
          <w:szCs w:val="24"/>
          <w:lang w:eastAsia="zh-CN"/>
        </w:rPr>
        <w:t>2</w:t>
      </w:r>
      <w:r w:rsidR="0093645F">
        <w:rPr>
          <w:rFonts w:ascii="华文楷体" w:hAnsi="华文楷体" w:hint="eastAsia"/>
          <w:sz w:val="24"/>
          <w:szCs w:val="24"/>
          <w:lang w:eastAsia="zh-CN"/>
        </w:rPr>
        <w:t>4</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93645F">
        <w:rPr>
          <w:rFonts w:ascii="华文楷体" w:hAnsi="华文楷体" w:hint="eastAsia"/>
          <w:sz w:val="24"/>
          <w:szCs w:val="24"/>
          <w:lang w:eastAsia="zh-CN"/>
        </w:rPr>
        <w:t>9</w:t>
      </w:r>
      <w:r w:rsidR="004F1AB3">
        <w:rPr>
          <w:rFonts w:ascii="华文楷体" w:hAnsi="华文楷体" w:hint="eastAsia"/>
          <w:sz w:val="24"/>
          <w:szCs w:val="24"/>
          <w:lang w:eastAsia="zh-CN"/>
        </w:rPr>
        <w:t>-</w:t>
      </w:r>
      <w:r w:rsidR="0093645F">
        <w:rPr>
          <w:rFonts w:ascii="华文楷体" w:hAnsi="华文楷体" w:hint="eastAsia"/>
          <w:sz w:val="24"/>
          <w:szCs w:val="24"/>
          <w:lang w:eastAsia="zh-CN"/>
        </w:rPr>
        <w:t>18</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93645F" w:rsidRPr="0093645F" w14:paraId="2D5412D8" w14:textId="77777777" w:rsidTr="0093645F">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56196747"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279C0256"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712542B"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533AE92"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ABCCC51"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27F6F886"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48A8EFE4"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407D50C"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B84F153"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62AA6F7"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r>
            <w:tr w:rsidR="0093645F" w:rsidRPr="0093645F" w14:paraId="462342E8" w14:textId="77777777" w:rsidTr="0093645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0D63BC64"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63F0C9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2.99 </w:t>
                  </w:r>
                </w:p>
              </w:tc>
              <w:tc>
                <w:tcPr>
                  <w:tcW w:w="921" w:type="dxa"/>
                  <w:tcBorders>
                    <w:top w:val="nil"/>
                    <w:left w:val="nil"/>
                    <w:bottom w:val="single" w:sz="8" w:space="0" w:color="FFFFFF"/>
                    <w:right w:val="single" w:sz="8" w:space="0" w:color="FFFFFF"/>
                  </w:tcBorders>
                  <w:shd w:val="clear" w:color="000000" w:fill="FCD5B4"/>
                  <w:noWrap/>
                  <w:vAlign w:val="center"/>
                  <w:hideMark/>
                </w:tcPr>
                <w:p w14:paraId="7BD2C28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3.16 </w:t>
                  </w:r>
                </w:p>
              </w:tc>
              <w:tc>
                <w:tcPr>
                  <w:tcW w:w="921" w:type="dxa"/>
                  <w:tcBorders>
                    <w:top w:val="nil"/>
                    <w:left w:val="nil"/>
                    <w:bottom w:val="single" w:sz="8" w:space="0" w:color="FFFFFF"/>
                    <w:right w:val="single" w:sz="8" w:space="0" w:color="FFFFFF"/>
                  </w:tcBorders>
                  <w:shd w:val="clear" w:color="000000" w:fill="FCD5B4"/>
                  <w:noWrap/>
                  <w:vAlign w:val="center"/>
                  <w:hideMark/>
                </w:tcPr>
                <w:p w14:paraId="5F7DFF1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3.48 </w:t>
                  </w:r>
                </w:p>
              </w:tc>
              <w:tc>
                <w:tcPr>
                  <w:tcW w:w="921" w:type="dxa"/>
                  <w:tcBorders>
                    <w:top w:val="nil"/>
                    <w:left w:val="nil"/>
                    <w:bottom w:val="single" w:sz="8" w:space="0" w:color="FFFFFF"/>
                    <w:right w:val="single" w:sz="8" w:space="0" w:color="FFFFFF"/>
                  </w:tcBorders>
                  <w:shd w:val="clear" w:color="000000" w:fill="FCD5B4"/>
                  <w:noWrap/>
                  <w:vAlign w:val="center"/>
                  <w:hideMark/>
                </w:tcPr>
                <w:p w14:paraId="7FB1441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5.65 </w:t>
                  </w:r>
                </w:p>
              </w:tc>
              <w:tc>
                <w:tcPr>
                  <w:tcW w:w="1157" w:type="dxa"/>
                  <w:tcBorders>
                    <w:top w:val="nil"/>
                    <w:left w:val="nil"/>
                    <w:bottom w:val="single" w:sz="8" w:space="0" w:color="FFFFFF"/>
                    <w:right w:val="single" w:sz="8" w:space="0" w:color="FFFFFF"/>
                  </w:tcBorders>
                  <w:shd w:val="clear" w:color="000000" w:fill="FCD5B4"/>
                  <w:noWrap/>
                  <w:vAlign w:val="center"/>
                  <w:hideMark/>
                </w:tcPr>
                <w:p w14:paraId="4E8F1667"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25B4FA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0.46 </w:t>
                  </w:r>
                </w:p>
              </w:tc>
              <w:tc>
                <w:tcPr>
                  <w:tcW w:w="921" w:type="dxa"/>
                  <w:tcBorders>
                    <w:top w:val="nil"/>
                    <w:left w:val="nil"/>
                    <w:bottom w:val="single" w:sz="8" w:space="0" w:color="FFFFFF"/>
                    <w:right w:val="single" w:sz="8" w:space="0" w:color="FFFFFF"/>
                  </w:tcBorders>
                  <w:shd w:val="clear" w:color="000000" w:fill="FCD5B4"/>
                  <w:noWrap/>
                  <w:vAlign w:val="center"/>
                  <w:hideMark/>
                </w:tcPr>
                <w:p w14:paraId="640B722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0.63 </w:t>
                  </w:r>
                </w:p>
              </w:tc>
              <w:tc>
                <w:tcPr>
                  <w:tcW w:w="921" w:type="dxa"/>
                  <w:tcBorders>
                    <w:top w:val="nil"/>
                    <w:left w:val="nil"/>
                    <w:bottom w:val="single" w:sz="8" w:space="0" w:color="FFFFFF"/>
                    <w:right w:val="single" w:sz="8" w:space="0" w:color="FFFFFF"/>
                  </w:tcBorders>
                  <w:shd w:val="clear" w:color="000000" w:fill="FCD5B4"/>
                  <w:noWrap/>
                  <w:vAlign w:val="center"/>
                  <w:hideMark/>
                </w:tcPr>
                <w:p w14:paraId="26278D7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CD5B4"/>
                  <w:noWrap/>
                  <w:vAlign w:val="center"/>
                  <w:hideMark/>
                </w:tcPr>
                <w:p w14:paraId="566A469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3.12 </w:t>
                  </w:r>
                </w:p>
              </w:tc>
            </w:tr>
            <w:tr w:rsidR="0093645F" w:rsidRPr="0093645F" w14:paraId="0513FD26"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1CAAAA0"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700AEF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3.49 </w:t>
                  </w:r>
                </w:p>
              </w:tc>
              <w:tc>
                <w:tcPr>
                  <w:tcW w:w="921" w:type="dxa"/>
                  <w:tcBorders>
                    <w:top w:val="nil"/>
                    <w:left w:val="nil"/>
                    <w:bottom w:val="single" w:sz="8" w:space="0" w:color="FFFFFF"/>
                    <w:right w:val="single" w:sz="8" w:space="0" w:color="FFFFFF"/>
                  </w:tcBorders>
                  <w:shd w:val="clear" w:color="000000" w:fill="FDE9D9"/>
                  <w:noWrap/>
                  <w:vAlign w:val="center"/>
                  <w:hideMark/>
                </w:tcPr>
                <w:p w14:paraId="20460B3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3.78 </w:t>
                  </w:r>
                </w:p>
              </w:tc>
              <w:tc>
                <w:tcPr>
                  <w:tcW w:w="921" w:type="dxa"/>
                  <w:tcBorders>
                    <w:top w:val="nil"/>
                    <w:left w:val="nil"/>
                    <w:bottom w:val="single" w:sz="8" w:space="0" w:color="FFFFFF"/>
                    <w:right w:val="single" w:sz="8" w:space="0" w:color="FFFFFF"/>
                  </w:tcBorders>
                  <w:shd w:val="clear" w:color="000000" w:fill="FDE9D9"/>
                  <w:noWrap/>
                  <w:vAlign w:val="center"/>
                  <w:hideMark/>
                </w:tcPr>
                <w:p w14:paraId="3A28CE4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4.19 </w:t>
                  </w:r>
                </w:p>
              </w:tc>
              <w:tc>
                <w:tcPr>
                  <w:tcW w:w="921" w:type="dxa"/>
                  <w:tcBorders>
                    <w:top w:val="nil"/>
                    <w:left w:val="nil"/>
                    <w:bottom w:val="single" w:sz="8" w:space="0" w:color="FFFFFF"/>
                    <w:right w:val="single" w:sz="8" w:space="0" w:color="FFFFFF"/>
                  </w:tcBorders>
                  <w:shd w:val="clear" w:color="000000" w:fill="FDE9D9"/>
                  <w:noWrap/>
                  <w:vAlign w:val="center"/>
                  <w:hideMark/>
                </w:tcPr>
                <w:p w14:paraId="4A7EC52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6.36 </w:t>
                  </w:r>
                </w:p>
              </w:tc>
              <w:tc>
                <w:tcPr>
                  <w:tcW w:w="1157" w:type="dxa"/>
                  <w:tcBorders>
                    <w:top w:val="nil"/>
                    <w:left w:val="nil"/>
                    <w:bottom w:val="single" w:sz="8" w:space="0" w:color="FFFFFF"/>
                    <w:right w:val="single" w:sz="8" w:space="0" w:color="FFFFFF"/>
                  </w:tcBorders>
                  <w:shd w:val="clear" w:color="000000" w:fill="FDE9D9"/>
                  <w:noWrap/>
                  <w:vAlign w:val="center"/>
                  <w:hideMark/>
                </w:tcPr>
                <w:p w14:paraId="7C5E1B97"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155796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0.66 </w:t>
                  </w:r>
                </w:p>
              </w:tc>
              <w:tc>
                <w:tcPr>
                  <w:tcW w:w="921" w:type="dxa"/>
                  <w:tcBorders>
                    <w:top w:val="nil"/>
                    <w:left w:val="nil"/>
                    <w:bottom w:val="single" w:sz="8" w:space="0" w:color="FFFFFF"/>
                    <w:right w:val="single" w:sz="8" w:space="0" w:color="FFFFFF"/>
                  </w:tcBorders>
                  <w:shd w:val="clear" w:color="000000" w:fill="FDE9D9"/>
                  <w:noWrap/>
                  <w:vAlign w:val="center"/>
                  <w:hideMark/>
                </w:tcPr>
                <w:p w14:paraId="072010F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DE9D9"/>
                  <w:noWrap/>
                  <w:vAlign w:val="center"/>
                  <w:hideMark/>
                </w:tcPr>
                <w:p w14:paraId="74374FF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1.36 </w:t>
                  </w:r>
                </w:p>
              </w:tc>
              <w:tc>
                <w:tcPr>
                  <w:tcW w:w="921" w:type="dxa"/>
                  <w:tcBorders>
                    <w:top w:val="nil"/>
                    <w:left w:val="nil"/>
                    <w:bottom w:val="single" w:sz="8" w:space="0" w:color="FFFFFF"/>
                    <w:right w:val="single" w:sz="8" w:space="0" w:color="FFFFFF"/>
                  </w:tcBorders>
                  <w:shd w:val="clear" w:color="000000" w:fill="FDE9D9"/>
                  <w:noWrap/>
                  <w:vAlign w:val="center"/>
                  <w:hideMark/>
                </w:tcPr>
                <w:p w14:paraId="09044D3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3.53 </w:t>
                  </w:r>
                </w:p>
              </w:tc>
            </w:tr>
            <w:tr w:rsidR="0093645F" w:rsidRPr="0093645F" w14:paraId="6927ABD0"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AE34211"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2B6A66E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3.75 </w:t>
                  </w:r>
                </w:p>
              </w:tc>
              <w:tc>
                <w:tcPr>
                  <w:tcW w:w="921" w:type="dxa"/>
                  <w:tcBorders>
                    <w:top w:val="nil"/>
                    <w:left w:val="nil"/>
                    <w:bottom w:val="single" w:sz="8" w:space="0" w:color="FFFFFF"/>
                    <w:right w:val="single" w:sz="8" w:space="0" w:color="FFFFFF"/>
                  </w:tcBorders>
                  <w:shd w:val="clear" w:color="000000" w:fill="FCD5B4"/>
                  <w:noWrap/>
                  <w:vAlign w:val="center"/>
                  <w:hideMark/>
                </w:tcPr>
                <w:p w14:paraId="2BFABF4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4.08 </w:t>
                  </w:r>
                </w:p>
              </w:tc>
              <w:tc>
                <w:tcPr>
                  <w:tcW w:w="921" w:type="dxa"/>
                  <w:tcBorders>
                    <w:top w:val="nil"/>
                    <w:left w:val="nil"/>
                    <w:bottom w:val="single" w:sz="8" w:space="0" w:color="FFFFFF"/>
                    <w:right w:val="single" w:sz="8" w:space="0" w:color="FFFFFF"/>
                  </w:tcBorders>
                  <w:shd w:val="clear" w:color="000000" w:fill="FCD5B4"/>
                  <w:noWrap/>
                  <w:vAlign w:val="center"/>
                  <w:hideMark/>
                </w:tcPr>
                <w:p w14:paraId="4D89D1D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4.58 </w:t>
                  </w:r>
                </w:p>
              </w:tc>
              <w:tc>
                <w:tcPr>
                  <w:tcW w:w="921" w:type="dxa"/>
                  <w:tcBorders>
                    <w:top w:val="nil"/>
                    <w:left w:val="nil"/>
                    <w:bottom w:val="single" w:sz="8" w:space="0" w:color="FFFFFF"/>
                    <w:right w:val="single" w:sz="8" w:space="0" w:color="FFFFFF"/>
                  </w:tcBorders>
                  <w:shd w:val="clear" w:color="000000" w:fill="FCD5B4"/>
                  <w:noWrap/>
                  <w:vAlign w:val="center"/>
                  <w:hideMark/>
                </w:tcPr>
                <w:p w14:paraId="3B43783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6.75 </w:t>
                  </w:r>
                </w:p>
              </w:tc>
              <w:tc>
                <w:tcPr>
                  <w:tcW w:w="1157" w:type="dxa"/>
                  <w:tcBorders>
                    <w:top w:val="nil"/>
                    <w:left w:val="nil"/>
                    <w:bottom w:val="single" w:sz="8" w:space="0" w:color="FFFFFF"/>
                    <w:right w:val="single" w:sz="8" w:space="0" w:color="FFFFFF"/>
                  </w:tcBorders>
                  <w:shd w:val="clear" w:color="000000" w:fill="FCD5B4"/>
                  <w:noWrap/>
                  <w:vAlign w:val="center"/>
                  <w:hideMark/>
                </w:tcPr>
                <w:p w14:paraId="2668041E"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F72AB7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CD5B4"/>
                  <w:noWrap/>
                  <w:vAlign w:val="center"/>
                  <w:hideMark/>
                </w:tcPr>
                <w:p w14:paraId="6D28F9C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1.10 </w:t>
                  </w:r>
                </w:p>
              </w:tc>
              <w:tc>
                <w:tcPr>
                  <w:tcW w:w="921" w:type="dxa"/>
                  <w:tcBorders>
                    <w:top w:val="nil"/>
                    <w:left w:val="nil"/>
                    <w:bottom w:val="single" w:sz="8" w:space="0" w:color="FFFFFF"/>
                    <w:right w:val="single" w:sz="8" w:space="0" w:color="FFFFFF"/>
                  </w:tcBorders>
                  <w:shd w:val="clear" w:color="000000" w:fill="FCD5B4"/>
                  <w:noWrap/>
                  <w:vAlign w:val="center"/>
                  <w:hideMark/>
                </w:tcPr>
                <w:p w14:paraId="58022EF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1.60 </w:t>
                  </w:r>
                </w:p>
              </w:tc>
              <w:tc>
                <w:tcPr>
                  <w:tcW w:w="921" w:type="dxa"/>
                  <w:tcBorders>
                    <w:top w:val="nil"/>
                    <w:left w:val="nil"/>
                    <w:bottom w:val="single" w:sz="8" w:space="0" w:color="FFFFFF"/>
                    <w:right w:val="single" w:sz="8" w:space="0" w:color="FFFFFF"/>
                  </w:tcBorders>
                  <w:shd w:val="clear" w:color="000000" w:fill="FCD5B4"/>
                  <w:noWrap/>
                  <w:vAlign w:val="center"/>
                  <w:hideMark/>
                </w:tcPr>
                <w:p w14:paraId="66D0891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3.77 </w:t>
                  </w:r>
                </w:p>
              </w:tc>
            </w:tr>
            <w:tr w:rsidR="0093645F" w:rsidRPr="0093645F" w14:paraId="7FE91314"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1F74BD1"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724511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3.46 </w:t>
                  </w:r>
                </w:p>
              </w:tc>
              <w:tc>
                <w:tcPr>
                  <w:tcW w:w="921" w:type="dxa"/>
                  <w:tcBorders>
                    <w:top w:val="nil"/>
                    <w:left w:val="nil"/>
                    <w:bottom w:val="single" w:sz="8" w:space="0" w:color="FFFFFF"/>
                    <w:right w:val="single" w:sz="8" w:space="0" w:color="FFFFFF"/>
                  </w:tcBorders>
                  <w:shd w:val="clear" w:color="000000" w:fill="FDE9D9"/>
                  <w:noWrap/>
                  <w:vAlign w:val="center"/>
                  <w:hideMark/>
                </w:tcPr>
                <w:p w14:paraId="4746BF3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3.71 </w:t>
                  </w:r>
                </w:p>
              </w:tc>
              <w:tc>
                <w:tcPr>
                  <w:tcW w:w="921" w:type="dxa"/>
                  <w:tcBorders>
                    <w:top w:val="nil"/>
                    <w:left w:val="nil"/>
                    <w:bottom w:val="single" w:sz="8" w:space="0" w:color="FFFFFF"/>
                    <w:right w:val="single" w:sz="8" w:space="0" w:color="FFFFFF"/>
                  </w:tcBorders>
                  <w:shd w:val="clear" w:color="000000" w:fill="FDE9D9"/>
                  <w:noWrap/>
                  <w:vAlign w:val="center"/>
                  <w:hideMark/>
                </w:tcPr>
                <w:p w14:paraId="0023345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4.21 </w:t>
                  </w:r>
                </w:p>
              </w:tc>
              <w:tc>
                <w:tcPr>
                  <w:tcW w:w="921" w:type="dxa"/>
                  <w:tcBorders>
                    <w:top w:val="nil"/>
                    <w:left w:val="nil"/>
                    <w:bottom w:val="single" w:sz="8" w:space="0" w:color="FFFFFF"/>
                    <w:right w:val="single" w:sz="8" w:space="0" w:color="FFFFFF"/>
                  </w:tcBorders>
                  <w:shd w:val="clear" w:color="000000" w:fill="FDE9D9"/>
                  <w:noWrap/>
                  <w:vAlign w:val="center"/>
                  <w:hideMark/>
                </w:tcPr>
                <w:p w14:paraId="619BDBC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6.43 </w:t>
                  </w:r>
                </w:p>
              </w:tc>
              <w:tc>
                <w:tcPr>
                  <w:tcW w:w="1157" w:type="dxa"/>
                  <w:tcBorders>
                    <w:top w:val="nil"/>
                    <w:left w:val="nil"/>
                    <w:bottom w:val="single" w:sz="8" w:space="0" w:color="FFFFFF"/>
                    <w:right w:val="single" w:sz="8" w:space="0" w:color="FFFFFF"/>
                  </w:tcBorders>
                  <w:shd w:val="clear" w:color="000000" w:fill="FDE9D9"/>
                  <w:noWrap/>
                  <w:vAlign w:val="center"/>
                  <w:hideMark/>
                </w:tcPr>
                <w:p w14:paraId="334A2F0B"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3FFB762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0.63 </w:t>
                  </w:r>
                </w:p>
              </w:tc>
              <w:tc>
                <w:tcPr>
                  <w:tcW w:w="921" w:type="dxa"/>
                  <w:tcBorders>
                    <w:top w:val="nil"/>
                    <w:left w:val="nil"/>
                    <w:bottom w:val="single" w:sz="8" w:space="0" w:color="FFFFFF"/>
                    <w:right w:val="single" w:sz="8" w:space="0" w:color="FFFFFF"/>
                  </w:tcBorders>
                  <w:shd w:val="clear" w:color="000000" w:fill="FDE9D9"/>
                  <w:noWrap/>
                  <w:vAlign w:val="center"/>
                  <w:hideMark/>
                </w:tcPr>
                <w:p w14:paraId="2CEFFEF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0.88 </w:t>
                  </w:r>
                </w:p>
              </w:tc>
              <w:tc>
                <w:tcPr>
                  <w:tcW w:w="921" w:type="dxa"/>
                  <w:tcBorders>
                    <w:top w:val="nil"/>
                    <w:left w:val="nil"/>
                    <w:bottom w:val="single" w:sz="8" w:space="0" w:color="FFFFFF"/>
                    <w:right w:val="single" w:sz="8" w:space="0" w:color="FFFFFF"/>
                  </w:tcBorders>
                  <w:shd w:val="clear" w:color="000000" w:fill="FDE9D9"/>
                  <w:noWrap/>
                  <w:vAlign w:val="center"/>
                  <w:hideMark/>
                </w:tcPr>
                <w:p w14:paraId="0E1468C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1.38 </w:t>
                  </w:r>
                </w:p>
              </w:tc>
              <w:tc>
                <w:tcPr>
                  <w:tcW w:w="921" w:type="dxa"/>
                  <w:tcBorders>
                    <w:top w:val="nil"/>
                    <w:left w:val="nil"/>
                    <w:bottom w:val="single" w:sz="8" w:space="0" w:color="FFFFFF"/>
                    <w:right w:val="single" w:sz="8" w:space="0" w:color="FFFFFF"/>
                  </w:tcBorders>
                  <w:shd w:val="clear" w:color="000000" w:fill="FDE9D9"/>
                  <w:noWrap/>
                  <w:vAlign w:val="center"/>
                  <w:hideMark/>
                </w:tcPr>
                <w:p w14:paraId="40044C1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3.60 </w:t>
                  </w:r>
                </w:p>
              </w:tc>
            </w:tr>
            <w:tr w:rsidR="0093645F" w:rsidRPr="0093645F" w14:paraId="4339BF3E"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B8DF3F5"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7FD4C40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3.73 </w:t>
                  </w:r>
                </w:p>
              </w:tc>
              <w:tc>
                <w:tcPr>
                  <w:tcW w:w="921" w:type="dxa"/>
                  <w:tcBorders>
                    <w:top w:val="nil"/>
                    <w:left w:val="nil"/>
                    <w:bottom w:val="single" w:sz="8" w:space="0" w:color="FFFFFF"/>
                    <w:right w:val="single" w:sz="8" w:space="0" w:color="FFFFFF"/>
                  </w:tcBorders>
                  <w:shd w:val="clear" w:color="000000" w:fill="FCD5B4"/>
                  <w:noWrap/>
                  <w:vAlign w:val="center"/>
                  <w:hideMark/>
                </w:tcPr>
                <w:p w14:paraId="20726D4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3.97 </w:t>
                  </w:r>
                </w:p>
              </w:tc>
              <w:tc>
                <w:tcPr>
                  <w:tcW w:w="921" w:type="dxa"/>
                  <w:tcBorders>
                    <w:top w:val="nil"/>
                    <w:left w:val="nil"/>
                    <w:bottom w:val="single" w:sz="8" w:space="0" w:color="FFFFFF"/>
                    <w:right w:val="single" w:sz="8" w:space="0" w:color="FFFFFF"/>
                  </w:tcBorders>
                  <w:shd w:val="clear" w:color="000000" w:fill="FCD5B4"/>
                  <w:noWrap/>
                  <w:vAlign w:val="center"/>
                  <w:hideMark/>
                </w:tcPr>
                <w:p w14:paraId="60D74A7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4.48 </w:t>
                  </w:r>
                </w:p>
              </w:tc>
              <w:tc>
                <w:tcPr>
                  <w:tcW w:w="921" w:type="dxa"/>
                  <w:tcBorders>
                    <w:top w:val="nil"/>
                    <w:left w:val="nil"/>
                    <w:bottom w:val="single" w:sz="8" w:space="0" w:color="FFFFFF"/>
                    <w:right w:val="single" w:sz="8" w:space="0" w:color="FFFFFF"/>
                  </w:tcBorders>
                  <w:shd w:val="clear" w:color="000000" w:fill="FCD5B4"/>
                  <w:noWrap/>
                  <w:vAlign w:val="center"/>
                  <w:hideMark/>
                </w:tcPr>
                <w:p w14:paraId="3E513D0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6.68 </w:t>
                  </w:r>
                </w:p>
              </w:tc>
              <w:tc>
                <w:tcPr>
                  <w:tcW w:w="1157" w:type="dxa"/>
                  <w:tcBorders>
                    <w:top w:val="nil"/>
                    <w:left w:val="nil"/>
                    <w:bottom w:val="single" w:sz="8" w:space="0" w:color="FFFFFF"/>
                    <w:right w:val="single" w:sz="8" w:space="0" w:color="FFFFFF"/>
                  </w:tcBorders>
                  <w:shd w:val="clear" w:color="000000" w:fill="FCD5B4"/>
                  <w:noWrap/>
                  <w:vAlign w:val="center"/>
                  <w:hideMark/>
                </w:tcPr>
                <w:p w14:paraId="4D9F2868"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DDE091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0.75 </w:t>
                  </w:r>
                </w:p>
              </w:tc>
              <w:tc>
                <w:tcPr>
                  <w:tcW w:w="921" w:type="dxa"/>
                  <w:tcBorders>
                    <w:top w:val="nil"/>
                    <w:left w:val="nil"/>
                    <w:bottom w:val="single" w:sz="8" w:space="0" w:color="FFFFFF"/>
                    <w:right w:val="single" w:sz="8" w:space="0" w:color="FFFFFF"/>
                  </w:tcBorders>
                  <w:shd w:val="clear" w:color="000000" w:fill="FCD5B4"/>
                  <w:noWrap/>
                  <w:vAlign w:val="center"/>
                  <w:hideMark/>
                </w:tcPr>
                <w:p w14:paraId="7A0F224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0.99 </w:t>
                  </w:r>
                </w:p>
              </w:tc>
              <w:tc>
                <w:tcPr>
                  <w:tcW w:w="921" w:type="dxa"/>
                  <w:tcBorders>
                    <w:top w:val="nil"/>
                    <w:left w:val="nil"/>
                    <w:bottom w:val="single" w:sz="8" w:space="0" w:color="FFFFFF"/>
                    <w:right w:val="single" w:sz="8" w:space="0" w:color="FFFFFF"/>
                  </w:tcBorders>
                  <w:shd w:val="clear" w:color="000000" w:fill="FCD5B4"/>
                  <w:noWrap/>
                  <w:vAlign w:val="center"/>
                  <w:hideMark/>
                </w:tcPr>
                <w:p w14:paraId="31A3BC5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1.50 </w:t>
                  </w:r>
                </w:p>
              </w:tc>
              <w:tc>
                <w:tcPr>
                  <w:tcW w:w="921" w:type="dxa"/>
                  <w:tcBorders>
                    <w:top w:val="nil"/>
                    <w:left w:val="nil"/>
                    <w:bottom w:val="single" w:sz="8" w:space="0" w:color="FFFFFF"/>
                    <w:right w:val="single" w:sz="8" w:space="0" w:color="FFFFFF"/>
                  </w:tcBorders>
                  <w:shd w:val="clear" w:color="000000" w:fill="FCD5B4"/>
                  <w:noWrap/>
                  <w:vAlign w:val="center"/>
                  <w:hideMark/>
                </w:tcPr>
                <w:p w14:paraId="717C28E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3.70 </w:t>
                  </w:r>
                </w:p>
              </w:tc>
            </w:tr>
            <w:tr w:rsidR="0093645F" w:rsidRPr="0093645F" w14:paraId="02415471"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96A96A7"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922321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3.93 </w:t>
                  </w:r>
                </w:p>
              </w:tc>
              <w:tc>
                <w:tcPr>
                  <w:tcW w:w="921" w:type="dxa"/>
                  <w:tcBorders>
                    <w:top w:val="nil"/>
                    <w:left w:val="nil"/>
                    <w:bottom w:val="single" w:sz="8" w:space="0" w:color="FFFFFF"/>
                    <w:right w:val="single" w:sz="8" w:space="0" w:color="FFFFFF"/>
                  </w:tcBorders>
                  <w:shd w:val="clear" w:color="000000" w:fill="FDE9D9"/>
                  <w:noWrap/>
                  <w:vAlign w:val="center"/>
                  <w:hideMark/>
                </w:tcPr>
                <w:p w14:paraId="1FE7DF9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4.21 </w:t>
                  </w:r>
                </w:p>
              </w:tc>
              <w:tc>
                <w:tcPr>
                  <w:tcW w:w="921" w:type="dxa"/>
                  <w:tcBorders>
                    <w:top w:val="nil"/>
                    <w:left w:val="nil"/>
                    <w:bottom w:val="single" w:sz="8" w:space="0" w:color="FFFFFF"/>
                    <w:right w:val="single" w:sz="8" w:space="0" w:color="FFFFFF"/>
                  </w:tcBorders>
                  <w:shd w:val="clear" w:color="000000" w:fill="FDE9D9"/>
                  <w:noWrap/>
                  <w:vAlign w:val="center"/>
                  <w:hideMark/>
                </w:tcPr>
                <w:p w14:paraId="1D7971C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4.72 </w:t>
                  </w:r>
                </w:p>
              </w:tc>
              <w:tc>
                <w:tcPr>
                  <w:tcW w:w="921" w:type="dxa"/>
                  <w:tcBorders>
                    <w:top w:val="nil"/>
                    <w:left w:val="nil"/>
                    <w:bottom w:val="single" w:sz="8" w:space="0" w:color="FFFFFF"/>
                    <w:right w:val="single" w:sz="8" w:space="0" w:color="FFFFFF"/>
                  </w:tcBorders>
                  <w:shd w:val="clear" w:color="000000" w:fill="FDE9D9"/>
                  <w:noWrap/>
                  <w:vAlign w:val="center"/>
                  <w:hideMark/>
                </w:tcPr>
                <w:p w14:paraId="570EDBE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6.92 </w:t>
                  </w:r>
                </w:p>
              </w:tc>
              <w:tc>
                <w:tcPr>
                  <w:tcW w:w="1157" w:type="dxa"/>
                  <w:tcBorders>
                    <w:top w:val="nil"/>
                    <w:left w:val="nil"/>
                    <w:bottom w:val="single" w:sz="8" w:space="0" w:color="FFFFFF"/>
                    <w:right w:val="single" w:sz="8" w:space="0" w:color="FFFFFF"/>
                  </w:tcBorders>
                  <w:shd w:val="clear" w:color="000000" w:fill="FDE9D9"/>
                  <w:noWrap/>
                  <w:vAlign w:val="center"/>
                  <w:hideMark/>
                </w:tcPr>
                <w:p w14:paraId="7016E303"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90FEFD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0.79 </w:t>
                  </w:r>
                </w:p>
              </w:tc>
              <w:tc>
                <w:tcPr>
                  <w:tcW w:w="921" w:type="dxa"/>
                  <w:tcBorders>
                    <w:top w:val="nil"/>
                    <w:left w:val="nil"/>
                    <w:bottom w:val="single" w:sz="8" w:space="0" w:color="FFFFFF"/>
                    <w:right w:val="single" w:sz="8" w:space="0" w:color="FFFFFF"/>
                  </w:tcBorders>
                  <w:shd w:val="clear" w:color="000000" w:fill="FDE9D9"/>
                  <w:noWrap/>
                  <w:vAlign w:val="center"/>
                  <w:hideMark/>
                </w:tcPr>
                <w:p w14:paraId="3370C76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1.07 </w:t>
                  </w:r>
                </w:p>
              </w:tc>
              <w:tc>
                <w:tcPr>
                  <w:tcW w:w="921" w:type="dxa"/>
                  <w:tcBorders>
                    <w:top w:val="nil"/>
                    <w:left w:val="nil"/>
                    <w:bottom w:val="single" w:sz="8" w:space="0" w:color="FFFFFF"/>
                    <w:right w:val="single" w:sz="8" w:space="0" w:color="FFFFFF"/>
                  </w:tcBorders>
                  <w:shd w:val="clear" w:color="000000" w:fill="FDE9D9"/>
                  <w:noWrap/>
                  <w:vAlign w:val="center"/>
                  <w:hideMark/>
                </w:tcPr>
                <w:p w14:paraId="089F5C8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1.58 </w:t>
                  </w:r>
                </w:p>
              </w:tc>
              <w:tc>
                <w:tcPr>
                  <w:tcW w:w="921" w:type="dxa"/>
                  <w:tcBorders>
                    <w:top w:val="nil"/>
                    <w:left w:val="nil"/>
                    <w:bottom w:val="single" w:sz="8" w:space="0" w:color="FFFFFF"/>
                    <w:right w:val="single" w:sz="8" w:space="0" w:color="FFFFFF"/>
                  </w:tcBorders>
                  <w:shd w:val="clear" w:color="000000" w:fill="FDE9D9"/>
                  <w:noWrap/>
                  <w:vAlign w:val="center"/>
                  <w:hideMark/>
                </w:tcPr>
                <w:p w14:paraId="64ADFFF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3.78 </w:t>
                  </w:r>
                </w:p>
              </w:tc>
            </w:tr>
            <w:tr w:rsidR="0093645F" w:rsidRPr="0093645F" w14:paraId="36985A84"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F511EE3"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61AA7E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3.53 </w:t>
                  </w:r>
                </w:p>
              </w:tc>
              <w:tc>
                <w:tcPr>
                  <w:tcW w:w="921" w:type="dxa"/>
                  <w:tcBorders>
                    <w:top w:val="nil"/>
                    <w:left w:val="nil"/>
                    <w:bottom w:val="single" w:sz="8" w:space="0" w:color="FFFFFF"/>
                    <w:right w:val="single" w:sz="8" w:space="0" w:color="FFFFFF"/>
                  </w:tcBorders>
                  <w:shd w:val="clear" w:color="000000" w:fill="FCD5B4"/>
                  <w:noWrap/>
                  <w:vAlign w:val="center"/>
                  <w:hideMark/>
                </w:tcPr>
                <w:p w14:paraId="47A85E0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3.71 </w:t>
                  </w:r>
                </w:p>
              </w:tc>
              <w:tc>
                <w:tcPr>
                  <w:tcW w:w="921" w:type="dxa"/>
                  <w:tcBorders>
                    <w:top w:val="nil"/>
                    <w:left w:val="nil"/>
                    <w:bottom w:val="single" w:sz="8" w:space="0" w:color="FFFFFF"/>
                    <w:right w:val="single" w:sz="8" w:space="0" w:color="FFFFFF"/>
                  </w:tcBorders>
                  <w:shd w:val="clear" w:color="000000" w:fill="FCD5B4"/>
                  <w:noWrap/>
                  <w:vAlign w:val="center"/>
                  <w:hideMark/>
                </w:tcPr>
                <w:p w14:paraId="212BF7D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3.94 </w:t>
                  </w:r>
                </w:p>
              </w:tc>
              <w:tc>
                <w:tcPr>
                  <w:tcW w:w="921" w:type="dxa"/>
                  <w:tcBorders>
                    <w:top w:val="nil"/>
                    <w:left w:val="nil"/>
                    <w:bottom w:val="single" w:sz="8" w:space="0" w:color="FFFFFF"/>
                    <w:right w:val="single" w:sz="8" w:space="0" w:color="FFFFFF"/>
                  </w:tcBorders>
                  <w:shd w:val="clear" w:color="000000" w:fill="FCD5B4"/>
                  <w:noWrap/>
                  <w:vAlign w:val="center"/>
                  <w:hideMark/>
                </w:tcPr>
                <w:p w14:paraId="2ED040B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064F49C8"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ACE31F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0.70 </w:t>
                  </w:r>
                </w:p>
              </w:tc>
              <w:tc>
                <w:tcPr>
                  <w:tcW w:w="921" w:type="dxa"/>
                  <w:tcBorders>
                    <w:top w:val="nil"/>
                    <w:left w:val="nil"/>
                    <w:bottom w:val="single" w:sz="8" w:space="0" w:color="FFFFFF"/>
                    <w:right w:val="single" w:sz="8" w:space="0" w:color="FFFFFF"/>
                  </w:tcBorders>
                  <w:shd w:val="clear" w:color="000000" w:fill="FCD5B4"/>
                  <w:noWrap/>
                  <w:vAlign w:val="center"/>
                  <w:hideMark/>
                </w:tcPr>
                <w:p w14:paraId="435F559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0.88 </w:t>
                  </w:r>
                </w:p>
              </w:tc>
              <w:tc>
                <w:tcPr>
                  <w:tcW w:w="921" w:type="dxa"/>
                  <w:tcBorders>
                    <w:top w:val="nil"/>
                    <w:left w:val="nil"/>
                    <w:bottom w:val="single" w:sz="8" w:space="0" w:color="FFFFFF"/>
                    <w:right w:val="single" w:sz="8" w:space="0" w:color="FFFFFF"/>
                  </w:tcBorders>
                  <w:shd w:val="clear" w:color="000000" w:fill="FCD5B4"/>
                  <w:noWrap/>
                  <w:vAlign w:val="center"/>
                  <w:hideMark/>
                </w:tcPr>
                <w:p w14:paraId="3B63C75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1.11 </w:t>
                  </w:r>
                </w:p>
              </w:tc>
              <w:tc>
                <w:tcPr>
                  <w:tcW w:w="921" w:type="dxa"/>
                  <w:tcBorders>
                    <w:top w:val="nil"/>
                    <w:left w:val="nil"/>
                    <w:bottom w:val="single" w:sz="8" w:space="0" w:color="FFFFFF"/>
                    <w:right w:val="single" w:sz="8" w:space="0" w:color="FFFFFF"/>
                  </w:tcBorders>
                  <w:shd w:val="clear" w:color="000000" w:fill="FCD5B4"/>
                  <w:noWrap/>
                  <w:vAlign w:val="center"/>
                  <w:hideMark/>
                </w:tcPr>
                <w:p w14:paraId="7DE4337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3.78 </w:t>
                  </w:r>
                </w:p>
              </w:tc>
            </w:tr>
            <w:tr w:rsidR="0093645F" w:rsidRPr="0093645F" w14:paraId="11ED1144"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DD5499B"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A75760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3.78 </w:t>
                  </w:r>
                </w:p>
              </w:tc>
              <w:tc>
                <w:tcPr>
                  <w:tcW w:w="921" w:type="dxa"/>
                  <w:tcBorders>
                    <w:top w:val="nil"/>
                    <w:left w:val="nil"/>
                    <w:bottom w:val="single" w:sz="8" w:space="0" w:color="FFFFFF"/>
                    <w:right w:val="single" w:sz="8" w:space="0" w:color="FFFFFF"/>
                  </w:tcBorders>
                  <w:shd w:val="clear" w:color="000000" w:fill="FDE9D9"/>
                  <w:noWrap/>
                  <w:vAlign w:val="center"/>
                  <w:hideMark/>
                </w:tcPr>
                <w:p w14:paraId="173CF52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4.07 </w:t>
                  </w:r>
                </w:p>
              </w:tc>
              <w:tc>
                <w:tcPr>
                  <w:tcW w:w="921" w:type="dxa"/>
                  <w:tcBorders>
                    <w:top w:val="nil"/>
                    <w:left w:val="nil"/>
                    <w:bottom w:val="single" w:sz="8" w:space="0" w:color="FFFFFF"/>
                    <w:right w:val="single" w:sz="8" w:space="0" w:color="FFFFFF"/>
                  </w:tcBorders>
                  <w:shd w:val="clear" w:color="000000" w:fill="FDE9D9"/>
                  <w:noWrap/>
                  <w:vAlign w:val="center"/>
                  <w:hideMark/>
                </w:tcPr>
                <w:p w14:paraId="1894DAF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4.51 </w:t>
                  </w:r>
                </w:p>
              </w:tc>
              <w:tc>
                <w:tcPr>
                  <w:tcW w:w="921" w:type="dxa"/>
                  <w:tcBorders>
                    <w:top w:val="nil"/>
                    <w:left w:val="nil"/>
                    <w:bottom w:val="single" w:sz="8" w:space="0" w:color="FFFFFF"/>
                    <w:right w:val="single" w:sz="8" w:space="0" w:color="FFFFFF"/>
                  </w:tcBorders>
                  <w:shd w:val="clear" w:color="000000" w:fill="FDE9D9"/>
                  <w:noWrap/>
                  <w:vAlign w:val="center"/>
                  <w:hideMark/>
                </w:tcPr>
                <w:p w14:paraId="21A1FA3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7.26 </w:t>
                  </w:r>
                </w:p>
              </w:tc>
              <w:tc>
                <w:tcPr>
                  <w:tcW w:w="1157" w:type="dxa"/>
                  <w:tcBorders>
                    <w:top w:val="nil"/>
                    <w:left w:val="nil"/>
                    <w:bottom w:val="single" w:sz="8" w:space="0" w:color="FFFFFF"/>
                    <w:right w:val="single" w:sz="8" w:space="0" w:color="FFFFFF"/>
                  </w:tcBorders>
                  <w:shd w:val="clear" w:color="000000" w:fill="FDE9D9"/>
                  <w:noWrap/>
                  <w:vAlign w:val="center"/>
                  <w:hideMark/>
                </w:tcPr>
                <w:p w14:paraId="5E0A10A9"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432E121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0.80 </w:t>
                  </w:r>
                </w:p>
              </w:tc>
              <w:tc>
                <w:tcPr>
                  <w:tcW w:w="921" w:type="dxa"/>
                  <w:tcBorders>
                    <w:top w:val="nil"/>
                    <w:left w:val="nil"/>
                    <w:bottom w:val="single" w:sz="8" w:space="0" w:color="FFFFFF"/>
                    <w:right w:val="single" w:sz="8" w:space="0" w:color="FFFFFF"/>
                  </w:tcBorders>
                  <w:shd w:val="clear" w:color="000000" w:fill="FDE9D9"/>
                  <w:noWrap/>
                  <w:vAlign w:val="center"/>
                  <w:hideMark/>
                </w:tcPr>
                <w:p w14:paraId="5977D48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1.09 </w:t>
                  </w:r>
                </w:p>
              </w:tc>
              <w:tc>
                <w:tcPr>
                  <w:tcW w:w="921" w:type="dxa"/>
                  <w:tcBorders>
                    <w:top w:val="nil"/>
                    <w:left w:val="nil"/>
                    <w:bottom w:val="single" w:sz="8" w:space="0" w:color="FFFFFF"/>
                    <w:right w:val="single" w:sz="8" w:space="0" w:color="FFFFFF"/>
                  </w:tcBorders>
                  <w:shd w:val="clear" w:color="000000" w:fill="FDE9D9"/>
                  <w:noWrap/>
                  <w:vAlign w:val="center"/>
                  <w:hideMark/>
                </w:tcPr>
                <w:p w14:paraId="6520AA9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1.53 </w:t>
                  </w:r>
                </w:p>
              </w:tc>
              <w:tc>
                <w:tcPr>
                  <w:tcW w:w="921" w:type="dxa"/>
                  <w:tcBorders>
                    <w:top w:val="nil"/>
                    <w:left w:val="nil"/>
                    <w:bottom w:val="single" w:sz="8" w:space="0" w:color="FFFFFF"/>
                    <w:right w:val="single" w:sz="8" w:space="0" w:color="FFFFFF"/>
                  </w:tcBorders>
                  <w:shd w:val="clear" w:color="000000" w:fill="FDE9D9"/>
                  <w:noWrap/>
                  <w:vAlign w:val="center"/>
                  <w:hideMark/>
                </w:tcPr>
                <w:p w14:paraId="313D262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4.28 </w:t>
                  </w:r>
                </w:p>
              </w:tc>
            </w:tr>
            <w:tr w:rsidR="0093645F" w:rsidRPr="0093645F" w14:paraId="057D5EB9" w14:textId="77777777" w:rsidTr="0093645F">
              <w:trPr>
                <w:trHeight w:val="300"/>
              </w:trPr>
              <w:tc>
                <w:tcPr>
                  <w:tcW w:w="1350" w:type="dxa"/>
                  <w:tcBorders>
                    <w:top w:val="nil"/>
                    <w:left w:val="nil"/>
                    <w:bottom w:val="nil"/>
                    <w:right w:val="nil"/>
                  </w:tcBorders>
                  <w:shd w:val="clear" w:color="000000" w:fill="FCD5B4"/>
                  <w:noWrap/>
                  <w:vAlign w:val="center"/>
                  <w:hideMark/>
                </w:tcPr>
                <w:p w14:paraId="4EBC1D8B"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1C62E0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4.05 </w:t>
                  </w:r>
                </w:p>
              </w:tc>
              <w:tc>
                <w:tcPr>
                  <w:tcW w:w="921" w:type="dxa"/>
                  <w:tcBorders>
                    <w:top w:val="nil"/>
                    <w:left w:val="nil"/>
                    <w:bottom w:val="single" w:sz="8" w:space="0" w:color="FFFFFF"/>
                    <w:right w:val="single" w:sz="8" w:space="0" w:color="FFFFFF"/>
                  </w:tcBorders>
                  <w:shd w:val="clear" w:color="000000" w:fill="FCD5B4"/>
                  <w:noWrap/>
                  <w:vAlign w:val="center"/>
                  <w:hideMark/>
                </w:tcPr>
                <w:p w14:paraId="4AE13FF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4.35 </w:t>
                  </w:r>
                </w:p>
              </w:tc>
              <w:tc>
                <w:tcPr>
                  <w:tcW w:w="921" w:type="dxa"/>
                  <w:tcBorders>
                    <w:top w:val="nil"/>
                    <w:left w:val="nil"/>
                    <w:bottom w:val="single" w:sz="8" w:space="0" w:color="FFFFFF"/>
                    <w:right w:val="single" w:sz="8" w:space="0" w:color="FFFFFF"/>
                  </w:tcBorders>
                  <w:shd w:val="clear" w:color="000000" w:fill="FCD5B4"/>
                  <w:noWrap/>
                  <w:vAlign w:val="center"/>
                  <w:hideMark/>
                </w:tcPr>
                <w:p w14:paraId="3E5F32F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4.86 </w:t>
                  </w:r>
                </w:p>
              </w:tc>
              <w:tc>
                <w:tcPr>
                  <w:tcW w:w="921" w:type="dxa"/>
                  <w:tcBorders>
                    <w:top w:val="nil"/>
                    <w:left w:val="nil"/>
                    <w:bottom w:val="single" w:sz="8" w:space="0" w:color="FFFFFF"/>
                    <w:right w:val="single" w:sz="8" w:space="0" w:color="FFFFFF"/>
                  </w:tcBorders>
                  <w:shd w:val="clear" w:color="000000" w:fill="FCD5B4"/>
                  <w:noWrap/>
                  <w:vAlign w:val="center"/>
                  <w:hideMark/>
                </w:tcPr>
                <w:p w14:paraId="6532A72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7.61 </w:t>
                  </w:r>
                </w:p>
              </w:tc>
              <w:tc>
                <w:tcPr>
                  <w:tcW w:w="1157" w:type="dxa"/>
                  <w:tcBorders>
                    <w:top w:val="nil"/>
                    <w:left w:val="nil"/>
                    <w:bottom w:val="nil"/>
                    <w:right w:val="nil"/>
                  </w:tcBorders>
                  <w:shd w:val="clear" w:color="000000" w:fill="FCD5B4"/>
                  <w:noWrap/>
                  <w:vAlign w:val="center"/>
                  <w:hideMark/>
                </w:tcPr>
                <w:p w14:paraId="6342C427"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36BEF3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2EC53C7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1.21 </w:t>
                  </w:r>
                </w:p>
              </w:tc>
              <w:tc>
                <w:tcPr>
                  <w:tcW w:w="921" w:type="dxa"/>
                  <w:tcBorders>
                    <w:top w:val="nil"/>
                    <w:left w:val="nil"/>
                    <w:bottom w:val="single" w:sz="8" w:space="0" w:color="FFFFFF"/>
                    <w:right w:val="single" w:sz="8" w:space="0" w:color="FFFFFF"/>
                  </w:tcBorders>
                  <w:shd w:val="clear" w:color="000000" w:fill="FCD5B4"/>
                  <w:noWrap/>
                  <w:vAlign w:val="center"/>
                  <w:hideMark/>
                </w:tcPr>
                <w:p w14:paraId="5FAE7EF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1.72 </w:t>
                  </w:r>
                </w:p>
              </w:tc>
              <w:tc>
                <w:tcPr>
                  <w:tcW w:w="921" w:type="dxa"/>
                  <w:tcBorders>
                    <w:top w:val="nil"/>
                    <w:left w:val="nil"/>
                    <w:bottom w:val="single" w:sz="8" w:space="0" w:color="FFFFFF"/>
                    <w:right w:val="single" w:sz="8" w:space="0" w:color="FFFFFF"/>
                  </w:tcBorders>
                  <w:shd w:val="clear" w:color="000000" w:fill="FCD5B4"/>
                  <w:noWrap/>
                  <w:vAlign w:val="center"/>
                  <w:hideMark/>
                </w:tcPr>
                <w:p w14:paraId="444AD29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4.47 </w:t>
                  </w:r>
                </w:p>
              </w:tc>
            </w:tr>
            <w:tr w:rsidR="0093645F" w:rsidRPr="0093645F" w14:paraId="474C4F81" w14:textId="77777777" w:rsidTr="0093645F">
              <w:trPr>
                <w:trHeight w:val="150"/>
              </w:trPr>
              <w:tc>
                <w:tcPr>
                  <w:tcW w:w="1350" w:type="dxa"/>
                  <w:tcBorders>
                    <w:top w:val="nil"/>
                    <w:left w:val="nil"/>
                    <w:bottom w:val="nil"/>
                    <w:right w:val="nil"/>
                  </w:tcBorders>
                  <w:shd w:val="clear" w:color="auto" w:fill="auto"/>
                  <w:noWrap/>
                  <w:vAlign w:val="center"/>
                  <w:hideMark/>
                </w:tcPr>
                <w:p w14:paraId="35A78259" w14:textId="77777777" w:rsidR="0093645F" w:rsidRPr="0093645F" w:rsidRDefault="0093645F" w:rsidP="0093645F">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76407170"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14CBF1D"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84C84E5"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A92F200" w14:textId="77777777" w:rsidR="0093645F" w:rsidRPr="0093645F" w:rsidRDefault="0093645F" w:rsidP="0093645F">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025AB54F"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CEA39DD"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0BACCE5"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9535677"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D28F504" w14:textId="77777777" w:rsidR="0093645F" w:rsidRPr="0093645F" w:rsidRDefault="0093645F" w:rsidP="0093645F">
                  <w:pPr>
                    <w:widowControl/>
                    <w:jc w:val="center"/>
                    <w:rPr>
                      <w:rFonts w:ascii="Times New Roman" w:eastAsia="Times New Roman" w:hAnsi="Times New Roman"/>
                      <w:kern w:val="0"/>
                      <w:sz w:val="20"/>
                      <w:szCs w:val="20"/>
                    </w:rPr>
                  </w:pPr>
                </w:p>
              </w:tc>
            </w:tr>
            <w:tr w:rsidR="0093645F" w:rsidRPr="0093645F" w14:paraId="76C60D45" w14:textId="77777777" w:rsidTr="0093645F">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5592D26A" w14:textId="77777777" w:rsidR="0093645F" w:rsidRPr="0093645F" w:rsidRDefault="0093645F" w:rsidP="0093645F">
                  <w:pPr>
                    <w:widowControl/>
                    <w:jc w:val="center"/>
                    <w:rPr>
                      <w:rFonts w:ascii="楷体" w:eastAsia="楷体" w:hAnsi="楷体" w:cs="宋体"/>
                      <w:b/>
                      <w:bCs/>
                      <w:color w:val="FFFFFF"/>
                      <w:kern w:val="0"/>
                      <w:sz w:val="20"/>
                      <w:szCs w:val="20"/>
                    </w:rPr>
                  </w:pPr>
                  <w:proofErr w:type="gramStart"/>
                  <w:r w:rsidRPr="0093645F">
                    <w:rPr>
                      <w:rFonts w:ascii="楷体" w:eastAsia="楷体" w:hAnsi="楷体" w:cs="宋体" w:hint="eastAsia"/>
                      <w:b/>
                      <w:bCs/>
                      <w:color w:val="FFFFFF"/>
                      <w:kern w:val="0"/>
                      <w:sz w:val="20"/>
                      <w:szCs w:val="20"/>
                    </w:rPr>
                    <w:t>周变化</w:t>
                  </w:r>
                  <w:proofErr w:type="gramEnd"/>
                  <w:r w:rsidRPr="0093645F">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7C9F2271"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FF94581"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8EC5AD4"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E653F52"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D3B117E"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E1AED68"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A12986F"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66E924B"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AEF3B62"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r>
            <w:tr w:rsidR="0093645F" w:rsidRPr="0093645F" w14:paraId="6AE1B99A" w14:textId="77777777" w:rsidTr="0093645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6F7F4D9"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178E82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CD5B4"/>
                  <w:noWrap/>
                  <w:vAlign w:val="center"/>
                  <w:hideMark/>
                </w:tcPr>
                <w:p w14:paraId="666EBFF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CD5B4"/>
                  <w:noWrap/>
                  <w:vAlign w:val="center"/>
                  <w:hideMark/>
                </w:tcPr>
                <w:p w14:paraId="41C634A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-10.4 </w:t>
                  </w:r>
                </w:p>
              </w:tc>
              <w:tc>
                <w:tcPr>
                  <w:tcW w:w="921" w:type="dxa"/>
                  <w:tcBorders>
                    <w:top w:val="nil"/>
                    <w:left w:val="nil"/>
                    <w:bottom w:val="single" w:sz="8" w:space="0" w:color="FFFFFF"/>
                    <w:right w:val="single" w:sz="8" w:space="0" w:color="FFFFFF"/>
                  </w:tcBorders>
                  <w:shd w:val="clear" w:color="000000" w:fill="FCD5B4"/>
                  <w:noWrap/>
                  <w:vAlign w:val="center"/>
                  <w:hideMark/>
                </w:tcPr>
                <w:p w14:paraId="6BDDC12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-10.4 </w:t>
                  </w:r>
                </w:p>
              </w:tc>
              <w:tc>
                <w:tcPr>
                  <w:tcW w:w="1157" w:type="dxa"/>
                  <w:tcBorders>
                    <w:top w:val="nil"/>
                    <w:left w:val="nil"/>
                    <w:bottom w:val="single" w:sz="8" w:space="0" w:color="FFFFFF"/>
                    <w:right w:val="single" w:sz="8" w:space="0" w:color="FFFFFF"/>
                  </w:tcBorders>
                  <w:shd w:val="clear" w:color="000000" w:fill="FCD5B4"/>
                  <w:noWrap/>
                  <w:vAlign w:val="center"/>
                  <w:hideMark/>
                </w:tcPr>
                <w:p w14:paraId="3548E07F"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47D9396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2.8 </w:t>
                  </w:r>
                </w:p>
              </w:tc>
              <w:tc>
                <w:tcPr>
                  <w:tcW w:w="921" w:type="dxa"/>
                  <w:tcBorders>
                    <w:top w:val="nil"/>
                    <w:left w:val="nil"/>
                    <w:bottom w:val="single" w:sz="8" w:space="0" w:color="FFFFFF"/>
                    <w:right w:val="single" w:sz="8" w:space="0" w:color="FFFFFF"/>
                  </w:tcBorders>
                  <w:shd w:val="clear" w:color="000000" w:fill="FCD5B4"/>
                  <w:noWrap/>
                  <w:vAlign w:val="center"/>
                  <w:hideMark/>
                </w:tcPr>
                <w:p w14:paraId="737D343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2549C4A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1A091E7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-4.2 </w:t>
                  </w:r>
                </w:p>
              </w:tc>
            </w:tr>
            <w:tr w:rsidR="0093645F" w:rsidRPr="0093645F" w14:paraId="60C1F030"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09A4001"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896585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-6.8 </w:t>
                  </w:r>
                </w:p>
              </w:tc>
              <w:tc>
                <w:tcPr>
                  <w:tcW w:w="921" w:type="dxa"/>
                  <w:tcBorders>
                    <w:top w:val="nil"/>
                    <w:left w:val="nil"/>
                    <w:bottom w:val="single" w:sz="8" w:space="0" w:color="FFFFFF"/>
                    <w:right w:val="single" w:sz="8" w:space="0" w:color="FFFFFF"/>
                  </w:tcBorders>
                  <w:shd w:val="clear" w:color="000000" w:fill="FDE9D9"/>
                  <w:noWrap/>
                  <w:vAlign w:val="center"/>
                  <w:hideMark/>
                </w:tcPr>
                <w:p w14:paraId="6AC772F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00936A5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-9.8 </w:t>
                  </w:r>
                </w:p>
              </w:tc>
              <w:tc>
                <w:tcPr>
                  <w:tcW w:w="921" w:type="dxa"/>
                  <w:tcBorders>
                    <w:top w:val="nil"/>
                    <w:left w:val="nil"/>
                    <w:bottom w:val="single" w:sz="8" w:space="0" w:color="FFFFFF"/>
                    <w:right w:val="single" w:sz="8" w:space="0" w:color="FFFFFF"/>
                  </w:tcBorders>
                  <w:shd w:val="clear" w:color="000000" w:fill="FDE9D9"/>
                  <w:noWrap/>
                  <w:vAlign w:val="center"/>
                  <w:hideMark/>
                </w:tcPr>
                <w:p w14:paraId="326467C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-9.8 </w:t>
                  </w:r>
                </w:p>
              </w:tc>
              <w:tc>
                <w:tcPr>
                  <w:tcW w:w="1157" w:type="dxa"/>
                  <w:tcBorders>
                    <w:top w:val="nil"/>
                    <w:left w:val="nil"/>
                    <w:bottom w:val="single" w:sz="8" w:space="0" w:color="FFFFFF"/>
                    <w:right w:val="single" w:sz="8" w:space="0" w:color="FFFFFF"/>
                  </w:tcBorders>
                  <w:shd w:val="clear" w:color="000000" w:fill="FDE9D9"/>
                  <w:noWrap/>
                  <w:vAlign w:val="center"/>
                  <w:hideMark/>
                </w:tcPr>
                <w:p w14:paraId="50EEDA2C"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6349FE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DE9D9"/>
                  <w:noWrap/>
                  <w:vAlign w:val="center"/>
                  <w:hideMark/>
                </w:tcPr>
                <w:p w14:paraId="5BE6BE2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3E19AD3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-5.7 </w:t>
                  </w:r>
                </w:p>
              </w:tc>
              <w:tc>
                <w:tcPr>
                  <w:tcW w:w="921" w:type="dxa"/>
                  <w:tcBorders>
                    <w:top w:val="nil"/>
                    <w:left w:val="nil"/>
                    <w:bottom w:val="single" w:sz="8" w:space="0" w:color="FFFFFF"/>
                    <w:right w:val="single" w:sz="8" w:space="0" w:color="FFFFFF"/>
                  </w:tcBorders>
                  <w:shd w:val="clear" w:color="000000" w:fill="FDE9D9"/>
                  <w:noWrap/>
                  <w:vAlign w:val="center"/>
                  <w:hideMark/>
                </w:tcPr>
                <w:p w14:paraId="7A17090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-5.7 </w:t>
                  </w:r>
                </w:p>
              </w:tc>
            </w:tr>
            <w:tr w:rsidR="0093645F" w:rsidRPr="0093645F" w14:paraId="6E70BF04"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B284685"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2326111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CD5B4"/>
                  <w:noWrap/>
                  <w:vAlign w:val="center"/>
                  <w:hideMark/>
                </w:tcPr>
                <w:p w14:paraId="06698E3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CD5B4"/>
                  <w:noWrap/>
                  <w:vAlign w:val="center"/>
                  <w:hideMark/>
                </w:tcPr>
                <w:p w14:paraId="1A81DA6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CD5B4"/>
                  <w:noWrap/>
                  <w:vAlign w:val="center"/>
                  <w:hideMark/>
                </w:tcPr>
                <w:p w14:paraId="02A4760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-0.8 </w:t>
                  </w:r>
                </w:p>
              </w:tc>
              <w:tc>
                <w:tcPr>
                  <w:tcW w:w="1157" w:type="dxa"/>
                  <w:tcBorders>
                    <w:top w:val="nil"/>
                    <w:left w:val="nil"/>
                    <w:bottom w:val="single" w:sz="8" w:space="0" w:color="FFFFFF"/>
                    <w:right w:val="single" w:sz="8" w:space="0" w:color="FFFFFF"/>
                  </w:tcBorders>
                  <w:shd w:val="clear" w:color="000000" w:fill="FCD5B4"/>
                  <w:noWrap/>
                  <w:vAlign w:val="center"/>
                  <w:hideMark/>
                </w:tcPr>
                <w:p w14:paraId="7A502DB3"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0F6195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4.4 </w:t>
                  </w:r>
                </w:p>
              </w:tc>
              <w:tc>
                <w:tcPr>
                  <w:tcW w:w="921" w:type="dxa"/>
                  <w:tcBorders>
                    <w:top w:val="nil"/>
                    <w:left w:val="nil"/>
                    <w:bottom w:val="single" w:sz="8" w:space="0" w:color="FFFFFF"/>
                    <w:right w:val="single" w:sz="8" w:space="0" w:color="FFFFFF"/>
                  </w:tcBorders>
                  <w:shd w:val="clear" w:color="000000" w:fill="FCD5B4"/>
                  <w:noWrap/>
                  <w:vAlign w:val="center"/>
                  <w:hideMark/>
                </w:tcPr>
                <w:p w14:paraId="2C375CB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3.4 </w:t>
                  </w:r>
                </w:p>
              </w:tc>
              <w:tc>
                <w:tcPr>
                  <w:tcW w:w="921" w:type="dxa"/>
                  <w:tcBorders>
                    <w:top w:val="nil"/>
                    <w:left w:val="nil"/>
                    <w:bottom w:val="single" w:sz="8" w:space="0" w:color="FFFFFF"/>
                    <w:right w:val="single" w:sz="8" w:space="0" w:color="FFFFFF"/>
                  </w:tcBorders>
                  <w:shd w:val="clear" w:color="000000" w:fill="FCD5B4"/>
                  <w:noWrap/>
                  <w:vAlign w:val="center"/>
                  <w:hideMark/>
                </w:tcPr>
                <w:p w14:paraId="62EC121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4.4 </w:t>
                  </w:r>
                </w:p>
              </w:tc>
              <w:tc>
                <w:tcPr>
                  <w:tcW w:w="921" w:type="dxa"/>
                  <w:tcBorders>
                    <w:top w:val="nil"/>
                    <w:left w:val="nil"/>
                    <w:bottom w:val="single" w:sz="8" w:space="0" w:color="FFFFFF"/>
                    <w:right w:val="single" w:sz="8" w:space="0" w:color="FFFFFF"/>
                  </w:tcBorders>
                  <w:shd w:val="clear" w:color="000000" w:fill="FCD5B4"/>
                  <w:noWrap/>
                  <w:vAlign w:val="center"/>
                  <w:hideMark/>
                </w:tcPr>
                <w:p w14:paraId="158019F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4.4 </w:t>
                  </w:r>
                </w:p>
              </w:tc>
            </w:tr>
            <w:tr w:rsidR="0093645F" w:rsidRPr="0093645F" w14:paraId="6ACA6CCA"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65CF5AF"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74A36E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-8.0 </w:t>
                  </w:r>
                </w:p>
              </w:tc>
              <w:tc>
                <w:tcPr>
                  <w:tcW w:w="921" w:type="dxa"/>
                  <w:tcBorders>
                    <w:top w:val="nil"/>
                    <w:left w:val="nil"/>
                    <w:bottom w:val="single" w:sz="8" w:space="0" w:color="FFFFFF"/>
                    <w:right w:val="single" w:sz="8" w:space="0" w:color="FFFFFF"/>
                  </w:tcBorders>
                  <w:shd w:val="clear" w:color="000000" w:fill="FDE9D9"/>
                  <w:noWrap/>
                  <w:vAlign w:val="center"/>
                  <w:hideMark/>
                </w:tcPr>
                <w:p w14:paraId="25283CC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13AFFBA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6156F8D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-7.1 </w:t>
                  </w:r>
                </w:p>
              </w:tc>
              <w:tc>
                <w:tcPr>
                  <w:tcW w:w="1157" w:type="dxa"/>
                  <w:tcBorders>
                    <w:top w:val="nil"/>
                    <w:left w:val="nil"/>
                    <w:bottom w:val="single" w:sz="8" w:space="0" w:color="FFFFFF"/>
                    <w:right w:val="single" w:sz="8" w:space="0" w:color="FFFFFF"/>
                  </w:tcBorders>
                  <w:shd w:val="clear" w:color="000000" w:fill="FDE9D9"/>
                  <w:noWrap/>
                  <w:vAlign w:val="center"/>
                  <w:hideMark/>
                </w:tcPr>
                <w:p w14:paraId="6094ED2D"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4C5BC37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DE9D9"/>
                  <w:noWrap/>
                  <w:vAlign w:val="center"/>
                  <w:hideMark/>
                </w:tcPr>
                <w:p w14:paraId="7766B08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399008E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65B1A31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-3.0 </w:t>
                  </w:r>
                </w:p>
              </w:tc>
            </w:tr>
            <w:tr w:rsidR="0093645F" w:rsidRPr="0093645F" w14:paraId="3BCF67EF"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2BC6D80"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41C1CBE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CD5B4"/>
                  <w:noWrap/>
                  <w:vAlign w:val="center"/>
                  <w:hideMark/>
                </w:tcPr>
                <w:p w14:paraId="42B80EE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2A2046F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CD5B4"/>
                  <w:noWrap/>
                  <w:vAlign w:val="center"/>
                  <w:hideMark/>
                </w:tcPr>
                <w:p w14:paraId="334EB75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-6.4 </w:t>
                  </w:r>
                </w:p>
              </w:tc>
              <w:tc>
                <w:tcPr>
                  <w:tcW w:w="1157" w:type="dxa"/>
                  <w:tcBorders>
                    <w:top w:val="nil"/>
                    <w:left w:val="nil"/>
                    <w:bottom w:val="single" w:sz="8" w:space="0" w:color="FFFFFF"/>
                    <w:right w:val="single" w:sz="8" w:space="0" w:color="FFFFFF"/>
                  </w:tcBorders>
                  <w:shd w:val="clear" w:color="000000" w:fill="FCD5B4"/>
                  <w:noWrap/>
                  <w:vAlign w:val="center"/>
                  <w:hideMark/>
                </w:tcPr>
                <w:p w14:paraId="6DDD3184"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9C180C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6F76147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1FFB8EE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10A5984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-1.3 </w:t>
                  </w:r>
                </w:p>
              </w:tc>
            </w:tr>
            <w:tr w:rsidR="0093645F" w:rsidRPr="0093645F" w14:paraId="3CBF53C2"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ED2FFA3"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FA5D27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DE9D9"/>
                  <w:noWrap/>
                  <w:vAlign w:val="center"/>
                  <w:hideMark/>
                </w:tcPr>
                <w:p w14:paraId="3787757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DE9D9"/>
                  <w:noWrap/>
                  <w:vAlign w:val="center"/>
                  <w:hideMark/>
                </w:tcPr>
                <w:p w14:paraId="62B35C4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DE9D9"/>
                  <w:noWrap/>
                  <w:vAlign w:val="center"/>
                  <w:hideMark/>
                </w:tcPr>
                <w:p w14:paraId="15E90E0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1.1 </w:t>
                  </w:r>
                </w:p>
              </w:tc>
              <w:tc>
                <w:tcPr>
                  <w:tcW w:w="1157" w:type="dxa"/>
                  <w:tcBorders>
                    <w:top w:val="nil"/>
                    <w:left w:val="nil"/>
                    <w:bottom w:val="single" w:sz="8" w:space="0" w:color="FFFFFF"/>
                    <w:right w:val="single" w:sz="8" w:space="0" w:color="FFFFFF"/>
                  </w:tcBorders>
                  <w:shd w:val="clear" w:color="000000" w:fill="FDE9D9"/>
                  <w:noWrap/>
                  <w:vAlign w:val="center"/>
                  <w:hideMark/>
                </w:tcPr>
                <w:p w14:paraId="28CB04E5"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0F87987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5FEFD2F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0E7CEBC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696E04E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6.5 </w:t>
                  </w:r>
                </w:p>
              </w:tc>
            </w:tr>
            <w:tr w:rsidR="0093645F" w:rsidRPr="0093645F" w14:paraId="2C011732"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2FD0FA6"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114E027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-9.5 </w:t>
                  </w:r>
                </w:p>
              </w:tc>
              <w:tc>
                <w:tcPr>
                  <w:tcW w:w="921" w:type="dxa"/>
                  <w:tcBorders>
                    <w:top w:val="nil"/>
                    <w:left w:val="nil"/>
                    <w:bottom w:val="single" w:sz="8" w:space="0" w:color="FFFFFF"/>
                    <w:right w:val="single" w:sz="8" w:space="0" w:color="FFFFFF"/>
                  </w:tcBorders>
                  <w:shd w:val="clear" w:color="000000" w:fill="FCD5B4"/>
                  <w:noWrap/>
                  <w:vAlign w:val="center"/>
                  <w:hideMark/>
                </w:tcPr>
                <w:p w14:paraId="78C03FD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-6.5 </w:t>
                  </w:r>
                </w:p>
              </w:tc>
              <w:tc>
                <w:tcPr>
                  <w:tcW w:w="921" w:type="dxa"/>
                  <w:tcBorders>
                    <w:top w:val="nil"/>
                    <w:left w:val="nil"/>
                    <w:bottom w:val="single" w:sz="8" w:space="0" w:color="FFFFFF"/>
                    <w:right w:val="single" w:sz="8" w:space="0" w:color="FFFFFF"/>
                  </w:tcBorders>
                  <w:shd w:val="clear" w:color="000000" w:fill="FCD5B4"/>
                  <w:noWrap/>
                  <w:vAlign w:val="center"/>
                  <w:hideMark/>
                </w:tcPr>
                <w:p w14:paraId="025D8A4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-4.5 </w:t>
                  </w:r>
                </w:p>
              </w:tc>
              <w:tc>
                <w:tcPr>
                  <w:tcW w:w="921" w:type="dxa"/>
                  <w:tcBorders>
                    <w:top w:val="nil"/>
                    <w:left w:val="nil"/>
                    <w:bottom w:val="single" w:sz="8" w:space="0" w:color="FFFFFF"/>
                    <w:right w:val="single" w:sz="8" w:space="0" w:color="FFFFFF"/>
                  </w:tcBorders>
                  <w:shd w:val="clear" w:color="000000" w:fill="FCD5B4"/>
                  <w:noWrap/>
                  <w:vAlign w:val="center"/>
                  <w:hideMark/>
                </w:tcPr>
                <w:p w14:paraId="598D71D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-1.5 </w:t>
                  </w:r>
                </w:p>
              </w:tc>
              <w:tc>
                <w:tcPr>
                  <w:tcW w:w="1157" w:type="dxa"/>
                  <w:tcBorders>
                    <w:top w:val="nil"/>
                    <w:left w:val="nil"/>
                    <w:bottom w:val="single" w:sz="8" w:space="0" w:color="FFFFFF"/>
                    <w:right w:val="single" w:sz="8" w:space="0" w:color="FFFFFF"/>
                  </w:tcBorders>
                  <w:shd w:val="clear" w:color="000000" w:fill="FCD5B4"/>
                  <w:noWrap/>
                  <w:vAlign w:val="center"/>
                  <w:hideMark/>
                </w:tcPr>
                <w:p w14:paraId="22546474"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1A9E747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-5.5 </w:t>
                  </w:r>
                </w:p>
              </w:tc>
              <w:tc>
                <w:tcPr>
                  <w:tcW w:w="921" w:type="dxa"/>
                  <w:tcBorders>
                    <w:top w:val="nil"/>
                    <w:left w:val="nil"/>
                    <w:bottom w:val="single" w:sz="8" w:space="0" w:color="FFFFFF"/>
                    <w:right w:val="single" w:sz="8" w:space="0" w:color="FFFFFF"/>
                  </w:tcBorders>
                  <w:shd w:val="clear" w:color="000000" w:fill="FCD5B4"/>
                  <w:noWrap/>
                  <w:vAlign w:val="center"/>
                  <w:hideMark/>
                </w:tcPr>
                <w:p w14:paraId="4BE7715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08F31A1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-0.4 </w:t>
                  </w:r>
                </w:p>
              </w:tc>
              <w:tc>
                <w:tcPr>
                  <w:tcW w:w="921" w:type="dxa"/>
                  <w:tcBorders>
                    <w:top w:val="nil"/>
                    <w:left w:val="nil"/>
                    <w:bottom w:val="single" w:sz="8" w:space="0" w:color="FFFFFF"/>
                    <w:right w:val="single" w:sz="8" w:space="0" w:color="FFFFFF"/>
                  </w:tcBorders>
                  <w:shd w:val="clear" w:color="000000" w:fill="FCD5B4"/>
                  <w:noWrap/>
                  <w:vAlign w:val="center"/>
                  <w:hideMark/>
                </w:tcPr>
                <w:p w14:paraId="713C291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2.6 </w:t>
                  </w:r>
                </w:p>
              </w:tc>
            </w:tr>
            <w:tr w:rsidR="0093645F" w:rsidRPr="0093645F" w14:paraId="74A760FA"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0E3A9B6"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8F28F1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0C678B3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DE9D9"/>
                  <w:noWrap/>
                  <w:vAlign w:val="center"/>
                  <w:hideMark/>
                </w:tcPr>
                <w:p w14:paraId="7B54A98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-7.9 </w:t>
                  </w:r>
                </w:p>
              </w:tc>
              <w:tc>
                <w:tcPr>
                  <w:tcW w:w="921" w:type="dxa"/>
                  <w:tcBorders>
                    <w:top w:val="nil"/>
                    <w:left w:val="nil"/>
                    <w:bottom w:val="single" w:sz="8" w:space="0" w:color="FFFFFF"/>
                    <w:right w:val="single" w:sz="8" w:space="0" w:color="FFFFFF"/>
                  </w:tcBorders>
                  <w:shd w:val="clear" w:color="000000" w:fill="FDE9D9"/>
                  <w:noWrap/>
                  <w:vAlign w:val="center"/>
                  <w:hideMark/>
                </w:tcPr>
                <w:p w14:paraId="79F967A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-3.9 </w:t>
                  </w:r>
                </w:p>
              </w:tc>
              <w:tc>
                <w:tcPr>
                  <w:tcW w:w="1157" w:type="dxa"/>
                  <w:tcBorders>
                    <w:top w:val="nil"/>
                    <w:left w:val="nil"/>
                    <w:bottom w:val="single" w:sz="8" w:space="0" w:color="FFFFFF"/>
                    <w:right w:val="single" w:sz="8" w:space="0" w:color="FFFFFF"/>
                  </w:tcBorders>
                  <w:shd w:val="clear" w:color="000000" w:fill="FDE9D9"/>
                  <w:noWrap/>
                  <w:vAlign w:val="center"/>
                  <w:hideMark/>
                </w:tcPr>
                <w:p w14:paraId="70096A6B"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444907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4567205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20506DC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DE9D9"/>
                  <w:noWrap/>
                  <w:vAlign w:val="center"/>
                  <w:hideMark/>
                </w:tcPr>
                <w:p w14:paraId="4890C37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1.3 </w:t>
                  </w:r>
                </w:p>
              </w:tc>
            </w:tr>
            <w:tr w:rsidR="0093645F" w:rsidRPr="0093645F" w14:paraId="454BFA89" w14:textId="77777777" w:rsidTr="0093645F">
              <w:trPr>
                <w:trHeight w:val="300"/>
              </w:trPr>
              <w:tc>
                <w:tcPr>
                  <w:tcW w:w="1350" w:type="dxa"/>
                  <w:tcBorders>
                    <w:top w:val="nil"/>
                    <w:left w:val="nil"/>
                    <w:bottom w:val="nil"/>
                    <w:right w:val="nil"/>
                  </w:tcBorders>
                  <w:shd w:val="clear" w:color="000000" w:fill="FCD5B4"/>
                  <w:noWrap/>
                  <w:vAlign w:val="center"/>
                  <w:hideMark/>
                </w:tcPr>
                <w:p w14:paraId="5440523A"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429F5B3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-0.6 </w:t>
                  </w:r>
                </w:p>
              </w:tc>
              <w:tc>
                <w:tcPr>
                  <w:tcW w:w="921" w:type="dxa"/>
                  <w:tcBorders>
                    <w:top w:val="nil"/>
                    <w:left w:val="nil"/>
                    <w:bottom w:val="single" w:sz="8" w:space="0" w:color="FFFFFF"/>
                    <w:right w:val="single" w:sz="8" w:space="0" w:color="FFFFFF"/>
                  </w:tcBorders>
                  <w:shd w:val="clear" w:color="000000" w:fill="FCD5B4"/>
                  <w:noWrap/>
                  <w:vAlign w:val="center"/>
                  <w:hideMark/>
                </w:tcPr>
                <w:p w14:paraId="767AB57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-7.6 </w:t>
                  </w:r>
                </w:p>
              </w:tc>
              <w:tc>
                <w:tcPr>
                  <w:tcW w:w="921" w:type="dxa"/>
                  <w:tcBorders>
                    <w:top w:val="nil"/>
                    <w:left w:val="nil"/>
                    <w:bottom w:val="single" w:sz="8" w:space="0" w:color="FFFFFF"/>
                    <w:right w:val="single" w:sz="8" w:space="0" w:color="FFFFFF"/>
                  </w:tcBorders>
                  <w:shd w:val="clear" w:color="000000" w:fill="FCD5B4"/>
                  <w:noWrap/>
                  <w:vAlign w:val="center"/>
                  <w:hideMark/>
                </w:tcPr>
                <w:p w14:paraId="5C8FFBA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CD5B4"/>
                  <w:noWrap/>
                  <w:vAlign w:val="center"/>
                  <w:hideMark/>
                </w:tcPr>
                <w:p w14:paraId="1AB53D4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-0.6 </w:t>
                  </w:r>
                </w:p>
              </w:tc>
              <w:tc>
                <w:tcPr>
                  <w:tcW w:w="1157" w:type="dxa"/>
                  <w:tcBorders>
                    <w:top w:val="nil"/>
                    <w:left w:val="nil"/>
                    <w:bottom w:val="nil"/>
                    <w:right w:val="nil"/>
                  </w:tcBorders>
                  <w:shd w:val="clear" w:color="000000" w:fill="FCD5B4"/>
                  <w:noWrap/>
                  <w:vAlign w:val="center"/>
                  <w:hideMark/>
                </w:tcPr>
                <w:p w14:paraId="35FBEACA"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C6B0AB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5188002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FF0000"/>
                      <w:kern w:val="0"/>
                      <w:szCs w:val="21"/>
                    </w:rPr>
                    <w:t xml:space="preserve">-2.1 </w:t>
                  </w:r>
                </w:p>
              </w:tc>
              <w:tc>
                <w:tcPr>
                  <w:tcW w:w="921" w:type="dxa"/>
                  <w:tcBorders>
                    <w:top w:val="nil"/>
                    <w:left w:val="nil"/>
                    <w:bottom w:val="single" w:sz="8" w:space="0" w:color="FFFFFF"/>
                    <w:right w:val="single" w:sz="8" w:space="0" w:color="FFFFFF"/>
                  </w:tcBorders>
                  <w:shd w:val="clear" w:color="000000" w:fill="FCD5B4"/>
                  <w:noWrap/>
                  <w:vAlign w:val="center"/>
                  <w:hideMark/>
                </w:tcPr>
                <w:p w14:paraId="697BA06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46C66CE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 xml:space="preserve">4.9 </w:t>
                  </w:r>
                </w:p>
              </w:tc>
            </w:tr>
            <w:tr w:rsidR="0093645F" w:rsidRPr="0093645F" w14:paraId="77129BD7" w14:textId="77777777" w:rsidTr="0093645F">
              <w:trPr>
                <w:trHeight w:val="150"/>
              </w:trPr>
              <w:tc>
                <w:tcPr>
                  <w:tcW w:w="1350" w:type="dxa"/>
                  <w:tcBorders>
                    <w:top w:val="nil"/>
                    <w:left w:val="nil"/>
                    <w:bottom w:val="nil"/>
                    <w:right w:val="nil"/>
                  </w:tcBorders>
                  <w:shd w:val="clear" w:color="auto" w:fill="auto"/>
                  <w:noWrap/>
                  <w:vAlign w:val="center"/>
                  <w:hideMark/>
                </w:tcPr>
                <w:p w14:paraId="0ED72AD8" w14:textId="77777777" w:rsidR="0093645F" w:rsidRPr="0093645F" w:rsidRDefault="0093645F" w:rsidP="0093645F">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6F936879"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51BD928"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86675ED"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DC6C6E3" w14:textId="77777777" w:rsidR="0093645F" w:rsidRPr="0093645F" w:rsidRDefault="0093645F" w:rsidP="0093645F">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3DC8B860"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8560068"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65A8532"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9B4D331" w14:textId="77777777" w:rsidR="0093645F" w:rsidRPr="0093645F" w:rsidRDefault="0093645F" w:rsidP="0093645F">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916B45F" w14:textId="77777777" w:rsidR="0093645F" w:rsidRPr="0093645F" w:rsidRDefault="0093645F" w:rsidP="0093645F">
                  <w:pPr>
                    <w:widowControl/>
                    <w:jc w:val="center"/>
                    <w:rPr>
                      <w:rFonts w:ascii="Times New Roman" w:eastAsia="Times New Roman" w:hAnsi="Times New Roman"/>
                      <w:kern w:val="0"/>
                      <w:sz w:val="20"/>
                      <w:szCs w:val="20"/>
                    </w:rPr>
                  </w:pPr>
                </w:p>
              </w:tc>
            </w:tr>
            <w:tr w:rsidR="0093645F" w:rsidRPr="0093645F" w14:paraId="744CCBBD" w14:textId="77777777" w:rsidTr="0093645F">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1FF186B6"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0FC9B47C"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81DADA5"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59B806A"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99A2472"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1974FD43"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3824B0A2"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29900A7"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2BB03A5"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B87D040" w14:textId="77777777" w:rsidR="0093645F" w:rsidRPr="0093645F" w:rsidRDefault="0093645F" w:rsidP="0093645F">
                  <w:pPr>
                    <w:widowControl/>
                    <w:jc w:val="center"/>
                    <w:rPr>
                      <w:rFonts w:ascii="楷体" w:eastAsia="楷体" w:hAnsi="楷体" w:cs="宋体"/>
                      <w:b/>
                      <w:bCs/>
                      <w:color w:val="FFFFFF"/>
                      <w:kern w:val="0"/>
                      <w:sz w:val="20"/>
                      <w:szCs w:val="20"/>
                    </w:rPr>
                  </w:pPr>
                  <w:r w:rsidRPr="0093645F">
                    <w:rPr>
                      <w:rFonts w:ascii="楷体" w:eastAsia="楷体" w:hAnsi="楷体" w:cs="宋体" w:hint="eastAsia"/>
                      <w:b/>
                      <w:bCs/>
                      <w:color w:val="FFFFFF"/>
                      <w:kern w:val="0"/>
                      <w:sz w:val="20"/>
                      <w:szCs w:val="20"/>
                    </w:rPr>
                    <w:t>AA-</w:t>
                  </w:r>
                </w:p>
              </w:tc>
            </w:tr>
            <w:tr w:rsidR="0093645F" w:rsidRPr="0093645F" w14:paraId="2118AFBC" w14:textId="77777777" w:rsidTr="0093645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4130FD1C"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0F6AE0E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CD5B4"/>
                  <w:noWrap/>
                  <w:vAlign w:val="center"/>
                  <w:hideMark/>
                </w:tcPr>
                <w:p w14:paraId="1243E86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5238488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CD5B4"/>
                  <w:noWrap/>
                  <w:vAlign w:val="center"/>
                  <w:hideMark/>
                </w:tcPr>
                <w:p w14:paraId="5443665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60%</w:t>
                  </w:r>
                </w:p>
              </w:tc>
              <w:tc>
                <w:tcPr>
                  <w:tcW w:w="1157" w:type="dxa"/>
                  <w:tcBorders>
                    <w:top w:val="nil"/>
                    <w:left w:val="nil"/>
                    <w:bottom w:val="single" w:sz="8" w:space="0" w:color="FFFFFF"/>
                    <w:right w:val="single" w:sz="8" w:space="0" w:color="FFFFFF"/>
                  </w:tcBorders>
                  <w:shd w:val="clear" w:color="000000" w:fill="FCD5B4"/>
                  <w:noWrap/>
                  <w:vAlign w:val="center"/>
                  <w:hideMark/>
                </w:tcPr>
                <w:p w14:paraId="38B91442"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F4AF1D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w:t>
                  </w:r>
                </w:p>
              </w:tc>
              <w:tc>
                <w:tcPr>
                  <w:tcW w:w="921" w:type="dxa"/>
                  <w:tcBorders>
                    <w:top w:val="nil"/>
                    <w:left w:val="nil"/>
                    <w:bottom w:val="single" w:sz="8" w:space="0" w:color="FFFFFF"/>
                    <w:right w:val="single" w:sz="8" w:space="0" w:color="FFFFFF"/>
                  </w:tcBorders>
                  <w:shd w:val="clear" w:color="000000" w:fill="FCD5B4"/>
                  <w:noWrap/>
                  <w:vAlign w:val="center"/>
                  <w:hideMark/>
                </w:tcPr>
                <w:p w14:paraId="692D3C2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07692C4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68D3D17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68%</w:t>
                  </w:r>
                </w:p>
              </w:tc>
            </w:tr>
            <w:tr w:rsidR="0093645F" w:rsidRPr="0093645F" w14:paraId="2FF4CA1D"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B1A746C"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50F124C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4E1BF1E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DE9D9"/>
                  <w:noWrap/>
                  <w:vAlign w:val="center"/>
                  <w:hideMark/>
                </w:tcPr>
                <w:p w14:paraId="211D0DE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DE9D9"/>
                  <w:noWrap/>
                  <w:vAlign w:val="center"/>
                  <w:hideMark/>
                </w:tcPr>
                <w:p w14:paraId="72AC2E7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63%</w:t>
                  </w:r>
                </w:p>
              </w:tc>
              <w:tc>
                <w:tcPr>
                  <w:tcW w:w="1157" w:type="dxa"/>
                  <w:tcBorders>
                    <w:top w:val="nil"/>
                    <w:left w:val="nil"/>
                    <w:bottom w:val="single" w:sz="8" w:space="0" w:color="FFFFFF"/>
                    <w:right w:val="single" w:sz="8" w:space="0" w:color="FFFFFF"/>
                  </w:tcBorders>
                  <w:shd w:val="clear" w:color="000000" w:fill="FDE9D9"/>
                  <w:noWrap/>
                  <w:vAlign w:val="center"/>
                  <w:hideMark/>
                </w:tcPr>
                <w:p w14:paraId="527F5E40"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B4FA0F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38DF8DF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7355C2A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3C19418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75%</w:t>
                  </w:r>
                </w:p>
              </w:tc>
            </w:tr>
            <w:tr w:rsidR="0093645F" w:rsidRPr="0093645F" w14:paraId="20F976DF"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CFA9918"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4D0106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0D11FB5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05E4DE4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382F115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57%</w:t>
                  </w:r>
                </w:p>
              </w:tc>
              <w:tc>
                <w:tcPr>
                  <w:tcW w:w="1157" w:type="dxa"/>
                  <w:tcBorders>
                    <w:top w:val="nil"/>
                    <w:left w:val="nil"/>
                    <w:bottom w:val="single" w:sz="8" w:space="0" w:color="FFFFFF"/>
                    <w:right w:val="single" w:sz="8" w:space="0" w:color="FFFFFF"/>
                  </w:tcBorders>
                  <w:shd w:val="clear" w:color="000000" w:fill="FCD5B4"/>
                  <w:noWrap/>
                  <w:vAlign w:val="center"/>
                  <w:hideMark/>
                </w:tcPr>
                <w:p w14:paraId="00B848FD"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8D4CF5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5723877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090FAD8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3980E5B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68%</w:t>
                  </w:r>
                </w:p>
              </w:tc>
            </w:tr>
            <w:tr w:rsidR="0093645F" w:rsidRPr="0093645F" w14:paraId="36F5BA4D"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D52173D"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1524AE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DE9D9"/>
                  <w:noWrap/>
                  <w:vAlign w:val="center"/>
                  <w:hideMark/>
                </w:tcPr>
                <w:p w14:paraId="7D10BEFB"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067BAA9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DE9D9"/>
                  <w:noWrap/>
                  <w:vAlign w:val="center"/>
                  <w:hideMark/>
                </w:tcPr>
                <w:p w14:paraId="514BD24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63%</w:t>
                  </w:r>
                </w:p>
              </w:tc>
              <w:tc>
                <w:tcPr>
                  <w:tcW w:w="1157" w:type="dxa"/>
                  <w:tcBorders>
                    <w:top w:val="nil"/>
                    <w:left w:val="nil"/>
                    <w:bottom w:val="single" w:sz="8" w:space="0" w:color="FFFFFF"/>
                    <w:right w:val="single" w:sz="8" w:space="0" w:color="FFFFFF"/>
                  </w:tcBorders>
                  <w:shd w:val="clear" w:color="000000" w:fill="FDE9D9"/>
                  <w:noWrap/>
                  <w:vAlign w:val="center"/>
                  <w:hideMark/>
                </w:tcPr>
                <w:p w14:paraId="64CF81FA"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7BA41E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0F7E9B2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0712DA0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7943BEA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77%</w:t>
                  </w:r>
                </w:p>
              </w:tc>
            </w:tr>
            <w:tr w:rsidR="0093645F" w:rsidRPr="0093645F" w14:paraId="443ADD2C"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BF8E747"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6CD575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6E9BDE6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6CAFC15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2D98781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50%</w:t>
                  </w:r>
                </w:p>
              </w:tc>
              <w:tc>
                <w:tcPr>
                  <w:tcW w:w="1157" w:type="dxa"/>
                  <w:tcBorders>
                    <w:top w:val="nil"/>
                    <w:left w:val="nil"/>
                    <w:bottom w:val="single" w:sz="8" w:space="0" w:color="FFFFFF"/>
                    <w:right w:val="single" w:sz="8" w:space="0" w:color="FFFFFF"/>
                  </w:tcBorders>
                  <w:shd w:val="clear" w:color="000000" w:fill="FCD5B4"/>
                  <w:noWrap/>
                  <w:vAlign w:val="center"/>
                  <w:hideMark/>
                </w:tcPr>
                <w:p w14:paraId="4D435289"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AC21F3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743586A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447CB66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7F6E443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61%</w:t>
                  </w:r>
                </w:p>
              </w:tc>
            </w:tr>
            <w:tr w:rsidR="0093645F" w:rsidRPr="0093645F" w14:paraId="649CCD7E"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143C504"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3FE9F0B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0CC544A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06E8554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1A1D242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43%</w:t>
                  </w:r>
                </w:p>
              </w:tc>
              <w:tc>
                <w:tcPr>
                  <w:tcW w:w="1157" w:type="dxa"/>
                  <w:tcBorders>
                    <w:top w:val="nil"/>
                    <w:left w:val="nil"/>
                    <w:bottom w:val="single" w:sz="8" w:space="0" w:color="FFFFFF"/>
                    <w:right w:val="single" w:sz="8" w:space="0" w:color="FFFFFF"/>
                  </w:tcBorders>
                  <w:shd w:val="clear" w:color="000000" w:fill="FDE9D9"/>
                  <w:noWrap/>
                  <w:vAlign w:val="center"/>
                  <w:hideMark/>
                </w:tcPr>
                <w:p w14:paraId="6B00699E" w14:textId="77777777" w:rsidR="0093645F" w:rsidRPr="0093645F" w:rsidRDefault="0093645F" w:rsidP="0093645F">
                  <w:pPr>
                    <w:widowControl/>
                    <w:jc w:val="center"/>
                    <w:rPr>
                      <w:rFonts w:ascii="楷体" w:eastAsia="楷体" w:hAnsi="楷体" w:cs="宋体"/>
                      <w:color w:val="000000"/>
                      <w:kern w:val="0"/>
                      <w:sz w:val="20"/>
                      <w:szCs w:val="20"/>
                    </w:rPr>
                  </w:pPr>
                  <w:r w:rsidRPr="0093645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09E0CBDC"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0FF97B56"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70FD3F7F"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3E79E040"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53%</w:t>
                  </w:r>
                </w:p>
              </w:tc>
            </w:tr>
            <w:tr w:rsidR="0093645F" w:rsidRPr="0093645F" w14:paraId="6A6F1184" w14:textId="77777777" w:rsidTr="0093645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E84373C"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6147D82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1C3D3F6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74B5C1A2"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7BD249A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76%</w:t>
                  </w:r>
                </w:p>
              </w:tc>
              <w:tc>
                <w:tcPr>
                  <w:tcW w:w="1157" w:type="dxa"/>
                  <w:tcBorders>
                    <w:top w:val="nil"/>
                    <w:left w:val="nil"/>
                    <w:bottom w:val="single" w:sz="8" w:space="0" w:color="FFFFFF"/>
                    <w:right w:val="single" w:sz="8" w:space="0" w:color="FFFFFF"/>
                  </w:tcBorders>
                  <w:shd w:val="clear" w:color="000000" w:fill="FCD5B4"/>
                  <w:noWrap/>
                  <w:vAlign w:val="center"/>
                  <w:hideMark/>
                </w:tcPr>
                <w:p w14:paraId="4D616C5B"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D86B84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2459224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0A843857"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FC7CE"/>
                  <w:noWrap/>
                  <w:vAlign w:val="center"/>
                  <w:hideMark/>
                </w:tcPr>
                <w:p w14:paraId="0D720679" w14:textId="77777777" w:rsidR="0093645F" w:rsidRPr="0093645F" w:rsidRDefault="0093645F" w:rsidP="0093645F">
                  <w:pPr>
                    <w:widowControl/>
                    <w:jc w:val="center"/>
                    <w:rPr>
                      <w:rFonts w:eastAsia="等线" w:cs="Calibri"/>
                      <w:color w:val="9C0006"/>
                      <w:kern w:val="0"/>
                      <w:szCs w:val="21"/>
                    </w:rPr>
                  </w:pPr>
                  <w:r w:rsidRPr="0093645F">
                    <w:rPr>
                      <w:rFonts w:eastAsia="等线" w:cs="Calibri"/>
                      <w:color w:val="9C0006"/>
                      <w:kern w:val="0"/>
                      <w:szCs w:val="21"/>
                    </w:rPr>
                    <w:t>88%</w:t>
                  </w:r>
                </w:p>
              </w:tc>
            </w:tr>
            <w:tr w:rsidR="0093645F" w:rsidRPr="0093645F" w14:paraId="6CBBC0EE" w14:textId="77777777" w:rsidTr="0093645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1FFF2AF"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30DF579"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198EEAE4"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1AD5EEB1"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DE9D9"/>
                  <w:noWrap/>
                  <w:vAlign w:val="center"/>
                  <w:hideMark/>
                </w:tcPr>
                <w:p w14:paraId="1C32C92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80%</w:t>
                  </w:r>
                </w:p>
              </w:tc>
              <w:tc>
                <w:tcPr>
                  <w:tcW w:w="1157" w:type="dxa"/>
                  <w:tcBorders>
                    <w:top w:val="nil"/>
                    <w:left w:val="nil"/>
                    <w:bottom w:val="single" w:sz="8" w:space="0" w:color="FFFFFF"/>
                    <w:right w:val="single" w:sz="8" w:space="0" w:color="FFFFFF"/>
                  </w:tcBorders>
                  <w:shd w:val="clear" w:color="000000" w:fill="FDE9D9"/>
                  <w:noWrap/>
                  <w:vAlign w:val="center"/>
                  <w:hideMark/>
                </w:tcPr>
                <w:p w14:paraId="635CAB1F"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751DB40D"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0F91573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55CC1353"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FC7CE"/>
                  <w:noWrap/>
                  <w:vAlign w:val="center"/>
                  <w:hideMark/>
                </w:tcPr>
                <w:p w14:paraId="110E4D64" w14:textId="77777777" w:rsidR="0093645F" w:rsidRPr="0093645F" w:rsidRDefault="0093645F" w:rsidP="0093645F">
                  <w:pPr>
                    <w:widowControl/>
                    <w:jc w:val="center"/>
                    <w:rPr>
                      <w:rFonts w:eastAsia="等线" w:cs="Calibri"/>
                      <w:color w:val="9C0006"/>
                      <w:kern w:val="0"/>
                      <w:szCs w:val="21"/>
                    </w:rPr>
                  </w:pPr>
                  <w:r w:rsidRPr="0093645F">
                    <w:rPr>
                      <w:rFonts w:eastAsia="等线" w:cs="Calibri"/>
                      <w:color w:val="9C0006"/>
                      <w:kern w:val="0"/>
                      <w:szCs w:val="21"/>
                    </w:rPr>
                    <w:t>91%</w:t>
                  </w:r>
                </w:p>
              </w:tc>
            </w:tr>
            <w:tr w:rsidR="0093645F" w:rsidRPr="0093645F" w14:paraId="7B8F87D3" w14:textId="77777777" w:rsidTr="0093645F">
              <w:trPr>
                <w:trHeight w:val="300"/>
              </w:trPr>
              <w:tc>
                <w:tcPr>
                  <w:tcW w:w="1350" w:type="dxa"/>
                  <w:tcBorders>
                    <w:top w:val="nil"/>
                    <w:left w:val="nil"/>
                    <w:bottom w:val="nil"/>
                    <w:right w:val="nil"/>
                  </w:tcBorders>
                  <w:shd w:val="clear" w:color="000000" w:fill="FCD5B4"/>
                  <w:noWrap/>
                  <w:vAlign w:val="center"/>
                  <w:hideMark/>
                </w:tcPr>
                <w:p w14:paraId="79E54EDD"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D0F5D68"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017F58F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0D85C5A5"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5FFBF55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76%</w:t>
                  </w:r>
                </w:p>
              </w:tc>
              <w:tc>
                <w:tcPr>
                  <w:tcW w:w="1157" w:type="dxa"/>
                  <w:tcBorders>
                    <w:top w:val="nil"/>
                    <w:left w:val="nil"/>
                    <w:bottom w:val="nil"/>
                    <w:right w:val="nil"/>
                  </w:tcBorders>
                  <w:shd w:val="clear" w:color="000000" w:fill="FCD5B4"/>
                  <w:noWrap/>
                  <w:vAlign w:val="center"/>
                  <w:hideMark/>
                </w:tcPr>
                <w:p w14:paraId="60005BB1" w14:textId="77777777" w:rsidR="0093645F" w:rsidRPr="0093645F" w:rsidRDefault="0093645F" w:rsidP="0093645F">
                  <w:pPr>
                    <w:widowControl/>
                    <w:jc w:val="center"/>
                    <w:rPr>
                      <w:rFonts w:ascii="楷体" w:eastAsia="楷体" w:hAnsi="楷体" w:cs="宋体"/>
                      <w:color w:val="000000"/>
                      <w:kern w:val="0"/>
                      <w:sz w:val="20"/>
                      <w:szCs w:val="20"/>
                    </w:rPr>
                  </w:pPr>
                  <w:proofErr w:type="gramStart"/>
                  <w:r w:rsidRPr="0093645F">
                    <w:rPr>
                      <w:rFonts w:ascii="楷体" w:eastAsia="楷体" w:hAnsi="楷体" w:cs="宋体" w:hint="eastAsia"/>
                      <w:color w:val="000000"/>
                      <w:kern w:val="0"/>
                      <w:sz w:val="20"/>
                      <w:szCs w:val="20"/>
                    </w:rPr>
                    <w:t>城投债</w:t>
                  </w:r>
                  <w:proofErr w:type="gramEnd"/>
                  <w:r w:rsidRPr="0093645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08CA7D4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5B35D14E"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3AAB917A" w14:textId="77777777" w:rsidR="0093645F" w:rsidRPr="0093645F" w:rsidRDefault="0093645F" w:rsidP="0093645F">
                  <w:pPr>
                    <w:widowControl/>
                    <w:jc w:val="center"/>
                    <w:rPr>
                      <w:rFonts w:eastAsia="等线" w:cs="Calibri"/>
                      <w:color w:val="000000"/>
                      <w:kern w:val="0"/>
                      <w:szCs w:val="21"/>
                    </w:rPr>
                  </w:pPr>
                  <w:r w:rsidRPr="0093645F">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FC7CE"/>
                  <w:noWrap/>
                  <w:vAlign w:val="center"/>
                  <w:hideMark/>
                </w:tcPr>
                <w:p w14:paraId="62F8BDA0" w14:textId="77777777" w:rsidR="0093645F" w:rsidRPr="0093645F" w:rsidRDefault="0093645F" w:rsidP="0093645F">
                  <w:pPr>
                    <w:widowControl/>
                    <w:jc w:val="center"/>
                    <w:rPr>
                      <w:rFonts w:eastAsia="等线" w:cs="Calibri"/>
                      <w:color w:val="9C0006"/>
                      <w:kern w:val="0"/>
                      <w:szCs w:val="21"/>
                    </w:rPr>
                  </w:pPr>
                  <w:r w:rsidRPr="0093645F">
                    <w:rPr>
                      <w:rFonts w:eastAsia="等线" w:cs="Calibri"/>
                      <w:color w:val="9C0006"/>
                      <w:kern w:val="0"/>
                      <w:szCs w:val="21"/>
                    </w:rPr>
                    <w:t>87%</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B93AA97"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F54091" w:rsidRPr="00F54091">
        <w:rPr>
          <w:rFonts w:ascii="华文楷体" w:hAnsi="华文楷体" w:hint="eastAsia"/>
          <w:sz w:val="24"/>
          <w:szCs w:val="24"/>
          <w:lang w:eastAsia="zh-CN"/>
        </w:rPr>
        <w:t>各主要板块指数</w:t>
      </w:r>
      <w:r w:rsidR="00F54091">
        <w:rPr>
          <w:rFonts w:ascii="华文楷体" w:hAnsi="华文楷体" w:hint="eastAsia"/>
          <w:sz w:val="24"/>
          <w:szCs w:val="24"/>
          <w:lang w:eastAsia="zh-CN"/>
        </w:rPr>
        <w:t>多数</w:t>
      </w:r>
      <w:r w:rsidR="00F54091" w:rsidRPr="00F54091">
        <w:rPr>
          <w:rFonts w:ascii="华文楷体" w:hAnsi="华文楷体" w:hint="eastAsia"/>
          <w:sz w:val="24"/>
          <w:szCs w:val="24"/>
          <w:lang w:eastAsia="zh-CN"/>
        </w:rPr>
        <w:t>适度下行，成交量除</w:t>
      </w:r>
      <w:r w:rsidR="0093645F">
        <w:rPr>
          <w:rFonts w:ascii="华文楷体" w:hAnsi="华文楷体" w:hint="eastAsia"/>
          <w:sz w:val="24"/>
          <w:szCs w:val="24"/>
          <w:lang w:eastAsia="zh-CN"/>
        </w:rPr>
        <w:t>上证50</w:t>
      </w:r>
      <w:r w:rsidR="00F54091" w:rsidRPr="00F54091">
        <w:rPr>
          <w:rFonts w:ascii="华文楷体" w:hAnsi="华文楷体" w:hint="eastAsia"/>
          <w:sz w:val="24"/>
          <w:szCs w:val="24"/>
          <w:lang w:eastAsia="zh-CN"/>
        </w:rPr>
        <w:t>指数成交上涨外，其他板块成交量适度萎缩。</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7B46F4">
        <w:rPr>
          <w:rFonts w:ascii="华文楷体" w:hAnsi="华文楷体" w:hint="eastAsia"/>
          <w:sz w:val="24"/>
          <w:szCs w:val="24"/>
          <w:lang w:eastAsia="zh-CN"/>
        </w:rPr>
        <w:t>-</w:t>
      </w:r>
      <w:r w:rsidR="0093645F">
        <w:rPr>
          <w:rFonts w:ascii="华文楷体" w:hAnsi="华文楷体"/>
          <w:sz w:val="24"/>
          <w:szCs w:val="24"/>
          <w:lang w:eastAsia="zh-CN"/>
        </w:rPr>
        <w:t>0.7</w:t>
      </w:r>
      <w:r w:rsidR="00AC28BB">
        <w:rPr>
          <w:rFonts w:ascii="华文楷体" w:hAnsi="华文楷体"/>
          <w:sz w:val="24"/>
          <w:szCs w:val="24"/>
          <w:lang w:eastAsia="zh-CN"/>
        </w:rPr>
        <w:t>%、</w:t>
      </w:r>
      <w:r w:rsidR="0093645F">
        <w:rPr>
          <w:rFonts w:ascii="华文楷体" w:hAnsi="华文楷体" w:hint="eastAsia"/>
          <w:sz w:val="24"/>
          <w:szCs w:val="24"/>
          <w:lang w:eastAsia="zh-CN"/>
        </w:rPr>
        <w:t>0.00</w:t>
      </w:r>
      <w:r w:rsidR="00AC28BB">
        <w:rPr>
          <w:rFonts w:ascii="华文楷体" w:hAnsi="华文楷体"/>
          <w:sz w:val="24"/>
          <w:szCs w:val="24"/>
          <w:lang w:eastAsia="zh-CN"/>
        </w:rPr>
        <w:t>%、</w:t>
      </w:r>
      <w:r w:rsidR="007B46F4">
        <w:rPr>
          <w:rFonts w:ascii="华文楷体" w:hAnsi="华文楷体"/>
          <w:sz w:val="24"/>
          <w:szCs w:val="24"/>
          <w:lang w:eastAsia="zh-CN"/>
        </w:rPr>
        <w:t>-</w:t>
      </w:r>
      <w:r w:rsidR="0093645F">
        <w:rPr>
          <w:rFonts w:ascii="华文楷体" w:hAnsi="华文楷体" w:hint="eastAsia"/>
          <w:sz w:val="24"/>
          <w:szCs w:val="24"/>
          <w:lang w:eastAsia="zh-CN"/>
        </w:rPr>
        <w:t>1.9</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93645F">
        <w:rPr>
          <w:rFonts w:ascii="华文楷体" w:hAnsi="华文楷体"/>
          <w:sz w:val="24"/>
          <w:szCs w:val="24"/>
          <w:lang w:eastAsia="zh-CN"/>
        </w:rPr>
        <w:t>-1.4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本周略跌</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AA4BE4">
        <w:rPr>
          <w:rFonts w:ascii="华文楷体" w:hAnsi="华文楷体"/>
          <w:sz w:val="24"/>
          <w:szCs w:val="24"/>
          <w:lang w:eastAsia="zh-CN"/>
        </w:rPr>
        <w:t>微</w:t>
      </w:r>
      <w:r w:rsidR="0093645F">
        <w:rPr>
          <w:rFonts w:ascii="华文楷体" w:hAnsi="华文楷体" w:hint="eastAsia"/>
          <w:sz w:val="24"/>
          <w:szCs w:val="24"/>
          <w:lang w:eastAsia="zh-CN"/>
        </w:rPr>
        <w:t>跌0.3</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3645F">
        <w:tblPrEx>
          <w:tblCellMar>
            <w:left w:w="108" w:type="dxa"/>
            <w:right w:w="108" w:type="dxa"/>
          </w:tblCellMar>
        </w:tblPrEx>
        <w:trPr>
          <w:trHeight w:val="2921"/>
          <w:jc w:val="center"/>
        </w:trPr>
        <w:tc>
          <w:tcPr>
            <w:tcW w:w="4939" w:type="dxa"/>
            <w:vAlign w:val="center"/>
          </w:tcPr>
          <w:p w14:paraId="5C83721A" w14:textId="4D4C7E47" w:rsidR="00E0626C" w:rsidRPr="00345C30" w:rsidRDefault="0093645F" w:rsidP="00345C30">
            <w:pPr>
              <w:widowControl/>
              <w:jc w:val="left"/>
              <w:rPr>
                <w:rFonts w:ascii="宋体" w:hAnsi="宋体" w:cs="宋体"/>
                <w:kern w:val="0"/>
                <w:sz w:val="24"/>
                <w:szCs w:val="24"/>
              </w:rPr>
            </w:pPr>
            <w:r w:rsidRPr="0093645F">
              <w:rPr>
                <w:rFonts w:ascii="宋体" w:hAnsi="宋体" w:cs="宋体"/>
                <w:noProof/>
                <w:kern w:val="0"/>
                <w:sz w:val="24"/>
                <w:szCs w:val="24"/>
              </w:rPr>
              <w:drawing>
                <wp:inline distT="0" distB="0" distL="0" distR="0" wp14:anchorId="566B356D" wp14:editId="17BB0C10">
                  <wp:extent cx="3108960" cy="1940295"/>
                  <wp:effectExtent l="0" t="0" r="0" b="3175"/>
                  <wp:docPr id="16" name="图片 16" descr="C:\Users\Tang\AppData\Local\Temp\1618756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1875616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9030" cy="1996508"/>
                          </a:xfrm>
                          <a:prstGeom prst="rect">
                            <a:avLst/>
                          </a:prstGeom>
                          <a:noFill/>
                          <a:ln>
                            <a:noFill/>
                          </a:ln>
                        </pic:spPr>
                      </pic:pic>
                    </a:graphicData>
                  </a:graphic>
                </wp:inline>
              </w:drawing>
            </w:r>
          </w:p>
        </w:tc>
        <w:tc>
          <w:tcPr>
            <w:tcW w:w="4938" w:type="dxa"/>
            <w:vAlign w:val="center"/>
          </w:tcPr>
          <w:p w14:paraId="39BD4383" w14:textId="7C689351" w:rsidR="00E0626C" w:rsidRPr="007E0340" w:rsidRDefault="0093645F" w:rsidP="009A2BA0">
            <w:pPr>
              <w:jc w:val="center"/>
              <w:rPr>
                <w:noProof/>
                <w:szCs w:val="18"/>
              </w:rPr>
            </w:pPr>
            <w:r>
              <w:rPr>
                <w:noProof/>
              </w:rPr>
              <w:drawing>
                <wp:inline distT="0" distB="0" distL="0" distR="0" wp14:anchorId="52E89617" wp14:editId="6952E2DB">
                  <wp:extent cx="2998470" cy="1902511"/>
                  <wp:effectExtent l="0" t="0" r="0" b="2540"/>
                  <wp:docPr id="15" name="图表 15">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C857987"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C8636F">
        <w:rPr>
          <w:rFonts w:ascii="华文楷体" w:hAnsi="华文楷体" w:hint="eastAsia"/>
          <w:sz w:val="24"/>
          <w:szCs w:val="24"/>
          <w:lang w:eastAsia="zh-CN"/>
        </w:rPr>
        <w:t>上</w:t>
      </w:r>
      <w:r w:rsidR="00F704B5" w:rsidRPr="00F704B5">
        <w:rPr>
          <w:rFonts w:ascii="华文楷体" w:hAnsi="华文楷体" w:hint="eastAsia"/>
          <w:sz w:val="24"/>
          <w:szCs w:val="24"/>
          <w:lang w:eastAsia="zh-CN"/>
        </w:rPr>
        <w:t>周</w:t>
      </w:r>
      <w:r w:rsidR="00891D23" w:rsidRPr="00891D23">
        <w:rPr>
          <w:rFonts w:ascii="华文楷体" w:hAnsi="华文楷体" w:hint="eastAsia"/>
          <w:sz w:val="24"/>
          <w:szCs w:val="24"/>
          <w:lang w:eastAsia="zh-CN"/>
        </w:rPr>
        <w:t>主要港口动力煤平均价下降0.7%</w:t>
      </w:r>
      <w:r w:rsidR="001A601B" w:rsidRPr="001A601B">
        <w:rPr>
          <w:rFonts w:ascii="华文楷体" w:hAnsi="华文楷体" w:hint="eastAsia"/>
          <w:sz w:val="24"/>
          <w:szCs w:val="24"/>
          <w:lang w:eastAsia="zh-CN"/>
        </w:rPr>
        <w:t>。</w:t>
      </w:r>
      <w:r w:rsidR="00891D23" w:rsidRPr="00891D23">
        <w:rPr>
          <w:rFonts w:ascii="华文楷体" w:hAnsi="华文楷体" w:hint="eastAsia"/>
          <w:sz w:val="24"/>
          <w:szCs w:val="24"/>
          <w:lang w:eastAsia="zh-CN"/>
        </w:rPr>
        <w:t>PTA产业链</w:t>
      </w:r>
      <w:proofErr w:type="gramStart"/>
      <w:r w:rsidR="00891D23" w:rsidRPr="00891D23">
        <w:rPr>
          <w:rFonts w:ascii="华文楷体" w:hAnsi="华文楷体" w:hint="eastAsia"/>
          <w:sz w:val="24"/>
          <w:szCs w:val="24"/>
          <w:lang w:eastAsia="zh-CN"/>
        </w:rPr>
        <w:t>负荷率环比</w:t>
      </w:r>
      <w:proofErr w:type="gramEnd"/>
      <w:r w:rsidR="00C8636F">
        <w:rPr>
          <w:rFonts w:ascii="华文楷体" w:hAnsi="华文楷体" w:hint="eastAsia"/>
          <w:sz w:val="24"/>
          <w:szCs w:val="24"/>
          <w:lang w:eastAsia="zh-CN"/>
        </w:rPr>
        <w:t>前一</w:t>
      </w:r>
      <w:r w:rsidR="00891D23" w:rsidRPr="00891D23">
        <w:rPr>
          <w:rFonts w:ascii="华文楷体" w:hAnsi="华文楷体" w:hint="eastAsia"/>
          <w:sz w:val="24"/>
          <w:szCs w:val="24"/>
          <w:lang w:eastAsia="zh-CN"/>
        </w:rPr>
        <w:t>周上升0.05%。中国玻璃综合指数小幅回升0.46%</w:t>
      </w:r>
      <w:r w:rsidR="001A601B">
        <w:rPr>
          <w:rFonts w:ascii="华文楷体" w:hAnsi="华文楷体" w:hint="eastAsia"/>
          <w:sz w:val="24"/>
          <w:szCs w:val="24"/>
          <w:lang w:eastAsia="zh-CN"/>
        </w:rPr>
        <w:t>。</w:t>
      </w:r>
      <w:proofErr w:type="spellStart"/>
      <w:r w:rsidR="00891D23" w:rsidRPr="00891D23">
        <w:rPr>
          <w:rFonts w:ascii="华文楷体" w:hAnsi="华文楷体" w:hint="eastAsia"/>
          <w:sz w:val="24"/>
          <w:szCs w:val="24"/>
          <w:lang w:eastAsia="zh-CN"/>
        </w:rPr>
        <w:t>Myspic</w:t>
      </w:r>
      <w:proofErr w:type="spellEnd"/>
      <w:r w:rsidR="00891D23" w:rsidRPr="00891D23">
        <w:rPr>
          <w:rFonts w:ascii="华文楷体" w:hAnsi="华文楷体" w:hint="eastAsia"/>
          <w:sz w:val="24"/>
          <w:szCs w:val="24"/>
          <w:lang w:eastAsia="zh-CN"/>
        </w:rPr>
        <w:t>综合全国钢铁价格指数转为小幅下跌0.66%</w:t>
      </w:r>
      <w:r w:rsidR="00C8636F">
        <w:rPr>
          <w:rFonts w:ascii="华文楷体" w:hAnsi="华文楷体" w:hint="eastAsia"/>
          <w:sz w:val="24"/>
          <w:szCs w:val="24"/>
          <w:lang w:eastAsia="zh-CN"/>
        </w:rPr>
        <w:t>，各类钢材价格均环比回落。主要品种中，螺纹钢、热卷、高线价格上</w:t>
      </w:r>
      <w:r w:rsidR="00891D23" w:rsidRPr="00891D23">
        <w:rPr>
          <w:rFonts w:ascii="华文楷体" w:hAnsi="华文楷体" w:hint="eastAsia"/>
          <w:sz w:val="24"/>
          <w:szCs w:val="24"/>
          <w:lang w:eastAsia="zh-CN"/>
        </w:rPr>
        <w:t>周分别下跌0.57%、1.07%、0.04%；库存方面，各</w:t>
      </w:r>
      <w:proofErr w:type="gramStart"/>
      <w:r w:rsidR="00891D23" w:rsidRPr="00891D23">
        <w:rPr>
          <w:rFonts w:ascii="华文楷体" w:hAnsi="华文楷体" w:hint="eastAsia"/>
          <w:sz w:val="24"/>
          <w:szCs w:val="24"/>
          <w:lang w:eastAsia="zh-CN"/>
        </w:rPr>
        <w:t>品种环</w:t>
      </w:r>
      <w:proofErr w:type="gramEnd"/>
      <w:r w:rsidR="00891D23" w:rsidRPr="00891D23">
        <w:rPr>
          <w:rFonts w:ascii="华文楷体" w:hAnsi="华文楷体" w:hint="eastAsia"/>
          <w:sz w:val="24"/>
          <w:szCs w:val="24"/>
          <w:lang w:eastAsia="zh-CN"/>
        </w:rPr>
        <w:t>比降幅依然显著：螺纹钢、热卷、线材库存分别减少7.15%、3.96%、2.57%。</w:t>
      </w:r>
    </w:p>
    <w:p w14:paraId="21425444" w14:textId="35774963"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891D23" w:rsidRPr="00891D23">
        <w:rPr>
          <w:rFonts w:ascii="华文楷体" w:hAnsi="华文楷体" w:hint="eastAsia"/>
          <w:sz w:val="24"/>
          <w:szCs w:val="24"/>
          <w:lang w:eastAsia="zh-CN"/>
        </w:rPr>
        <w:t>30大中城市商品房平均成交</w:t>
      </w:r>
      <w:proofErr w:type="gramStart"/>
      <w:r w:rsidR="00891D23" w:rsidRPr="00891D23">
        <w:rPr>
          <w:rFonts w:ascii="华文楷体" w:hAnsi="华文楷体" w:hint="eastAsia"/>
          <w:sz w:val="24"/>
          <w:szCs w:val="24"/>
          <w:lang w:eastAsia="zh-CN"/>
        </w:rPr>
        <w:t>面积环</w:t>
      </w:r>
      <w:proofErr w:type="gramEnd"/>
      <w:r w:rsidR="00891D23" w:rsidRPr="00891D23">
        <w:rPr>
          <w:rFonts w:ascii="华文楷体" w:hAnsi="华文楷体" w:hint="eastAsia"/>
          <w:sz w:val="24"/>
          <w:szCs w:val="24"/>
          <w:lang w:eastAsia="zh-CN"/>
        </w:rPr>
        <w:t>比下降6.41%，其中，一、二、三线城市分别下滑5.42%、1.85%、14.86%</w:t>
      </w:r>
      <w:r w:rsidR="006A4DF4">
        <w:rPr>
          <w:rFonts w:ascii="华文楷体" w:hAnsi="华文楷体" w:hint="eastAsia"/>
          <w:sz w:val="24"/>
          <w:szCs w:val="24"/>
          <w:lang w:eastAsia="zh-CN"/>
        </w:rPr>
        <w:t>。</w:t>
      </w:r>
      <w:r w:rsidR="00891D23" w:rsidRPr="00891D23">
        <w:rPr>
          <w:rFonts w:ascii="华文楷体" w:hAnsi="华文楷体" w:hint="eastAsia"/>
          <w:sz w:val="24"/>
          <w:szCs w:val="24"/>
          <w:lang w:eastAsia="zh-CN"/>
        </w:rPr>
        <w:t>100大中城市土地成交</w:t>
      </w:r>
      <w:proofErr w:type="gramStart"/>
      <w:r w:rsidR="00891D23" w:rsidRPr="00891D23">
        <w:rPr>
          <w:rFonts w:ascii="华文楷体" w:hAnsi="华文楷体" w:hint="eastAsia"/>
          <w:sz w:val="24"/>
          <w:szCs w:val="24"/>
          <w:lang w:eastAsia="zh-CN"/>
        </w:rPr>
        <w:t>面积环</w:t>
      </w:r>
      <w:proofErr w:type="gramEnd"/>
      <w:r w:rsidR="00891D23" w:rsidRPr="00891D23">
        <w:rPr>
          <w:rFonts w:ascii="华文楷体" w:hAnsi="华文楷体" w:hint="eastAsia"/>
          <w:sz w:val="24"/>
          <w:szCs w:val="24"/>
          <w:lang w:eastAsia="zh-CN"/>
        </w:rPr>
        <w:t>比下降47.73%，土地成交量回落至相对低位。</w:t>
      </w:r>
    </w:p>
    <w:p w14:paraId="77CCCEDF" w14:textId="37307FCF"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891D23" w:rsidRPr="00891D23">
        <w:rPr>
          <w:rFonts w:ascii="华文楷体" w:hAnsi="华文楷体" w:hint="eastAsia"/>
          <w:bCs/>
          <w:sz w:val="24"/>
          <w:szCs w:val="24"/>
          <w:lang w:eastAsia="zh-CN"/>
        </w:rPr>
        <w:t>波罗的海干散货指数较上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周大幅回升6.49%，中国进口干散货运价指数走势较上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周上升1.11%</w:t>
      </w:r>
      <w:r w:rsidR="00891D23">
        <w:rPr>
          <w:rFonts w:ascii="华文楷体" w:hAnsi="华文楷体" w:hint="eastAsia"/>
          <w:bCs/>
          <w:sz w:val="24"/>
          <w:szCs w:val="24"/>
          <w:lang w:eastAsia="zh-CN"/>
        </w:rPr>
        <w:t>。</w:t>
      </w:r>
      <w:r w:rsidR="00891D23" w:rsidRPr="00891D23">
        <w:rPr>
          <w:rFonts w:ascii="华文楷体" w:hAnsi="华文楷体" w:hint="eastAsia"/>
          <w:bCs/>
          <w:sz w:val="24"/>
          <w:szCs w:val="24"/>
          <w:lang w:eastAsia="zh-CN"/>
        </w:rPr>
        <w:t>上海出口集装箱指数（SCFI）</w:t>
      </w:r>
      <w:r w:rsidR="00C8636F">
        <w:rPr>
          <w:rFonts w:ascii="华文楷体" w:hAnsi="华文楷体" w:hint="eastAsia"/>
          <w:bCs/>
          <w:sz w:val="24"/>
          <w:szCs w:val="24"/>
          <w:lang w:eastAsia="zh-CN"/>
        </w:rPr>
        <w:t>上</w:t>
      </w:r>
      <w:r w:rsidR="00891D23" w:rsidRPr="00891D23">
        <w:rPr>
          <w:rFonts w:ascii="华文楷体" w:hAnsi="华文楷体" w:hint="eastAsia"/>
          <w:bCs/>
          <w:sz w:val="24"/>
          <w:szCs w:val="24"/>
          <w:lang w:eastAsia="zh-CN"/>
        </w:rPr>
        <w:t>周环比回升6.84%，升幅较上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周（+2.58%）显著走扩；中国出口集装箱运价指数（CCFI）</w:t>
      </w:r>
      <w:r w:rsidR="00C8636F">
        <w:rPr>
          <w:rFonts w:ascii="华文楷体" w:hAnsi="华文楷体" w:hint="eastAsia"/>
          <w:bCs/>
          <w:sz w:val="24"/>
          <w:szCs w:val="24"/>
          <w:lang w:eastAsia="zh-CN"/>
        </w:rPr>
        <w:t>上</w:t>
      </w:r>
      <w:r w:rsidR="00891D23" w:rsidRPr="00891D23">
        <w:rPr>
          <w:rFonts w:ascii="华文楷体" w:hAnsi="华文楷体" w:hint="eastAsia"/>
          <w:bCs/>
          <w:sz w:val="24"/>
          <w:szCs w:val="24"/>
          <w:lang w:eastAsia="zh-CN"/>
        </w:rPr>
        <w:t>周小幅下行0.24%，环比</w:t>
      </w:r>
      <w:proofErr w:type="gramStart"/>
      <w:r w:rsidR="00891D23" w:rsidRPr="00891D23">
        <w:rPr>
          <w:rFonts w:ascii="华文楷体" w:hAnsi="华文楷体" w:hint="eastAsia"/>
          <w:bCs/>
          <w:sz w:val="24"/>
          <w:szCs w:val="24"/>
          <w:lang w:eastAsia="zh-CN"/>
        </w:rPr>
        <w:t>降幅收</w:t>
      </w:r>
      <w:proofErr w:type="gramEnd"/>
      <w:r w:rsidR="00891D23" w:rsidRPr="00891D23">
        <w:rPr>
          <w:rFonts w:ascii="华文楷体" w:hAnsi="华文楷体" w:hint="eastAsia"/>
          <w:bCs/>
          <w:sz w:val="24"/>
          <w:szCs w:val="24"/>
          <w:lang w:eastAsia="zh-CN"/>
        </w:rPr>
        <w:t>窄。</w:t>
      </w:r>
    </w:p>
    <w:p w14:paraId="0542DAC4" w14:textId="0D01F148"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1A601B" w:rsidRPr="001A601B">
        <w:rPr>
          <w:rFonts w:ascii="华文楷体" w:hAnsi="华文楷体" w:hint="eastAsia"/>
          <w:bCs/>
          <w:sz w:val="24"/>
          <w:szCs w:val="24"/>
          <w:lang w:eastAsia="zh-CN"/>
        </w:rPr>
        <w:t>猪价来看，</w:t>
      </w:r>
      <w:r w:rsidR="00C8636F">
        <w:rPr>
          <w:rFonts w:ascii="华文楷体" w:hAnsi="华文楷体" w:hint="eastAsia"/>
          <w:bCs/>
          <w:sz w:val="24"/>
          <w:szCs w:val="24"/>
          <w:lang w:eastAsia="zh-CN"/>
        </w:rPr>
        <w:t>上</w:t>
      </w:r>
      <w:r w:rsidR="001A601B" w:rsidRPr="001A601B">
        <w:rPr>
          <w:rFonts w:ascii="华文楷体" w:hAnsi="华文楷体" w:hint="eastAsia"/>
          <w:bCs/>
          <w:sz w:val="24"/>
          <w:szCs w:val="24"/>
          <w:lang w:eastAsia="zh-CN"/>
        </w:rPr>
        <w:t>周农业部公布的全国</w:t>
      </w:r>
      <w:r w:rsidR="00891D23" w:rsidRPr="00891D23">
        <w:rPr>
          <w:rFonts w:ascii="华文楷体" w:hAnsi="华文楷体" w:hint="eastAsia"/>
          <w:bCs/>
          <w:sz w:val="24"/>
          <w:szCs w:val="24"/>
          <w:lang w:eastAsia="zh-CN"/>
        </w:rPr>
        <w:t>平均批发价下降至31.59元/公斤，环比上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周下降4.39%</w:t>
      </w:r>
      <w:r w:rsidR="001A601B" w:rsidRPr="001A601B">
        <w:rPr>
          <w:rFonts w:ascii="华文楷体" w:hAnsi="华文楷体" w:hint="eastAsia"/>
          <w:bCs/>
          <w:sz w:val="24"/>
          <w:szCs w:val="24"/>
          <w:lang w:eastAsia="zh-CN"/>
        </w:rPr>
        <w:t>。</w:t>
      </w:r>
      <w:r w:rsidR="00891D23">
        <w:rPr>
          <w:rFonts w:ascii="华文楷体" w:hAnsi="华文楷体" w:hint="eastAsia"/>
          <w:bCs/>
          <w:sz w:val="24"/>
          <w:szCs w:val="24"/>
          <w:lang w:eastAsia="zh-CN"/>
        </w:rPr>
        <w:t>蔬菜价格跌幅依然较大</w:t>
      </w:r>
      <w:r w:rsidR="00891D23" w:rsidRPr="00891D23">
        <w:rPr>
          <w:rFonts w:ascii="华文楷体" w:hAnsi="华文楷体" w:hint="eastAsia"/>
          <w:bCs/>
          <w:sz w:val="24"/>
          <w:szCs w:val="24"/>
          <w:lang w:eastAsia="zh-CN"/>
        </w:rPr>
        <w:t>；生鲜乳制品价格基本持平上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周，水果价格转为上行，水产品价格周环比继续上涨0.87%；牛肉价格跌幅走扩，羊肉转为下跌。</w:t>
      </w:r>
      <w:r w:rsidR="0063487B" w:rsidRPr="0063487B">
        <w:rPr>
          <w:rFonts w:ascii="华文楷体" w:hAnsi="华文楷体" w:hint="eastAsia"/>
          <w:bCs/>
          <w:sz w:val="24"/>
          <w:szCs w:val="24"/>
          <w:lang w:eastAsia="zh-CN"/>
        </w:rPr>
        <w:t>工业品价格方面，</w:t>
      </w:r>
      <w:r w:rsidR="00891D23" w:rsidRPr="00891D23">
        <w:rPr>
          <w:rFonts w:ascii="华文楷体" w:hAnsi="华文楷体" w:hint="eastAsia"/>
          <w:bCs/>
          <w:sz w:val="24"/>
          <w:szCs w:val="24"/>
          <w:lang w:eastAsia="zh-CN"/>
        </w:rPr>
        <w:t>长江有色市场现货价格铜、铝、铅、锌价分别变化-0.26%、1.70%、-0.40%、-1.16%；海外价格来看，LME铜、铝、铅、</w:t>
      </w:r>
      <w:proofErr w:type="gramStart"/>
      <w:r w:rsidR="00891D23" w:rsidRPr="00891D23">
        <w:rPr>
          <w:rFonts w:ascii="华文楷体" w:hAnsi="华文楷体" w:hint="eastAsia"/>
          <w:bCs/>
          <w:sz w:val="24"/>
          <w:szCs w:val="24"/>
          <w:lang w:eastAsia="zh-CN"/>
        </w:rPr>
        <w:t>锌较上</w:t>
      </w:r>
      <w:proofErr w:type="gramEnd"/>
      <w:r w:rsidR="00891D23" w:rsidRPr="00891D23">
        <w:rPr>
          <w:rFonts w:ascii="华文楷体" w:hAnsi="华文楷体" w:hint="eastAsia"/>
          <w:bCs/>
          <w:sz w:val="24"/>
          <w:szCs w:val="24"/>
          <w:lang w:eastAsia="zh-CN"/>
        </w:rPr>
        <w:t>周环比分别上涨0.09%、1.46%、0.40%、-1.27%。</w:t>
      </w:r>
    </w:p>
    <w:p w14:paraId="3425BC76" w14:textId="337D21D9"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095AFC" w:rsidRPr="00095AFC">
        <w:rPr>
          <w:rFonts w:ascii="华文楷体" w:hAnsi="华文楷体" w:hint="eastAsia"/>
          <w:bCs/>
          <w:sz w:val="24"/>
          <w:szCs w:val="24"/>
          <w:lang w:eastAsia="zh-CN"/>
        </w:rPr>
        <w:t>乘联会最新数据显示，</w:t>
      </w:r>
      <w:r w:rsidR="00891D23" w:rsidRPr="00891D23">
        <w:rPr>
          <w:rFonts w:ascii="华文楷体" w:hAnsi="华文楷体" w:hint="eastAsia"/>
          <w:bCs/>
          <w:sz w:val="24"/>
          <w:szCs w:val="24"/>
          <w:lang w:eastAsia="zh-CN"/>
        </w:rPr>
        <w:t>4月上旬（1日-11日）的日均零售在3万辆左右，同比2019年下滑约9%，环比3月下滑17%</w:t>
      </w:r>
      <w:r w:rsidR="00891D23">
        <w:rPr>
          <w:rFonts w:ascii="华文楷体" w:hAnsi="华文楷体" w:hint="eastAsia"/>
          <w:bCs/>
          <w:sz w:val="24"/>
          <w:szCs w:val="24"/>
          <w:lang w:eastAsia="zh-CN"/>
        </w:rPr>
        <w:t>。</w:t>
      </w:r>
      <w:r w:rsidR="00891D23" w:rsidRPr="00891D23">
        <w:rPr>
          <w:rFonts w:ascii="华文楷体" w:hAnsi="华文楷体" w:hint="eastAsia"/>
          <w:bCs/>
          <w:sz w:val="24"/>
          <w:szCs w:val="24"/>
          <w:lang w:eastAsia="zh-CN"/>
        </w:rPr>
        <w:t>4月上旬主要厂商批发销量达到日均3.2万辆，同比2019年3月下降7%，环比今年3月下滑21%。</w:t>
      </w:r>
    </w:p>
    <w:p w14:paraId="6C0621FD" w14:textId="1E921A4B"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891D23" w:rsidRPr="00891D23">
        <w:rPr>
          <w:rFonts w:ascii="华文楷体" w:hAnsi="华文楷体" w:hint="eastAsia"/>
          <w:bCs/>
          <w:sz w:val="24"/>
          <w:szCs w:val="24"/>
          <w:lang w:eastAsia="zh-CN"/>
        </w:rPr>
        <w:t>布伦</w:t>
      </w:r>
      <w:proofErr w:type="gramStart"/>
      <w:r w:rsidR="00891D23" w:rsidRPr="00891D23">
        <w:rPr>
          <w:rFonts w:ascii="华文楷体" w:hAnsi="华文楷体" w:hint="eastAsia"/>
          <w:bCs/>
          <w:sz w:val="24"/>
          <w:szCs w:val="24"/>
          <w:lang w:eastAsia="zh-CN"/>
        </w:rPr>
        <w:t>特</w:t>
      </w:r>
      <w:proofErr w:type="gramEnd"/>
      <w:r w:rsidR="00891D23" w:rsidRPr="00891D23">
        <w:rPr>
          <w:rFonts w:ascii="华文楷体" w:hAnsi="华文楷体" w:hint="eastAsia"/>
          <w:bCs/>
          <w:sz w:val="24"/>
          <w:szCs w:val="24"/>
          <w:lang w:eastAsia="zh-CN"/>
        </w:rPr>
        <w:t>原油环比上</w:t>
      </w:r>
      <w:r w:rsidR="00C8636F">
        <w:rPr>
          <w:rFonts w:ascii="华文楷体" w:hAnsi="华文楷体" w:hint="eastAsia"/>
          <w:bCs/>
          <w:sz w:val="24"/>
          <w:szCs w:val="24"/>
          <w:lang w:eastAsia="zh-CN"/>
        </w:rPr>
        <w:t>一</w:t>
      </w:r>
      <w:r w:rsidR="00891D23" w:rsidRPr="00891D23">
        <w:rPr>
          <w:rFonts w:ascii="华文楷体" w:hAnsi="华文楷体" w:hint="eastAsia"/>
          <w:bCs/>
          <w:sz w:val="24"/>
          <w:szCs w:val="24"/>
          <w:lang w:eastAsia="zh-CN"/>
        </w:rPr>
        <w:t>周五涨6.07%至66.77美元/桶；WTI原油价格涨6.42%至63.13美元/桶。</w:t>
      </w:r>
    </w:p>
    <w:p w14:paraId="35D3E229" w14:textId="54480A45"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891D23" w:rsidRPr="00891D23">
        <w:rPr>
          <w:rFonts w:ascii="华文楷体" w:hAnsi="华文楷体" w:hint="eastAsia"/>
          <w:bCs/>
          <w:sz w:val="24"/>
          <w:szCs w:val="24"/>
          <w:lang w:eastAsia="zh-CN"/>
        </w:rPr>
        <w:t>中共中央政治局会议，4月税期</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8B2F338"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C8636F">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5D845982"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lastRenderedPageBreak/>
        <w:t>利率债：</w:t>
      </w:r>
      <w:r w:rsidR="00891D23" w:rsidRPr="00891D23">
        <w:rPr>
          <w:rFonts w:ascii="华文楷体" w:hAnsi="华文楷体" w:hint="eastAsia"/>
          <w:sz w:val="24"/>
          <w:szCs w:val="24"/>
          <w:lang w:eastAsia="zh-CN"/>
        </w:rPr>
        <w:t>从近期数据来看，通胀高频继续回落，工业高频整体延续强势，部分工业品均价环比略有下行。工业品价格方面，动力煤、</w:t>
      </w:r>
      <w:proofErr w:type="gramStart"/>
      <w:r w:rsidR="00891D23" w:rsidRPr="00891D23">
        <w:rPr>
          <w:rFonts w:ascii="华文楷体" w:hAnsi="华文楷体" w:hint="eastAsia"/>
          <w:sz w:val="24"/>
          <w:szCs w:val="24"/>
          <w:lang w:eastAsia="zh-CN"/>
        </w:rPr>
        <w:t>钢价环比</w:t>
      </w:r>
      <w:proofErr w:type="gramEnd"/>
      <w:r w:rsidR="00891D23" w:rsidRPr="00891D23">
        <w:rPr>
          <w:rFonts w:ascii="华文楷体" w:hAnsi="华文楷体" w:hint="eastAsia"/>
          <w:sz w:val="24"/>
          <w:szCs w:val="24"/>
          <w:lang w:eastAsia="zh-CN"/>
        </w:rPr>
        <w:t>出现下行，玻璃价格持续缓幅上行，国际油价仍持续上涨态势，石油及制品消费增速预计继续上行。工业品价格整体延续上行，4月生产、施工进一步加快，目前看市场预期工业表现预计仍相对强势，基本面数据看对债市形成趋势性利好仍有难度。后续，地方债发行节奏进一步加快，后续债券供给将持续对债市承压，考虑到今年的情况，关注后续财政存款上缴情况是否能再现类似2、3月份情况，对整体银行间流动性扰动适度对冲。债券市场短期预计仍可能震荡小行，主要</w:t>
      </w:r>
      <w:proofErr w:type="gramStart"/>
      <w:r w:rsidR="00891D23" w:rsidRPr="00891D23">
        <w:rPr>
          <w:rFonts w:ascii="华文楷体" w:hAnsi="华文楷体" w:hint="eastAsia"/>
          <w:sz w:val="24"/>
          <w:szCs w:val="24"/>
          <w:lang w:eastAsia="zh-CN"/>
        </w:rPr>
        <w:t>是险资</w:t>
      </w:r>
      <w:proofErr w:type="gramEnd"/>
      <w:r w:rsidR="00891D23" w:rsidRPr="00891D23">
        <w:rPr>
          <w:rFonts w:ascii="华文楷体" w:hAnsi="华文楷体" w:hint="eastAsia"/>
          <w:sz w:val="24"/>
          <w:szCs w:val="24"/>
          <w:lang w:eastAsia="zh-CN"/>
        </w:rPr>
        <w:t>、银行等配置盘驱动为主，但考虑到当前多空因素交叠，曲线整体仍有一定陡峭化适度下行空间，但后续下行幅度可能边际收窄。</w:t>
      </w:r>
    </w:p>
    <w:p w14:paraId="2C3F4BD1" w14:textId="2F0F11D1"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33F53">
        <w:rPr>
          <w:rFonts w:ascii="华文楷体" w:hAnsi="华文楷体" w:hint="eastAsia"/>
          <w:sz w:val="24"/>
          <w:szCs w:val="24"/>
          <w:lang w:eastAsia="zh-CN"/>
        </w:rPr>
        <w:t>中低评级债券成交情绪持续较弱，信用风险</w:t>
      </w:r>
      <w:proofErr w:type="gramStart"/>
      <w:r w:rsidR="00233F53">
        <w:rPr>
          <w:rFonts w:ascii="华文楷体" w:hAnsi="华文楷体" w:hint="eastAsia"/>
          <w:sz w:val="24"/>
          <w:szCs w:val="24"/>
          <w:lang w:eastAsia="zh-CN"/>
        </w:rPr>
        <w:t>偏好仍</w:t>
      </w:r>
      <w:proofErr w:type="gramEnd"/>
      <w:r w:rsidR="00233F53">
        <w:rPr>
          <w:rFonts w:ascii="华文楷体" w:hAnsi="华文楷体" w:hint="eastAsia"/>
          <w:sz w:val="24"/>
          <w:szCs w:val="24"/>
          <w:lang w:eastAsia="zh-CN"/>
        </w:rPr>
        <w:t>相对偏低，机构目前仍在针对持仓情况进行风险排查梳理阶段</w:t>
      </w:r>
      <w:r w:rsidR="005C1B69">
        <w:rPr>
          <w:rFonts w:ascii="华文楷体" w:hAnsi="华文楷体" w:hint="eastAsia"/>
          <w:sz w:val="24"/>
          <w:szCs w:val="24"/>
          <w:lang w:eastAsia="zh-CN"/>
        </w:rPr>
        <w:t>，流动性断层情况</w:t>
      </w:r>
      <w:r w:rsidR="00891D23">
        <w:rPr>
          <w:rFonts w:ascii="华文楷体" w:hAnsi="华文楷体" w:hint="eastAsia"/>
          <w:sz w:val="24"/>
          <w:szCs w:val="24"/>
          <w:lang w:eastAsia="zh-CN"/>
        </w:rPr>
        <w:t>持续，城</w:t>
      </w:r>
      <w:proofErr w:type="gramStart"/>
      <w:r w:rsidR="00891D23">
        <w:rPr>
          <w:rFonts w:ascii="华文楷体" w:hAnsi="华文楷体" w:hint="eastAsia"/>
          <w:sz w:val="24"/>
          <w:szCs w:val="24"/>
          <w:lang w:eastAsia="zh-CN"/>
        </w:rPr>
        <w:t>投债近期</w:t>
      </w:r>
      <w:proofErr w:type="gramEnd"/>
      <w:r w:rsidR="00891D23">
        <w:rPr>
          <w:rFonts w:ascii="华文楷体" w:hAnsi="华文楷体" w:hint="eastAsia"/>
          <w:sz w:val="24"/>
          <w:szCs w:val="24"/>
          <w:lang w:eastAsia="zh-CN"/>
        </w:rPr>
        <w:t>表现略转好</w:t>
      </w:r>
      <w:r w:rsidR="005C1B69">
        <w:rPr>
          <w:rFonts w:ascii="华文楷体" w:hAnsi="华文楷体" w:hint="eastAsia"/>
          <w:sz w:val="24"/>
          <w:szCs w:val="24"/>
          <w:lang w:eastAsia="zh-CN"/>
        </w:rPr>
        <w:t>。</w:t>
      </w:r>
    </w:p>
    <w:p w14:paraId="4C893BAE" w14:textId="5E238C24"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891D23" w:rsidRPr="00891D23">
        <w:rPr>
          <w:rFonts w:ascii="华文楷体" w:hAnsi="华文楷体" w:hint="eastAsia"/>
          <w:sz w:val="24"/>
          <w:szCs w:val="24"/>
          <w:lang w:eastAsia="zh-CN"/>
        </w:rPr>
        <w:t>近期震荡下行，转债市场表现相对权益略好，指数微跌，市场估值持续压缩，转股溢价率适度下行。市场近期</w:t>
      </w:r>
      <w:proofErr w:type="gramStart"/>
      <w:r w:rsidR="00891D23" w:rsidRPr="00891D23">
        <w:rPr>
          <w:rFonts w:ascii="华文楷体" w:hAnsi="华文楷体" w:hint="eastAsia"/>
          <w:sz w:val="24"/>
          <w:szCs w:val="24"/>
          <w:lang w:eastAsia="zh-CN"/>
        </w:rPr>
        <w:t>关注仍</w:t>
      </w:r>
      <w:proofErr w:type="gramEnd"/>
      <w:r w:rsidR="00891D23" w:rsidRPr="00891D23">
        <w:rPr>
          <w:rFonts w:ascii="华文楷体" w:hAnsi="华文楷体" w:hint="eastAsia"/>
          <w:sz w:val="24"/>
          <w:szCs w:val="24"/>
          <w:lang w:eastAsia="zh-CN"/>
        </w:rPr>
        <w:t>集中在业绩表现，关注行业景气度高和正股业绩较好的转债。</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6CFC40ED"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AC23A5">
              <w:rPr>
                <w:rFonts w:hint="eastAsia"/>
              </w:rPr>
              <w:t>持续震荡调整</w:t>
            </w:r>
          </w:p>
        </w:tc>
        <w:tc>
          <w:tcPr>
            <w:tcW w:w="4938" w:type="dxa"/>
            <w:vAlign w:val="center"/>
          </w:tcPr>
          <w:p w14:paraId="02A10F26" w14:textId="57A71E5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6D72C8">
              <w:rPr>
                <w:rFonts w:hint="eastAsia"/>
              </w:rPr>
              <w:t>回调</w:t>
            </w:r>
          </w:p>
        </w:tc>
      </w:tr>
      <w:tr w:rsidR="001D35B3" w:rsidRPr="006A5F34" w14:paraId="205667F1" w14:textId="77777777" w:rsidTr="00567E5A">
        <w:tblPrEx>
          <w:tblCellMar>
            <w:left w:w="108" w:type="dxa"/>
            <w:right w:w="108" w:type="dxa"/>
          </w:tblCellMar>
        </w:tblPrEx>
        <w:trPr>
          <w:jc w:val="center"/>
        </w:trPr>
        <w:tc>
          <w:tcPr>
            <w:tcW w:w="4939" w:type="dxa"/>
            <w:vAlign w:val="center"/>
          </w:tcPr>
          <w:p w14:paraId="56C782C2" w14:textId="48F0EB8F" w:rsidR="001D35B3" w:rsidRPr="007E0340" w:rsidRDefault="00567E5A" w:rsidP="009A2BA0">
            <w:pPr>
              <w:jc w:val="center"/>
              <w:rPr>
                <w:noProof/>
              </w:rPr>
            </w:pPr>
            <w:r>
              <w:rPr>
                <w:noProof/>
              </w:rPr>
              <w:drawing>
                <wp:inline distT="0" distB="0" distL="0" distR="0" wp14:anchorId="5D89AF2E" wp14:editId="3ED7C413">
                  <wp:extent cx="2999105" cy="1911528"/>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1126C1E5" w:rsidR="001D35B3" w:rsidRPr="007E0340" w:rsidRDefault="00567E5A" w:rsidP="009A2BA0">
            <w:pPr>
              <w:jc w:val="center"/>
              <w:rPr>
                <w:noProof/>
                <w:szCs w:val="18"/>
              </w:rPr>
            </w:pPr>
            <w:r>
              <w:rPr>
                <w:noProof/>
              </w:rPr>
              <w:drawing>
                <wp:inline distT="0" distB="0" distL="0" distR="0" wp14:anchorId="16E91D96" wp14:editId="6E914EF9">
                  <wp:extent cx="2998470" cy="1966189"/>
                  <wp:effectExtent l="0" t="0" r="0" b="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966A21">
        <w:tblPrEx>
          <w:tblCellMar>
            <w:left w:w="108" w:type="dxa"/>
            <w:right w:w="108" w:type="dxa"/>
          </w:tblCellMar>
        </w:tblPrEx>
        <w:trPr>
          <w:trHeight w:val="2987"/>
          <w:jc w:val="center"/>
        </w:trPr>
        <w:tc>
          <w:tcPr>
            <w:tcW w:w="4939" w:type="dxa"/>
            <w:vAlign w:val="center"/>
          </w:tcPr>
          <w:p w14:paraId="0BAC1731" w14:textId="2785CFF8" w:rsidR="001D35B3" w:rsidRPr="007E0340" w:rsidRDefault="00966A21" w:rsidP="009A2BA0">
            <w:pPr>
              <w:jc w:val="center"/>
              <w:rPr>
                <w:noProof/>
              </w:rPr>
            </w:pPr>
            <w:r>
              <w:rPr>
                <w:noProof/>
              </w:rPr>
              <w:drawing>
                <wp:inline distT="0" distB="0" distL="0" distR="0" wp14:anchorId="53882B2B" wp14:editId="2BAF18CA">
                  <wp:extent cx="2999105" cy="1876527"/>
                  <wp:effectExtent l="0" t="0" r="10795" b="0"/>
                  <wp:docPr id="8" name="图表 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25D3DA84" w:rsidR="001D35B3" w:rsidRPr="007E0340" w:rsidRDefault="00966A21" w:rsidP="009A2BA0">
            <w:pPr>
              <w:jc w:val="center"/>
              <w:rPr>
                <w:noProof/>
                <w:szCs w:val="18"/>
              </w:rPr>
            </w:pPr>
            <w:r>
              <w:rPr>
                <w:noProof/>
              </w:rPr>
              <w:drawing>
                <wp:inline distT="0" distB="0" distL="0" distR="0" wp14:anchorId="4B72C7A7" wp14:editId="7E1155AF">
                  <wp:extent cx="2998470" cy="1907413"/>
                  <wp:effectExtent l="0" t="0" r="0" b="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36DE518D" w14:textId="18A88516" w:rsidR="001170AF" w:rsidRPr="001A1299" w:rsidRDefault="00C8636F" w:rsidP="00C8636F">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bookmarkStart w:id="2" w:name="_GoBack"/>
      <w:bookmarkEnd w:id="2"/>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DFB4B9" w14:textId="77777777" w:rsidR="003855BC" w:rsidRDefault="003855BC">
      <w:r>
        <w:separator/>
      </w:r>
    </w:p>
  </w:endnote>
  <w:endnote w:type="continuationSeparator" w:id="0">
    <w:p w14:paraId="1B807A16" w14:textId="77777777" w:rsidR="003855BC" w:rsidRDefault="00385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0550B2" w:rsidRDefault="000550B2">
        <w:pPr>
          <w:pStyle w:val="a4"/>
          <w:jc w:val="right"/>
        </w:pPr>
        <w:r>
          <w:fldChar w:fldCharType="begin"/>
        </w:r>
        <w:r>
          <w:instrText>PAGE   \* MERGEFORMAT</w:instrText>
        </w:r>
        <w:r>
          <w:fldChar w:fldCharType="separate"/>
        </w:r>
        <w:r w:rsidR="00C8636F" w:rsidRPr="00C8636F">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675DB8" w14:textId="77777777" w:rsidR="003855BC" w:rsidRDefault="003855BC">
      <w:r>
        <w:separator/>
      </w:r>
    </w:p>
  </w:footnote>
  <w:footnote w:type="continuationSeparator" w:id="0">
    <w:p w14:paraId="03B794D8" w14:textId="77777777" w:rsidR="003855BC" w:rsidRDefault="003855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0550B2" w:rsidRDefault="000550B2"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651"/>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5BC"/>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4C0"/>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36F"/>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44148</c:v>
                </c:pt>
                <c:pt idx="1">
                  <c:v>44155</c:v>
                </c:pt>
                <c:pt idx="2">
                  <c:v>44162</c:v>
                </c:pt>
                <c:pt idx="3">
                  <c:v>44169</c:v>
                </c:pt>
                <c:pt idx="4">
                  <c:v>44176</c:v>
                </c:pt>
                <c:pt idx="5">
                  <c:v>44183</c:v>
                </c:pt>
                <c:pt idx="6">
                  <c:v>44190</c:v>
                </c:pt>
                <c:pt idx="7">
                  <c:v>44197</c:v>
                </c:pt>
                <c:pt idx="8">
                  <c:v>44204</c:v>
                </c:pt>
                <c:pt idx="9">
                  <c:v>44211</c:v>
                </c:pt>
                <c:pt idx="10">
                  <c:v>44218</c:v>
                </c:pt>
                <c:pt idx="11">
                  <c:v>44225</c:v>
                </c:pt>
                <c:pt idx="12">
                  <c:v>44232</c:v>
                </c:pt>
                <c:pt idx="13">
                  <c:v>44239</c:v>
                </c:pt>
                <c:pt idx="14">
                  <c:v>44246</c:v>
                </c:pt>
                <c:pt idx="15">
                  <c:v>44253</c:v>
                </c:pt>
                <c:pt idx="16">
                  <c:v>44260</c:v>
                </c:pt>
                <c:pt idx="17">
                  <c:v>44267</c:v>
                </c:pt>
                <c:pt idx="18">
                  <c:v>44274</c:v>
                </c:pt>
                <c:pt idx="19">
                  <c:v>44281</c:v>
                </c:pt>
                <c:pt idx="20">
                  <c:v>44288</c:v>
                </c:pt>
                <c:pt idx="21">
                  <c:v>44295</c:v>
                </c:pt>
                <c:pt idx="22">
                  <c:v>44302</c:v>
                </c:pt>
              </c:numCache>
            </c:numRef>
          </c:cat>
          <c:val>
            <c:numRef>
              <c:f>央行!$B$5:$B$27</c:f>
              <c:numCache>
                <c:formatCode>###,###,###,###,##0.00</c:formatCode>
                <c:ptCount val="23"/>
                <c:pt idx="0">
                  <c:v>5500</c:v>
                </c:pt>
                <c:pt idx="1">
                  <c:v>3000</c:v>
                </c:pt>
                <c:pt idx="2">
                  <c:v>4350</c:v>
                </c:pt>
                <c:pt idx="3">
                  <c:v>2000</c:v>
                </c:pt>
                <c:pt idx="4">
                  <c:v>1500</c:v>
                </c:pt>
                <c:pt idx="5">
                  <c:v>600</c:v>
                </c:pt>
                <c:pt idx="6">
                  <c:v>4300</c:v>
                </c:pt>
                <c:pt idx="7">
                  <c:v>1750</c:v>
                </c:pt>
                <c:pt idx="8">
                  <c:v>550</c:v>
                </c:pt>
                <c:pt idx="9">
                  <c:v>160</c:v>
                </c:pt>
                <c:pt idx="10">
                  <c:v>6140</c:v>
                </c:pt>
                <c:pt idx="11">
                  <c:v>3890</c:v>
                </c:pt>
                <c:pt idx="12">
                  <c:v>4800</c:v>
                </c:pt>
                <c:pt idx="13">
                  <c:v>2300</c:v>
                </c:pt>
                <c:pt idx="14">
                  <c:v>400</c:v>
                </c:pt>
                <c:pt idx="15">
                  <c:v>800</c:v>
                </c:pt>
                <c:pt idx="16">
                  <c:v>550</c:v>
                </c:pt>
                <c:pt idx="17">
                  <c:v>500</c:v>
                </c:pt>
                <c:pt idx="18">
                  <c:v>500</c:v>
                </c:pt>
                <c:pt idx="19">
                  <c:v>550</c:v>
                </c:pt>
                <c:pt idx="20">
                  <c:v>500</c:v>
                </c:pt>
                <c:pt idx="21">
                  <c:v>400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44148</c:v>
                </c:pt>
                <c:pt idx="1">
                  <c:v>44155</c:v>
                </c:pt>
                <c:pt idx="2">
                  <c:v>44162</c:v>
                </c:pt>
                <c:pt idx="3">
                  <c:v>44169</c:v>
                </c:pt>
                <c:pt idx="4">
                  <c:v>44176</c:v>
                </c:pt>
                <c:pt idx="5">
                  <c:v>44183</c:v>
                </c:pt>
                <c:pt idx="6">
                  <c:v>44190</c:v>
                </c:pt>
                <c:pt idx="7">
                  <c:v>44197</c:v>
                </c:pt>
                <c:pt idx="8">
                  <c:v>44204</c:v>
                </c:pt>
                <c:pt idx="9">
                  <c:v>44211</c:v>
                </c:pt>
                <c:pt idx="10">
                  <c:v>44218</c:v>
                </c:pt>
                <c:pt idx="11">
                  <c:v>44225</c:v>
                </c:pt>
                <c:pt idx="12">
                  <c:v>44232</c:v>
                </c:pt>
                <c:pt idx="13">
                  <c:v>44239</c:v>
                </c:pt>
                <c:pt idx="14">
                  <c:v>44246</c:v>
                </c:pt>
                <c:pt idx="15">
                  <c:v>44253</c:v>
                </c:pt>
                <c:pt idx="16">
                  <c:v>44260</c:v>
                </c:pt>
                <c:pt idx="17">
                  <c:v>44267</c:v>
                </c:pt>
                <c:pt idx="18">
                  <c:v>44274</c:v>
                </c:pt>
                <c:pt idx="19">
                  <c:v>44281</c:v>
                </c:pt>
                <c:pt idx="20">
                  <c:v>44288</c:v>
                </c:pt>
                <c:pt idx="21">
                  <c:v>44295</c:v>
                </c:pt>
                <c:pt idx="22">
                  <c:v>44302</c:v>
                </c:pt>
              </c:numCache>
            </c:numRef>
          </c:cat>
          <c:val>
            <c:numRef>
              <c:f>央行!$C$5:$C$27</c:f>
              <c:numCache>
                <c:formatCode>###,###,###,###,##0.00</c:formatCode>
                <c:ptCount val="23"/>
                <c:pt idx="0">
                  <c:v>-3200</c:v>
                </c:pt>
                <c:pt idx="1">
                  <c:v>-5500</c:v>
                </c:pt>
                <c:pt idx="2">
                  <c:v>-3050</c:v>
                </c:pt>
                <c:pt idx="3">
                  <c:v>-4300</c:v>
                </c:pt>
                <c:pt idx="4">
                  <c:v>-2000</c:v>
                </c:pt>
                <c:pt idx="5">
                  <c:v>-1500</c:v>
                </c:pt>
                <c:pt idx="6">
                  <c:v>-650</c:v>
                </c:pt>
                <c:pt idx="7">
                  <c:v>-800</c:v>
                </c:pt>
                <c:pt idx="8">
                  <c:v>-5200</c:v>
                </c:pt>
                <c:pt idx="9">
                  <c:v>-550</c:v>
                </c:pt>
                <c:pt idx="10">
                  <c:v>-160</c:v>
                </c:pt>
                <c:pt idx="11">
                  <c:v>-6190</c:v>
                </c:pt>
                <c:pt idx="12">
                  <c:v>-3840</c:v>
                </c:pt>
                <c:pt idx="13">
                  <c:v>-2800</c:v>
                </c:pt>
                <c:pt idx="14">
                  <c:v>-3800</c:v>
                </c:pt>
                <c:pt idx="15">
                  <c:v>-950</c:v>
                </c:pt>
                <c:pt idx="16">
                  <c:v>-800</c:v>
                </c:pt>
                <c:pt idx="17">
                  <c:v>-500</c:v>
                </c:pt>
                <c:pt idx="18">
                  <c:v>-500</c:v>
                </c:pt>
                <c:pt idx="19">
                  <c:v>-550</c:v>
                </c:pt>
                <c:pt idx="20">
                  <c:v>-500</c:v>
                </c:pt>
                <c:pt idx="21">
                  <c:v>-500</c:v>
                </c:pt>
                <c:pt idx="22">
                  <c:v>-400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227138560"/>
        <c:axId val="22714073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44148</c:v>
                </c:pt>
                <c:pt idx="1">
                  <c:v>44155</c:v>
                </c:pt>
                <c:pt idx="2">
                  <c:v>44162</c:v>
                </c:pt>
                <c:pt idx="3">
                  <c:v>44169</c:v>
                </c:pt>
                <c:pt idx="4">
                  <c:v>44176</c:v>
                </c:pt>
                <c:pt idx="5">
                  <c:v>44183</c:v>
                </c:pt>
                <c:pt idx="6">
                  <c:v>44190</c:v>
                </c:pt>
                <c:pt idx="7">
                  <c:v>44197</c:v>
                </c:pt>
                <c:pt idx="8">
                  <c:v>44204</c:v>
                </c:pt>
                <c:pt idx="9">
                  <c:v>44211</c:v>
                </c:pt>
                <c:pt idx="10">
                  <c:v>44218</c:v>
                </c:pt>
                <c:pt idx="11">
                  <c:v>44225</c:v>
                </c:pt>
                <c:pt idx="12">
                  <c:v>44232</c:v>
                </c:pt>
                <c:pt idx="13">
                  <c:v>44239</c:v>
                </c:pt>
                <c:pt idx="14">
                  <c:v>44246</c:v>
                </c:pt>
                <c:pt idx="15">
                  <c:v>44253</c:v>
                </c:pt>
                <c:pt idx="16">
                  <c:v>44260</c:v>
                </c:pt>
                <c:pt idx="17">
                  <c:v>44267</c:v>
                </c:pt>
                <c:pt idx="18">
                  <c:v>44274</c:v>
                </c:pt>
                <c:pt idx="19">
                  <c:v>44281</c:v>
                </c:pt>
                <c:pt idx="20">
                  <c:v>44288</c:v>
                </c:pt>
                <c:pt idx="21">
                  <c:v>44295</c:v>
                </c:pt>
                <c:pt idx="22">
                  <c:v>44302</c:v>
                </c:pt>
              </c:numCache>
            </c:numRef>
          </c:cat>
          <c:val>
            <c:numRef>
              <c:f>央行!$D$5:$D$27</c:f>
              <c:numCache>
                <c:formatCode>###,###,###,###,##0.00</c:formatCode>
                <c:ptCount val="23"/>
                <c:pt idx="0">
                  <c:v>2300</c:v>
                </c:pt>
                <c:pt idx="1">
                  <c:v>-2500</c:v>
                </c:pt>
                <c:pt idx="2">
                  <c:v>1300</c:v>
                </c:pt>
                <c:pt idx="3">
                  <c:v>-2300</c:v>
                </c:pt>
                <c:pt idx="4">
                  <c:v>-500</c:v>
                </c:pt>
                <c:pt idx="5">
                  <c:v>-900</c:v>
                </c:pt>
                <c:pt idx="6">
                  <c:v>3650</c:v>
                </c:pt>
                <c:pt idx="7">
                  <c:v>950</c:v>
                </c:pt>
                <c:pt idx="8">
                  <c:v>-4650</c:v>
                </c:pt>
                <c:pt idx="9">
                  <c:v>-390</c:v>
                </c:pt>
                <c:pt idx="10">
                  <c:v>5980</c:v>
                </c:pt>
                <c:pt idx="11">
                  <c:v>-2300</c:v>
                </c:pt>
                <c:pt idx="12">
                  <c:v>960</c:v>
                </c:pt>
                <c:pt idx="13">
                  <c:v>-500</c:v>
                </c:pt>
                <c:pt idx="14">
                  <c:v>-3400</c:v>
                </c:pt>
                <c:pt idx="15">
                  <c:v>-150</c:v>
                </c:pt>
                <c:pt idx="16">
                  <c:v>-250</c:v>
                </c:pt>
                <c:pt idx="17">
                  <c:v>0</c:v>
                </c:pt>
                <c:pt idx="18">
                  <c:v>0</c:v>
                </c:pt>
                <c:pt idx="19">
                  <c:v>0</c:v>
                </c:pt>
                <c:pt idx="20">
                  <c:v>0</c:v>
                </c:pt>
                <c:pt idx="21">
                  <c:v>-100</c:v>
                </c:pt>
                <c:pt idx="22">
                  <c:v>100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227138560"/>
        <c:axId val="227140736"/>
      </c:lineChart>
      <c:catAx>
        <c:axId val="22713856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7140736"/>
        <c:crosses val="autoZero"/>
        <c:auto val="0"/>
        <c:lblAlgn val="ctr"/>
        <c:lblOffset val="0"/>
        <c:tickMarkSkip val="2"/>
        <c:noMultiLvlLbl val="0"/>
      </c:catAx>
      <c:valAx>
        <c:axId val="22714073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2713856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34185434571632"/>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44302</c:v>
                </c:pt>
                <c:pt idx="1">
                  <c:v>44301</c:v>
                </c:pt>
                <c:pt idx="2">
                  <c:v>44300</c:v>
                </c:pt>
                <c:pt idx="3">
                  <c:v>44299</c:v>
                </c:pt>
                <c:pt idx="4">
                  <c:v>44298</c:v>
                </c:pt>
                <c:pt idx="5">
                  <c:v>44295</c:v>
                </c:pt>
                <c:pt idx="6">
                  <c:v>44294</c:v>
                </c:pt>
                <c:pt idx="7">
                  <c:v>44293</c:v>
                </c:pt>
                <c:pt idx="8">
                  <c:v>44292</c:v>
                </c:pt>
                <c:pt idx="9">
                  <c:v>44288</c:v>
                </c:pt>
                <c:pt idx="10">
                  <c:v>44287</c:v>
                </c:pt>
                <c:pt idx="11">
                  <c:v>44286</c:v>
                </c:pt>
                <c:pt idx="12">
                  <c:v>44285</c:v>
                </c:pt>
                <c:pt idx="13">
                  <c:v>44284</c:v>
                </c:pt>
                <c:pt idx="14">
                  <c:v>44281</c:v>
                </c:pt>
                <c:pt idx="15">
                  <c:v>44280</c:v>
                </c:pt>
                <c:pt idx="16">
                  <c:v>44279</c:v>
                </c:pt>
                <c:pt idx="17">
                  <c:v>44278</c:v>
                </c:pt>
                <c:pt idx="18">
                  <c:v>44277</c:v>
                </c:pt>
                <c:pt idx="19">
                  <c:v>44274</c:v>
                </c:pt>
                <c:pt idx="20">
                  <c:v>44273</c:v>
                </c:pt>
                <c:pt idx="21">
                  <c:v>44272</c:v>
                </c:pt>
                <c:pt idx="22">
                  <c:v>44271</c:v>
                </c:pt>
                <c:pt idx="23">
                  <c:v>44270</c:v>
                </c:pt>
                <c:pt idx="24">
                  <c:v>44267</c:v>
                </c:pt>
                <c:pt idx="25">
                  <c:v>44266</c:v>
                </c:pt>
                <c:pt idx="26">
                  <c:v>44265</c:v>
                </c:pt>
                <c:pt idx="27">
                  <c:v>44264</c:v>
                </c:pt>
                <c:pt idx="28">
                  <c:v>44263</c:v>
                </c:pt>
                <c:pt idx="29">
                  <c:v>44260</c:v>
                </c:pt>
                <c:pt idx="30">
                  <c:v>44259</c:v>
                </c:pt>
                <c:pt idx="31">
                  <c:v>44258</c:v>
                </c:pt>
                <c:pt idx="32">
                  <c:v>44257</c:v>
                </c:pt>
                <c:pt idx="33">
                  <c:v>44256</c:v>
                </c:pt>
                <c:pt idx="34">
                  <c:v>44253</c:v>
                </c:pt>
                <c:pt idx="35">
                  <c:v>44252</c:v>
                </c:pt>
                <c:pt idx="36">
                  <c:v>44251</c:v>
                </c:pt>
                <c:pt idx="37">
                  <c:v>44250</c:v>
                </c:pt>
                <c:pt idx="38">
                  <c:v>44249</c:v>
                </c:pt>
                <c:pt idx="39">
                  <c:v>44247</c:v>
                </c:pt>
                <c:pt idx="40">
                  <c:v>44246</c:v>
                </c:pt>
                <c:pt idx="41">
                  <c:v>44245</c:v>
                </c:pt>
                <c:pt idx="42">
                  <c:v>44237</c:v>
                </c:pt>
                <c:pt idx="43">
                  <c:v>44236</c:v>
                </c:pt>
                <c:pt idx="44">
                  <c:v>44235</c:v>
                </c:pt>
                <c:pt idx="45">
                  <c:v>44234</c:v>
                </c:pt>
                <c:pt idx="46">
                  <c:v>44232</c:v>
                </c:pt>
                <c:pt idx="47">
                  <c:v>44231</c:v>
                </c:pt>
                <c:pt idx="48">
                  <c:v>44230</c:v>
                </c:pt>
                <c:pt idx="49">
                  <c:v>44229</c:v>
                </c:pt>
                <c:pt idx="50">
                  <c:v>44228</c:v>
                </c:pt>
                <c:pt idx="51">
                  <c:v>44225</c:v>
                </c:pt>
                <c:pt idx="52">
                  <c:v>44224</c:v>
                </c:pt>
                <c:pt idx="53">
                  <c:v>44223</c:v>
                </c:pt>
                <c:pt idx="54">
                  <c:v>44222</c:v>
                </c:pt>
                <c:pt idx="55">
                  <c:v>44221</c:v>
                </c:pt>
                <c:pt idx="56">
                  <c:v>44218</c:v>
                </c:pt>
                <c:pt idx="57">
                  <c:v>44217</c:v>
                </c:pt>
                <c:pt idx="58">
                  <c:v>44216</c:v>
                </c:pt>
              </c:numCache>
            </c:numRef>
          </c:cat>
          <c:val>
            <c:numRef>
              <c:f>资金!$B$3:$B$61</c:f>
              <c:numCache>
                <c:formatCode>###,###,###,###,##0.0000</c:formatCode>
                <c:ptCount val="59"/>
                <c:pt idx="0">
                  <c:v>1.9665999999999999</c:v>
                </c:pt>
                <c:pt idx="1">
                  <c:v>1.8460000000000001</c:v>
                </c:pt>
                <c:pt idx="2">
                  <c:v>1.8394999999999999</c:v>
                </c:pt>
                <c:pt idx="3">
                  <c:v>1.8163</c:v>
                </c:pt>
                <c:pt idx="4">
                  <c:v>1.8184</c:v>
                </c:pt>
                <c:pt idx="5">
                  <c:v>1.8128</c:v>
                </c:pt>
                <c:pt idx="6">
                  <c:v>1.7882</c:v>
                </c:pt>
                <c:pt idx="7">
                  <c:v>1.8531</c:v>
                </c:pt>
                <c:pt idx="8">
                  <c:v>1.8081</c:v>
                </c:pt>
                <c:pt idx="9">
                  <c:v>1.7512000000000001</c:v>
                </c:pt>
                <c:pt idx="10">
                  <c:v>2.1960000000000002</c:v>
                </c:pt>
                <c:pt idx="11">
                  <c:v>2.3929</c:v>
                </c:pt>
                <c:pt idx="12">
                  <c:v>1.8808</c:v>
                </c:pt>
                <c:pt idx="13">
                  <c:v>1.8393999999999999</c:v>
                </c:pt>
                <c:pt idx="14">
                  <c:v>1.8057000000000001</c:v>
                </c:pt>
                <c:pt idx="15">
                  <c:v>2.0571999999999999</c:v>
                </c:pt>
                <c:pt idx="16">
                  <c:v>1.8817999999999999</c:v>
                </c:pt>
                <c:pt idx="17">
                  <c:v>2.0042</c:v>
                </c:pt>
                <c:pt idx="18">
                  <c:v>2.0869</c:v>
                </c:pt>
                <c:pt idx="19">
                  <c:v>2.1583999999999999</c:v>
                </c:pt>
                <c:pt idx="20">
                  <c:v>2.2496999999999998</c:v>
                </c:pt>
                <c:pt idx="21">
                  <c:v>2.024</c:v>
                </c:pt>
                <c:pt idx="22">
                  <c:v>2.1652</c:v>
                </c:pt>
                <c:pt idx="23">
                  <c:v>2.2884000000000002</c:v>
                </c:pt>
                <c:pt idx="24">
                  <c:v>1.8247</c:v>
                </c:pt>
                <c:pt idx="25">
                  <c:v>1.8349</c:v>
                </c:pt>
                <c:pt idx="26">
                  <c:v>1.7825</c:v>
                </c:pt>
                <c:pt idx="27">
                  <c:v>2.0304000000000002</c:v>
                </c:pt>
                <c:pt idx="28">
                  <c:v>1.7479</c:v>
                </c:pt>
                <c:pt idx="29">
                  <c:v>1.6113999999999999</c:v>
                </c:pt>
                <c:pt idx="30">
                  <c:v>1.9486000000000001</c:v>
                </c:pt>
                <c:pt idx="31">
                  <c:v>1.532</c:v>
                </c:pt>
                <c:pt idx="32">
                  <c:v>1.8036000000000001</c:v>
                </c:pt>
                <c:pt idx="33">
                  <c:v>2.1819999999999999</c:v>
                </c:pt>
                <c:pt idx="34">
                  <c:v>2.2122000000000002</c:v>
                </c:pt>
                <c:pt idx="35">
                  <c:v>1.7466999999999999</c:v>
                </c:pt>
                <c:pt idx="36">
                  <c:v>1.5522</c:v>
                </c:pt>
                <c:pt idx="37">
                  <c:v>1.9908999999999999</c:v>
                </c:pt>
                <c:pt idx="38">
                  <c:v>1.5585</c:v>
                </c:pt>
                <c:pt idx="39">
                  <c:v>1.4419</c:v>
                </c:pt>
                <c:pt idx="40">
                  <c:v>1.8237000000000001</c:v>
                </c:pt>
                <c:pt idx="41">
                  <c:v>2.3538999999999999</c:v>
                </c:pt>
                <c:pt idx="42">
                  <c:v>1.8607</c:v>
                </c:pt>
                <c:pt idx="43">
                  <c:v>1.7911999999999999</c:v>
                </c:pt>
                <c:pt idx="44">
                  <c:v>1.9377</c:v>
                </c:pt>
                <c:pt idx="45">
                  <c:v>1.5358000000000001</c:v>
                </c:pt>
                <c:pt idx="46">
                  <c:v>1.8911</c:v>
                </c:pt>
                <c:pt idx="47">
                  <c:v>2.1088</c:v>
                </c:pt>
                <c:pt idx="48">
                  <c:v>1.9271</c:v>
                </c:pt>
                <c:pt idx="49">
                  <c:v>2.2991999999999999</c:v>
                </c:pt>
                <c:pt idx="50">
                  <c:v>3.0550999999999999</c:v>
                </c:pt>
                <c:pt idx="51">
                  <c:v>6.5883000000000003</c:v>
                </c:pt>
                <c:pt idx="52">
                  <c:v>4.2148000000000003</c:v>
                </c:pt>
                <c:pt idx="53">
                  <c:v>3.5893999999999999</c:v>
                </c:pt>
                <c:pt idx="54">
                  <c:v>3.1797</c:v>
                </c:pt>
                <c:pt idx="55">
                  <c:v>2.6110000000000002</c:v>
                </c:pt>
                <c:pt idx="56">
                  <c:v>2.5579000000000001</c:v>
                </c:pt>
                <c:pt idx="57">
                  <c:v>2.7303000000000002</c:v>
                </c:pt>
                <c:pt idx="58">
                  <c:v>2.6476999999999999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44302</c:v>
                </c:pt>
                <c:pt idx="1">
                  <c:v>44301</c:v>
                </c:pt>
                <c:pt idx="2">
                  <c:v>44300</c:v>
                </c:pt>
                <c:pt idx="3">
                  <c:v>44299</c:v>
                </c:pt>
                <c:pt idx="4">
                  <c:v>44298</c:v>
                </c:pt>
                <c:pt idx="5">
                  <c:v>44295</c:v>
                </c:pt>
                <c:pt idx="6">
                  <c:v>44294</c:v>
                </c:pt>
                <c:pt idx="7">
                  <c:v>44293</c:v>
                </c:pt>
                <c:pt idx="8">
                  <c:v>44292</c:v>
                </c:pt>
                <c:pt idx="9">
                  <c:v>44288</c:v>
                </c:pt>
                <c:pt idx="10">
                  <c:v>44287</c:v>
                </c:pt>
                <c:pt idx="11">
                  <c:v>44286</c:v>
                </c:pt>
                <c:pt idx="12">
                  <c:v>44285</c:v>
                </c:pt>
                <c:pt idx="13">
                  <c:v>44284</c:v>
                </c:pt>
                <c:pt idx="14">
                  <c:v>44281</c:v>
                </c:pt>
                <c:pt idx="15">
                  <c:v>44280</c:v>
                </c:pt>
                <c:pt idx="16">
                  <c:v>44279</c:v>
                </c:pt>
                <c:pt idx="17">
                  <c:v>44278</c:v>
                </c:pt>
                <c:pt idx="18">
                  <c:v>44277</c:v>
                </c:pt>
                <c:pt idx="19">
                  <c:v>44274</c:v>
                </c:pt>
                <c:pt idx="20">
                  <c:v>44273</c:v>
                </c:pt>
                <c:pt idx="21">
                  <c:v>44272</c:v>
                </c:pt>
                <c:pt idx="22">
                  <c:v>44271</c:v>
                </c:pt>
                <c:pt idx="23">
                  <c:v>44270</c:v>
                </c:pt>
                <c:pt idx="24">
                  <c:v>44267</c:v>
                </c:pt>
                <c:pt idx="25">
                  <c:v>44266</c:v>
                </c:pt>
                <c:pt idx="26">
                  <c:v>44265</c:v>
                </c:pt>
                <c:pt idx="27">
                  <c:v>44264</c:v>
                </c:pt>
                <c:pt idx="28">
                  <c:v>44263</c:v>
                </c:pt>
                <c:pt idx="29">
                  <c:v>44260</c:v>
                </c:pt>
                <c:pt idx="30">
                  <c:v>44259</c:v>
                </c:pt>
                <c:pt idx="31">
                  <c:v>44258</c:v>
                </c:pt>
                <c:pt idx="32">
                  <c:v>44257</c:v>
                </c:pt>
                <c:pt idx="33">
                  <c:v>44256</c:v>
                </c:pt>
                <c:pt idx="34">
                  <c:v>44253</c:v>
                </c:pt>
                <c:pt idx="35">
                  <c:v>44252</c:v>
                </c:pt>
                <c:pt idx="36">
                  <c:v>44251</c:v>
                </c:pt>
                <c:pt idx="37">
                  <c:v>44250</c:v>
                </c:pt>
                <c:pt idx="38">
                  <c:v>44249</c:v>
                </c:pt>
                <c:pt idx="39">
                  <c:v>44247</c:v>
                </c:pt>
                <c:pt idx="40">
                  <c:v>44246</c:v>
                </c:pt>
                <c:pt idx="41">
                  <c:v>44245</c:v>
                </c:pt>
                <c:pt idx="42">
                  <c:v>44237</c:v>
                </c:pt>
                <c:pt idx="43">
                  <c:v>44236</c:v>
                </c:pt>
                <c:pt idx="44">
                  <c:v>44235</c:v>
                </c:pt>
                <c:pt idx="45">
                  <c:v>44234</c:v>
                </c:pt>
                <c:pt idx="46">
                  <c:v>44232</c:v>
                </c:pt>
                <c:pt idx="47">
                  <c:v>44231</c:v>
                </c:pt>
                <c:pt idx="48">
                  <c:v>44230</c:v>
                </c:pt>
                <c:pt idx="49">
                  <c:v>44229</c:v>
                </c:pt>
                <c:pt idx="50">
                  <c:v>44228</c:v>
                </c:pt>
                <c:pt idx="51">
                  <c:v>44225</c:v>
                </c:pt>
                <c:pt idx="52">
                  <c:v>44224</c:v>
                </c:pt>
                <c:pt idx="53">
                  <c:v>44223</c:v>
                </c:pt>
                <c:pt idx="54">
                  <c:v>44222</c:v>
                </c:pt>
                <c:pt idx="55">
                  <c:v>44221</c:v>
                </c:pt>
                <c:pt idx="56">
                  <c:v>44218</c:v>
                </c:pt>
                <c:pt idx="57">
                  <c:v>44217</c:v>
                </c:pt>
                <c:pt idx="58">
                  <c:v>44216</c:v>
                </c:pt>
              </c:numCache>
            </c:numRef>
          </c:cat>
          <c:val>
            <c:numRef>
              <c:f>资金!$C$3:$C$61</c:f>
              <c:numCache>
                <c:formatCode>###,###,###,###,##0.0000</c:formatCode>
                <c:ptCount val="59"/>
                <c:pt idx="0">
                  <c:v>2.1677</c:v>
                </c:pt>
                <c:pt idx="1">
                  <c:v>2.0480999999999998</c:v>
                </c:pt>
                <c:pt idx="2">
                  <c:v>1.9805999999999999</c:v>
                </c:pt>
                <c:pt idx="3">
                  <c:v>1.9778</c:v>
                </c:pt>
                <c:pt idx="4">
                  <c:v>1.982</c:v>
                </c:pt>
                <c:pt idx="5">
                  <c:v>1.9272</c:v>
                </c:pt>
                <c:pt idx="6">
                  <c:v>1.9629000000000001</c:v>
                </c:pt>
                <c:pt idx="7">
                  <c:v>1.9476</c:v>
                </c:pt>
                <c:pt idx="8">
                  <c:v>1.9693000000000001</c:v>
                </c:pt>
                <c:pt idx="9">
                  <c:v>2.0823999999999998</c:v>
                </c:pt>
                <c:pt idx="10">
                  <c:v>2.2355999999999998</c:v>
                </c:pt>
                <c:pt idx="11">
                  <c:v>2.6713</c:v>
                </c:pt>
                <c:pt idx="12">
                  <c:v>2.4952000000000001</c:v>
                </c:pt>
                <c:pt idx="13">
                  <c:v>2.4664000000000001</c:v>
                </c:pt>
                <c:pt idx="14">
                  <c:v>2.4746000000000001</c:v>
                </c:pt>
                <c:pt idx="15">
                  <c:v>2.4559000000000002</c:v>
                </c:pt>
                <c:pt idx="16">
                  <c:v>1.9964</c:v>
                </c:pt>
                <c:pt idx="17">
                  <c:v>2.1162000000000001</c:v>
                </c:pt>
                <c:pt idx="18">
                  <c:v>2.1791</c:v>
                </c:pt>
                <c:pt idx="19">
                  <c:v>2.1913999999999998</c:v>
                </c:pt>
                <c:pt idx="20">
                  <c:v>2.1907999999999999</c:v>
                </c:pt>
                <c:pt idx="21">
                  <c:v>2.1332</c:v>
                </c:pt>
                <c:pt idx="22">
                  <c:v>2.302</c:v>
                </c:pt>
                <c:pt idx="23">
                  <c:v>2.3008000000000002</c:v>
                </c:pt>
                <c:pt idx="24">
                  <c:v>2.0649999999999999</c:v>
                </c:pt>
                <c:pt idx="25">
                  <c:v>2.0508999999999999</c:v>
                </c:pt>
                <c:pt idx="26">
                  <c:v>2.0379</c:v>
                </c:pt>
                <c:pt idx="27">
                  <c:v>2.0366</c:v>
                </c:pt>
                <c:pt idx="28">
                  <c:v>2.0465</c:v>
                </c:pt>
                <c:pt idx="29">
                  <c:v>1.9971000000000001</c:v>
                </c:pt>
                <c:pt idx="30">
                  <c:v>2.0945999999999998</c:v>
                </c:pt>
                <c:pt idx="31">
                  <c:v>1.9888999999999999</c:v>
                </c:pt>
                <c:pt idx="32">
                  <c:v>2.1551999999999998</c:v>
                </c:pt>
                <c:pt idx="33">
                  <c:v>2.2427000000000001</c:v>
                </c:pt>
                <c:pt idx="34">
                  <c:v>2.3666999999999998</c:v>
                </c:pt>
                <c:pt idx="35">
                  <c:v>2.2989999999999999</c:v>
                </c:pt>
                <c:pt idx="36">
                  <c:v>2.3325999999999998</c:v>
                </c:pt>
                <c:pt idx="37">
                  <c:v>2.4706999999999999</c:v>
                </c:pt>
                <c:pt idx="38">
                  <c:v>2.4460999999999999</c:v>
                </c:pt>
                <c:pt idx="39">
                  <c:v>2.0444</c:v>
                </c:pt>
                <c:pt idx="40">
                  <c:v>2.0552999999999999</c:v>
                </c:pt>
                <c:pt idx="41">
                  <c:v>2.294</c:v>
                </c:pt>
                <c:pt idx="42">
                  <c:v>2.1448</c:v>
                </c:pt>
                <c:pt idx="43">
                  <c:v>2.5484</c:v>
                </c:pt>
                <c:pt idx="44">
                  <c:v>2.5283000000000002</c:v>
                </c:pt>
                <c:pt idx="45">
                  <c:v>2.4319999999999999</c:v>
                </c:pt>
                <c:pt idx="46">
                  <c:v>2.2995999999999999</c:v>
                </c:pt>
                <c:pt idx="47">
                  <c:v>2.5297000000000001</c:v>
                </c:pt>
                <c:pt idx="48">
                  <c:v>2.2336</c:v>
                </c:pt>
                <c:pt idx="49">
                  <c:v>2.5807000000000002</c:v>
                </c:pt>
                <c:pt idx="50">
                  <c:v>3.7665999999999999</c:v>
                </c:pt>
                <c:pt idx="51">
                  <c:v>4.3929999999999998</c:v>
                </c:pt>
                <c:pt idx="52">
                  <c:v>4.8315000000000001</c:v>
                </c:pt>
                <c:pt idx="53">
                  <c:v>4.0193000000000003</c:v>
                </c:pt>
                <c:pt idx="54">
                  <c:v>3.3340999999999998</c:v>
                </c:pt>
                <c:pt idx="55">
                  <c:v>2.7936999999999999</c:v>
                </c:pt>
                <c:pt idx="56">
                  <c:v>2.5236000000000001</c:v>
                </c:pt>
                <c:pt idx="57">
                  <c:v>2.7056</c:v>
                </c:pt>
                <c:pt idx="58">
                  <c:v>2.8475000000000001</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07937664"/>
        <c:axId val="307939200"/>
      </c:lineChart>
      <c:dateAx>
        <c:axId val="3079376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7939200"/>
        <c:crosses val="autoZero"/>
        <c:auto val="0"/>
        <c:lblOffset val="0"/>
        <c:baseTimeUnit val="days"/>
        <c:majorUnit val="14"/>
        <c:majorTimeUnit val="days"/>
        <c:minorUnit val="7"/>
        <c:minorTimeUnit val="days"/>
      </c:dateAx>
      <c:valAx>
        <c:axId val="30793920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793766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-3.0899999999999928</c:v>
                </c:pt>
                <c:pt idx="1">
                  <c:v>10.860000000000003</c:v>
                </c:pt>
                <c:pt idx="2">
                  <c:v>-6.1999999999999833</c:v>
                </c:pt>
                <c:pt idx="3">
                  <c:v>-4.0200000000000014</c:v>
                </c:pt>
                <c:pt idx="4">
                  <c:v>-5.1400000000000112</c:v>
                </c:pt>
                <c:pt idx="5">
                  <c:v>-5.4799999999999738</c:v>
                </c:pt>
                <c:pt idx="6">
                  <c:v>-4.8999999999999932</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09850880"/>
        <c:axId val="30985280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1.7230000000000001</c:v>
                </c:pt>
                <c:pt idx="1">
                  <c:v>2.0701000000000001</c:v>
                </c:pt>
                <c:pt idx="2">
                  <c:v>2.5295000000000001</c:v>
                </c:pt>
                <c:pt idx="3">
                  <c:v>2.8292999999999999</c:v>
                </c:pt>
                <c:pt idx="4">
                  <c:v>2.9777</c:v>
                </c:pt>
                <c:pt idx="5">
                  <c:v>3.1337000000000002</c:v>
                </c:pt>
                <c:pt idx="6">
                  <c:v>3.1631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1.7539</c:v>
                </c:pt>
                <c:pt idx="1">
                  <c:v>1.9615</c:v>
                </c:pt>
                <c:pt idx="2">
                  <c:v>2.5914999999999999</c:v>
                </c:pt>
                <c:pt idx="3">
                  <c:v>2.8694999999999999</c:v>
                </c:pt>
                <c:pt idx="4">
                  <c:v>3.0291000000000001</c:v>
                </c:pt>
                <c:pt idx="5">
                  <c:v>3.1884999999999999</c:v>
                </c:pt>
                <c:pt idx="6">
                  <c:v>3.2121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09872512"/>
        <c:axId val="309870976"/>
      </c:lineChart>
      <c:dateAx>
        <c:axId val="30985088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9852800"/>
        <c:crosses val="autoZero"/>
        <c:auto val="0"/>
        <c:lblOffset val="0"/>
        <c:baseTimeUnit val="days"/>
      </c:dateAx>
      <c:valAx>
        <c:axId val="3098528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9850880"/>
        <c:crosses val="autoZero"/>
        <c:crossBetween val="between"/>
      </c:valAx>
      <c:valAx>
        <c:axId val="309870976"/>
        <c:scaling>
          <c:orientation val="minMax"/>
        </c:scaling>
        <c:delete val="0"/>
        <c:axPos val="r"/>
        <c:numFmt formatCode="#,##0.0_);[Red]\(#,##0.0\)" sourceLinked="0"/>
        <c:majorTickMark val="out"/>
        <c:minorTickMark val="none"/>
        <c:tickLblPos val="nextTo"/>
        <c:spPr>
          <a:ln w="3175">
            <a:solidFill>
              <a:sysClr val="windowText" lastClr="000000"/>
            </a:solidFill>
          </a:ln>
        </c:spPr>
        <c:crossAx val="309872512"/>
        <c:crosses val="max"/>
        <c:crossBetween val="between"/>
      </c:valAx>
      <c:dateAx>
        <c:axId val="309872512"/>
        <c:scaling>
          <c:orientation val="minMax"/>
        </c:scaling>
        <c:delete val="1"/>
        <c:axPos val="b"/>
        <c:numFmt formatCode="General" sourceLinked="1"/>
        <c:majorTickMark val="out"/>
        <c:minorTickMark val="none"/>
        <c:tickLblPos val="nextTo"/>
        <c:crossAx val="309870976"/>
        <c:crosses val="autoZero"/>
        <c:auto val="0"/>
        <c:lblOffset val="100"/>
        <c:baseTimeUnit val="years"/>
      </c:dateAx>
    </c:plotArea>
    <c:legend>
      <c:legendPos val="r"/>
      <c:layout>
        <c:manualLayout>
          <c:xMode val="edge"/>
          <c:yMode val="edge"/>
          <c:x val="9.296573477754197E-2"/>
          <c:y val="9.58819211798742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-1.4700000000000157</c:v>
                </c:pt>
                <c:pt idx="1">
                  <c:v>9.0300000000000047</c:v>
                </c:pt>
                <c:pt idx="2">
                  <c:v>-8.329999999999993</c:v>
                </c:pt>
                <c:pt idx="3">
                  <c:v>-6.5400000000000347</c:v>
                </c:pt>
                <c:pt idx="4">
                  <c:v>-5.7100000000000151</c:v>
                </c:pt>
                <c:pt idx="5">
                  <c:v>-3.9699999999999847</c:v>
                </c:pt>
                <c:pt idx="6">
                  <c:v>-5.7399999999999896</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10039680"/>
        <c:axId val="31004160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1.7948</c:v>
                </c:pt>
                <c:pt idx="1">
                  <c:v>2.1242999999999999</c:v>
                </c:pt>
                <c:pt idx="2">
                  <c:v>2.6574</c:v>
                </c:pt>
                <c:pt idx="3">
                  <c:v>3.1309999999999998</c:v>
                </c:pt>
                <c:pt idx="4">
                  <c:v>3.3144999999999998</c:v>
                </c:pt>
                <c:pt idx="5">
                  <c:v>3.4878</c:v>
                </c:pt>
                <c:pt idx="6">
                  <c:v>3.5278</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1.8095000000000001</c:v>
                </c:pt>
                <c:pt idx="1">
                  <c:v>2.0339999999999998</c:v>
                </c:pt>
                <c:pt idx="2">
                  <c:v>2.7406999999999999</c:v>
                </c:pt>
                <c:pt idx="3">
                  <c:v>3.1964000000000001</c:v>
                </c:pt>
                <c:pt idx="4">
                  <c:v>3.3715999999999999</c:v>
                </c:pt>
                <c:pt idx="5">
                  <c:v>3.5274999999999999</c:v>
                </c:pt>
                <c:pt idx="6">
                  <c:v>3.5851999999999999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10049024"/>
        <c:axId val="310047488"/>
      </c:lineChart>
      <c:dateAx>
        <c:axId val="31003968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0041600"/>
        <c:crosses val="autoZero"/>
        <c:auto val="0"/>
        <c:lblOffset val="0"/>
        <c:baseTimeUnit val="days"/>
      </c:dateAx>
      <c:valAx>
        <c:axId val="3100416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0039680"/>
        <c:crosses val="autoZero"/>
        <c:crossBetween val="between"/>
      </c:valAx>
      <c:valAx>
        <c:axId val="310047488"/>
        <c:scaling>
          <c:orientation val="minMax"/>
        </c:scaling>
        <c:delete val="0"/>
        <c:axPos val="r"/>
        <c:numFmt formatCode="#,##0.0_);[Red]\(#,##0.0\)" sourceLinked="0"/>
        <c:majorTickMark val="out"/>
        <c:minorTickMark val="none"/>
        <c:tickLblPos val="nextTo"/>
        <c:spPr>
          <a:ln w="3175">
            <a:solidFill>
              <a:sysClr val="windowText" lastClr="000000"/>
            </a:solidFill>
          </a:ln>
        </c:spPr>
        <c:crossAx val="310049024"/>
        <c:crosses val="max"/>
        <c:crossBetween val="between"/>
      </c:valAx>
      <c:dateAx>
        <c:axId val="310049024"/>
        <c:scaling>
          <c:orientation val="minMax"/>
        </c:scaling>
        <c:delete val="1"/>
        <c:axPos val="b"/>
        <c:numFmt formatCode="General" sourceLinked="1"/>
        <c:majorTickMark val="out"/>
        <c:minorTickMark val="none"/>
        <c:tickLblPos val="nextTo"/>
        <c:crossAx val="310047488"/>
        <c:crosses val="autoZero"/>
        <c:auto val="0"/>
        <c:lblOffset val="100"/>
        <c:baseTimeUnit val="years"/>
      </c:dateAx>
    </c:plotArea>
    <c:legend>
      <c:legendPos val="r"/>
      <c:layout>
        <c:manualLayout>
          <c:xMode val="edge"/>
          <c:yMode val="edge"/>
          <c:x val="0.11413053990868677"/>
          <c:y val="2.33363427539627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44302</c:v>
                </c:pt>
                <c:pt idx="1">
                  <c:v>44295</c:v>
                </c:pt>
                <c:pt idx="2">
                  <c:v>44288</c:v>
                </c:pt>
                <c:pt idx="3">
                  <c:v>44281</c:v>
                </c:pt>
                <c:pt idx="4">
                  <c:v>44274</c:v>
                </c:pt>
                <c:pt idx="5">
                  <c:v>44267</c:v>
                </c:pt>
                <c:pt idx="6">
                  <c:v>44260</c:v>
                </c:pt>
                <c:pt idx="7">
                  <c:v>44253</c:v>
                </c:pt>
                <c:pt idx="8">
                  <c:v>44246</c:v>
                </c:pt>
                <c:pt idx="9">
                  <c:v>44237</c:v>
                </c:pt>
                <c:pt idx="10">
                  <c:v>44232</c:v>
                </c:pt>
                <c:pt idx="11">
                  <c:v>44225</c:v>
                </c:pt>
                <c:pt idx="12">
                  <c:v>44218</c:v>
                </c:pt>
                <c:pt idx="13">
                  <c:v>44211</c:v>
                </c:pt>
                <c:pt idx="14">
                  <c:v>44204</c:v>
                </c:pt>
                <c:pt idx="15">
                  <c:v>44196</c:v>
                </c:pt>
                <c:pt idx="16">
                  <c:v>44190</c:v>
                </c:pt>
                <c:pt idx="17">
                  <c:v>44183</c:v>
                </c:pt>
                <c:pt idx="18">
                  <c:v>44176</c:v>
                </c:pt>
                <c:pt idx="19">
                  <c:v>44169</c:v>
                </c:pt>
                <c:pt idx="20">
                  <c:v>44162</c:v>
                </c:pt>
                <c:pt idx="21">
                  <c:v>44155</c:v>
                </c:pt>
                <c:pt idx="22">
                  <c:v>44148</c:v>
                </c:pt>
                <c:pt idx="23">
                  <c:v>44141</c:v>
                </c:pt>
              </c:numCache>
            </c:numRef>
          </c:cat>
          <c:val>
            <c:numRef>
              <c:f>转债!$H$5:$H$28</c:f>
              <c:numCache>
                <c:formatCode>General</c:formatCode>
                <c:ptCount val="24"/>
                <c:pt idx="0">
                  <c:v>0.3654593553022556</c:v>
                </c:pt>
                <c:pt idx="1">
                  <c:v>0.65041314216662816</c:v>
                </c:pt>
                <c:pt idx="2">
                  <c:v>0.27534646243618788</c:v>
                </c:pt>
                <c:pt idx="3">
                  <c:v>-0.308822408744025</c:v>
                </c:pt>
                <c:pt idx="4">
                  <c:v>0.26337132717157985</c:v>
                </c:pt>
                <c:pt idx="5">
                  <c:v>0.24796694862665447</c:v>
                </c:pt>
                <c:pt idx="6">
                  <c:v>-7.0299487246483494E-2</c:v>
                </c:pt>
                <c:pt idx="7">
                  <c:v>-0.54024189773235198</c:v>
                </c:pt>
                <c:pt idx="8">
                  <c:v>0.97221768618613869</c:v>
                </c:pt>
                <c:pt idx="9">
                  <c:v>-0.68489608848536498</c:v>
                </c:pt>
                <c:pt idx="10">
                  <c:v>-3.4481857670074167</c:v>
                </c:pt>
                <c:pt idx="11">
                  <c:v>-1.2121014185092038</c:v>
                </c:pt>
                <c:pt idx="12">
                  <c:v>2.6906768128721836</c:v>
                </c:pt>
                <c:pt idx="13">
                  <c:v>1.7562896676355688</c:v>
                </c:pt>
                <c:pt idx="14">
                  <c:v>1.799345722155099</c:v>
                </c:pt>
                <c:pt idx="15">
                  <c:v>0.23776086743525493</c:v>
                </c:pt>
                <c:pt idx="16">
                  <c:v>-0.94374952371620857</c:v>
                </c:pt>
                <c:pt idx="17">
                  <c:v>-1.1179333093830568</c:v>
                </c:pt>
                <c:pt idx="18">
                  <c:v>-1.2749436624318267</c:v>
                </c:pt>
                <c:pt idx="19">
                  <c:v>0.42846489652395015</c:v>
                </c:pt>
                <c:pt idx="20">
                  <c:v>0.2618744352635094</c:v>
                </c:pt>
                <c:pt idx="21">
                  <c:v>-0.38421132847795691</c:v>
                </c:pt>
                <c:pt idx="22">
                  <c:v>-0.35451843626506108</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44302</c:v>
                </c:pt>
                <c:pt idx="1">
                  <c:v>44295</c:v>
                </c:pt>
                <c:pt idx="2">
                  <c:v>44288</c:v>
                </c:pt>
                <c:pt idx="3">
                  <c:v>44281</c:v>
                </c:pt>
                <c:pt idx="4">
                  <c:v>44274</c:v>
                </c:pt>
                <c:pt idx="5">
                  <c:v>44267</c:v>
                </c:pt>
                <c:pt idx="6">
                  <c:v>44260</c:v>
                </c:pt>
                <c:pt idx="7">
                  <c:v>44253</c:v>
                </c:pt>
                <c:pt idx="8">
                  <c:v>44246</c:v>
                </c:pt>
                <c:pt idx="9">
                  <c:v>44237</c:v>
                </c:pt>
                <c:pt idx="10">
                  <c:v>44232</c:v>
                </c:pt>
                <c:pt idx="11">
                  <c:v>44225</c:v>
                </c:pt>
                <c:pt idx="12">
                  <c:v>44218</c:v>
                </c:pt>
                <c:pt idx="13">
                  <c:v>44211</c:v>
                </c:pt>
                <c:pt idx="14">
                  <c:v>44204</c:v>
                </c:pt>
                <c:pt idx="15">
                  <c:v>44196</c:v>
                </c:pt>
                <c:pt idx="16">
                  <c:v>44190</c:v>
                </c:pt>
                <c:pt idx="17">
                  <c:v>44183</c:v>
                </c:pt>
                <c:pt idx="18">
                  <c:v>44176</c:v>
                </c:pt>
                <c:pt idx="19">
                  <c:v>44169</c:v>
                </c:pt>
                <c:pt idx="20">
                  <c:v>44162</c:v>
                </c:pt>
                <c:pt idx="21">
                  <c:v>44155</c:v>
                </c:pt>
                <c:pt idx="22">
                  <c:v>44148</c:v>
                </c:pt>
                <c:pt idx="23">
                  <c:v>44141</c:v>
                </c:pt>
              </c:numCache>
            </c:numRef>
          </c:cat>
          <c:val>
            <c:numRef>
              <c:f>转债!$I$5:$I$28</c:f>
              <c:numCache>
                <c:formatCode>General</c:formatCode>
                <c:ptCount val="24"/>
                <c:pt idx="0">
                  <c:v>0.75046856232947601</c:v>
                </c:pt>
                <c:pt idx="1">
                  <c:v>0.45480872234970882</c:v>
                </c:pt>
                <c:pt idx="2">
                  <c:v>0.48291391950467943</c:v>
                </c:pt>
                <c:pt idx="3">
                  <c:v>0.45583383592373572</c:v>
                </c:pt>
                <c:pt idx="4">
                  <c:v>0.28669009620689856</c:v>
                </c:pt>
                <c:pt idx="5">
                  <c:v>0.20049512985627072</c:v>
                </c:pt>
                <c:pt idx="6">
                  <c:v>0.19032942024701516</c:v>
                </c:pt>
                <c:pt idx="7">
                  <c:v>4.074826456814673E-2</c:v>
                </c:pt>
                <c:pt idx="8">
                  <c:v>6.7657495886730423E-2</c:v>
                </c:pt>
                <c:pt idx="9">
                  <c:v>0.14266163905409801</c:v>
                </c:pt>
                <c:pt idx="10">
                  <c:v>0.15855089945173706</c:v>
                </c:pt>
                <c:pt idx="11">
                  <c:v>0.35298077399492644</c:v>
                </c:pt>
                <c:pt idx="12">
                  <c:v>0.73415217127599242</c:v>
                </c:pt>
                <c:pt idx="13">
                  <c:v>0.65897717584626481</c:v>
                </c:pt>
                <c:pt idx="14">
                  <c:v>0.66965544224253382</c:v>
                </c:pt>
                <c:pt idx="15">
                  <c:v>0.64462558580971052</c:v>
                </c:pt>
                <c:pt idx="16">
                  <c:v>0.36707608563799621</c:v>
                </c:pt>
                <c:pt idx="17">
                  <c:v>4.5873832438347861E-2</c:v>
                </c:pt>
                <c:pt idx="18">
                  <c:v>-8.4315591464900752E-2</c:v>
                </c:pt>
                <c:pt idx="19">
                  <c:v>-0.12788291836165477</c:v>
                </c:pt>
                <c:pt idx="20">
                  <c:v>-0.30283563499806654</c:v>
                </c:pt>
                <c:pt idx="21">
                  <c:v>-0.48863747029305182</c:v>
                </c:pt>
                <c:pt idx="22">
                  <c:v>-0.22022856615654396</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44302</c:v>
                </c:pt>
                <c:pt idx="1">
                  <c:v>44295</c:v>
                </c:pt>
                <c:pt idx="2">
                  <c:v>44288</c:v>
                </c:pt>
                <c:pt idx="3">
                  <c:v>44281</c:v>
                </c:pt>
                <c:pt idx="4">
                  <c:v>44274</c:v>
                </c:pt>
                <c:pt idx="5">
                  <c:v>44267</c:v>
                </c:pt>
                <c:pt idx="6">
                  <c:v>44260</c:v>
                </c:pt>
                <c:pt idx="7">
                  <c:v>44253</c:v>
                </c:pt>
                <c:pt idx="8">
                  <c:v>44246</c:v>
                </c:pt>
                <c:pt idx="9">
                  <c:v>44237</c:v>
                </c:pt>
                <c:pt idx="10">
                  <c:v>44232</c:v>
                </c:pt>
                <c:pt idx="11">
                  <c:v>44225</c:v>
                </c:pt>
                <c:pt idx="12">
                  <c:v>44218</c:v>
                </c:pt>
                <c:pt idx="13">
                  <c:v>44211</c:v>
                </c:pt>
                <c:pt idx="14">
                  <c:v>44204</c:v>
                </c:pt>
                <c:pt idx="15">
                  <c:v>44196</c:v>
                </c:pt>
                <c:pt idx="16">
                  <c:v>44190</c:v>
                </c:pt>
                <c:pt idx="17">
                  <c:v>44183</c:v>
                </c:pt>
                <c:pt idx="18">
                  <c:v>44176</c:v>
                </c:pt>
                <c:pt idx="19">
                  <c:v>44169</c:v>
                </c:pt>
                <c:pt idx="20">
                  <c:v>44162</c:v>
                </c:pt>
                <c:pt idx="21">
                  <c:v>44155</c:v>
                </c:pt>
                <c:pt idx="22">
                  <c:v>44148</c:v>
                </c:pt>
                <c:pt idx="23">
                  <c:v>44141</c:v>
                </c:pt>
              </c:numCache>
            </c:numRef>
          </c:cat>
          <c:val>
            <c:numRef>
              <c:f>转债!$J$5:$J$28</c:f>
              <c:numCache>
                <c:formatCode>General</c:formatCode>
                <c:ptCount val="24"/>
                <c:pt idx="0">
                  <c:v>1.6469084645044152</c:v>
                </c:pt>
                <c:pt idx="1">
                  <c:v>3.0623872709144129</c:v>
                </c:pt>
                <c:pt idx="2">
                  <c:v>5.6458254711313716</c:v>
                </c:pt>
                <c:pt idx="3">
                  <c:v>3.1166781675355804</c:v>
                </c:pt>
                <c:pt idx="4">
                  <c:v>2.4842388563661943</c:v>
                </c:pt>
                <c:pt idx="5">
                  <c:v>5.3351587355290997</c:v>
                </c:pt>
                <c:pt idx="6">
                  <c:v>7.717965208715083</c:v>
                </c:pt>
                <c:pt idx="7">
                  <c:v>9.2318696753218141</c:v>
                </c:pt>
                <c:pt idx="8">
                  <c:v>18.280306734048345</c:v>
                </c:pt>
                <c:pt idx="9">
                  <c:v>18.871358063292142</c:v>
                </c:pt>
                <c:pt idx="10">
                  <c:v>12.233539153653105</c:v>
                </c:pt>
                <c:pt idx="11">
                  <c:v>9.5430562935910892</c:v>
                </c:pt>
                <c:pt idx="12">
                  <c:v>14.001181157045117</c:v>
                </c:pt>
                <c:pt idx="13">
                  <c:v>11.715031924275277</c:v>
                </c:pt>
                <c:pt idx="14">
                  <c:v>12.479492777908696</c:v>
                </c:pt>
                <c:pt idx="15">
                  <c:v>6.6637229845735169</c:v>
                </c:pt>
                <c:pt idx="16">
                  <c:v>3.1990365878274751</c:v>
                </c:pt>
                <c:pt idx="17">
                  <c:v>2.3384486103556812</c:v>
                </c:pt>
                <c:pt idx="18">
                  <c:v>8.0057837151370492E-2</c:v>
                </c:pt>
                <c:pt idx="19">
                  <c:v>3.6882707388461888</c:v>
                </c:pt>
                <c:pt idx="20">
                  <c:v>1.9454091269864193</c:v>
                </c:pt>
                <c:pt idx="21">
                  <c:v>1.1783406728894441</c:v>
                </c:pt>
                <c:pt idx="22">
                  <c:v>-0.59083437033551345</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00068864"/>
        <c:axId val="300070400"/>
      </c:lineChart>
      <c:dateAx>
        <c:axId val="3000688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300070400"/>
        <c:crosses val="autoZero"/>
        <c:auto val="0"/>
        <c:lblOffset val="0"/>
        <c:baseTimeUnit val="days"/>
        <c:majorUnit val="14"/>
        <c:majorTimeUnit val="days"/>
      </c:dateAx>
      <c:valAx>
        <c:axId val="3000704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06886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00431232"/>
        <c:axId val="300432768"/>
      </c:lineChart>
      <c:dateAx>
        <c:axId val="3004312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0432768"/>
        <c:crosses val="autoZero"/>
        <c:auto val="0"/>
        <c:lblOffset val="0"/>
        <c:baseTimeUnit val="days"/>
        <c:majorUnit val="1"/>
        <c:majorTimeUnit val="months"/>
      </c:dateAx>
      <c:valAx>
        <c:axId val="3004327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4312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00476288"/>
        <c:axId val="300477824"/>
      </c:lineChart>
      <c:dateAx>
        <c:axId val="30047628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0477824"/>
        <c:crosses val="autoZero"/>
        <c:auto val="0"/>
        <c:lblOffset val="0"/>
        <c:baseTimeUnit val="days"/>
        <c:majorUnit val="1"/>
        <c:majorTimeUnit val="months"/>
      </c:dateAx>
      <c:valAx>
        <c:axId val="30047782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47628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44303</c:v>
                </c:pt>
                <c:pt idx="1">
                  <c:v>44296</c:v>
                </c:pt>
                <c:pt idx="2">
                  <c:v>44289</c:v>
                </c:pt>
                <c:pt idx="3">
                  <c:v>44282</c:v>
                </c:pt>
                <c:pt idx="4">
                  <c:v>44275</c:v>
                </c:pt>
                <c:pt idx="5">
                  <c:v>44268</c:v>
                </c:pt>
                <c:pt idx="6">
                  <c:v>44261</c:v>
                </c:pt>
                <c:pt idx="7">
                  <c:v>44254</c:v>
                </c:pt>
                <c:pt idx="8">
                  <c:v>44247</c:v>
                </c:pt>
                <c:pt idx="9">
                  <c:v>44240</c:v>
                </c:pt>
                <c:pt idx="10">
                  <c:v>44233</c:v>
                </c:pt>
                <c:pt idx="11">
                  <c:v>44226</c:v>
                </c:pt>
                <c:pt idx="12">
                  <c:v>44219</c:v>
                </c:pt>
                <c:pt idx="13">
                  <c:v>44212</c:v>
                </c:pt>
                <c:pt idx="14">
                  <c:v>44205</c:v>
                </c:pt>
                <c:pt idx="15">
                  <c:v>44198</c:v>
                </c:pt>
                <c:pt idx="16">
                  <c:v>44191</c:v>
                </c:pt>
                <c:pt idx="17">
                  <c:v>44184</c:v>
                </c:pt>
                <c:pt idx="18">
                  <c:v>44177</c:v>
                </c:pt>
                <c:pt idx="19">
                  <c:v>44170</c:v>
                </c:pt>
                <c:pt idx="20">
                  <c:v>44163</c:v>
                </c:pt>
                <c:pt idx="21">
                  <c:v>44156</c:v>
                </c:pt>
                <c:pt idx="22">
                  <c:v>44149</c:v>
                </c:pt>
                <c:pt idx="23">
                  <c:v>44142</c:v>
                </c:pt>
                <c:pt idx="24">
                  <c:v>44135</c:v>
                </c:pt>
                <c:pt idx="25">
                  <c:v>44128</c:v>
                </c:pt>
              </c:numCache>
            </c:numRef>
          </c:cat>
          <c:val>
            <c:numRef>
              <c:f>汇率!$B$3:$B$28</c:f>
              <c:numCache>
                <c:formatCode>###,###,###,###,##0.00</c:formatCode>
                <c:ptCount val="26"/>
                <c:pt idx="0">
                  <c:v>6.5228000000000002</c:v>
                </c:pt>
                <c:pt idx="1">
                  <c:v>6.5589000000000004</c:v>
                </c:pt>
                <c:pt idx="2">
                  <c:v>6.5612000000000004</c:v>
                </c:pt>
                <c:pt idx="3">
                  <c:v>6.5407000000000002</c:v>
                </c:pt>
                <c:pt idx="4">
                  <c:v>6.5045000000000002</c:v>
                </c:pt>
                <c:pt idx="5">
                  <c:v>6.5035999999999996</c:v>
                </c:pt>
                <c:pt idx="6">
                  <c:v>6.4767999999999999</c:v>
                </c:pt>
                <c:pt idx="7">
                  <c:v>6.4589999999999996</c:v>
                </c:pt>
                <c:pt idx="8">
                  <c:v>6.4574999999999996</c:v>
                </c:pt>
                <c:pt idx="9">
                  <c:v>6.4379999999999997</c:v>
                </c:pt>
                <c:pt idx="10">
                  <c:v>6.4809999999999999</c:v>
                </c:pt>
                <c:pt idx="11">
                  <c:v>6.4611999999999998</c:v>
                </c:pt>
                <c:pt idx="12">
                  <c:v>6.4776999999999996</c:v>
                </c:pt>
                <c:pt idx="13">
                  <c:v>6.4752000000000001</c:v>
                </c:pt>
                <c:pt idx="14">
                  <c:v>6.4718999999999998</c:v>
                </c:pt>
                <c:pt idx="15">
                  <c:v>6.5397999999999996</c:v>
                </c:pt>
                <c:pt idx="16">
                  <c:v>6.5240999999999998</c:v>
                </c:pt>
                <c:pt idx="17">
                  <c:v>6.5415000000000001</c:v>
                </c:pt>
                <c:pt idx="18">
                  <c:v>6.5411000000000001</c:v>
                </c:pt>
                <c:pt idx="19">
                  <c:v>6.5301999999999998</c:v>
                </c:pt>
                <c:pt idx="20">
                  <c:v>6.5823</c:v>
                </c:pt>
                <c:pt idx="21">
                  <c:v>6.5713999999999997</c:v>
                </c:pt>
                <c:pt idx="22">
                  <c:v>6.6143999999999998</c:v>
                </c:pt>
                <c:pt idx="23">
                  <c:v>6.6215000000000002</c:v>
                </c:pt>
                <c:pt idx="24">
                  <c:v>6.7001999999999997</c:v>
                </c:pt>
                <c:pt idx="25">
                  <c:v>6.6689999999999996</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300652416"/>
        <c:axId val="30065395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44303</c:v>
                </c:pt>
                <c:pt idx="1">
                  <c:v>44296</c:v>
                </c:pt>
                <c:pt idx="2">
                  <c:v>44289</c:v>
                </c:pt>
                <c:pt idx="3">
                  <c:v>44282</c:v>
                </c:pt>
                <c:pt idx="4">
                  <c:v>44275</c:v>
                </c:pt>
                <c:pt idx="5">
                  <c:v>44268</c:v>
                </c:pt>
                <c:pt idx="6">
                  <c:v>44261</c:v>
                </c:pt>
                <c:pt idx="7">
                  <c:v>44254</c:v>
                </c:pt>
                <c:pt idx="8">
                  <c:v>44247</c:v>
                </c:pt>
                <c:pt idx="9">
                  <c:v>44240</c:v>
                </c:pt>
                <c:pt idx="10">
                  <c:v>44233</c:v>
                </c:pt>
                <c:pt idx="11">
                  <c:v>44226</c:v>
                </c:pt>
                <c:pt idx="12">
                  <c:v>44219</c:v>
                </c:pt>
                <c:pt idx="13">
                  <c:v>44212</c:v>
                </c:pt>
                <c:pt idx="14">
                  <c:v>44205</c:v>
                </c:pt>
                <c:pt idx="15">
                  <c:v>44198</c:v>
                </c:pt>
                <c:pt idx="16">
                  <c:v>44191</c:v>
                </c:pt>
                <c:pt idx="17">
                  <c:v>44184</c:v>
                </c:pt>
                <c:pt idx="18">
                  <c:v>44177</c:v>
                </c:pt>
                <c:pt idx="19">
                  <c:v>44170</c:v>
                </c:pt>
                <c:pt idx="20">
                  <c:v>44163</c:v>
                </c:pt>
                <c:pt idx="21">
                  <c:v>44156</c:v>
                </c:pt>
                <c:pt idx="22">
                  <c:v>44149</c:v>
                </c:pt>
                <c:pt idx="23">
                  <c:v>44142</c:v>
                </c:pt>
                <c:pt idx="24">
                  <c:v>44135</c:v>
                </c:pt>
                <c:pt idx="25">
                  <c:v>44128</c:v>
                </c:pt>
              </c:numCache>
            </c:numRef>
          </c:cat>
          <c:val>
            <c:numRef>
              <c:f>汇率!$C$3:$C$28</c:f>
              <c:numCache>
                <c:formatCode>###,###,###,###,##0.00</c:formatCode>
                <c:ptCount val="26"/>
                <c:pt idx="0">
                  <c:v>157.31</c:v>
                </c:pt>
                <c:pt idx="1">
                  <c:v>154.21</c:v>
                </c:pt>
                <c:pt idx="2">
                  <c:v>148.13</c:v>
                </c:pt>
                <c:pt idx="3">
                  <c:v>152.85000000000002</c:v>
                </c:pt>
                <c:pt idx="4">
                  <c:v>149.64000000000001</c:v>
                </c:pt>
                <c:pt idx="5">
                  <c:v>162.13</c:v>
                </c:pt>
                <c:pt idx="6">
                  <c:v>168.56999999999996</c:v>
                </c:pt>
                <c:pt idx="7">
                  <c:v>183.98</c:v>
                </c:pt>
                <c:pt idx="8">
                  <c:v>191.78</c:v>
                </c:pt>
                <c:pt idx="9">
                  <c:v>209.49</c:v>
                </c:pt>
                <c:pt idx="10">
                  <c:v>202.64000000000001</c:v>
                </c:pt>
                <c:pt idx="11">
                  <c:v>206.86</c:v>
                </c:pt>
                <c:pt idx="12">
                  <c:v>201.85</c:v>
                </c:pt>
                <c:pt idx="13">
                  <c:v>204.07999999999998</c:v>
                </c:pt>
                <c:pt idx="14">
                  <c:v>201.56</c:v>
                </c:pt>
                <c:pt idx="15">
                  <c:v>221.29</c:v>
                </c:pt>
                <c:pt idx="16">
                  <c:v>229.03000000000003</c:v>
                </c:pt>
                <c:pt idx="17">
                  <c:v>234.02000000000004</c:v>
                </c:pt>
                <c:pt idx="18">
                  <c:v>239.51000000000002</c:v>
                </c:pt>
                <c:pt idx="19">
                  <c:v>229.50999999999996</c:v>
                </c:pt>
                <c:pt idx="20">
                  <c:v>246</c:v>
                </c:pt>
                <c:pt idx="21">
                  <c:v>248</c:v>
                </c:pt>
                <c:pt idx="22">
                  <c:v>238.15</c:v>
                </c:pt>
                <c:pt idx="23">
                  <c:v>237.63</c:v>
                </c:pt>
                <c:pt idx="24">
                  <c:v>230.10000000000002</c:v>
                </c:pt>
                <c:pt idx="25">
                  <c:v>234.57</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00657280"/>
        <c:axId val="300655744"/>
      </c:lineChart>
      <c:dateAx>
        <c:axId val="3006524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0653952"/>
        <c:crosses val="autoZero"/>
        <c:auto val="0"/>
        <c:lblOffset val="0"/>
        <c:baseTimeUnit val="days"/>
      </c:dateAx>
      <c:valAx>
        <c:axId val="30065395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652416"/>
        <c:crosses val="autoZero"/>
        <c:crossBetween val="between"/>
      </c:valAx>
      <c:valAx>
        <c:axId val="300655744"/>
        <c:scaling>
          <c:orientation val="minMax"/>
        </c:scaling>
        <c:delete val="0"/>
        <c:axPos val="r"/>
        <c:numFmt formatCode="#,##0_);[Red]\(#,##0\)" sourceLinked="0"/>
        <c:majorTickMark val="out"/>
        <c:minorTickMark val="none"/>
        <c:tickLblPos val="nextTo"/>
        <c:spPr>
          <a:ln w="3175">
            <a:solidFill>
              <a:sysClr val="windowText" lastClr="000000"/>
            </a:solidFill>
          </a:ln>
        </c:spPr>
        <c:crossAx val="300657280"/>
        <c:crosses val="max"/>
        <c:crossBetween val="between"/>
      </c:valAx>
      <c:dateAx>
        <c:axId val="300657280"/>
        <c:scaling>
          <c:orientation val="minMax"/>
        </c:scaling>
        <c:delete val="1"/>
        <c:axPos val="b"/>
        <c:numFmt formatCode="yyyy\-mm\-dd;@" sourceLinked="1"/>
        <c:majorTickMark val="out"/>
        <c:minorTickMark val="none"/>
        <c:tickLblPos val="nextTo"/>
        <c:crossAx val="30065574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0-11F0-4AEB-A93A-C9DE428C7AC1}"/>
            </c:ext>
          </c:extLst>
        </c:ser>
        <c:dLbls>
          <c:showLegendKey val="0"/>
          <c:showVal val="0"/>
          <c:showCatName val="0"/>
          <c:showSerName val="0"/>
          <c:showPercent val="0"/>
          <c:showBubbleSize val="0"/>
        </c:dLbls>
        <c:marker val="1"/>
        <c:smooth val="0"/>
        <c:axId val="300684800"/>
        <c:axId val="300686336"/>
      </c:lineChart>
      <c:dateAx>
        <c:axId val="300684800"/>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00686336"/>
        <c:crosses val="autoZero"/>
        <c:auto val="0"/>
        <c:lblOffset val="0"/>
        <c:baseTimeUnit val="days"/>
        <c:majorUnit val="1"/>
        <c:majorTimeUnit val="months"/>
      </c:dateAx>
      <c:valAx>
        <c:axId val="300686336"/>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00684800"/>
        <c:crosses val="autoZero"/>
        <c:crossBetween val="between"/>
      </c:valAx>
      <c:spPr>
        <a:solidFill>
          <a:schemeClr val="bg1"/>
        </a:solidFill>
        <a:ln>
          <a:noFill/>
        </a:ln>
        <a:effectLst/>
      </c:spPr>
    </c:plotArea>
    <c:legend>
      <c:legendPos val="r"/>
      <c:layout>
        <c:manualLayout>
          <c:xMode val="edge"/>
          <c:yMode val="edge"/>
          <c:x val="0.15225"/>
          <c:y val="2.3337707786526686E-3"/>
          <c:w val="0.74694760994774001"/>
          <c:h val="9.6089737034618927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5.2441E-7</cdr:y>
    </cdr:from>
    <cdr:to>
      <cdr:x>0.12686</cdr:x>
      <cdr:y>0.06138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0390" cy="11704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DE3A4-9417-4F6E-B8E3-77FE44379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812</Words>
  <Characters>4632</Characters>
  <Application>Microsoft Office Word</Application>
  <DocSecurity>0</DocSecurity>
  <Lines>38</Lines>
  <Paragraphs>10</Paragraphs>
  <ScaleCrop>false</ScaleCrop>
  <Company>Microsoft</Company>
  <LinksUpToDate>false</LinksUpToDate>
  <CharactersWithSpaces>5434</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cp:lastModifiedBy>Administrator</cp:lastModifiedBy>
  <cp:revision>3</cp:revision>
  <cp:lastPrinted>2019-06-26T06:05:00Z</cp:lastPrinted>
  <dcterms:created xsi:type="dcterms:W3CDTF">2021-04-19T02:12:00Z</dcterms:created>
  <dcterms:modified xsi:type="dcterms:W3CDTF">2021-04-19T02:25:00Z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