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B78F2AC"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3D413E">
        <w:rPr>
          <w:rFonts w:ascii="楷体" w:eastAsia="楷体" w:hAnsi="楷体" w:hint="eastAsia"/>
          <w:sz w:val="28"/>
          <w:szCs w:val="28"/>
        </w:rPr>
        <w:t>关注月末政策定调</w:t>
      </w:r>
      <w:r w:rsidR="00CD02EA">
        <w:rPr>
          <w:rFonts w:ascii="楷体" w:eastAsia="楷体" w:hAnsi="楷体" w:hint="eastAsia"/>
          <w:sz w:val="28"/>
          <w:szCs w:val="28"/>
        </w:rPr>
        <w:t>，</w:t>
      </w:r>
      <w:r w:rsidR="00793F51">
        <w:rPr>
          <w:rFonts w:ascii="楷体" w:eastAsia="楷体" w:hAnsi="楷体" w:hint="eastAsia"/>
          <w:sz w:val="28"/>
          <w:szCs w:val="28"/>
        </w:rPr>
        <w:t>债市</w:t>
      </w:r>
      <w:r w:rsidR="003D413E">
        <w:rPr>
          <w:rFonts w:ascii="楷体" w:eastAsia="楷体" w:hAnsi="楷体" w:hint="eastAsia"/>
          <w:sz w:val="28"/>
          <w:szCs w:val="28"/>
        </w:rPr>
        <w:t>持续窄幅震荡</w:t>
      </w:r>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10071418" w:rsidR="00695DD9" w:rsidRPr="00DF6DF8" w:rsidRDefault="00DF6DF8" w:rsidP="00695DD9">
      <w:pPr>
        <w:pStyle w:val="Header1"/>
        <w:spacing w:before="240"/>
        <w:ind w:firstLine="480"/>
        <w:rPr>
          <w:rFonts w:ascii="华文楷体" w:hAnsi="华文楷体"/>
          <w:b w:val="0"/>
          <w:color w:val="auto"/>
          <w:sz w:val="24"/>
          <w:szCs w:val="24"/>
        </w:rPr>
      </w:pPr>
      <w:r w:rsidRPr="00DF6DF8">
        <w:rPr>
          <w:rFonts w:ascii="华文楷体" w:hAnsi="华文楷体" w:hint="eastAsia"/>
          <w:b w:val="0"/>
          <w:color w:val="auto"/>
          <w:sz w:val="24"/>
          <w:szCs w:val="24"/>
        </w:rPr>
        <w:t>根据中国海关总署2021年4月公布的数据：2021年3月，我国进出口总额4684.7亿美元，同比增长34.2%。其中，出口2411.3亿美元，同比30.6%；进口2273.4亿美元，同比38.1%；贸易顺差137.9亿美元。</w:t>
      </w:r>
    </w:p>
    <w:p w14:paraId="090EC56C" w14:textId="64A4D456" w:rsidR="0090508B" w:rsidRDefault="00DF6DF8" w:rsidP="002D0C9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从数据来</w:t>
      </w:r>
      <w:r w:rsidRPr="00DF6DF8">
        <w:rPr>
          <w:rFonts w:ascii="华文楷体" w:hAnsi="华文楷体" w:hint="eastAsia"/>
          <w:b w:val="0"/>
          <w:color w:val="auto"/>
          <w:sz w:val="24"/>
          <w:szCs w:val="24"/>
        </w:rPr>
        <w:t>看，3月出口同比增速为30.6%，</w:t>
      </w:r>
      <w:r>
        <w:rPr>
          <w:rFonts w:ascii="华文楷体" w:hAnsi="华文楷体" w:hint="eastAsia"/>
          <w:b w:val="0"/>
          <w:color w:val="auto"/>
          <w:sz w:val="24"/>
          <w:szCs w:val="24"/>
        </w:rPr>
        <w:t>基本</w:t>
      </w:r>
      <w:r w:rsidRPr="00DF6DF8">
        <w:rPr>
          <w:rFonts w:ascii="华文楷体" w:hAnsi="华文楷体" w:hint="eastAsia"/>
          <w:b w:val="0"/>
          <w:color w:val="auto"/>
          <w:sz w:val="24"/>
          <w:szCs w:val="24"/>
        </w:rPr>
        <w:t>符合预期。</w:t>
      </w:r>
      <w:r>
        <w:rPr>
          <w:rFonts w:ascii="华文楷体" w:hAnsi="华文楷体" w:hint="eastAsia"/>
          <w:b w:val="0"/>
          <w:color w:val="auto"/>
          <w:sz w:val="24"/>
          <w:szCs w:val="24"/>
        </w:rPr>
        <w:t>从主要经济体分项表现来看，</w:t>
      </w:r>
      <w:r w:rsidRPr="00DF6DF8">
        <w:rPr>
          <w:rFonts w:ascii="华文楷体" w:hAnsi="华文楷体" w:hint="eastAsia"/>
          <w:b w:val="0"/>
          <w:color w:val="auto"/>
          <w:sz w:val="24"/>
          <w:szCs w:val="24"/>
        </w:rPr>
        <w:t>3月对美出口同比增长53.3%（2月245.7%），对欧盟出口同比45.9%（2月205.5%），对日本出口同比7.6%（2月125.7%）。2月出口增速</w:t>
      </w:r>
      <w:proofErr w:type="gramStart"/>
      <w:r>
        <w:rPr>
          <w:rFonts w:ascii="华文楷体" w:hAnsi="华文楷体" w:hint="eastAsia"/>
          <w:b w:val="0"/>
          <w:color w:val="auto"/>
          <w:sz w:val="24"/>
          <w:szCs w:val="24"/>
        </w:rPr>
        <w:t>高</w:t>
      </w:r>
      <w:r w:rsidRPr="00DF6DF8">
        <w:rPr>
          <w:rFonts w:ascii="华文楷体" w:hAnsi="华文楷体" w:hint="eastAsia"/>
          <w:b w:val="0"/>
          <w:color w:val="auto"/>
          <w:sz w:val="24"/>
          <w:szCs w:val="24"/>
        </w:rPr>
        <w:t>存在</w:t>
      </w:r>
      <w:proofErr w:type="gramEnd"/>
      <w:r>
        <w:rPr>
          <w:rFonts w:ascii="华文楷体" w:hAnsi="华文楷体" w:hint="eastAsia"/>
          <w:b w:val="0"/>
          <w:color w:val="auto"/>
          <w:sz w:val="24"/>
          <w:szCs w:val="24"/>
        </w:rPr>
        <w:t>一定</w:t>
      </w:r>
      <w:r w:rsidRPr="00DF6DF8">
        <w:rPr>
          <w:rFonts w:ascii="华文楷体" w:hAnsi="华文楷体" w:hint="eastAsia"/>
          <w:b w:val="0"/>
          <w:color w:val="auto"/>
          <w:sz w:val="24"/>
          <w:szCs w:val="24"/>
        </w:rPr>
        <w:t>基数效应，3月对欧美日出口增速回调</w:t>
      </w:r>
      <w:r>
        <w:rPr>
          <w:rFonts w:ascii="华文楷体" w:hAnsi="华文楷体" w:hint="eastAsia"/>
          <w:b w:val="0"/>
          <w:color w:val="auto"/>
          <w:sz w:val="24"/>
          <w:szCs w:val="24"/>
        </w:rPr>
        <w:t>，但整体仍一定程度上反应</w:t>
      </w:r>
      <w:r w:rsidRPr="00DF6DF8">
        <w:rPr>
          <w:rFonts w:ascii="华文楷体" w:hAnsi="华文楷体" w:hint="eastAsia"/>
          <w:b w:val="0"/>
          <w:color w:val="auto"/>
          <w:sz w:val="24"/>
          <w:szCs w:val="24"/>
        </w:rPr>
        <w:t>基本面向好，美欧日PMI指数保持高景气</w:t>
      </w:r>
      <w:r>
        <w:rPr>
          <w:rFonts w:ascii="华文楷体" w:hAnsi="华文楷体" w:hint="eastAsia"/>
          <w:b w:val="0"/>
          <w:color w:val="auto"/>
          <w:sz w:val="24"/>
          <w:szCs w:val="24"/>
        </w:rPr>
        <w:t>度</w:t>
      </w:r>
      <w:r w:rsidRPr="00DF6DF8">
        <w:rPr>
          <w:rFonts w:ascii="华文楷体" w:hAnsi="华文楷体" w:hint="eastAsia"/>
          <w:b w:val="0"/>
          <w:color w:val="auto"/>
          <w:sz w:val="24"/>
          <w:szCs w:val="24"/>
        </w:rPr>
        <w:t>对我国出口形成</w:t>
      </w:r>
      <w:r>
        <w:rPr>
          <w:rFonts w:ascii="华文楷体" w:hAnsi="华文楷体" w:hint="eastAsia"/>
          <w:b w:val="0"/>
          <w:color w:val="auto"/>
          <w:sz w:val="24"/>
          <w:szCs w:val="24"/>
        </w:rPr>
        <w:t>一定</w:t>
      </w:r>
      <w:r w:rsidRPr="00DF6DF8">
        <w:rPr>
          <w:rFonts w:ascii="华文楷体" w:hAnsi="华文楷体" w:hint="eastAsia"/>
          <w:b w:val="0"/>
          <w:color w:val="auto"/>
          <w:sz w:val="24"/>
          <w:szCs w:val="24"/>
        </w:rPr>
        <w:t>支撑</w:t>
      </w:r>
      <w:r w:rsidR="002D0C96">
        <w:rPr>
          <w:rFonts w:ascii="华文楷体" w:hAnsi="华文楷体" w:hint="eastAsia"/>
          <w:b w:val="0"/>
          <w:smallCaps w:val="0"/>
          <w:color w:val="auto"/>
          <w:sz w:val="24"/>
          <w:szCs w:val="24"/>
        </w:rPr>
        <w:t>。</w:t>
      </w:r>
      <w:r w:rsidRPr="00DF6DF8">
        <w:rPr>
          <w:rFonts w:ascii="华文楷体" w:hAnsi="华文楷体" w:hint="eastAsia"/>
          <w:b w:val="0"/>
          <w:smallCaps w:val="0"/>
          <w:color w:val="auto"/>
          <w:sz w:val="24"/>
          <w:szCs w:val="24"/>
        </w:rPr>
        <w:t>出口的产品结构看，3月传统商品出口走强，其中灯具照明装置出口增速52.1%，家具及其零件48.9%，服装及衣着附42.2%，防疫物资出现结构变化，医疗仪器及器械和纺织纱线及制品分别增长39.0%和8.4%。</w:t>
      </w:r>
    </w:p>
    <w:p w14:paraId="2272D145" w14:textId="573950DD" w:rsidR="00DF6DF8" w:rsidRDefault="00DF6DF8" w:rsidP="002D0C96">
      <w:pPr>
        <w:pStyle w:val="Header1"/>
        <w:spacing w:before="240"/>
        <w:ind w:firstLine="480"/>
        <w:rPr>
          <w:rFonts w:ascii="华文楷体" w:hAnsi="华文楷体"/>
          <w:b w:val="0"/>
          <w:smallCaps w:val="0"/>
          <w:color w:val="auto"/>
          <w:sz w:val="24"/>
          <w:szCs w:val="24"/>
        </w:rPr>
      </w:pPr>
      <w:r w:rsidRPr="00DF6DF8">
        <w:rPr>
          <w:rFonts w:ascii="华文楷体" w:hAnsi="华文楷体" w:hint="eastAsia"/>
          <w:b w:val="0"/>
          <w:smallCaps w:val="0"/>
          <w:color w:val="auto"/>
          <w:sz w:val="24"/>
          <w:szCs w:val="24"/>
        </w:rPr>
        <w:t>进口2273.4亿美元，同比38.1%。3月大宗商品进口金额出现</w:t>
      </w:r>
      <w:r>
        <w:rPr>
          <w:rFonts w:ascii="华文楷体" w:hAnsi="华文楷体" w:hint="eastAsia"/>
          <w:b w:val="0"/>
          <w:smallCaps w:val="0"/>
          <w:color w:val="auto"/>
          <w:sz w:val="24"/>
          <w:szCs w:val="24"/>
        </w:rPr>
        <w:t>明显</w:t>
      </w:r>
      <w:r w:rsidRPr="00DF6DF8">
        <w:rPr>
          <w:rFonts w:ascii="华文楷体" w:hAnsi="华文楷体" w:hint="eastAsia"/>
          <w:b w:val="0"/>
          <w:smallCaps w:val="0"/>
          <w:color w:val="auto"/>
          <w:sz w:val="24"/>
          <w:szCs w:val="24"/>
        </w:rPr>
        <w:t>上涨，其中铁矿石、大豆分别同比上涨112.5%和129.1%，铜材、汽车、钢材和原油分别同比上涨77.89%、43.03%、34.84%和32.73%。1-3月，我国进口铁矿砂2.83亿吨，增加8%；原油1.39亿吨，增加9.5%；大豆2117.8万吨，增加19%。以大豆为例，1-2月进口1340.9万吨，进口额62.8亿美元，均价468美元/吨；3月进口777万吨，进口额39.3亿美元，均价505.8美元/吨，较1-2月上涨8.1%。</w:t>
      </w:r>
      <w:r>
        <w:rPr>
          <w:rFonts w:ascii="华文楷体" w:hAnsi="华文楷体" w:hint="eastAsia"/>
          <w:b w:val="0"/>
          <w:smallCaps w:val="0"/>
          <w:color w:val="auto"/>
          <w:sz w:val="24"/>
          <w:szCs w:val="24"/>
        </w:rPr>
        <w:t>进口上涨主要还是源于国内制造业景气度相对较高，2-</w:t>
      </w:r>
      <w:r>
        <w:rPr>
          <w:rFonts w:ascii="华文楷体" w:hAnsi="华文楷体"/>
          <w:b w:val="0"/>
          <w:smallCaps w:val="0"/>
          <w:color w:val="auto"/>
          <w:sz w:val="24"/>
          <w:szCs w:val="24"/>
        </w:rPr>
        <w:t>3</w:t>
      </w:r>
      <w:r w:rsidRPr="00DF6DF8">
        <w:rPr>
          <w:rFonts w:ascii="华文楷体" w:hAnsi="华文楷体" w:hint="eastAsia"/>
          <w:b w:val="0"/>
          <w:smallCaps w:val="0"/>
          <w:color w:val="auto"/>
          <w:sz w:val="24"/>
          <w:szCs w:val="24"/>
        </w:rPr>
        <w:t>月我国</w:t>
      </w:r>
      <w:proofErr w:type="spellStart"/>
      <w:r>
        <w:rPr>
          <w:rFonts w:ascii="华文楷体" w:hAnsi="华文楷体" w:hint="eastAsia"/>
          <w:b w:val="0"/>
          <w:smallCaps w:val="0"/>
          <w:color w:val="auto"/>
          <w:sz w:val="24"/>
          <w:szCs w:val="24"/>
        </w:rPr>
        <w:t>pmi</w:t>
      </w:r>
      <w:proofErr w:type="spellEnd"/>
      <w:r>
        <w:rPr>
          <w:rFonts w:ascii="华文楷体" w:hAnsi="华文楷体" w:hint="eastAsia"/>
          <w:b w:val="0"/>
          <w:smallCaps w:val="0"/>
          <w:color w:val="auto"/>
          <w:sz w:val="24"/>
          <w:szCs w:val="24"/>
        </w:rPr>
        <w:t>分别为5</w:t>
      </w:r>
      <w:r>
        <w:rPr>
          <w:rFonts w:ascii="华文楷体" w:hAnsi="华文楷体"/>
          <w:b w:val="0"/>
          <w:smallCaps w:val="0"/>
          <w:color w:val="auto"/>
          <w:sz w:val="24"/>
          <w:szCs w:val="24"/>
        </w:rPr>
        <w:t>0.6</w:t>
      </w:r>
      <w:r>
        <w:rPr>
          <w:rFonts w:ascii="华文楷体" w:hAnsi="华文楷体" w:hint="eastAsia"/>
          <w:b w:val="0"/>
          <w:smallCaps w:val="0"/>
          <w:color w:val="auto"/>
          <w:sz w:val="24"/>
          <w:szCs w:val="24"/>
        </w:rPr>
        <w:t>和5</w:t>
      </w:r>
      <w:r>
        <w:rPr>
          <w:rFonts w:ascii="华文楷体" w:hAnsi="华文楷体"/>
          <w:b w:val="0"/>
          <w:smallCaps w:val="0"/>
          <w:color w:val="auto"/>
          <w:sz w:val="24"/>
          <w:szCs w:val="24"/>
        </w:rPr>
        <w:t>1.9</w:t>
      </w:r>
      <w:r>
        <w:rPr>
          <w:rFonts w:ascii="华文楷体" w:hAnsi="华文楷体" w:hint="eastAsia"/>
          <w:b w:val="0"/>
          <w:smallCaps w:val="0"/>
          <w:color w:val="auto"/>
          <w:sz w:val="24"/>
          <w:szCs w:val="24"/>
        </w:rPr>
        <w:t>，此外重要经济体今年以来经济持续修复，全球产业链的后疫情修复也对进口数据带来一定正面作用，</w:t>
      </w:r>
      <w:r w:rsidRPr="00DF6DF8">
        <w:rPr>
          <w:rFonts w:ascii="华文楷体" w:hAnsi="华文楷体" w:hint="eastAsia"/>
          <w:b w:val="0"/>
          <w:smallCaps w:val="0"/>
          <w:color w:val="auto"/>
          <w:sz w:val="24"/>
          <w:szCs w:val="24"/>
        </w:rPr>
        <w:t>进料加工贸易3月同比增长22.2%</w:t>
      </w:r>
      <w:r>
        <w:rPr>
          <w:rFonts w:ascii="华文楷体" w:hAnsi="华文楷体" w:hint="eastAsia"/>
          <w:b w:val="0"/>
          <w:smallCaps w:val="0"/>
          <w:color w:val="auto"/>
          <w:sz w:val="24"/>
          <w:szCs w:val="24"/>
        </w:rPr>
        <w:t>。</w:t>
      </w:r>
    </w:p>
    <w:p w14:paraId="4CE00BF3" w14:textId="68CC17BA" w:rsidR="00DF6DF8" w:rsidRDefault="00DF6DF8" w:rsidP="002D0C9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整体看，</w:t>
      </w:r>
      <w:proofErr w:type="gramStart"/>
      <w:r>
        <w:rPr>
          <w:rFonts w:ascii="华文楷体" w:hAnsi="华文楷体" w:hint="eastAsia"/>
          <w:b w:val="0"/>
          <w:smallCaps w:val="0"/>
          <w:color w:val="auto"/>
          <w:sz w:val="24"/>
          <w:szCs w:val="24"/>
        </w:rPr>
        <w:t>后续仍</w:t>
      </w:r>
      <w:proofErr w:type="gramEnd"/>
      <w:r>
        <w:rPr>
          <w:rFonts w:ascii="华文楷体" w:hAnsi="华文楷体" w:hint="eastAsia"/>
          <w:b w:val="0"/>
          <w:smallCaps w:val="0"/>
          <w:color w:val="auto"/>
          <w:sz w:val="24"/>
          <w:szCs w:val="24"/>
        </w:rPr>
        <w:t>关注全球产业链的需求释放情况，</w:t>
      </w:r>
      <w:r w:rsidR="005341AA">
        <w:rPr>
          <w:rFonts w:ascii="华文楷体" w:hAnsi="华文楷体" w:hint="eastAsia"/>
          <w:b w:val="0"/>
          <w:smallCaps w:val="0"/>
          <w:color w:val="auto"/>
          <w:sz w:val="24"/>
          <w:szCs w:val="24"/>
        </w:rPr>
        <w:t>近期出现的印度疫情再次高发，可能对全球疫情产生一定扰动，但是目前看仍难以再次成为根本性因素，各国疫苗普及率同步推进过程中，疫情的影响将逐渐边际弱化。</w:t>
      </w:r>
      <w:r w:rsidR="005341AA" w:rsidRPr="005341AA">
        <w:rPr>
          <w:rFonts w:ascii="华文楷体" w:hAnsi="华文楷体" w:hint="eastAsia"/>
          <w:b w:val="0"/>
          <w:smallCaps w:val="0"/>
          <w:color w:val="auto"/>
          <w:sz w:val="24"/>
          <w:szCs w:val="24"/>
        </w:rPr>
        <w:t>进口方面，随着国内需求趋稳，制造业投资回暖迹象</w:t>
      </w:r>
      <w:r w:rsidR="005341AA">
        <w:rPr>
          <w:rFonts w:ascii="华文楷体" w:hAnsi="华文楷体" w:hint="eastAsia"/>
          <w:b w:val="0"/>
          <w:smallCaps w:val="0"/>
          <w:color w:val="auto"/>
          <w:sz w:val="24"/>
          <w:szCs w:val="24"/>
        </w:rPr>
        <w:t>仍延续，后续关注</w:t>
      </w:r>
      <w:r w:rsidR="005341AA" w:rsidRPr="005341AA">
        <w:rPr>
          <w:rFonts w:ascii="华文楷体" w:hAnsi="华文楷体" w:hint="eastAsia"/>
          <w:b w:val="0"/>
          <w:smallCaps w:val="0"/>
          <w:color w:val="auto"/>
          <w:sz w:val="24"/>
          <w:szCs w:val="24"/>
        </w:rPr>
        <w:t>大宗商品价格、企业资本支出和补库存情况。</w:t>
      </w:r>
      <w:r w:rsidR="005341AA">
        <w:rPr>
          <w:rFonts w:ascii="华文楷体" w:hAnsi="华文楷体" w:hint="eastAsia"/>
          <w:b w:val="0"/>
          <w:smallCaps w:val="0"/>
          <w:color w:val="auto"/>
          <w:sz w:val="24"/>
          <w:szCs w:val="24"/>
        </w:rPr>
        <w:t>此外二季度即将迎来小长假，内需能否在基础上进一步增强，也值得密切关注。</w:t>
      </w:r>
    </w:p>
    <w:p w14:paraId="1C8A8EFB" w14:textId="7EB4DBA6" w:rsidR="005341AA" w:rsidRDefault="005341AA" w:rsidP="002D0C9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市场策略方面，尽管3-</w:t>
      </w:r>
      <w:r>
        <w:rPr>
          <w:rFonts w:ascii="华文楷体" w:hAnsi="华文楷体"/>
          <w:b w:val="0"/>
          <w:smallCaps w:val="0"/>
          <w:color w:val="auto"/>
          <w:sz w:val="24"/>
          <w:szCs w:val="24"/>
        </w:rPr>
        <w:t>4</w:t>
      </w:r>
      <w:r w:rsidR="00480949">
        <w:rPr>
          <w:rFonts w:ascii="华文楷体" w:hAnsi="华文楷体" w:hint="eastAsia"/>
          <w:b w:val="0"/>
          <w:smallCaps w:val="0"/>
          <w:color w:val="auto"/>
          <w:sz w:val="24"/>
          <w:szCs w:val="24"/>
        </w:rPr>
        <w:t>月</w:t>
      </w:r>
      <w:bookmarkStart w:id="0" w:name="_GoBack"/>
      <w:bookmarkEnd w:id="0"/>
      <w:r>
        <w:rPr>
          <w:rFonts w:ascii="华文楷体" w:hAnsi="华文楷体" w:hint="eastAsia"/>
          <w:b w:val="0"/>
          <w:smallCaps w:val="0"/>
          <w:color w:val="auto"/>
          <w:sz w:val="24"/>
          <w:szCs w:val="24"/>
        </w:rPr>
        <w:t>份受市场预期修正影响，流动性呈现相对平稳状态，利率曲线呈现一定陡峭化迹象，但5月债券供给预计进一步提速，财政存款的扰动具有一定不确定性，如果2季度项目开工力度加大，财政对流动性的对冲作用可能出现一定弱化。</w:t>
      </w:r>
    </w:p>
    <w:p w14:paraId="39CBC3DB" w14:textId="6D12C227" w:rsidR="005341AA" w:rsidRPr="000550B2" w:rsidRDefault="005341AA" w:rsidP="002D0C9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在杠杆中性的情况下，市场会适度寻找票息保护，甚至适度增加久期，利率</w:t>
      </w:r>
      <w:proofErr w:type="gramStart"/>
      <w:r>
        <w:rPr>
          <w:rFonts w:ascii="华文楷体" w:hAnsi="华文楷体" w:hint="eastAsia"/>
          <w:b w:val="0"/>
          <w:smallCaps w:val="0"/>
          <w:color w:val="auto"/>
          <w:sz w:val="24"/>
          <w:szCs w:val="24"/>
        </w:rPr>
        <w:t>债整体</w:t>
      </w:r>
      <w:proofErr w:type="gramEnd"/>
      <w:r>
        <w:rPr>
          <w:rFonts w:ascii="华文楷体" w:hAnsi="华文楷体" w:hint="eastAsia"/>
          <w:b w:val="0"/>
          <w:smallCaps w:val="0"/>
          <w:color w:val="auto"/>
          <w:sz w:val="24"/>
          <w:szCs w:val="24"/>
        </w:rPr>
        <w:t>相对信用债有一定优势，利率债中长端及超长</w:t>
      </w:r>
      <w:proofErr w:type="gramStart"/>
      <w:r>
        <w:rPr>
          <w:rFonts w:ascii="华文楷体" w:hAnsi="华文楷体" w:hint="eastAsia"/>
          <w:b w:val="0"/>
          <w:smallCaps w:val="0"/>
          <w:color w:val="auto"/>
          <w:sz w:val="24"/>
          <w:szCs w:val="24"/>
        </w:rPr>
        <w:t>端利率</w:t>
      </w:r>
      <w:proofErr w:type="gramEnd"/>
      <w:r>
        <w:rPr>
          <w:rFonts w:ascii="华文楷体" w:hAnsi="华文楷体" w:hint="eastAsia"/>
          <w:b w:val="0"/>
          <w:smallCaps w:val="0"/>
          <w:color w:val="auto"/>
          <w:sz w:val="24"/>
          <w:szCs w:val="24"/>
        </w:rPr>
        <w:t>的表现预计相对平稳，供给</w:t>
      </w:r>
      <w:r w:rsidR="00854DBE">
        <w:rPr>
          <w:rFonts w:ascii="华文楷体" w:hAnsi="华文楷体" w:hint="eastAsia"/>
          <w:b w:val="0"/>
          <w:smallCaps w:val="0"/>
          <w:color w:val="auto"/>
          <w:sz w:val="24"/>
          <w:szCs w:val="24"/>
        </w:rPr>
        <w:t>缺失</w:t>
      </w:r>
      <w:r w:rsidR="00E14948">
        <w:rPr>
          <w:rFonts w:ascii="华文楷体" w:hAnsi="华文楷体" w:hint="eastAsia"/>
          <w:b w:val="0"/>
          <w:smallCaps w:val="0"/>
          <w:color w:val="auto"/>
          <w:sz w:val="24"/>
          <w:szCs w:val="24"/>
        </w:rPr>
        <w:t>叠加</w:t>
      </w:r>
      <w:r w:rsidR="00854DBE">
        <w:rPr>
          <w:rFonts w:ascii="华文楷体" w:hAnsi="华文楷体" w:hint="eastAsia"/>
          <w:b w:val="0"/>
          <w:smallCaps w:val="0"/>
          <w:color w:val="auto"/>
          <w:sz w:val="24"/>
          <w:szCs w:val="24"/>
        </w:rPr>
        <w:t>配置</w:t>
      </w:r>
      <w:proofErr w:type="gramStart"/>
      <w:r w:rsidR="00854DBE">
        <w:rPr>
          <w:rFonts w:ascii="华文楷体" w:hAnsi="华文楷体" w:hint="eastAsia"/>
          <w:b w:val="0"/>
          <w:smallCaps w:val="0"/>
          <w:color w:val="auto"/>
          <w:sz w:val="24"/>
          <w:szCs w:val="24"/>
        </w:rPr>
        <w:t>盘需求</w:t>
      </w:r>
      <w:proofErr w:type="gramEnd"/>
      <w:r w:rsidR="00E14948">
        <w:rPr>
          <w:rFonts w:ascii="华文楷体" w:hAnsi="华文楷体" w:hint="eastAsia"/>
          <w:b w:val="0"/>
          <w:smallCaps w:val="0"/>
          <w:color w:val="auto"/>
          <w:sz w:val="24"/>
          <w:szCs w:val="24"/>
        </w:rPr>
        <w:t>持续</w:t>
      </w:r>
      <w:r>
        <w:rPr>
          <w:rFonts w:ascii="华文楷体" w:hAnsi="华文楷体" w:hint="eastAsia"/>
          <w:b w:val="0"/>
          <w:smallCaps w:val="0"/>
          <w:color w:val="auto"/>
          <w:sz w:val="24"/>
          <w:szCs w:val="24"/>
        </w:rPr>
        <w:t>是</w:t>
      </w:r>
      <w:r w:rsidR="00854DBE">
        <w:rPr>
          <w:rFonts w:ascii="华文楷体" w:hAnsi="华文楷体" w:hint="eastAsia"/>
          <w:b w:val="0"/>
          <w:smallCaps w:val="0"/>
          <w:color w:val="auto"/>
          <w:sz w:val="24"/>
          <w:szCs w:val="24"/>
        </w:rPr>
        <w:t>当前市场表现强劲的</w:t>
      </w:r>
      <w:r>
        <w:rPr>
          <w:rFonts w:ascii="华文楷体" w:hAnsi="华文楷体" w:hint="eastAsia"/>
          <w:b w:val="0"/>
          <w:smallCaps w:val="0"/>
          <w:color w:val="auto"/>
          <w:sz w:val="24"/>
          <w:szCs w:val="24"/>
        </w:rPr>
        <w:t>根本性原因</w:t>
      </w:r>
      <w:r w:rsidR="00854DBE">
        <w:rPr>
          <w:rFonts w:ascii="华文楷体" w:hAnsi="华文楷体" w:hint="eastAsia"/>
          <w:b w:val="0"/>
          <w:smallCaps w:val="0"/>
          <w:color w:val="auto"/>
          <w:sz w:val="24"/>
          <w:szCs w:val="24"/>
        </w:rPr>
        <w:t>，后续市场关注点将转移至基本面。</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061A8D2C"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净投放为0</w:t>
      </w:r>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847EB6">
        <w:rPr>
          <w:rFonts w:ascii="华文楷体" w:hAnsi="华文楷体" w:hint="eastAsia"/>
          <w:sz w:val="24"/>
          <w:szCs w:val="24"/>
          <w:lang w:eastAsia="zh-CN"/>
        </w:rPr>
        <w:t>持续</w:t>
      </w:r>
      <w:r w:rsidR="003C1F1C">
        <w:rPr>
          <w:rFonts w:ascii="华文楷体" w:hAnsi="华文楷体" w:hint="eastAsia"/>
          <w:sz w:val="24"/>
          <w:szCs w:val="24"/>
          <w:lang w:eastAsia="zh-CN"/>
        </w:rPr>
        <w:t>平稳，</w:t>
      </w:r>
      <w:r w:rsidR="00A5662C">
        <w:rPr>
          <w:rFonts w:ascii="华文楷体" w:hAnsi="华文楷体" w:hint="eastAsia"/>
          <w:sz w:val="24"/>
          <w:szCs w:val="24"/>
          <w:lang w:eastAsia="zh-CN"/>
        </w:rPr>
        <w:t>临近周末边际收紧后转平稳</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A5662C">
        <w:rPr>
          <w:rFonts w:ascii="华文楷体" w:hAnsi="华文楷体" w:hint="eastAsia"/>
          <w:sz w:val="24"/>
          <w:szCs w:val="24"/>
          <w:lang w:eastAsia="zh-CN"/>
        </w:rPr>
        <w:t>上行</w:t>
      </w:r>
      <w:r w:rsidR="00A5662C">
        <w:rPr>
          <w:rFonts w:ascii="华文楷体" w:hAnsi="华文楷体"/>
          <w:sz w:val="24"/>
          <w:szCs w:val="24"/>
          <w:lang w:eastAsia="zh-CN"/>
        </w:rPr>
        <w:t>5</w:t>
      </w:r>
      <w:r w:rsidR="002D361C">
        <w:rPr>
          <w:rFonts w:ascii="华文楷体" w:hAnsi="华文楷体" w:hint="eastAsia"/>
          <w:sz w:val="24"/>
          <w:szCs w:val="24"/>
          <w:lang w:eastAsia="zh-CN"/>
        </w:rPr>
        <w:t>BP至</w:t>
      </w:r>
      <w:r w:rsidR="00A5662C">
        <w:rPr>
          <w:rFonts w:ascii="华文楷体" w:hAnsi="华文楷体"/>
          <w:sz w:val="24"/>
          <w:szCs w:val="24"/>
          <w:lang w:eastAsia="zh-CN"/>
        </w:rPr>
        <w:t>2.02</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A5662C">
        <w:rPr>
          <w:rFonts w:ascii="华文楷体" w:hAnsi="华文楷体" w:hint="eastAsia"/>
          <w:sz w:val="24"/>
          <w:szCs w:val="24"/>
          <w:lang w:eastAsia="zh-CN"/>
        </w:rPr>
        <w:t>上行7</w:t>
      </w:r>
      <w:r w:rsidR="00D9413F">
        <w:rPr>
          <w:rFonts w:ascii="华文楷体" w:hAnsi="华文楷体" w:hint="eastAsia"/>
          <w:sz w:val="24"/>
          <w:szCs w:val="24"/>
          <w:lang w:eastAsia="zh-CN"/>
        </w:rPr>
        <w:t>BP至</w:t>
      </w:r>
      <w:r w:rsidR="00A5662C">
        <w:rPr>
          <w:rFonts w:ascii="华文楷体" w:hAnsi="华文楷体"/>
          <w:sz w:val="24"/>
          <w:szCs w:val="24"/>
          <w:lang w:eastAsia="zh-CN"/>
        </w:rPr>
        <w:t>2.24</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B92F0A">
        <w:rPr>
          <w:rFonts w:ascii="华文楷体" w:hAnsi="华文楷体" w:hint="eastAsia"/>
          <w:sz w:val="24"/>
          <w:szCs w:val="24"/>
          <w:lang w:eastAsia="zh-CN"/>
        </w:rPr>
        <w:t>隔夜7</w:t>
      </w:r>
      <w:r w:rsidR="003C1F1C">
        <w:rPr>
          <w:rFonts w:ascii="华文楷体" w:hAnsi="华文楷体" w:hint="eastAsia"/>
          <w:sz w:val="24"/>
          <w:szCs w:val="24"/>
          <w:lang w:eastAsia="zh-CN"/>
        </w:rPr>
        <w:t>天利差水平持续</w:t>
      </w:r>
      <w:r w:rsidR="00A5662C">
        <w:rPr>
          <w:rFonts w:ascii="华文楷体" w:hAnsi="华文楷体" w:hint="eastAsia"/>
          <w:sz w:val="24"/>
          <w:szCs w:val="24"/>
          <w:lang w:eastAsia="zh-CN"/>
        </w:rPr>
        <w:t>维持窄幅震荡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A5662C">
        <w:tblPrEx>
          <w:tblCellMar>
            <w:left w:w="108" w:type="dxa"/>
            <w:right w:w="108" w:type="dxa"/>
          </w:tblCellMar>
        </w:tblPrEx>
        <w:trPr>
          <w:jc w:val="center"/>
        </w:trPr>
        <w:tc>
          <w:tcPr>
            <w:tcW w:w="4939" w:type="dxa"/>
            <w:vAlign w:val="center"/>
          </w:tcPr>
          <w:p w14:paraId="60AEAEDC" w14:textId="0AB4B061" w:rsidR="00E0626C" w:rsidRPr="003C6AC1" w:rsidRDefault="00A5662C" w:rsidP="009A2BA0">
            <w:pPr>
              <w:jc w:val="center"/>
              <w:rPr>
                <w:noProof/>
                <w:sz w:val="20"/>
              </w:rPr>
            </w:pPr>
            <w:r>
              <w:rPr>
                <w:noProof/>
              </w:rPr>
              <w:drawing>
                <wp:inline distT="0" distB="0" distL="0" distR="0" wp14:anchorId="50DF2FA3" wp14:editId="23E8C4E7">
                  <wp:extent cx="2999105" cy="1780841"/>
                  <wp:effectExtent l="0" t="0" r="0" b="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6CE421A2" w:rsidR="00E0626C" w:rsidRPr="00F62F43" w:rsidRDefault="00A5662C" w:rsidP="009A2BA0">
            <w:pPr>
              <w:jc w:val="center"/>
              <w:rPr>
                <w:noProof/>
                <w:sz w:val="16"/>
                <w:szCs w:val="18"/>
              </w:rPr>
            </w:pPr>
            <w:r>
              <w:rPr>
                <w:noProof/>
              </w:rPr>
              <w:drawing>
                <wp:inline distT="0" distB="0" distL="0" distR="0" wp14:anchorId="06EB3D17" wp14:editId="00A2DE43">
                  <wp:extent cx="2998470" cy="1777599"/>
                  <wp:effectExtent l="0" t="0" r="0" b="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4ECC2C5"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F45C6B">
        <w:rPr>
          <w:rFonts w:ascii="华文楷体" w:hAnsi="华文楷体" w:hint="eastAsia"/>
          <w:sz w:val="24"/>
          <w:szCs w:val="24"/>
          <w:lang w:eastAsia="zh-CN"/>
        </w:rPr>
        <w:t>品种</w:t>
      </w:r>
      <w:r w:rsidR="00FC42DA">
        <w:rPr>
          <w:rFonts w:ascii="华文楷体" w:hAnsi="华文楷体" w:hint="eastAsia"/>
          <w:sz w:val="24"/>
          <w:szCs w:val="24"/>
          <w:lang w:eastAsia="zh-CN"/>
        </w:rPr>
        <w:t>震荡调整为主</w:t>
      </w:r>
      <w:r>
        <w:rPr>
          <w:rFonts w:ascii="华文楷体" w:hAnsi="华文楷体" w:hint="eastAsia"/>
          <w:sz w:val="24"/>
          <w:szCs w:val="24"/>
          <w:lang w:eastAsia="zh-CN"/>
        </w:rPr>
        <w:t>，</w:t>
      </w:r>
      <w:proofErr w:type="gramStart"/>
      <w:r w:rsidR="00FC42DA">
        <w:rPr>
          <w:rFonts w:ascii="华文楷体" w:hAnsi="华文楷体" w:hint="eastAsia"/>
          <w:sz w:val="24"/>
          <w:szCs w:val="24"/>
          <w:lang w:eastAsia="zh-CN"/>
        </w:rPr>
        <w:t>国开债表现</w:t>
      </w:r>
      <w:proofErr w:type="gramEnd"/>
      <w:r w:rsidR="00FC42DA">
        <w:rPr>
          <w:rFonts w:ascii="华文楷体" w:hAnsi="华文楷体" w:hint="eastAsia"/>
          <w:sz w:val="24"/>
          <w:szCs w:val="24"/>
          <w:lang w:eastAsia="zh-CN"/>
        </w:rPr>
        <w:t>略好于国债</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8626FC">
        <w:rPr>
          <w:rFonts w:ascii="华文楷体" w:hAnsi="华文楷体" w:hint="eastAsia"/>
          <w:sz w:val="24"/>
          <w:szCs w:val="24"/>
          <w:lang w:eastAsia="zh-CN"/>
        </w:rPr>
        <w:t>6</w:t>
      </w:r>
      <w:r>
        <w:rPr>
          <w:rFonts w:ascii="华文楷体" w:hAnsi="华文楷体" w:hint="eastAsia"/>
          <w:sz w:val="24"/>
          <w:szCs w:val="24"/>
          <w:lang w:eastAsia="zh-CN"/>
        </w:rPr>
        <w:t>3</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FC42DA">
        <w:rPr>
          <w:rFonts w:ascii="华文楷体" w:hAnsi="华文楷体"/>
          <w:sz w:val="24"/>
          <w:szCs w:val="24"/>
          <w:lang w:eastAsia="zh-CN"/>
        </w:rPr>
        <w:t>102</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C42DA">
        <w:rPr>
          <w:rFonts w:ascii="华文楷体" w:hAnsi="华文楷体" w:hint="eastAsia"/>
          <w:sz w:val="24"/>
          <w:szCs w:val="24"/>
          <w:lang w:eastAsia="zh-CN"/>
        </w:rPr>
        <w:t>上行2</w:t>
      </w:r>
      <w:r w:rsidR="00FC42DA">
        <w:rPr>
          <w:rFonts w:ascii="华文楷体" w:hAnsi="华文楷体"/>
          <w:sz w:val="24"/>
          <w:szCs w:val="24"/>
          <w:lang w:eastAsia="zh-CN"/>
        </w:rPr>
        <w:t>.1</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FC42DA">
        <w:rPr>
          <w:rFonts w:ascii="华文楷体" w:hAnsi="华文楷体" w:hint="eastAsia"/>
          <w:sz w:val="24"/>
          <w:szCs w:val="24"/>
          <w:lang w:eastAsia="zh-CN"/>
        </w:rPr>
        <w:t>上行</w:t>
      </w:r>
      <w:proofErr w:type="gramEnd"/>
      <w:r w:rsidR="00FC42DA">
        <w:rPr>
          <w:rFonts w:ascii="华文楷体" w:hAnsi="华文楷体" w:hint="eastAsia"/>
          <w:sz w:val="24"/>
          <w:szCs w:val="24"/>
          <w:lang w:eastAsia="zh-CN"/>
        </w:rPr>
        <w:t>3</w:t>
      </w:r>
      <w:r w:rsidR="00FC42DA">
        <w:rPr>
          <w:rFonts w:ascii="华文楷体" w:hAnsi="华文楷体"/>
          <w:sz w:val="24"/>
          <w:szCs w:val="24"/>
          <w:lang w:eastAsia="zh-CN"/>
        </w:rPr>
        <w:t>.0</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3C0E83">
        <w:rPr>
          <w:rFonts w:ascii="华文楷体" w:hAnsi="华文楷体" w:hint="eastAsia"/>
          <w:sz w:val="24"/>
          <w:szCs w:val="24"/>
          <w:lang w:eastAsia="zh-CN"/>
        </w:rPr>
        <w:t>3</w:t>
      </w:r>
      <w:r w:rsidR="00FC42DA">
        <w:rPr>
          <w:rFonts w:ascii="华文楷体" w:hAnsi="华文楷体"/>
          <w:sz w:val="24"/>
          <w:szCs w:val="24"/>
          <w:lang w:eastAsia="zh-CN"/>
        </w:rPr>
        <w:t>7</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FC42DA">
        <w:tblPrEx>
          <w:tblCellMar>
            <w:left w:w="108" w:type="dxa"/>
            <w:right w:w="108" w:type="dxa"/>
          </w:tblCellMar>
        </w:tblPrEx>
        <w:trPr>
          <w:jc w:val="center"/>
        </w:trPr>
        <w:tc>
          <w:tcPr>
            <w:tcW w:w="4939" w:type="dxa"/>
            <w:vAlign w:val="center"/>
          </w:tcPr>
          <w:p w14:paraId="678C97B0" w14:textId="352D82D6" w:rsidR="00E0626C" w:rsidRPr="007E0340" w:rsidRDefault="00FC42DA" w:rsidP="002104B2">
            <w:pPr>
              <w:rPr>
                <w:noProof/>
              </w:rPr>
            </w:pPr>
            <w:r>
              <w:rPr>
                <w:noProof/>
              </w:rPr>
              <w:drawing>
                <wp:inline distT="0" distB="0" distL="0" distR="0" wp14:anchorId="2E012D13" wp14:editId="614FEE44">
                  <wp:extent cx="2999105" cy="1707448"/>
                  <wp:effectExtent l="0" t="0" r="0" b="7620"/>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55971675" w:rsidR="00E0626C" w:rsidRPr="007E0340" w:rsidRDefault="00FC42DA" w:rsidP="009A2BA0">
            <w:pPr>
              <w:jc w:val="center"/>
              <w:rPr>
                <w:noProof/>
                <w:szCs w:val="18"/>
              </w:rPr>
            </w:pPr>
            <w:r>
              <w:rPr>
                <w:noProof/>
              </w:rPr>
              <w:drawing>
                <wp:inline distT="0" distB="0" distL="0" distR="0" wp14:anchorId="20455D7F" wp14:editId="527487BC">
                  <wp:extent cx="2998470" cy="1757145"/>
                  <wp:effectExtent l="0" t="0" r="0" b="0"/>
                  <wp:docPr id="20" name="图表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352D2C3E"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3645F" w:rsidRPr="0093645F">
        <w:rPr>
          <w:rFonts w:ascii="华文楷体" w:hAnsi="华文楷体" w:hint="eastAsia"/>
          <w:sz w:val="24"/>
          <w:szCs w:val="24"/>
          <w:lang w:eastAsia="zh-CN"/>
        </w:rPr>
        <w:t>主要期限品种适度下行，其中</w:t>
      </w:r>
      <w:r w:rsidR="00FC42DA">
        <w:rPr>
          <w:rFonts w:ascii="华文楷体" w:hAnsi="华文楷体"/>
          <w:sz w:val="24"/>
          <w:szCs w:val="24"/>
          <w:lang w:eastAsia="zh-CN"/>
        </w:rPr>
        <w:t>5</w:t>
      </w:r>
      <w:r w:rsidR="00FC42DA">
        <w:rPr>
          <w:rFonts w:ascii="华文楷体" w:hAnsi="华文楷体" w:hint="eastAsia"/>
          <w:sz w:val="24"/>
          <w:szCs w:val="24"/>
          <w:lang w:eastAsia="zh-CN"/>
        </w:rPr>
        <w:t>年中票企业债和3</w:t>
      </w:r>
      <w:r w:rsidR="00FC42DA">
        <w:rPr>
          <w:rFonts w:ascii="华文楷体" w:hAnsi="华文楷体"/>
          <w:sz w:val="24"/>
          <w:szCs w:val="24"/>
          <w:lang w:eastAsia="zh-CN"/>
        </w:rPr>
        <w:t>Y</w:t>
      </w:r>
      <w:r w:rsidR="00FC42DA">
        <w:rPr>
          <w:rFonts w:ascii="华文楷体" w:hAnsi="华文楷体" w:hint="eastAsia"/>
          <w:sz w:val="24"/>
          <w:szCs w:val="24"/>
          <w:lang w:eastAsia="zh-CN"/>
        </w:rPr>
        <w:t>城投表现较好</w:t>
      </w:r>
      <w:r w:rsidR="0093645F" w:rsidRPr="0093645F">
        <w:rPr>
          <w:rFonts w:ascii="华文楷体" w:hAnsi="华文楷体" w:hint="eastAsia"/>
          <w:sz w:val="24"/>
          <w:szCs w:val="24"/>
          <w:lang w:eastAsia="zh-CN"/>
        </w:rPr>
        <w:t>。</w:t>
      </w:r>
      <w:r w:rsidR="00FC42DA">
        <w:rPr>
          <w:rFonts w:ascii="华文楷体" w:hAnsi="华文楷体" w:hint="eastAsia"/>
          <w:sz w:val="24"/>
          <w:szCs w:val="24"/>
          <w:lang w:eastAsia="zh-CN"/>
        </w:rPr>
        <w:t>1</w:t>
      </w:r>
      <w:r w:rsidR="00FC42DA">
        <w:rPr>
          <w:rFonts w:ascii="华文楷体" w:hAnsi="华文楷体"/>
          <w:sz w:val="24"/>
          <w:szCs w:val="24"/>
          <w:lang w:eastAsia="zh-CN"/>
        </w:rPr>
        <w:t>Y</w:t>
      </w:r>
      <w:r w:rsidR="00FC42DA">
        <w:rPr>
          <w:rFonts w:ascii="华文楷体" w:hAnsi="华文楷体" w:hint="eastAsia"/>
          <w:sz w:val="24"/>
          <w:szCs w:val="24"/>
          <w:lang w:eastAsia="zh-CN"/>
        </w:rPr>
        <w:t>中短期品种下行2-</w:t>
      </w:r>
      <w:r w:rsidR="00FC42DA">
        <w:rPr>
          <w:rFonts w:ascii="华文楷体" w:hAnsi="华文楷体"/>
          <w:sz w:val="24"/>
          <w:szCs w:val="24"/>
          <w:lang w:eastAsia="zh-CN"/>
        </w:rPr>
        <w:t>6BP</w:t>
      </w:r>
      <w:r w:rsidR="00FC42DA">
        <w:rPr>
          <w:rFonts w:ascii="华文楷体" w:hAnsi="华文楷体" w:hint="eastAsia"/>
          <w:sz w:val="24"/>
          <w:szCs w:val="24"/>
          <w:lang w:eastAsia="zh-CN"/>
        </w:rPr>
        <w:t>；3年中票下行2-</w:t>
      </w:r>
      <w:r w:rsidR="00FC42DA">
        <w:rPr>
          <w:rFonts w:ascii="华文楷体" w:hAnsi="华文楷体"/>
          <w:sz w:val="24"/>
          <w:szCs w:val="24"/>
          <w:lang w:eastAsia="zh-CN"/>
        </w:rPr>
        <w:t>4BP</w:t>
      </w:r>
      <w:r w:rsidR="00FC42DA">
        <w:rPr>
          <w:rFonts w:ascii="华文楷体" w:hAnsi="华文楷体" w:hint="eastAsia"/>
          <w:sz w:val="24"/>
          <w:szCs w:val="24"/>
          <w:lang w:eastAsia="zh-CN"/>
        </w:rPr>
        <w:t>，</w:t>
      </w:r>
      <w:proofErr w:type="gramStart"/>
      <w:r w:rsidR="00FC42DA">
        <w:rPr>
          <w:rFonts w:ascii="华文楷体" w:hAnsi="华文楷体" w:hint="eastAsia"/>
          <w:sz w:val="24"/>
          <w:szCs w:val="24"/>
          <w:lang w:eastAsia="zh-CN"/>
        </w:rPr>
        <w:t>5年中票债下行</w:t>
      </w:r>
      <w:proofErr w:type="gramEnd"/>
      <w:r w:rsidR="00FC42DA">
        <w:rPr>
          <w:rFonts w:ascii="华文楷体" w:hAnsi="华文楷体" w:hint="eastAsia"/>
          <w:sz w:val="24"/>
          <w:szCs w:val="24"/>
          <w:lang w:eastAsia="zh-CN"/>
        </w:rPr>
        <w:t>5-</w:t>
      </w:r>
      <w:r w:rsidR="00FC42DA">
        <w:rPr>
          <w:rFonts w:ascii="华文楷体" w:hAnsi="华文楷体"/>
          <w:sz w:val="24"/>
          <w:szCs w:val="24"/>
          <w:lang w:eastAsia="zh-CN"/>
        </w:rPr>
        <w:t>8BP</w:t>
      </w:r>
      <w:r w:rsidR="00FC42DA">
        <w:rPr>
          <w:rFonts w:ascii="华文楷体" w:hAnsi="华文楷体" w:hint="eastAsia"/>
          <w:sz w:val="24"/>
          <w:szCs w:val="24"/>
          <w:lang w:eastAsia="zh-CN"/>
        </w:rPr>
        <w:t>；3</w:t>
      </w:r>
      <w:r w:rsidR="00FC42DA">
        <w:rPr>
          <w:rFonts w:ascii="华文楷体" w:hAnsi="华文楷体"/>
          <w:sz w:val="24"/>
          <w:szCs w:val="24"/>
          <w:lang w:eastAsia="zh-CN"/>
        </w:rPr>
        <w:t>Y</w:t>
      </w:r>
      <w:r w:rsidR="00FC42DA">
        <w:rPr>
          <w:rFonts w:ascii="华文楷体" w:hAnsi="华文楷体" w:hint="eastAsia"/>
          <w:sz w:val="24"/>
          <w:szCs w:val="24"/>
          <w:lang w:eastAsia="zh-CN"/>
        </w:rPr>
        <w:t>企业债下行2-</w:t>
      </w:r>
      <w:r w:rsidR="00FC42DA">
        <w:rPr>
          <w:rFonts w:ascii="华文楷体" w:hAnsi="华文楷体"/>
          <w:sz w:val="24"/>
          <w:szCs w:val="24"/>
          <w:lang w:eastAsia="zh-CN"/>
        </w:rPr>
        <w:t>4BP</w:t>
      </w:r>
      <w:r w:rsidR="00FC42DA">
        <w:rPr>
          <w:rFonts w:ascii="华文楷体" w:hAnsi="华文楷体" w:hint="eastAsia"/>
          <w:sz w:val="24"/>
          <w:szCs w:val="24"/>
          <w:lang w:eastAsia="zh-CN"/>
        </w:rPr>
        <w:t>，5年企业债下行5-</w:t>
      </w:r>
      <w:r w:rsidR="00FC42DA">
        <w:rPr>
          <w:rFonts w:ascii="华文楷体" w:hAnsi="华文楷体"/>
          <w:sz w:val="24"/>
          <w:szCs w:val="24"/>
          <w:lang w:eastAsia="zh-CN"/>
        </w:rPr>
        <w:t>8BP</w:t>
      </w:r>
      <w:r w:rsidR="00FC42DA">
        <w:rPr>
          <w:rFonts w:ascii="华文楷体" w:hAnsi="华文楷体" w:hint="eastAsia"/>
          <w:sz w:val="24"/>
          <w:szCs w:val="24"/>
          <w:lang w:eastAsia="zh-CN"/>
        </w:rPr>
        <w:t>；</w:t>
      </w:r>
      <w:proofErr w:type="gramStart"/>
      <w:r w:rsidR="00FC42DA">
        <w:rPr>
          <w:rFonts w:ascii="华文楷体" w:hAnsi="华文楷体" w:hint="eastAsia"/>
          <w:sz w:val="24"/>
          <w:szCs w:val="24"/>
          <w:lang w:eastAsia="zh-CN"/>
        </w:rPr>
        <w:t>城投债方面</w:t>
      </w:r>
      <w:proofErr w:type="gramEnd"/>
      <w:r w:rsidR="00FC42DA">
        <w:rPr>
          <w:rFonts w:ascii="华文楷体" w:hAnsi="华文楷体" w:hint="eastAsia"/>
          <w:sz w:val="24"/>
          <w:szCs w:val="24"/>
          <w:lang w:eastAsia="zh-CN"/>
        </w:rPr>
        <w:t>3</w:t>
      </w:r>
      <w:r w:rsidR="00FC42DA">
        <w:rPr>
          <w:rFonts w:ascii="华文楷体" w:hAnsi="华文楷体"/>
          <w:sz w:val="24"/>
          <w:szCs w:val="24"/>
          <w:lang w:eastAsia="zh-CN"/>
        </w:rPr>
        <w:t>Y</w:t>
      </w:r>
      <w:proofErr w:type="gramStart"/>
      <w:r w:rsidR="00FC42DA">
        <w:rPr>
          <w:rFonts w:ascii="华文楷体" w:hAnsi="华文楷体" w:hint="eastAsia"/>
          <w:sz w:val="24"/>
          <w:szCs w:val="24"/>
          <w:lang w:eastAsia="zh-CN"/>
        </w:rPr>
        <w:t>城投债品种</w:t>
      </w:r>
      <w:proofErr w:type="gramEnd"/>
      <w:r w:rsidR="00FC42DA">
        <w:rPr>
          <w:rFonts w:ascii="华文楷体" w:hAnsi="华文楷体" w:hint="eastAsia"/>
          <w:sz w:val="24"/>
          <w:szCs w:val="24"/>
          <w:lang w:eastAsia="zh-CN"/>
        </w:rPr>
        <w:t>下行7-</w:t>
      </w:r>
      <w:r w:rsidR="00FC42DA">
        <w:rPr>
          <w:rFonts w:ascii="华文楷体" w:hAnsi="华文楷体"/>
          <w:sz w:val="24"/>
          <w:szCs w:val="24"/>
          <w:lang w:eastAsia="zh-CN"/>
        </w:rPr>
        <w:t>8.5BP</w:t>
      </w:r>
      <w:r w:rsidR="00FC42DA">
        <w:rPr>
          <w:rFonts w:ascii="华文楷体" w:hAnsi="华文楷体" w:hint="eastAsia"/>
          <w:sz w:val="24"/>
          <w:szCs w:val="24"/>
          <w:lang w:eastAsia="zh-CN"/>
        </w:rPr>
        <w:t>，5年</w:t>
      </w:r>
      <w:proofErr w:type="gramStart"/>
      <w:r w:rsidR="00FC42DA">
        <w:rPr>
          <w:rFonts w:ascii="华文楷体" w:hAnsi="华文楷体" w:hint="eastAsia"/>
          <w:sz w:val="24"/>
          <w:szCs w:val="24"/>
          <w:lang w:eastAsia="zh-CN"/>
        </w:rPr>
        <w:t>城投债下行</w:t>
      </w:r>
      <w:proofErr w:type="gramEnd"/>
      <w:r w:rsidR="00FC42DA">
        <w:rPr>
          <w:rFonts w:ascii="华文楷体" w:hAnsi="华文楷体" w:hint="eastAsia"/>
          <w:sz w:val="24"/>
          <w:szCs w:val="24"/>
          <w:lang w:eastAsia="zh-CN"/>
        </w:rPr>
        <w:t>3-</w:t>
      </w:r>
      <w:r w:rsidR="00FC42DA">
        <w:rPr>
          <w:rFonts w:ascii="华文楷体" w:hAnsi="华文楷体"/>
          <w:sz w:val="24"/>
          <w:szCs w:val="24"/>
          <w:lang w:eastAsia="zh-CN"/>
        </w:rPr>
        <w:t>6BP</w:t>
      </w:r>
      <w:r w:rsidR="00FC42DA">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CE0D51">
        <w:rPr>
          <w:rFonts w:ascii="华文楷体" w:hAnsi="华文楷体"/>
          <w:sz w:val="24"/>
          <w:szCs w:val="24"/>
          <w:lang w:eastAsia="zh-CN"/>
        </w:rPr>
        <w:t>0</w:t>
      </w:r>
      <w:r w:rsidR="00A55DFD">
        <w:rPr>
          <w:rFonts w:ascii="华文楷体" w:hAnsi="华文楷体" w:hint="eastAsia"/>
          <w:sz w:val="24"/>
          <w:szCs w:val="24"/>
          <w:lang w:eastAsia="zh-CN"/>
        </w:rPr>
        <w:t>-</w:t>
      </w:r>
      <w:r w:rsidR="00A55DFD">
        <w:rPr>
          <w:rFonts w:ascii="华文楷体" w:hAnsi="华文楷体"/>
          <w:sz w:val="24"/>
          <w:szCs w:val="24"/>
          <w:lang w:eastAsia="zh-CN"/>
        </w:rPr>
        <w:t>2</w:t>
      </w:r>
      <w:r w:rsidR="00CE0D51">
        <w:rPr>
          <w:rFonts w:ascii="华文楷体" w:hAnsi="华文楷体"/>
          <w:sz w:val="24"/>
          <w:szCs w:val="24"/>
          <w:lang w:eastAsia="zh-CN"/>
        </w:rPr>
        <w:t>5</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CE0D51">
        <w:rPr>
          <w:rFonts w:ascii="华文楷体" w:hAnsi="华文楷体"/>
          <w:sz w:val="24"/>
          <w:szCs w:val="24"/>
          <w:lang w:eastAsia="zh-CN"/>
        </w:rPr>
        <w:t>5</w:t>
      </w:r>
      <w:r w:rsidR="00EF3B44">
        <w:rPr>
          <w:rFonts w:ascii="华文楷体" w:hAnsi="华文楷体" w:hint="eastAsia"/>
          <w:sz w:val="24"/>
          <w:szCs w:val="24"/>
          <w:lang w:eastAsia="zh-CN"/>
        </w:rPr>
        <w:t>-</w:t>
      </w:r>
      <w:r w:rsidR="00CE0D51">
        <w:rPr>
          <w:rFonts w:ascii="华文楷体" w:hAnsi="华文楷体"/>
          <w:sz w:val="24"/>
          <w:szCs w:val="24"/>
          <w:lang w:eastAsia="zh-CN"/>
        </w:rPr>
        <w:t>22</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93645F">
        <w:rPr>
          <w:rFonts w:ascii="华文楷体" w:hAnsi="华文楷体" w:hint="eastAsia"/>
          <w:sz w:val="24"/>
          <w:szCs w:val="24"/>
          <w:lang w:eastAsia="zh-CN"/>
        </w:rPr>
        <w:t>9</w:t>
      </w:r>
      <w:r w:rsidR="004F1AB3">
        <w:rPr>
          <w:rFonts w:ascii="华文楷体" w:hAnsi="华文楷体" w:hint="eastAsia"/>
          <w:sz w:val="24"/>
          <w:szCs w:val="24"/>
          <w:lang w:eastAsia="zh-CN"/>
        </w:rPr>
        <w:t>-</w:t>
      </w:r>
      <w:r w:rsidR="0093645F">
        <w:rPr>
          <w:rFonts w:ascii="华文楷体" w:hAnsi="华文楷体" w:hint="eastAsia"/>
          <w:sz w:val="24"/>
          <w:szCs w:val="24"/>
          <w:lang w:eastAsia="zh-CN"/>
        </w:rPr>
        <w:t>1</w:t>
      </w:r>
      <w:r w:rsidR="00CE0D51">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130"/>
              <w:gridCol w:w="919"/>
              <w:gridCol w:w="920"/>
              <w:gridCol w:w="920"/>
              <w:gridCol w:w="920"/>
              <w:gridCol w:w="1149"/>
              <w:gridCol w:w="920"/>
              <w:gridCol w:w="920"/>
              <w:gridCol w:w="920"/>
              <w:gridCol w:w="920"/>
            </w:tblGrid>
            <w:tr w:rsidR="00FC42DA" w:rsidRPr="00FC42DA" w14:paraId="173431AE" w14:textId="77777777" w:rsidTr="00FC42DA">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61489974"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收益率(%)</w:t>
                  </w:r>
                </w:p>
              </w:tc>
              <w:tc>
                <w:tcPr>
                  <w:tcW w:w="942" w:type="dxa"/>
                  <w:tcBorders>
                    <w:top w:val="nil"/>
                    <w:left w:val="nil"/>
                    <w:bottom w:val="single" w:sz="12" w:space="0" w:color="FFFFFF"/>
                    <w:right w:val="single" w:sz="8" w:space="0" w:color="FFFFFF"/>
                  </w:tcBorders>
                  <w:shd w:val="clear" w:color="000000" w:fill="F79646"/>
                  <w:noWrap/>
                  <w:vAlign w:val="center"/>
                  <w:hideMark/>
                </w:tcPr>
                <w:p w14:paraId="3933DD58"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5BF4985"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67430E8"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28519F6"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1741B881"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4F4FE0F0"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6753A3E"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A483B4F"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01816EB"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r>
            <w:tr w:rsidR="00FC42DA" w:rsidRPr="00FC42DA" w14:paraId="2F56C93C" w14:textId="77777777" w:rsidTr="00FC42DA">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4862A0CD"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0ABFA1F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2.97 </w:t>
                  </w:r>
                </w:p>
              </w:tc>
              <w:tc>
                <w:tcPr>
                  <w:tcW w:w="942" w:type="dxa"/>
                  <w:tcBorders>
                    <w:top w:val="nil"/>
                    <w:left w:val="nil"/>
                    <w:bottom w:val="single" w:sz="8" w:space="0" w:color="FFFFFF"/>
                    <w:right w:val="single" w:sz="8" w:space="0" w:color="FFFFFF"/>
                  </w:tcBorders>
                  <w:shd w:val="clear" w:color="000000" w:fill="FCD5B4"/>
                  <w:noWrap/>
                  <w:vAlign w:val="center"/>
                  <w:hideMark/>
                </w:tcPr>
                <w:p w14:paraId="74B5D4E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3.10 </w:t>
                  </w:r>
                </w:p>
              </w:tc>
              <w:tc>
                <w:tcPr>
                  <w:tcW w:w="942" w:type="dxa"/>
                  <w:tcBorders>
                    <w:top w:val="nil"/>
                    <w:left w:val="nil"/>
                    <w:bottom w:val="single" w:sz="8" w:space="0" w:color="FFFFFF"/>
                    <w:right w:val="single" w:sz="8" w:space="0" w:color="FFFFFF"/>
                  </w:tcBorders>
                  <w:shd w:val="clear" w:color="000000" w:fill="FCD5B4"/>
                  <w:noWrap/>
                  <w:vAlign w:val="center"/>
                  <w:hideMark/>
                </w:tcPr>
                <w:p w14:paraId="7EB6718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3.41 </w:t>
                  </w:r>
                </w:p>
              </w:tc>
              <w:tc>
                <w:tcPr>
                  <w:tcW w:w="942" w:type="dxa"/>
                  <w:tcBorders>
                    <w:top w:val="nil"/>
                    <w:left w:val="nil"/>
                    <w:bottom w:val="single" w:sz="8" w:space="0" w:color="FFFFFF"/>
                    <w:right w:val="single" w:sz="8" w:space="0" w:color="FFFFFF"/>
                  </w:tcBorders>
                  <w:shd w:val="clear" w:color="000000" w:fill="FCD5B4"/>
                  <w:noWrap/>
                  <w:vAlign w:val="center"/>
                  <w:hideMark/>
                </w:tcPr>
                <w:p w14:paraId="382DEB0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5.59 </w:t>
                  </w:r>
                </w:p>
              </w:tc>
              <w:tc>
                <w:tcPr>
                  <w:tcW w:w="1178" w:type="dxa"/>
                  <w:tcBorders>
                    <w:top w:val="nil"/>
                    <w:left w:val="nil"/>
                    <w:bottom w:val="single" w:sz="8" w:space="0" w:color="FFFFFF"/>
                    <w:right w:val="single" w:sz="8" w:space="0" w:color="FFFFFF"/>
                  </w:tcBorders>
                  <w:shd w:val="clear" w:color="000000" w:fill="FCD5B4"/>
                  <w:noWrap/>
                  <w:vAlign w:val="center"/>
                  <w:hideMark/>
                </w:tcPr>
                <w:p w14:paraId="549E8B84"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615B193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0.58 </w:t>
                  </w:r>
                </w:p>
              </w:tc>
              <w:tc>
                <w:tcPr>
                  <w:tcW w:w="942" w:type="dxa"/>
                  <w:tcBorders>
                    <w:top w:val="nil"/>
                    <w:left w:val="nil"/>
                    <w:bottom w:val="single" w:sz="8" w:space="0" w:color="FFFFFF"/>
                    <w:right w:val="single" w:sz="8" w:space="0" w:color="FFFFFF"/>
                  </w:tcBorders>
                  <w:shd w:val="clear" w:color="000000" w:fill="FCD5B4"/>
                  <w:noWrap/>
                  <w:vAlign w:val="center"/>
                  <w:hideMark/>
                </w:tcPr>
                <w:p w14:paraId="7EE38A7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0.72 </w:t>
                  </w:r>
                </w:p>
              </w:tc>
              <w:tc>
                <w:tcPr>
                  <w:tcW w:w="942" w:type="dxa"/>
                  <w:tcBorders>
                    <w:top w:val="nil"/>
                    <w:left w:val="nil"/>
                    <w:bottom w:val="single" w:sz="8" w:space="0" w:color="FFFFFF"/>
                    <w:right w:val="single" w:sz="8" w:space="0" w:color="FFFFFF"/>
                  </w:tcBorders>
                  <w:shd w:val="clear" w:color="000000" w:fill="FCD5B4"/>
                  <w:noWrap/>
                  <w:vAlign w:val="center"/>
                  <w:hideMark/>
                </w:tcPr>
                <w:p w14:paraId="7A44644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1.03 </w:t>
                  </w:r>
                </w:p>
              </w:tc>
              <w:tc>
                <w:tcPr>
                  <w:tcW w:w="942" w:type="dxa"/>
                  <w:tcBorders>
                    <w:top w:val="nil"/>
                    <w:left w:val="nil"/>
                    <w:bottom w:val="single" w:sz="8" w:space="0" w:color="FFFFFF"/>
                    <w:right w:val="single" w:sz="8" w:space="0" w:color="FFFFFF"/>
                  </w:tcBorders>
                  <w:shd w:val="clear" w:color="000000" w:fill="FCD5B4"/>
                  <w:noWrap/>
                  <w:vAlign w:val="center"/>
                  <w:hideMark/>
                </w:tcPr>
                <w:p w14:paraId="2CC8D31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3.21 </w:t>
                  </w:r>
                </w:p>
              </w:tc>
            </w:tr>
            <w:tr w:rsidR="00FC42DA" w:rsidRPr="00FC42DA" w14:paraId="3B0E9D9C"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F72DF42"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64EBC65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3.46 </w:t>
                  </w:r>
                </w:p>
              </w:tc>
              <w:tc>
                <w:tcPr>
                  <w:tcW w:w="942" w:type="dxa"/>
                  <w:tcBorders>
                    <w:top w:val="nil"/>
                    <w:left w:val="nil"/>
                    <w:bottom w:val="single" w:sz="8" w:space="0" w:color="FFFFFF"/>
                    <w:right w:val="single" w:sz="8" w:space="0" w:color="FFFFFF"/>
                  </w:tcBorders>
                  <w:shd w:val="clear" w:color="000000" w:fill="FDE9D9"/>
                  <w:noWrap/>
                  <w:vAlign w:val="center"/>
                  <w:hideMark/>
                </w:tcPr>
                <w:p w14:paraId="44259A0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3.76 </w:t>
                  </w:r>
                </w:p>
              </w:tc>
              <w:tc>
                <w:tcPr>
                  <w:tcW w:w="942" w:type="dxa"/>
                  <w:tcBorders>
                    <w:top w:val="nil"/>
                    <w:left w:val="nil"/>
                    <w:bottom w:val="single" w:sz="8" w:space="0" w:color="FFFFFF"/>
                    <w:right w:val="single" w:sz="8" w:space="0" w:color="FFFFFF"/>
                  </w:tcBorders>
                  <w:shd w:val="clear" w:color="000000" w:fill="FDE9D9"/>
                  <w:noWrap/>
                  <w:vAlign w:val="center"/>
                  <w:hideMark/>
                </w:tcPr>
                <w:p w14:paraId="7192D9E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4.22 </w:t>
                  </w:r>
                </w:p>
              </w:tc>
              <w:tc>
                <w:tcPr>
                  <w:tcW w:w="942" w:type="dxa"/>
                  <w:tcBorders>
                    <w:top w:val="nil"/>
                    <w:left w:val="nil"/>
                    <w:bottom w:val="single" w:sz="8" w:space="0" w:color="FFFFFF"/>
                    <w:right w:val="single" w:sz="8" w:space="0" w:color="FFFFFF"/>
                  </w:tcBorders>
                  <w:shd w:val="clear" w:color="000000" w:fill="FDE9D9"/>
                  <w:noWrap/>
                  <w:vAlign w:val="center"/>
                  <w:hideMark/>
                </w:tcPr>
                <w:p w14:paraId="29BD76B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6.40 </w:t>
                  </w:r>
                </w:p>
              </w:tc>
              <w:tc>
                <w:tcPr>
                  <w:tcW w:w="1178" w:type="dxa"/>
                  <w:tcBorders>
                    <w:top w:val="nil"/>
                    <w:left w:val="nil"/>
                    <w:bottom w:val="single" w:sz="8" w:space="0" w:color="FFFFFF"/>
                    <w:right w:val="single" w:sz="8" w:space="0" w:color="FFFFFF"/>
                  </w:tcBorders>
                  <w:shd w:val="clear" w:color="000000" w:fill="FDE9D9"/>
                  <w:noWrap/>
                  <w:vAlign w:val="center"/>
                  <w:hideMark/>
                </w:tcPr>
                <w:p w14:paraId="647F11C8"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79DA094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0.71 </w:t>
                  </w:r>
                </w:p>
              </w:tc>
              <w:tc>
                <w:tcPr>
                  <w:tcW w:w="942" w:type="dxa"/>
                  <w:tcBorders>
                    <w:top w:val="nil"/>
                    <w:left w:val="nil"/>
                    <w:bottom w:val="single" w:sz="8" w:space="0" w:color="FFFFFF"/>
                    <w:right w:val="single" w:sz="8" w:space="0" w:color="FFFFFF"/>
                  </w:tcBorders>
                  <w:shd w:val="clear" w:color="000000" w:fill="FDE9D9"/>
                  <w:noWrap/>
                  <w:vAlign w:val="center"/>
                  <w:hideMark/>
                </w:tcPr>
                <w:p w14:paraId="3CA40BD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1.01 </w:t>
                  </w:r>
                </w:p>
              </w:tc>
              <w:tc>
                <w:tcPr>
                  <w:tcW w:w="942" w:type="dxa"/>
                  <w:tcBorders>
                    <w:top w:val="nil"/>
                    <w:left w:val="nil"/>
                    <w:bottom w:val="single" w:sz="8" w:space="0" w:color="FFFFFF"/>
                    <w:right w:val="single" w:sz="8" w:space="0" w:color="FFFFFF"/>
                  </w:tcBorders>
                  <w:shd w:val="clear" w:color="000000" w:fill="FDE9D9"/>
                  <w:noWrap/>
                  <w:vAlign w:val="center"/>
                  <w:hideMark/>
                </w:tcPr>
                <w:p w14:paraId="7C681A5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1.47 </w:t>
                  </w:r>
                </w:p>
              </w:tc>
              <w:tc>
                <w:tcPr>
                  <w:tcW w:w="942" w:type="dxa"/>
                  <w:tcBorders>
                    <w:top w:val="nil"/>
                    <w:left w:val="nil"/>
                    <w:bottom w:val="single" w:sz="8" w:space="0" w:color="FFFFFF"/>
                    <w:right w:val="single" w:sz="8" w:space="0" w:color="FFFFFF"/>
                  </w:tcBorders>
                  <w:shd w:val="clear" w:color="000000" w:fill="FDE9D9"/>
                  <w:noWrap/>
                  <w:vAlign w:val="center"/>
                  <w:hideMark/>
                </w:tcPr>
                <w:p w14:paraId="40C75B8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3.65 </w:t>
                  </w:r>
                </w:p>
              </w:tc>
            </w:tr>
            <w:tr w:rsidR="00FC42DA" w:rsidRPr="00FC42DA" w14:paraId="26417079"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AC14E87"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24EE574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3.69 </w:t>
                  </w:r>
                </w:p>
              </w:tc>
              <w:tc>
                <w:tcPr>
                  <w:tcW w:w="942" w:type="dxa"/>
                  <w:tcBorders>
                    <w:top w:val="nil"/>
                    <w:left w:val="nil"/>
                    <w:bottom w:val="single" w:sz="8" w:space="0" w:color="FFFFFF"/>
                    <w:right w:val="single" w:sz="8" w:space="0" w:color="FFFFFF"/>
                  </w:tcBorders>
                  <w:shd w:val="clear" w:color="000000" w:fill="FCD5B4"/>
                  <w:noWrap/>
                  <w:vAlign w:val="center"/>
                  <w:hideMark/>
                </w:tcPr>
                <w:p w14:paraId="669613A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4.00 </w:t>
                  </w:r>
                </w:p>
              </w:tc>
              <w:tc>
                <w:tcPr>
                  <w:tcW w:w="942" w:type="dxa"/>
                  <w:tcBorders>
                    <w:top w:val="nil"/>
                    <w:left w:val="nil"/>
                    <w:bottom w:val="single" w:sz="8" w:space="0" w:color="FFFFFF"/>
                    <w:right w:val="single" w:sz="8" w:space="0" w:color="FFFFFF"/>
                  </w:tcBorders>
                  <w:shd w:val="clear" w:color="000000" w:fill="FCD5B4"/>
                  <w:noWrap/>
                  <w:vAlign w:val="center"/>
                  <w:hideMark/>
                </w:tcPr>
                <w:p w14:paraId="267CF2F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4.52 </w:t>
                  </w:r>
                </w:p>
              </w:tc>
              <w:tc>
                <w:tcPr>
                  <w:tcW w:w="942" w:type="dxa"/>
                  <w:tcBorders>
                    <w:top w:val="nil"/>
                    <w:left w:val="nil"/>
                    <w:bottom w:val="single" w:sz="8" w:space="0" w:color="FFFFFF"/>
                    <w:right w:val="single" w:sz="8" w:space="0" w:color="FFFFFF"/>
                  </w:tcBorders>
                  <w:shd w:val="clear" w:color="000000" w:fill="FCD5B4"/>
                  <w:noWrap/>
                  <w:vAlign w:val="center"/>
                  <w:hideMark/>
                </w:tcPr>
                <w:p w14:paraId="2281CCE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6.70 </w:t>
                  </w:r>
                </w:p>
              </w:tc>
              <w:tc>
                <w:tcPr>
                  <w:tcW w:w="1178" w:type="dxa"/>
                  <w:tcBorders>
                    <w:top w:val="nil"/>
                    <w:left w:val="nil"/>
                    <w:bottom w:val="single" w:sz="8" w:space="0" w:color="FFFFFF"/>
                    <w:right w:val="single" w:sz="8" w:space="0" w:color="FFFFFF"/>
                  </w:tcBorders>
                  <w:shd w:val="clear" w:color="000000" w:fill="FCD5B4"/>
                  <w:noWrap/>
                  <w:vAlign w:val="center"/>
                  <w:hideMark/>
                </w:tcPr>
                <w:p w14:paraId="689E1487"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138666B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0.71 </w:t>
                  </w:r>
                </w:p>
              </w:tc>
              <w:tc>
                <w:tcPr>
                  <w:tcW w:w="942" w:type="dxa"/>
                  <w:tcBorders>
                    <w:top w:val="nil"/>
                    <w:left w:val="nil"/>
                    <w:bottom w:val="single" w:sz="8" w:space="0" w:color="FFFFFF"/>
                    <w:right w:val="single" w:sz="8" w:space="0" w:color="FFFFFF"/>
                  </w:tcBorders>
                  <w:shd w:val="clear" w:color="000000" w:fill="FCD5B4"/>
                  <w:noWrap/>
                  <w:vAlign w:val="center"/>
                  <w:hideMark/>
                </w:tcPr>
                <w:p w14:paraId="26206FD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1.02 </w:t>
                  </w:r>
                </w:p>
              </w:tc>
              <w:tc>
                <w:tcPr>
                  <w:tcW w:w="942" w:type="dxa"/>
                  <w:tcBorders>
                    <w:top w:val="nil"/>
                    <w:left w:val="nil"/>
                    <w:bottom w:val="single" w:sz="8" w:space="0" w:color="FFFFFF"/>
                    <w:right w:val="single" w:sz="8" w:space="0" w:color="FFFFFF"/>
                  </w:tcBorders>
                  <w:shd w:val="clear" w:color="000000" w:fill="FCD5B4"/>
                  <w:noWrap/>
                  <w:vAlign w:val="center"/>
                  <w:hideMark/>
                </w:tcPr>
                <w:p w14:paraId="456FB61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1.54 </w:t>
                  </w:r>
                </w:p>
              </w:tc>
              <w:tc>
                <w:tcPr>
                  <w:tcW w:w="942" w:type="dxa"/>
                  <w:tcBorders>
                    <w:top w:val="nil"/>
                    <w:left w:val="nil"/>
                    <w:bottom w:val="single" w:sz="8" w:space="0" w:color="FFFFFF"/>
                    <w:right w:val="single" w:sz="8" w:space="0" w:color="FFFFFF"/>
                  </w:tcBorders>
                  <w:shd w:val="clear" w:color="000000" w:fill="FCD5B4"/>
                  <w:noWrap/>
                  <w:vAlign w:val="center"/>
                  <w:hideMark/>
                </w:tcPr>
                <w:p w14:paraId="69A97D8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3.72 </w:t>
                  </w:r>
                </w:p>
              </w:tc>
            </w:tr>
            <w:tr w:rsidR="00FC42DA" w:rsidRPr="00FC42DA" w14:paraId="414B5C8D"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7848FE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739232E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3.44 </w:t>
                  </w:r>
                </w:p>
              </w:tc>
              <w:tc>
                <w:tcPr>
                  <w:tcW w:w="942" w:type="dxa"/>
                  <w:tcBorders>
                    <w:top w:val="nil"/>
                    <w:left w:val="nil"/>
                    <w:bottom w:val="single" w:sz="8" w:space="0" w:color="FFFFFF"/>
                    <w:right w:val="single" w:sz="8" w:space="0" w:color="FFFFFF"/>
                  </w:tcBorders>
                  <w:shd w:val="clear" w:color="000000" w:fill="FDE9D9"/>
                  <w:noWrap/>
                  <w:vAlign w:val="center"/>
                  <w:hideMark/>
                </w:tcPr>
                <w:p w14:paraId="4AB72CB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3.68 </w:t>
                  </w:r>
                </w:p>
              </w:tc>
              <w:tc>
                <w:tcPr>
                  <w:tcW w:w="942" w:type="dxa"/>
                  <w:tcBorders>
                    <w:top w:val="nil"/>
                    <w:left w:val="nil"/>
                    <w:bottom w:val="single" w:sz="8" w:space="0" w:color="FFFFFF"/>
                    <w:right w:val="single" w:sz="8" w:space="0" w:color="FFFFFF"/>
                  </w:tcBorders>
                  <w:shd w:val="clear" w:color="000000" w:fill="FDE9D9"/>
                  <w:noWrap/>
                  <w:vAlign w:val="center"/>
                  <w:hideMark/>
                </w:tcPr>
                <w:p w14:paraId="703B6B3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4.19 </w:t>
                  </w:r>
                </w:p>
              </w:tc>
              <w:tc>
                <w:tcPr>
                  <w:tcW w:w="942" w:type="dxa"/>
                  <w:tcBorders>
                    <w:top w:val="nil"/>
                    <w:left w:val="nil"/>
                    <w:bottom w:val="single" w:sz="8" w:space="0" w:color="FFFFFF"/>
                    <w:right w:val="single" w:sz="8" w:space="0" w:color="FFFFFF"/>
                  </w:tcBorders>
                  <w:shd w:val="clear" w:color="000000" w:fill="FDE9D9"/>
                  <w:noWrap/>
                  <w:vAlign w:val="center"/>
                  <w:hideMark/>
                </w:tcPr>
                <w:p w14:paraId="328D8ED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6.43 </w:t>
                  </w:r>
                </w:p>
              </w:tc>
              <w:tc>
                <w:tcPr>
                  <w:tcW w:w="1178" w:type="dxa"/>
                  <w:tcBorders>
                    <w:top w:val="nil"/>
                    <w:left w:val="nil"/>
                    <w:bottom w:val="single" w:sz="8" w:space="0" w:color="FFFFFF"/>
                    <w:right w:val="single" w:sz="8" w:space="0" w:color="FFFFFF"/>
                  </w:tcBorders>
                  <w:shd w:val="clear" w:color="000000" w:fill="FDE9D9"/>
                  <w:noWrap/>
                  <w:vAlign w:val="center"/>
                  <w:hideMark/>
                </w:tcPr>
                <w:p w14:paraId="7BAE018E"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5D7EA5E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0.69 </w:t>
                  </w:r>
                </w:p>
              </w:tc>
              <w:tc>
                <w:tcPr>
                  <w:tcW w:w="942" w:type="dxa"/>
                  <w:tcBorders>
                    <w:top w:val="nil"/>
                    <w:left w:val="nil"/>
                    <w:bottom w:val="single" w:sz="8" w:space="0" w:color="FFFFFF"/>
                    <w:right w:val="single" w:sz="8" w:space="0" w:color="FFFFFF"/>
                  </w:tcBorders>
                  <w:shd w:val="clear" w:color="000000" w:fill="FDE9D9"/>
                  <w:noWrap/>
                  <w:vAlign w:val="center"/>
                  <w:hideMark/>
                </w:tcPr>
                <w:p w14:paraId="5EAFC94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0.93 </w:t>
                  </w:r>
                </w:p>
              </w:tc>
              <w:tc>
                <w:tcPr>
                  <w:tcW w:w="942" w:type="dxa"/>
                  <w:tcBorders>
                    <w:top w:val="nil"/>
                    <w:left w:val="nil"/>
                    <w:bottom w:val="single" w:sz="8" w:space="0" w:color="FFFFFF"/>
                    <w:right w:val="single" w:sz="8" w:space="0" w:color="FFFFFF"/>
                  </w:tcBorders>
                  <w:shd w:val="clear" w:color="000000" w:fill="FDE9D9"/>
                  <w:noWrap/>
                  <w:vAlign w:val="center"/>
                  <w:hideMark/>
                </w:tcPr>
                <w:p w14:paraId="18C9059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1.44 </w:t>
                  </w:r>
                </w:p>
              </w:tc>
              <w:tc>
                <w:tcPr>
                  <w:tcW w:w="942" w:type="dxa"/>
                  <w:tcBorders>
                    <w:top w:val="nil"/>
                    <w:left w:val="nil"/>
                    <w:bottom w:val="single" w:sz="8" w:space="0" w:color="FFFFFF"/>
                    <w:right w:val="single" w:sz="8" w:space="0" w:color="FFFFFF"/>
                  </w:tcBorders>
                  <w:shd w:val="clear" w:color="000000" w:fill="FDE9D9"/>
                  <w:noWrap/>
                  <w:vAlign w:val="center"/>
                  <w:hideMark/>
                </w:tcPr>
                <w:p w14:paraId="72E7CA5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3.68 </w:t>
                  </w:r>
                </w:p>
              </w:tc>
            </w:tr>
            <w:tr w:rsidR="00FC42DA" w:rsidRPr="00FC42DA" w14:paraId="5500349E"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032A765A"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0F0B081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3.65 </w:t>
                  </w:r>
                </w:p>
              </w:tc>
              <w:tc>
                <w:tcPr>
                  <w:tcW w:w="942" w:type="dxa"/>
                  <w:tcBorders>
                    <w:top w:val="nil"/>
                    <w:left w:val="nil"/>
                    <w:bottom w:val="single" w:sz="8" w:space="0" w:color="FFFFFF"/>
                    <w:right w:val="single" w:sz="8" w:space="0" w:color="FFFFFF"/>
                  </w:tcBorders>
                  <w:shd w:val="clear" w:color="000000" w:fill="FCD5B4"/>
                  <w:noWrap/>
                  <w:vAlign w:val="center"/>
                  <w:hideMark/>
                </w:tcPr>
                <w:p w14:paraId="3542AA2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3.91 </w:t>
                  </w:r>
                </w:p>
              </w:tc>
              <w:tc>
                <w:tcPr>
                  <w:tcW w:w="942" w:type="dxa"/>
                  <w:tcBorders>
                    <w:top w:val="nil"/>
                    <w:left w:val="nil"/>
                    <w:bottom w:val="single" w:sz="8" w:space="0" w:color="FFFFFF"/>
                    <w:right w:val="single" w:sz="8" w:space="0" w:color="FFFFFF"/>
                  </w:tcBorders>
                  <w:shd w:val="clear" w:color="000000" w:fill="FCD5B4"/>
                  <w:noWrap/>
                  <w:vAlign w:val="center"/>
                  <w:hideMark/>
                </w:tcPr>
                <w:p w14:paraId="5985BF4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4.42 </w:t>
                  </w:r>
                </w:p>
              </w:tc>
              <w:tc>
                <w:tcPr>
                  <w:tcW w:w="942" w:type="dxa"/>
                  <w:tcBorders>
                    <w:top w:val="nil"/>
                    <w:left w:val="nil"/>
                    <w:bottom w:val="single" w:sz="8" w:space="0" w:color="FFFFFF"/>
                    <w:right w:val="single" w:sz="8" w:space="0" w:color="FFFFFF"/>
                  </w:tcBorders>
                  <w:shd w:val="clear" w:color="000000" w:fill="FCD5B4"/>
                  <w:noWrap/>
                  <w:vAlign w:val="center"/>
                  <w:hideMark/>
                </w:tcPr>
                <w:p w14:paraId="7B07FA5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6.63 </w:t>
                  </w:r>
                </w:p>
              </w:tc>
              <w:tc>
                <w:tcPr>
                  <w:tcW w:w="1178" w:type="dxa"/>
                  <w:tcBorders>
                    <w:top w:val="nil"/>
                    <w:left w:val="nil"/>
                    <w:bottom w:val="single" w:sz="8" w:space="0" w:color="FFFFFF"/>
                    <w:right w:val="single" w:sz="8" w:space="0" w:color="FFFFFF"/>
                  </w:tcBorders>
                  <w:shd w:val="clear" w:color="000000" w:fill="FCD5B4"/>
                  <w:noWrap/>
                  <w:vAlign w:val="center"/>
                  <w:hideMark/>
                </w:tcPr>
                <w:p w14:paraId="7C1B6C29"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431166A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0.67 </w:t>
                  </w:r>
                </w:p>
              </w:tc>
              <w:tc>
                <w:tcPr>
                  <w:tcW w:w="942" w:type="dxa"/>
                  <w:tcBorders>
                    <w:top w:val="nil"/>
                    <w:left w:val="nil"/>
                    <w:bottom w:val="single" w:sz="8" w:space="0" w:color="FFFFFF"/>
                    <w:right w:val="single" w:sz="8" w:space="0" w:color="FFFFFF"/>
                  </w:tcBorders>
                  <w:shd w:val="clear" w:color="000000" w:fill="FCD5B4"/>
                  <w:noWrap/>
                  <w:vAlign w:val="center"/>
                  <w:hideMark/>
                </w:tcPr>
                <w:p w14:paraId="0D9B844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0.93 </w:t>
                  </w:r>
                </w:p>
              </w:tc>
              <w:tc>
                <w:tcPr>
                  <w:tcW w:w="942" w:type="dxa"/>
                  <w:tcBorders>
                    <w:top w:val="nil"/>
                    <w:left w:val="nil"/>
                    <w:bottom w:val="single" w:sz="8" w:space="0" w:color="FFFFFF"/>
                    <w:right w:val="single" w:sz="8" w:space="0" w:color="FFFFFF"/>
                  </w:tcBorders>
                  <w:shd w:val="clear" w:color="000000" w:fill="FCD5B4"/>
                  <w:noWrap/>
                  <w:vAlign w:val="center"/>
                  <w:hideMark/>
                </w:tcPr>
                <w:p w14:paraId="222DBA4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1.44 </w:t>
                  </w:r>
                </w:p>
              </w:tc>
              <w:tc>
                <w:tcPr>
                  <w:tcW w:w="942" w:type="dxa"/>
                  <w:tcBorders>
                    <w:top w:val="nil"/>
                    <w:left w:val="nil"/>
                    <w:bottom w:val="single" w:sz="8" w:space="0" w:color="FFFFFF"/>
                    <w:right w:val="single" w:sz="8" w:space="0" w:color="FFFFFF"/>
                  </w:tcBorders>
                  <w:shd w:val="clear" w:color="000000" w:fill="FCD5B4"/>
                  <w:noWrap/>
                  <w:vAlign w:val="center"/>
                  <w:hideMark/>
                </w:tcPr>
                <w:p w14:paraId="4F5041F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3.65 </w:t>
                  </w:r>
                </w:p>
              </w:tc>
            </w:tr>
            <w:tr w:rsidR="00FC42DA" w:rsidRPr="00FC42DA" w14:paraId="5B8D37B0"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3EF6399"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11CCA20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3.92 </w:t>
                  </w:r>
                </w:p>
              </w:tc>
              <w:tc>
                <w:tcPr>
                  <w:tcW w:w="942" w:type="dxa"/>
                  <w:tcBorders>
                    <w:top w:val="nil"/>
                    <w:left w:val="nil"/>
                    <w:bottom w:val="single" w:sz="8" w:space="0" w:color="FFFFFF"/>
                    <w:right w:val="single" w:sz="8" w:space="0" w:color="FFFFFF"/>
                  </w:tcBorders>
                  <w:shd w:val="clear" w:color="000000" w:fill="FDE9D9"/>
                  <w:noWrap/>
                  <w:vAlign w:val="center"/>
                  <w:hideMark/>
                </w:tcPr>
                <w:p w14:paraId="727097E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4.20 </w:t>
                  </w:r>
                </w:p>
              </w:tc>
              <w:tc>
                <w:tcPr>
                  <w:tcW w:w="942" w:type="dxa"/>
                  <w:tcBorders>
                    <w:top w:val="nil"/>
                    <w:left w:val="nil"/>
                    <w:bottom w:val="single" w:sz="8" w:space="0" w:color="FFFFFF"/>
                    <w:right w:val="single" w:sz="8" w:space="0" w:color="FFFFFF"/>
                  </w:tcBorders>
                  <w:shd w:val="clear" w:color="000000" w:fill="FDE9D9"/>
                  <w:noWrap/>
                  <w:vAlign w:val="center"/>
                  <w:hideMark/>
                </w:tcPr>
                <w:p w14:paraId="6481071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4.72 </w:t>
                  </w:r>
                </w:p>
              </w:tc>
              <w:tc>
                <w:tcPr>
                  <w:tcW w:w="942" w:type="dxa"/>
                  <w:tcBorders>
                    <w:top w:val="nil"/>
                    <w:left w:val="nil"/>
                    <w:bottom w:val="single" w:sz="8" w:space="0" w:color="FFFFFF"/>
                    <w:right w:val="single" w:sz="8" w:space="0" w:color="FFFFFF"/>
                  </w:tcBorders>
                  <w:shd w:val="clear" w:color="000000" w:fill="FDE9D9"/>
                  <w:noWrap/>
                  <w:vAlign w:val="center"/>
                  <w:hideMark/>
                </w:tcPr>
                <w:p w14:paraId="44FA970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6.92 </w:t>
                  </w:r>
                </w:p>
              </w:tc>
              <w:tc>
                <w:tcPr>
                  <w:tcW w:w="1178" w:type="dxa"/>
                  <w:tcBorders>
                    <w:top w:val="nil"/>
                    <w:left w:val="nil"/>
                    <w:bottom w:val="single" w:sz="8" w:space="0" w:color="FFFFFF"/>
                    <w:right w:val="single" w:sz="8" w:space="0" w:color="FFFFFF"/>
                  </w:tcBorders>
                  <w:shd w:val="clear" w:color="000000" w:fill="FDE9D9"/>
                  <w:noWrap/>
                  <w:vAlign w:val="center"/>
                  <w:hideMark/>
                </w:tcPr>
                <w:p w14:paraId="5C801FC3"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3A4F553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0.77 </w:t>
                  </w:r>
                </w:p>
              </w:tc>
              <w:tc>
                <w:tcPr>
                  <w:tcW w:w="942" w:type="dxa"/>
                  <w:tcBorders>
                    <w:top w:val="nil"/>
                    <w:left w:val="nil"/>
                    <w:bottom w:val="single" w:sz="8" w:space="0" w:color="FFFFFF"/>
                    <w:right w:val="single" w:sz="8" w:space="0" w:color="FFFFFF"/>
                  </w:tcBorders>
                  <w:shd w:val="clear" w:color="000000" w:fill="FDE9D9"/>
                  <w:noWrap/>
                  <w:vAlign w:val="center"/>
                  <w:hideMark/>
                </w:tcPr>
                <w:p w14:paraId="108586A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1.05 </w:t>
                  </w:r>
                </w:p>
              </w:tc>
              <w:tc>
                <w:tcPr>
                  <w:tcW w:w="942" w:type="dxa"/>
                  <w:tcBorders>
                    <w:top w:val="nil"/>
                    <w:left w:val="nil"/>
                    <w:bottom w:val="single" w:sz="8" w:space="0" w:color="FFFFFF"/>
                    <w:right w:val="single" w:sz="8" w:space="0" w:color="FFFFFF"/>
                  </w:tcBorders>
                  <w:shd w:val="clear" w:color="000000" w:fill="FDE9D9"/>
                  <w:noWrap/>
                  <w:vAlign w:val="center"/>
                  <w:hideMark/>
                </w:tcPr>
                <w:p w14:paraId="6D8BCD2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1.57 </w:t>
                  </w:r>
                </w:p>
              </w:tc>
              <w:tc>
                <w:tcPr>
                  <w:tcW w:w="942" w:type="dxa"/>
                  <w:tcBorders>
                    <w:top w:val="nil"/>
                    <w:left w:val="nil"/>
                    <w:bottom w:val="single" w:sz="8" w:space="0" w:color="FFFFFF"/>
                    <w:right w:val="single" w:sz="8" w:space="0" w:color="FFFFFF"/>
                  </w:tcBorders>
                  <w:shd w:val="clear" w:color="000000" w:fill="FDE9D9"/>
                  <w:noWrap/>
                  <w:vAlign w:val="center"/>
                  <w:hideMark/>
                </w:tcPr>
                <w:p w14:paraId="2749F6C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3.77 </w:t>
                  </w:r>
                </w:p>
              </w:tc>
            </w:tr>
            <w:tr w:rsidR="00FC42DA" w:rsidRPr="00FC42DA" w14:paraId="07D8E82C"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39E3D64"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78A6191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3.45 </w:t>
                  </w:r>
                </w:p>
              </w:tc>
              <w:tc>
                <w:tcPr>
                  <w:tcW w:w="942" w:type="dxa"/>
                  <w:tcBorders>
                    <w:top w:val="nil"/>
                    <w:left w:val="nil"/>
                    <w:bottom w:val="single" w:sz="8" w:space="0" w:color="FFFFFF"/>
                    <w:right w:val="single" w:sz="8" w:space="0" w:color="FFFFFF"/>
                  </w:tcBorders>
                  <w:shd w:val="clear" w:color="000000" w:fill="FCD5B4"/>
                  <w:noWrap/>
                  <w:vAlign w:val="center"/>
                  <w:hideMark/>
                </w:tcPr>
                <w:p w14:paraId="171D798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3.62 </w:t>
                  </w:r>
                </w:p>
              </w:tc>
              <w:tc>
                <w:tcPr>
                  <w:tcW w:w="942" w:type="dxa"/>
                  <w:tcBorders>
                    <w:top w:val="nil"/>
                    <w:left w:val="nil"/>
                    <w:bottom w:val="single" w:sz="8" w:space="0" w:color="FFFFFF"/>
                    <w:right w:val="single" w:sz="8" w:space="0" w:color="FFFFFF"/>
                  </w:tcBorders>
                  <w:shd w:val="clear" w:color="000000" w:fill="FCD5B4"/>
                  <w:noWrap/>
                  <w:vAlign w:val="center"/>
                  <w:hideMark/>
                </w:tcPr>
                <w:p w14:paraId="60CCC2C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3.88 </w:t>
                  </w:r>
                </w:p>
              </w:tc>
              <w:tc>
                <w:tcPr>
                  <w:tcW w:w="942" w:type="dxa"/>
                  <w:tcBorders>
                    <w:top w:val="nil"/>
                    <w:left w:val="nil"/>
                    <w:bottom w:val="single" w:sz="8" w:space="0" w:color="FFFFFF"/>
                    <w:right w:val="single" w:sz="8" w:space="0" w:color="FFFFFF"/>
                  </w:tcBorders>
                  <w:shd w:val="clear" w:color="000000" w:fill="FCD5B4"/>
                  <w:noWrap/>
                  <w:vAlign w:val="center"/>
                  <w:hideMark/>
                </w:tcPr>
                <w:p w14:paraId="2A5A359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6.57 </w:t>
                  </w:r>
                </w:p>
              </w:tc>
              <w:tc>
                <w:tcPr>
                  <w:tcW w:w="1178" w:type="dxa"/>
                  <w:tcBorders>
                    <w:top w:val="nil"/>
                    <w:left w:val="nil"/>
                    <w:bottom w:val="single" w:sz="8" w:space="0" w:color="FFFFFF"/>
                    <w:right w:val="single" w:sz="8" w:space="0" w:color="FFFFFF"/>
                  </w:tcBorders>
                  <w:shd w:val="clear" w:color="000000" w:fill="FCD5B4"/>
                  <w:noWrap/>
                  <w:vAlign w:val="center"/>
                  <w:hideMark/>
                </w:tcPr>
                <w:p w14:paraId="61C70379"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2ADD317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0.71 </w:t>
                  </w:r>
                </w:p>
              </w:tc>
              <w:tc>
                <w:tcPr>
                  <w:tcW w:w="942" w:type="dxa"/>
                  <w:tcBorders>
                    <w:top w:val="nil"/>
                    <w:left w:val="nil"/>
                    <w:bottom w:val="single" w:sz="8" w:space="0" w:color="FFFFFF"/>
                    <w:right w:val="single" w:sz="8" w:space="0" w:color="FFFFFF"/>
                  </w:tcBorders>
                  <w:shd w:val="clear" w:color="000000" w:fill="FCD5B4"/>
                  <w:noWrap/>
                  <w:vAlign w:val="center"/>
                  <w:hideMark/>
                </w:tcPr>
                <w:p w14:paraId="02BE98E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0.88 </w:t>
                  </w:r>
                </w:p>
              </w:tc>
              <w:tc>
                <w:tcPr>
                  <w:tcW w:w="942" w:type="dxa"/>
                  <w:tcBorders>
                    <w:top w:val="nil"/>
                    <w:left w:val="nil"/>
                    <w:bottom w:val="single" w:sz="8" w:space="0" w:color="FFFFFF"/>
                    <w:right w:val="single" w:sz="8" w:space="0" w:color="FFFFFF"/>
                  </w:tcBorders>
                  <w:shd w:val="clear" w:color="000000" w:fill="FCD5B4"/>
                  <w:noWrap/>
                  <w:vAlign w:val="center"/>
                  <w:hideMark/>
                </w:tcPr>
                <w:p w14:paraId="64FC185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1.13 </w:t>
                  </w:r>
                </w:p>
              </w:tc>
              <w:tc>
                <w:tcPr>
                  <w:tcW w:w="942" w:type="dxa"/>
                  <w:tcBorders>
                    <w:top w:val="nil"/>
                    <w:left w:val="nil"/>
                    <w:bottom w:val="single" w:sz="8" w:space="0" w:color="FFFFFF"/>
                    <w:right w:val="single" w:sz="8" w:space="0" w:color="FFFFFF"/>
                  </w:tcBorders>
                  <w:shd w:val="clear" w:color="000000" w:fill="FCD5B4"/>
                  <w:noWrap/>
                  <w:vAlign w:val="center"/>
                  <w:hideMark/>
                </w:tcPr>
                <w:p w14:paraId="363E1C8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3.82 </w:t>
                  </w:r>
                </w:p>
              </w:tc>
            </w:tr>
            <w:tr w:rsidR="00FC42DA" w:rsidRPr="00FC42DA" w14:paraId="06B1BD90"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74F88E6"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314399C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3.74 </w:t>
                  </w:r>
                </w:p>
              </w:tc>
              <w:tc>
                <w:tcPr>
                  <w:tcW w:w="942" w:type="dxa"/>
                  <w:tcBorders>
                    <w:top w:val="nil"/>
                    <w:left w:val="nil"/>
                    <w:bottom w:val="single" w:sz="8" w:space="0" w:color="FFFFFF"/>
                    <w:right w:val="single" w:sz="8" w:space="0" w:color="FFFFFF"/>
                  </w:tcBorders>
                  <w:shd w:val="clear" w:color="000000" w:fill="FDE9D9"/>
                  <w:noWrap/>
                  <w:vAlign w:val="center"/>
                  <w:hideMark/>
                </w:tcPr>
                <w:p w14:paraId="096F1FF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4.01 </w:t>
                  </w:r>
                </w:p>
              </w:tc>
              <w:tc>
                <w:tcPr>
                  <w:tcW w:w="942" w:type="dxa"/>
                  <w:tcBorders>
                    <w:top w:val="nil"/>
                    <w:left w:val="nil"/>
                    <w:bottom w:val="single" w:sz="8" w:space="0" w:color="FFFFFF"/>
                    <w:right w:val="single" w:sz="8" w:space="0" w:color="FFFFFF"/>
                  </w:tcBorders>
                  <w:shd w:val="clear" w:color="000000" w:fill="FDE9D9"/>
                  <w:noWrap/>
                  <w:vAlign w:val="center"/>
                  <w:hideMark/>
                </w:tcPr>
                <w:p w14:paraId="0729205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4.48 </w:t>
                  </w:r>
                </w:p>
              </w:tc>
              <w:tc>
                <w:tcPr>
                  <w:tcW w:w="942" w:type="dxa"/>
                  <w:tcBorders>
                    <w:top w:val="nil"/>
                    <w:left w:val="nil"/>
                    <w:bottom w:val="single" w:sz="8" w:space="0" w:color="FFFFFF"/>
                    <w:right w:val="single" w:sz="8" w:space="0" w:color="FFFFFF"/>
                  </w:tcBorders>
                  <w:shd w:val="clear" w:color="000000" w:fill="FDE9D9"/>
                  <w:noWrap/>
                  <w:vAlign w:val="center"/>
                  <w:hideMark/>
                </w:tcPr>
                <w:p w14:paraId="4FC98D0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7.24 </w:t>
                  </w:r>
                </w:p>
              </w:tc>
              <w:tc>
                <w:tcPr>
                  <w:tcW w:w="1178" w:type="dxa"/>
                  <w:tcBorders>
                    <w:top w:val="nil"/>
                    <w:left w:val="nil"/>
                    <w:bottom w:val="single" w:sz="8" w:space="0" w:color="FFFFFF"/>
                    <w:right w:val="single" w:sz="8" w:space="0" w:color="FFFFFF"/>
                  </w:tcBorders>
                  <w:shd w:val="clear" w:color="000000" w:fill="FDE9D9"/>
                  <w:noWrap/>
                  <w:vAlign w:val="center"/>
                  <w:hideMark/>
                </w:tcPr>
                <w:p w14:paraId="02334771"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044878F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0.76 </w:t>
                  </w:r>
                </w:p>
              </w:tc>
              <w:tc>
                <w:tcPr>
                  <w:tcW w:w="942" w:type="dxa"/>
                  <w:tcBorders>
                    <w:top w:val="nil"/>
                    <w:left w:val="nil"/>
                    <w:bottom w:val="single" w:sz="8" w:space="0" w:color="FFFFFF"/>
                    <w:right w:val="single" w:sz="8" w:space="0" w:color="FFFFFF"/>
                  </w:tcBorders>
                  <w:shd w:val="clear" w:color="000000" w:fill="FDE9D9"/>
                  <w:noWrap/>
                  <w:vAlign w:val="center"/>
                  <w:hideMark/>
                </w:tcPr>
                <w:p w14:paraId="6B5671E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1.03 </w:t>
                  </w:r>
                </w:p>
              </w:tc>
              <w:tc>
                <w:tcPr>
                  <w:tcW w:w="942" w:type="dxa"/>
                  <w:tcBorders>
                    <w:top w:val="nil"/>
                    <w:left w:val="nil"/>
                    <w:bottom w:val="single" w:sz="8" w:space="0" w:color="FFFFFF"/>
                    <w:right w:val="single" w:sz="8" w:space="0" w:color="FFFFFF"/>
                  </w:tcBorders>
                  <w:shd w:val="clear" w:color="000000" w:fill="FDE9D9"/>
                  <w:noWrap/>
                  <w:vAlign w:val="center"/>
                  <w:hideMark/>
                </w:tcPr>
                <w:p w14:paraId="6E5D972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1.49 </w:t>
                  </w:r>
                </w:p>
              </w:tc>
              <w:tc>
                <w:tcPr>
                  <w:tcW w:w="942" w:type="dxa"/>
                  <w:tcBorders>
                    <w:top w:val="nil"/>
                    <w:left w:val="nil"/>
                    <w:bottom w:val="single" w:sz="8" w:space="0" w:color="FFFFFF"/>
                    <w:right w:val="single" w:sz="8" w:space="0" w:color="FFFFFF"/>
                  </w:tcBorders>
                  <w:shd w:val="clear" w:color="000000" w:fill="FDE9D9"/>
                  <w:noWrap/>
                  <w:vAlign w:val="center"/>
                  <w:hideMark/>
                </w:tcPr>
                <w:p w14:paraId="177BE29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4.25 </w:t>
                  </w:r>
                </w:p>
              </w:tc>
            </w:tr>
            <w:tr w:rsidR="00FC42DA" w:rsidRPr="00FC42DA" w14:paraId="0A8723AD" w14:textId="77777777" w:rsidTr="00FC42DA">
              <w:trPr>
                <w:trHeight w:val="290"/>
              </w:trPr>
              <w:tc>
                <w:tcPr>
                  <w:tcW w:w="1160" w:type="dxa"/>
                  <w:tcBorders>
                    <w:top w:val="nil"/>
                    <w:left w:val="nil"/>
                    <w:bottom w:val="nil"/>
                    <w:right w:val="nil"/>
                  </w:tcBorders>
                  <w:shd w:val="clear" w:color="000000" w:fill="FCD5B4"/>
                  <w:noWrap/>
                  <w:vAlign w:val="center"/>
                  <w:hideMark/>
                </w:tcPr>
                <w:p w14:paraId="6BC201F2"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0CD1897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4.05 </w:t>
                  </w:r>
                </w:p>
              </w:tc>
              <w:tc>
                <w:tcPr>
                  <w:tcW w:w="942" w:type="dxa"/>
                  <w:tcBorders>
                    <w:top w:val="nil"/>
                    <w:left w:val="nil"/>
                    <w:bottom w:val="single" w:sz="8" w:space="0" w:color="FFFFFF"/>
                    <w:right w:val="single" w:sz="8" w:space="0" w:color="FFFFFF"/>
                  </w:tcBorders>
                  <w:shd w:val="clear" w:color="000000" w:fill="FCD5B4"/>
                  <w:noWrap/>
                  <w:vAlign w:val="center"/>
                  <w:hideMark/>
                </w:tcPr>
                <w:p w14:paraId="5D92768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4.32 </w:t>
                  </w:r>
                </w:p>
              </w:tc>
              <w:tc>
                <w:tcPr>
                  <w:tcW w:w="942" w:type="dxa"/>
                  <w:tcBorders>
                    <w:top w:val="nil"/>
                    <w:left w:val="nil"/>
                    <w:bottom w:val="single" w:sz="8" w:space="0" w:color="FFFFFF"/>
                    <w:right w:val="single" w:sz="8" w:space="0" w:color="FFFFFF"/>
                  </w:tcBorders>
                  <w:shd w:val="clear" w:color="000000" w:fill="FCD5B4"/>
                  <w:noWrap/>
                  <w:vAlign w:val="center"/>
                  <w:hideMark/>
                </w:tcPr>
                <w:p w14:paraId="56D95DD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4.83 </w:t>
                  </w:r>
                </w:p>
              </w:tc>
              <w:tc>
                <w:tcPr>
                  <w:tcW w:w="942" w:type="dxa"/>
                  <w:tcBorders>
                    <w:top w:val="nil"/>
                    <w:left w:val="nil"/>
                    <w:bottom w:val="single" w:sz="8" w:space="0" w:color="FFFFFF"/>
                    <w:right w:val="single" w:sz="8" w:space="0" w:color="FFFFFF"/>
                  </w:tcBorders>
                  <w:shd w:val="clear" w:color="000000" w:fill="FCD5B4"/>
                  <w:noWrap/>
                  <w:vAlign w:val="center"/>
                  <w:hideMark/>
                </w:tcPr>
                <w:p w14:paraId="6BF23B0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7.59 </w:t>
                  </w:r>
                </w:p>
              </w:tc>
              <w:tc>
                <w:tcPr>
                  <w:tcW w:w="1178" w:type="dxa"/>
                  <w:tcBorders>
                    <w:top w:val="nil"/>
                    <w:left w:val="nil"/>
                    <w:bottom w:val="nil"/>
                    <w:right w:val="nil"/>
                  </w:tcBorders>
                  <w:shd w:val="clear" w:color="000000" w:fill="FCD5B4"/>
                  <w:noWrap/>
                  <w:vAlign w:val="center"/>
                  <w:hideMark/>
                </w:tcPr>
                <w:p w14:paraId="46CE61CA"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768A66B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0.90 </w:t>
                  </w:r>
                </w:p>
              </w:tc>
              <w:tc>
                <w:tcPr>
                  <w:tcW w:w="942" w:type="dxa"/>
                  <w:tcBorders>
                    <w:top w:val="nil"/>
                    <w:left w:val="nil"/>
                    <w:bottom w:val="single" w:sz="8" w:space="0" w:color="FFFFFF"/>
                    <w:right w:val="single" w:sz="8" w:space="0" w:color="FFFFFF"/>
                  </w:tcBorders>
                  <w:shd w:val="clear" w:color="000000" w:fill="FCD5B4"/>
                  <w:noWrap/>
                  <w:vAlign w:val="center"/>
                  <w:hideMark/>
                </w:tcPr>
                <w:p w14:paraId="3693364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1.17 </w:t>
                  </w:r>
                </w:p>
              </w:tc>
              <w:tc>
                <w:tcPr>
                  <w:tcW w:w="942" w:type="dxa"/>
                  <w:tcBorders>
                    <w:top w:val="nil"/>
                    <w:left w:val="nil"/>
                    <w:bottom w:val="single" w:sz="8" w:space="0" w:color="FFFFFF"/>
                    <w:right w:val="single" w:sz="8" w:space="0" w:color="FFFFFF"/>
                  </w:tcBorders>
                  <w:shd w:val="clear" w:color="000000" w:fill="FCD5B4"/>
                  <w:noWrap/>
                  <w:vAlign w:val="center"/>
                  <w:hideMark/>
                </w:tcPr>
                <w:p w14:paraId="4895F37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1.68 </w:t>
                  </w:r>
                </w:p>
              </w:tc>
              <w:tc>
                <w:tcPr>
                  <w:tcW w:w="942" w:type="dxa"/>
                  <w:tcBorders>
                    <w:top w:val="nil"/>
                    <w:left w:val="nil"/>
                    <w:bottom w:val="single" w:sz="8" w:space="0" w:color="FFFFFF"/>
                    <w:right w:val="single" w:sz="8" w:space="0" w:color="FFFFFF"/>
                  </w:tcBorders>
                  <w:shd w:val="clear" w:color="000000" w:fill="FCD5B4"/>
                  <w:noWrap/>
                  <w:vAlign w:val="center"/>
                  <w:hideMark/>
                </w:tcPr>
                <w:p w14:paraId="3BAA2CD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4.44 </w:t>
                  </w:r>
                </w:p>
              </w:tc>
            </w:tr>
            <w:tr w:rsidR="00FC42DA" w:rsidRPr="00FC42DA" w14:paraId="4C3533C8" w14:textId="77777777" w:rsidTr="00FC42DA">
              <w:trPr>
                <w:trHeight w:val="150"/>
              </w:trPr>
              <w:tc>
                <w:tcPr>
                  <w:tcW w:w="1160" w:type="dxa"/>
                  <w:tcBorders>
                    <w:top w:val="nil"/>
                    <w:left w:val="nil"/>
                    <w:bottom w:val="nil"/>
                    <w:right w:val="nil"/>
                  </w:tcBorders>
                  <w:shd w:val="clear" w:color="auto" w:fill="auto"/>
                  <w:noWrap/>
                  <w:vAlign w:val="center"/>
                  <w:hideMark/>
                </w:tcPr>
                <w:p w14:paraId="7D706914" w14:textId="77777777" w:rsidR="00FC42DA" w:rsidRPr="00FC42DA" w:rsidRDefault="00FC42DA" w:rsidP="00FC42DA">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5C7C1E2C"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09E6C35"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8A9E825"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93BCACE" w14:textId="77777777" w:rsidR="00FC42DA" w:rsidRPr="00FC42DA" w:rsidRDefault="00FC42DA" w:rsidP="00FC42DA">
                  <w:pPr>
                    <w:widowControl/>
                    <w:jc w:val="center"/>
                    <w:rPr>
                      <w:rFonts w:ascii="Times New Roman" w:eastAsia="Times New Roman" w:hAnsi="Times New Roman"/>
                      <w:kern w:val="0"/>
                      <w:sz w:val="20"/>
                      <w:szCs w:val="20"/>
                    </w:rPr>
                  </w:pPr>
                </w:p>
              </w:tc>
              <w:tc>
                <w:tcPr>
                  <w:tcW w:w="1178" w:type="dxa"/>
                  <w:tcBorders>
                    <w:top w:val="nil"/>
                    <w:left w:val="nil"/>
                    <w:bottom w:val="nil"/>
                    <w:right w:val="nil"/>
                  </w:tcBorders>
                  <w:shd w:val="clear" w:color="auto" w:fill="auto"/>
                  <w:noWrap/>
                  <w:vAlign w:val="center"/>
                  <w:hideMark/>
                </w:tcPr>
                <w:p w14:paraId="75E001F2"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DB79B33"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7C9B7C9"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09C8612"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FD01151" w14:textId="77777777" w:rsidR="00FC42DA" w:rsidRPr="00FC42DA" w:rsidRDefault="00FC42DA" w:rsidP="00FC42DA">
                  <w:pPr>
                    <w:widowControl/>
                    <w:jc w:val="center"/>
                    <w:rPr>
                      <w:rFonts w:ascii="Times New Roman" w:eastAsia="Times New Roman" w:hAnsi="Times New Roman"/>
                      <w:kern w:val="0"/>
                      <w:sz w:val="20"/>
                      <w:szCs w:val="20"/>
                    </w:rPr>
                  </w:pPr>
                </w:p>
              </w:tc>
            </w:tr>
            <w:tr w:rsidR="00FC42DA" w:rsidRPr="00FC42DA" w14:paraId="7AEB7F64" w14:textId="77777777" w:rsidTr="00FC42DA">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301053F4" w14:textId="77777777" w:rsidR="00FC42DA" w:rsidRPr="00FC42DA" w:rsidRDefault="00FC42DA" w:rsidP="00FC42DA">
                  <w:pPr>
                    <w:widowControl/>
                    <w:jc w:val="center"/>
                    <w:rPr>
                      <w:rFonts w:ascii="楷体" w:eastAsia="楷体" w:hAnsi="楷体" w:cs="宋体"/>
                      <w:b/>
                      <w:bCs/>
                      <w:color w:val="FFFFFF"/>
                      <w:kern w:val="0"/>
                      <w:sz w:val="20"/>
                      <w:szCs w:val="20"/>
                    </w:rPr>
                  </w:pPr>
                  <w:proofErr w:type="gramStart"/>
                  <w:r w:rsidRPr="00FC42DA">
                    <w:rPr>
                      <w:rFonts w:ascii="楷体" w:eastAsia="楷体" w:hAnsi="楷体" w:cs="宋体" w:hint="eastAsia"/>
                      <w:b/>
                      <w:bCs/>
                      <w:color w:val="FFFFFF"/>
                      <w:kern w:val="0"/>
                      <w:sz w:val="20"/>
                      <w:szCs w:val="20"/>
                    </w:rPr>
                    <w:t>周变化</w:t>
                  </w:r>
                  <w:proofErr w:type="gramEnd"/>
                  <w:r w:rsidRPr="00FC42DA">
                    <w:rPr>
                      <w:rFonts w:ascii="楷体" w:eastAsia="楷体" w:hAnsi="楷体" w:cs="宋体" w:hint="eastAsia"/>
                      <w:b/>
                      <w:bCs/>
                      <w:color w:val="FFFFFF"/>
                      <w:kern w:val="0"/>
                      <w:sz w:val="20"/>
                      <w:szCs w:val="20"/>
                    </w:rPr>
                    <w:t>(BP)</w:t>
                  </w:r>
                </w:p>
              </w:tc>
              <w:tc>
                <w:tcPr>
                  <w:tcW w:w="942" w:type="dxa"/>
                  <w:tcBorders>
                    <w:top w:val="nil"/>
                    <w:left w:val="nil"/>
                    <w:bottom w:val="single" w:sz="12" w:space="0" w:color="FFFFFF"/>
                    <w:right w:val="single" w:sz="8" w:space="0" w:color="FFFFFF"/>
                  </w:tcBorders>
                  <w:shd w:val="clear" w:color="000000" w:fill="F79646"/>
                  <w:noWrap/>
                  <w:vAlign w:val="center"/>
                  <w:hideMark/>
                </w:tcPr>
                <w:p w14:paraId="7D717860"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523F8AF"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0080426"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E9416F2"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72412664"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486ABA6C"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17E90E2"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F890B2A"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77E14AA"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r>
            <w:tr w:rsidR="00FC42DA" w:rsidRPr="00FC42DA" w14:paraId="0DA7F595" w14:textId="77777777" w:rsidTr="00FC42DA">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37832407"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3D09EE6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-2.7 </w:t>
                  </w:r>
                </w:p>
              </w:tc>
              <w:tc>
                <w:tcPr>
                  <w:tcW w:w="942" w:type="dxa"/>
                  <w:tcBorders>
                    <w:top w:val="nil"/>
                    <w:left w:val="nil"/>
                    <w:bottom w:val="single" w:sz="8" w:space="0" w:color="FFFFFF"/>
                    <w:right w:val="single" w:sz="8" w:space="0" w:color="FFFFFF"/>
                  </w:tcBorders>
                  <w:shd w:val="clear" w:color="000000" w:fill="FCD5B4"/>
                  <w:noWrap/>
                  <w:vAlign w:val="center"/>
                  <w:hideMark/>
                </w:tcPr>
                <w:p w14:paraId="410B67F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-5.7 </w:t>
                  </w:r>
                </w:p>
              </w:tc>
              <w:tc>
                <w:tcPr>
                  <w:tcW w:w="942" w:type="dxa"/>
                  <w:tcBorders>
                    <w:top w:val="nil"/>
                    <w:left w:val="nil"/>
                    <w:bottom w:val="single" w:sz="8" w:space="0" w:color="FFFFFF"/>
                    <w:right w:val="single" w:sz="8" w:space="0" w:color="FFFFFF"/>
                  </w:tcBorders>
                  <w:shd w:val="clear" w:color="000000" w:fill="FCD5B4"/>
                  <w:noWrap/>
                  <w:vAlign w:val="center"/>
                  <w:hideMark/>
                </w:tcPr>
                <w:p w14:paraId="6DA04F5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-6.7 </w:t>
                  </w:r>
                </w:p>
              </w:tc>
              <w:tc>
                <w:tcPr>
                  <w:tcW w:w="942" w:type="dxa"/>
                  <w:tcBorders>
                    <w:top w:val="nil"/>
                    <w:left w:val="nil"/>
                    <w:bottom w:val="single" w:sz="8" w:space="0" w:color="FFFFFF"/>
                    <w:right w:val="single" w:sz="8" w:space="0" w:color="FFFFFF"/>
                  </w:tcBorders>
                  <w:shd w:val="clear" w:color="000000" w:fill="FCD5B4"/>
                  <w:noWrap/>
                  <w:vAlign w:val="center"/>
                  <w:hideMark/>
                </w:tcPr>
                <w:p w14:paraId="3A0F8F1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-5.7 </w:t>
                  </w:r>
                </w:p>
              </w:tc>
              <w:tc>
                <w:tcPr>
                  <w:tcW w:w="1178" w:type="dxa"/>
                  <w:tcBorders>
                    <w:top w:val="nil"/>
                    <w:left w:val="nil"/>
                    <w:bottom w:val="single" w:sz="8" w:space="0" w:color="FFFFFF"/>
                    <w:right w:val="single" w:sz="8" w:space="0" w:color="FFFFFF"/>
                  </w:tcBorders>
                  <w:shd w:val="clear" w:color="000000" w:fill="FCD5B4"/>
                  <w:noWrap/>
                  <w:vAlign w:val="center"/>
                  <w:hideMark/>
                </w:tcPr>
                <w:p w14:paraId="01F08BA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042AE8B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11.7 </w:t>
                  </w:r>
                </w:p>
              </w:tc>
              <w:tc>
                <w:tcPr>
                  <w:tcW w:w="942" w:type="dxa"/>
                  <w:tcBorders>
                    <w:top w:val="nil"/>
                    <w:left w:val="nil"/>
                    <w:bottom w:val="single" w:sz="8" w:space="0" w:color="FFFFFF"/>
                    <w:right w:val="single" w:sz="8" w:space="0" w:color="FFFFFF"/>
                  </w:tcBorders>
                  <w:shd w:val="clear" w:color="000000" w:fill="FCD5B4"/>
                  <w:noWrap/>
                  <w:vAlign w:val="center"/>
                  <w:hideMark/>
                </w:tcPr>
                <w:p w14:paraId="7D2E031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8.7 </w:t>
                  </w:r>
                </w:p>
              </w:tc>
              <w:tc>
                <w:tcPr>
                  <w:tcW w:w="942" w:type="dxa"/>
                  <w:tcBorders>
                    <w:top w:val="nil"/>
                    <w:left w:val="nil"/>
                    <w:bottom w:val="single" w:sz="8" w:space="0" w:color="FFFFFF"/>
                    <w:right w:val="single" w:sz="8" w:space="0" w:color="FFFFFF"/>
                  </w:tcBorders>
                  <w:shd w:val="clear" w:color="000000" w:fill="FCD5B4"/>
                  <w:noWrap/>
                  <w:vAlign w:val="center"/>
                  <w:hideMark/>
                </w:tcPr>
                <w:p w14:paraId="6939F8B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7.7 </w:t>
                  </w:r>
                </w:p>
              </w:tc>
              <w:tc>
                <w:tcPr>
                  <w:tcW w:w="942" w:type="dxa"/>
                  <w:tcBorders>
                    <w:top w:val="nil"/>
                    <w:left w:val="nil"/>
                    <w:bottom w:val="single" w:sz="8" w:space="0" w:color="FFFFFF"/>
                    <w:right w:val="single" w:sz="8" w:space="0" w:color="FFFFFF"/>
                  </w:tcBorders>
                  <w:shd w:val="clear" w:color="000000" w:fill="FCD5B4"/>
                  <w:noWrap/>
                  <w:vAlign w:val="center"/>
                  <w:hideMark/>
                </w:tcPr>
                <w:p w14:paraId="700868C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8.7 </w:t>
                  </w:r>
                </w:p>
              </w:tc>
            </w:tr>
            <w:tr w:rsidR="00FC42DA" w:rsidRPr="00FC42DA" w14:paraId="0B20BF03"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7F85089A"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2DA7F3F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-3.2 </w:t>
                  </w:r>
                </w:p>
              </w:tc>
              <w:tc>
                <w:tcPr>
                  <w:tcW w:w="942" w:type="dxa"/>
                  <w:tcBorders>
                    <w:top w:val="nil"/>
                    <w:left w:val="nil"/>
                    <w:bottom w:val="single" w:sz="8" w:space="0" w:color="FFFFFF"/>
                    <w:right w:val="single" w:sz="8" w:space="0" w:color="FFFFFF"/>
                  </w:tcBorders>
                  <w:shd w:val="clear" w:color="000000" w:fill="FDE9D9"/>
                  <w:noWrap/>
                  <w:vAlign w:val="center"/>
                  <w:hideMark/>
                </w:tcPr>
                <w:p w14:paraId="1F47BDB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-2.2 </w:t>
                  </w:r>
                </w:p>
              </w:tc>
              <w:tc>
                <w:tcPr>
                  <w:tcW w:w="942" w:type="dxa"/>
                  <w:tcBorders>
                    <w:top w:val="nil"/>
                    <w:left w:val="nil"/>
                    <w:bottom w:val="single" w:sz="8" w:space="0" w:color="FFFFFF"/>
                    <w:right w:val="single" w:sz="8" w:space="0" w:color="FFFFFF"/>
                  </w:tcBorders>
                  <w:shd w:val="clear" w:color="000000" w:fill="FDE9D9"/>
                  <w:noWrap/>
                  <w:vAlign w:val="center"/>
                  <w:hideMark/>
                </w:tcPr>
                <w:p w14:paraId="1E463E5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2.8 </w:t>
                  </w:r>
                </w:p>
              </w:tc>
              <w:tc>
                <w:tcPr>
                  <w:tcW w:w="942" w:type="dxa"/>
                  <w:tcBorders>
                    <w:top w:val="nil"/>
                    <w:left w:val="nil"/>
                    <w:bottom w:val="single" w:sz="8" w:space="0" w:color="FFFFFF"/>
                    <w:right w:val="single" w:sz="8" w:space="0" w:color="FFFFFF"/>
                  </w:tcBorders>
                  <w:shd w:val="clear" w:color="000000" w:fill="FDE9D9"/>
                  <w:noWrap/>
                  <w:vAlign w:val="center"/>
                  <w:hideMark/>
                </w:tcPr>
                <w:p w14:paraId="07D3860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3.8 </w:t>
                  </w:r>
                </w:p>
              </w:tc>
              <w:tc>
                <w:tcPr>
                  <w:tcW w:w="1178" w:type="dxa"/>
                  <w:tcBorders>
                    <w:top w:val="nil"/>
                    <w:left w:val="nil"/>
                    <w:bottom w:val="single" w:sz="8" w:space="0" w:color="FFFFFF"/>
                    <w:right w:val="single" w:sz="8" w:space="0" w:color="FFFFFF"/>
                  </w:tcBorders>
                  <w:shd w:val="clear" w:color="000000" w:fill="FDE9D9"/>
                  <w:noWrap/>
                  <w:vAlign w:val="center"/>
                  <w:hideMark/>
                </w:tcPr>
                <w:p w14:paraId="58C960E8"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40977E1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4.9 </w:t>
                  </w:r>
                </w:p>
              </w:tc>
              <w:tc>
                <w:tcPr>
                  <w:tcW w:w="942" w:type="dxa"/>
                  <w:tcBorders>
                    <w:top w:val="nil"/>
                    <w:left w:val="nil"/>
                    <w:bottom w:val="single" w:sz="8" w:space="0" w:color="FFFFFF"/>
                    <w:right w:val="single" w:sz="8" w:space="0" w:color="FFFFFF"/>
                  </w:tcBorders>
                  <w:shd w:val="clear" w:color="000000" w:fill="FDE9D9"/>
                  <w:noWrap/>
                  <w:vAlign w:val="center"/>
                  <w:hideMark/>
                </w:tcPr>
                <w:p w14:paraId="0ECE3CF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5.9 </w:t>
                  </w:r>
                </w:p>
              </w:tc>
              <w:tc>
                <w:tcPr>
                  <w:tcW w:w="942" w:type="dxa"/>
                  <w:tcBorders>
                    <w:top w:val="nil"/>
                    <w:left w:val="nil"/>
                    <w:bottom w:val="single" w:sz="8" w:space="0" w:color="FFFFFF"/>
                    <w:right w:val="single" w:sz="8" w:space="0" w:color="FFFFFF"/>
                  </w:tcBorders>
                  <w:shd w:val="clear" w:color="000000" w:fill="FDE9D9"/>
                  <w:noWrap/>
                  <w:vAlign w:val="center"/>
                  <w:hideMark/>
                </w:tcPr>
                <w:p w14:paraId="1904763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10.9 </w:t>
                  </w:r>
                </w:p>
              </w:tc>
              <w:tc>
                <w:tcPr>
                  <w:tcW w:w="942" w:type="dxa"/>
                  <w:tcBorders>
                    <w:top w:val="nil"/>
                    <w:left w:val="nil"/>
                    <w:bottom w:val="single" w:sz="8" w:space="0" w:color="FFFFFF"/>
                    <w:right w:val="single" w:sz="8" w:space="0" w:color="FFFFFF"/>
                  </w:tcBorders>
                  <w:shd w:val="clear" w:color="000000" w:fill="FDE9D9"/>
                  <w:noWrap/>
                  <w:vAlign w:val="center"/>
                  <w:hideMark/>
                </w:tcPr>
                <w:p w14:paraId="5B37EA3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11.9 </w:t>
                  </w:r>
                </w:p>
              </w:tc>
            </w:tr>
            <w:tr w:rsidR="00FC42DA" w:rsidRPr="00FC42DA" w14:paraId="2CD43514"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024C7BB5"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4B32894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-5.8 </w:t>
                  </w:r>
                </w:p>
              </w:tc>
              <w:tc>
                <w:tcPr>
                  <w:tcW w:w="942" w:type="dxa"/>
                  <w:tcBorders>
                    <w:top w:val="nil"/>
                    <w:left w:val="nil"/>
                    <w:bottom w:val="single" w:sz="8" w:space="0" w:color="FFFFFF"/>
                    <w:right w:val="single" w:sz="8" w:space="0" w:color="FFFFFF"/>
                  </w:tcBorders>
                  <w:shd w:val="clear" w:color="000000" w:fill="FCD5B4"/>
                  <w:noWrap/>
                  <w:vAlign w:val="center"/>
                  <w:hideMark/>
                </w:tcPr>
                <w:p w14:paraId="6CC916F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-7.8 </w:t>
                  </w:r>
                </w:p>
              </w:tc>
              <w:tc>
                <w:tcPr>
                  <w:tcW w:w="942" w:type="dxa"/>
                  <w:tcBorders>
                    <w:top w:val="nil"/>
                    <w:left w:val="nil"/>
                    <w:bottom w:val="single" w:sz="8" w:space="0" w:color="FFFFFF"/>
                    <w:right w:val="single" w:sz="8" w:space="0" w:color="FFFFFF"/>
                  </w:tcBorders>
                  <w:shd w:val="clear" w:color="000000" w:fill="FCD5B4"/>
                  <w:noWrap/>
                  <w:vAlign w:val="center"/>
                  <w:hideMark/>
                </w:tcPr>
                <w:p w14:paraId="798254E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-5.8 </w:t>
                  </w:r>
                </w:p>
              </w:tc>
              <w:tc>
                <w:tcPr>
                  <w:tcW w:w="942" w:type="dxa"/>
                  <w:tcBorders>
                    <w:top w:val="nil"/>
                    <w:left w:val="nil"/>
                    <w:bottom w:val="single" w:sz="8" w:space="0" w:color="FFFFFF"/>
                    <w:right w:val="single" w:sz="8" w:space="0" w:color="FFFFFF"/>
                  </w:tcBorders>
                  <w:shd w:val="clear" w:color="000000" w:fill="FCD5B4"/>
                  <w:noWrap/>
                  <w:vAlign w:val="center"/>
                  <w:hideMark/>
                </w:tcPr>
                <w:p w14:paraId="1800CA4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-4.8 </w:t>
                  </w:r>
                </w:p>
              </w:tc>
              <w:tc>
                <w:tcPr>
                  <w:tcW w:w="1178" w:type="dxa"/>
                  <w:tcBorders>
                    <w:top w:val="nil"/>
                    <w:left w:val="nil"/>
                    <w:bottom w:val="single" w:sz="8" w:space="0" w:color="FFFFFF"/>
                    <w:right w:val="single" w:sz="8" w:space="0" w:color="FFFFFF"/>
                  </w:tcBorders>
                  <w:shd w:val="clear" w:color="000000" w:fill="FCD5B4"/>
                  <w:noWrap/>
                  <w:vAlign w:val="center"/>
                  <w:hideMark/>
                </w:tcPr>
                <w:p w14:paraId="715C2EC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787C4CB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-6.5 </w:t>
                  </w:r>
                </w:p>
              </w:tc>
              <w:tc>
                <w:tcPr>
                  <w:tcW w:w="942" w:type="dxa"/>
                  <w:tcBorders>
                    <w:top w:val="nil"/>
                    <w:left w:val="nil"/>
                    <w:bottom w:val="single" w:sz="8" w:space="0" w:color="FFFFFF"/>
                    <w:right w:val="single" w:sz="8" w:space="0" w:color="FFFFFF"/>
                  </w:tcBorders>
                  <w:shd w:val="clear" w:color="000000" w:fill="FCD5B4"/>
                  <w:noWrap/>
                  <w:vAlign w:val="center"/>
                  <w:hideMark/>
                </w:tcPr>
                <w:p w14:paraId="53988F4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-8.5 </w:t>
                  </w:r>
                </w:p>
              </w:tc>
              <w:tc>
                <w:tcPr>
                  <w:tcW w:w="942" w:type="dxa"/>
                  <w:tcBorders>
                    <w:top w:val="nil"/>
                    <w:left w:val="nil"/>
                    <w:bottom w:val="single" w:sz="8" w:space="0" w:color="FFFFFF"/>
                    <w:right w:val="single" w:sz="8" w:space="0" w:color="FFFFFF"/>
                  </w:tcBorders>
                  <w:shd w:val="clear" w:color="000000" w:fill="FCD5B4"/>
                  <w:noWrap/>
                  <w:vAlign w:val="center"/>
                  <w:hideMark/>
                </w:tcPr>
                <w:p w14:paraId="1EBC8B0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-6.5 </w:t>
                  </w:r>
                </w:p>
              </w:tc>
              <w:tc>
                <w:tcPr>
                  <w:tcW w:w="942" w:type="dxa"/>
                  <w:tcBorders>
                    <w:top w:val="nil"/>
                    <w:left w:val="nil"/>
                    <w:bottom w:val="single" w:sz="8" w:space="0" w:color="FFFFFF"/>
                    <w:right w:val="single" w:sz="8" w:space="0" w:color="FFFFFF"/>
                  </w:tcBorders>
                  <w:shd w:val="clear" w:color="000000" w:fill="FCD5B4"/>
                  <w:noWrap/>
                  <w:vAlign w:val="center"/>
                  <w:hideMark/>
                </w:tcPr>
                <w:p w14:paraId="422F54C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-5.5 </w:t>
                  </w:r>
                </w:p>
              </w:tc>
            </w:tr>
            <w:tr w:rsidR="00FC42DA" w:rsidRPr="00FC42DA" w14:paraId="6B79A534"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6405117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317CBE5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-2.6 </w:t>
                  </w:r>
                </w:p>
              </w:tc>
              <w:tc>
                <w:tcPr>
                  <w:tcW w:w="942" w:type="dxa"/>
                  <w:tcBorders>
                    <w:top w:val="nil"/>
                    <w:left w:val="nil"/>
                    <w:bottom w:val="single" w:sz="8" w:space="0" w:color="FFFFFF"/>
                    <w:right w:val="single" w:sz="8" w:space="0" w:color="FFFFFF"/>
                  </w:tcBorders>
                  <w:shd w:val="clear" w:color="000000" w:fill="FDE9D9"/>
                  <w:noWrap/>
                  <w:vAlign w:val="center"/>
                  <w:hideMark/>
                </w:tcPr>
                <w:p w14:paraId="199F69A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-3.5 </w:t>
                  </w:r>
                </w:p>
              </w:tc>
              <w:tc>
                <w:tcPr>
                  <w:tcW w:w="942" w:type="dxa"/>
                  <w:tcBorders>
                    <w:top w:val="nil"/>
                    <w:left w:val="nil"/>
                    <w:bottom w:val="single" w:sz="8" w:space="0" w:color="FFFFFF"/>
                    <w:right w:val="single" w:sz="8" w:space="0" w:color="FFFFFF"/>
                  </w:tcBorders>
                  <w:shd w:val="clear" w:color="000000" w:fill="FDE9D9"/>
                  <w:noWrap/>
                  <w:vAlign w:val="center"/>
                  <w:hideMark/>
                </w:tcPr>
                <w:p w14:paraId="13A4CED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-2.6 </w:t>
                  </w:r>
                </w:p>
              </w:tc>
              <w:tc>
                <w:tcPr>
                  <w:tcW w:w="942" w:type="dxa"/>
                  <w:tcBorders>
                    <w:top w:val="nil"/>
                    <w:left w:val="nil"/>
                    <w:bottom w:val="single" w:sz="8" w:space="0" w:color="FFFFFF"/>
                    <w:right w:val="single" w:sz="8" w:space="0" w:color="FFFFFF"/>
                  </w:tcBorders>
                  <w:shd w:val="clear" w:color="000000" w:fill="FDE9D9"/>
                  <w:noWrap/>
                  <w:vAlign w:val="center"/>
                  <w:hideMark/>
                </w:tcPr>
                <w:p w14:paraId="349EBC4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-0.5 </w:t>
                  </w:r>
                </w:p>
              </w:tc>
              <w:tc>
                <w:tcPr>
                  <w:tcW w:w="1178" w:type="dxa"/>
                  <w:tcBorders>
                    <w:top w:val="nil"/>
                    <w:left w:val="nil"/>
                    <w:bottom w:val="single" w:sz="8" w:space="0" w:color="FFFFFF"/>
                    <w:right w:val="single" w:sz="8" w:space="0" w:color="FFFFFF"/>
                  </w:tcBorders>
                  <w:shd w:val="clear" w:color="000000" w:fill="FDE9D9"/>
                  <w:noWrap/>
                  <w:vAlign w:val="center"/>
                  <w:hideMark/>
                </w:tcPr>
                <w:p w14:paraId="48AAE5C3"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5F3D331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5.5 </w:t>
                  </w:r>
                </w:p>
              </w:tc>
              <w:tc>
                <w:tcPr>
                  <w:tcW w:w="942" w:type="dxa"/>
                  <w:tcBorders>
                    <w:top w:val="nil"/>
                    <w:left w:val="nil"/>
                    <w:bottom w:val="single" w:sz="8" w:space="0" w:color="FFFFFF"/>
                    <w:right w:val="single" w:sz="8" w:space="0" w:color="FFFFFF"/>
                  </w:tcBorders>
                  <w:shd w:val="clear" w:color="000000" w:fill="FDE9D9"/>
                  <w:noWrap/>
                  <w:vAlign w:val="center"/>
                  <w:hideMark/>
                </w:tcPr>
                <w:p w14:paraId="49DEF87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4.6 </w:t>
                  </w:r>
                </w:p>
              </w:tc>
              <w:tc>
                <w:tcPr>
                  <w:tcW w:w="942" w:type="dxa"/>
                  <w:tcBorders>
                    <w:top w:val="nil"/>
                    <w:left w:val="nil"/>
                    <w:bottom w:val="single" w:sz="8" w:space="0" w:color="FFFFFF"/>
                    <w:right w:val="single" w:sz="8" w:space="0" w:color="FFFFFF"/>
                  </w:tcBorders>
                  <w:shd w:val="clear" w:color="000000" w:fill="FDE9D9"/>
                  <w:noWrap/>
                  <w:vAlign w:val="center"/>
                  <w:hideMark/>
                </w:tcPr>
                <w:p w14:paraId="09EEBCA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5.5 </w:t>
                  </w:r>
                </w:p>
              </w:tc>
              <w:tc>
                <w:tcPr>
                  <w:tcW w:w="942" w:type="dxa"/>
                  <w:tcBorders>
                    <w:top w:val="nil"/>
                    <w:left w:val="nil"/>
                    <w:bottom w:val="single" w:sz="8" w:space="0" w:color="FFFFFF"/>
                    <w:right w:val="single" w:sz="8" w:space="0" w:color="FFFFFF"/>
                  </w:tcBorders>
                  <w:shd w:val="clear" w:color="000000" w:fill="FDE9D9"/>
                  <w:noWrap/>
                  <w:vAlign w:val="center"/>
                  <w:hideMark/>
                </w:tcPr>
                <w:p w14:paraId="26C8413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7.6 </w:t>
                  </w:r>
                </w:p>
              </w:tc>
            </w:tr>
            <w:tr w:rsidR="00FC42DA" w:rsidRPr="00FC42DA" w14:paraId="7FDB413B"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4C3A2C5"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5048222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-7.4 </w:t>
                  </w:r>
                </w:p>
              </w:tc>
              <w:tc>
                <w:tcPr>
                  <w:tcW w:w="942" w:type="dxa"/>
                  <w:tcBorders>
                    <w:top w:val="nil"/>
                    <w:left w:val="nil"/>
                    <w:bottom w:val="single" w:sz="8" w:space="0" w:color="FFFFFF"/>
                    <w:right w:val="single" w:sz="8" w:space="0" w:color="FFFFFF"/>
                  </w:tcBorders>
                  <w:shd w:val="clear" w:color="000000" w:fill="FCD5B4"/>
                  <w:noWrap/>
                  <w:vAlign w:val="center"/>
                  <w:hideMark/>
                </w:tcPr>
                <w:p w14:paraId="7A54048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-5.4 </w:t>
                  </w:r>
                </w:p>
              </w:tc>
              <w:tc>
                <w:tcPr>
                  <w:tcW w:w="942" w:type="dxa"/>
                  <w:tcBorders>
                    <w:top w:val="nil"/>
                    <w:left w:val="nil"/>
                    <w:bottom w:val="single" w:sz="8" w:space="0" w:color="FFFFFF"/>
                    <w:right w:val="single" w:sz="8" w:space="0" w:color="FFFFFF"/>
                  </w:tcBorders>
                  <w:shd w:val="clear" w:color="000000" w:fill="FCD5B4"/>
                  <w:noWrap/>
                  <w:vAlign w:val="center"/>
                  <w:hideMark/>
                </w:tcPr>
                <w:p w14:paraId="043F2D6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-5.4 </w:t>
                  </w:r>
                </w:p>
              </w:tc>
              <w:tc>
                <w:tcPr>
                  <w:tcW w:w="942" w:type="dxa"/>
                  <w:tcBorders>
                    <w:top w:val="nil"/>
                    <w:left w:val="nil"/>
                    <w:bottom w:val="single" w:sz="8" w:space="0" w:color="FFFFFF"/>
                    <w:right w:val="single" w:sz="8" w:space="0" w:color="FFFFFF"/>
                  </w:tcBorders>
                  <w:shd w:val="clear" w:color="000000" w:fill="FCD5B4"/>
                  <w:noWrap/>
                  <w:vAlign w:val="center"/>
                  <w:hideMark/>
                </w:tcPr>
                <w:p w14:paraId="06BE7BD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-4.4 </w:t>
                  </w:r>
                </w:p>
              </w:tc>
              <w:tc>
                <w:tcPr>
                  <w:tcW w:w="1178" w:type="dxa"/>
                  <w:tcBorders>
                    <w:top w:val="nil"/>
                    <w:left w:val="nil"/>
                    <w:bottom w:val="single" w:sz="8" w:space="0" w:color="FFFFFF"/>
                    <w:right w:val="single" w:sz="8" w:space="0" w:color="FFFFFF"/>
                  </w:tcBorders>
                  <w:shd w:val="clear" w:color="000000" w:fill="FCD5B4"/>
                  <w:noWrap/>
                  <w:vAlign w:val="center"/>
                  <w:hideMark/>
                </w:tcPr>
                <w:p w14:paraId="54A21816"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6982DF2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-8.1 </w:t>
                  </w:r>
                </w:p>
              </w:tc>
              <w:tc>
                <w:tcPr>
                  <w:tcW w:w="942" w:type="dxa"/>
                  <w:tcBorders>
                    <w:top w:val="nil"/>
                    <w:left w:val="nil"/>
                    <w:bottom w:val="single" w:sz="8" w:space="0" w:color="FFFFFF"/>
                    <w:right w:val="single" w:sz="8" w:space="0" w:color="FFFFFF"/>
                  </w:tcBorders>
                  <w:shd w:val="clear" w:color="000000" w:fill="FCD5B4"/>
                  <w:noWrap/>
                  <w:vAlign w:val="center"/>
                  <w:hideMark/>
                </w:tcPr>
                <w:p w14:paraId="5CB8C3B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-6.1 </w:t>
                  </w:r>
                </w:p>
              </w:tc>
              <w:tc>
                <w:tcPr>
                  <w:tcW w:w="942" w:type="dxa"/>
                  <w:tcBorders>
                    <w:top w:val="nil"/>
                    <w:left w:val="nil"/>
                    <w:bottom w:val="single" w:sz="8" w:space="0" w:color="FFFFFF"/>
                    <w:right w:val="single" w:sz="8" w:space="0" w:color="FFFFFF"/>
                  </w:tcBorders>
                  <w:shd w:val="clear" w:color="000000" w:fill="FCD5B4"/>
                  <w:noWrap/>
                  <w:vAlign w:val="center"/>
                  <w:hideMark/>
                </w:tcPr>
                <w:p w14:paraId="37396C2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-6.1 </w:t>
                  </w:r>
                </w:p>
              </w:tc>
              <w:tc>
                <w:tcPr>
                  <w:tcW w:w="942" w:type="dxa"/>
                  <w:tcBorders>
                    <w:top w:val="nil"/>
                    <w:left w:val="nil"/>
                    <w:bottom w:val="single" w:sz="8" w:space="0" w:color="FFFFFF"/>
                    <w:right w:val="single" w:sz="8" w:space="0" w:color="FFFFFF"/>
                  </w:tcBorders>
                  <w:shd w:val="clear" w:color="000000" w:fill="FCD5B4"/>
                  <w:noWrap/>
                  <w:vAlign w:val="center"/>
                  <w:hideMark/>
                </w:tcPr>
                <w:p w14:paraId="30F69C6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-5.1 </w:t>
                  </w:r>
                </w:p>
              </w:tc>
            </w:tr>
            <w:tr w:rsidR="00FC42DA" w:rsidRPr="00FC42DA" w14:paraId="38E76756"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19627384"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70F644D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-0.4 </w:t>
                  </w:r>
                </w:p>
              </w:tc>
              <w:tc>
                <w:tcPr>
                  <w:tcW w:w="942" w:type="dxa"/>
                  <w:tcBorders>
                    <w:top w:val="nil"/>
                    <w:left w:val="nil"/>
                    <w:bottom w:val="single" w:sz="8" w:space="0" w:color="FFFFFF"/>
                    <w:right w:val="single" w:sz="8" w:space="0" w:color="FFFFFF"/>
                  </w:tcBorders>
                  <w:shd w:val="clear" w:color="000000" w:fill="FDE9D9"/>
                  <w:noWrap/>
                  <w:vAlign w:val="center"/>
                  <w:hideMark/>
                </w:tcPr>
                <w:p w14:paraId="32BB437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-0.4 </w:t>
                  </w:r>
                </w:p>
              </w:tc>
              <w:tc>
                <w:tcPr>
                  <w:tcW w:w="942" w:type="dxa"/>
                  <w:tcBorders>
                    <w:top w:val="nil"/>
                    <w:left w:val="nil"/>
                    <w:bottom w:val="single" w:sz="8" w:space="0" w:color="FFFFFF"/>
                    <w:right w:val="single" w:sz="8" w:space="0" w:color="FFFFFF"/>
                  </w:tcBorders>
                  <w:shd w:val="clear" w:color="000000" w:fill="FDE9D9"/>
                  <w:noWrap/>
                  <w:vAlign w:val="center"/>
                  <w:hideMark/>
                </w:tcPr>
                <w:p w14:paraId="551927E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0.6 </w:t>
                  </w:r>
                </w:p>
              </w:tc>
              <w:tc>
                <w:tcPr>
                  <w:tcW w:w="942" w:type="dxa"/>
                  <w:tcBorders>
                    <w:top w:val="nil"/>
                    <w:left w:val="nil"/>
                    <w:bottom w:val="single" w:sz="8" w:space="0" w:color="FFFFFF"/>
                    <w:right w:val="single" w:sz="8" w:space="0" w:color="FFFFFF"/>
                  </w:tcBorders>
                  <w:shd w:val="clear" w:color="000000" w:fill="FDE9D9"/>
                  <w:noWrap/>
                  <w:vAlign w:val="center"/>
                  <w:hideMark/>
                </w:tcPr>
                <w:p w14:paraId="411C3DF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0.6 </w:t>
                  </w:r>
                </w:p>
              </w:tc>
              <w:tc>
                <w:tcPr>
                  <w:tcW w:w="1178" w:type="dxa"/>
                  <w:tcBorders>
                    <w:top w:val="nil"/>
                    <w:left w:val="nil"/>
                    <w:bottom w:val="single" w:sz="8" w:space="0" w:color="FFFFFF"/>
                    <w:right w:val="single" w:sz="8" w:space="0" w:color="FFFFFF"/>
                  </w:tcBorders>
                  <w:shd w:val="clear" w:color="000000" w:fill="FDE9D9"/>
                  <w:noWrap/>
                  <w:vAlign w:val="center"/>
                  <w:hideMark/>
                </w:tcPr>
                <w:p w14:paraId="73828C17"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72453A4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-2.0 </w:t>
                  </w:r>
                </w:p>
              </w:tc>
              <w:tc>
                <w:tcPr>
                  <w:tcW w:w="942" w:type="dxa"/>
                  <w:tcBorders>
                    <w:top w:val="nil"/>
                    <w:left w:val="nil"/>
                    <w:bottom w:val="single" w:sz="8" w:space="0" w:color="FFFFFF"/>
                    <w:right w:val="single" w:sz="8" w:space="0" w:color="FFFFFF"/>
                  </w:tcBorders>
                  <w:shd w:val="clear" w:color="000000" w:fill="FDE9D9"/>
                  <w:noWrap/>
                  <w:vAlign w:val="center"/>
                  <w:hideMark/>
                </w:tcPr>
                <w:p w14:paraId="64D898A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-2.0 </w:t>
                  </w:r>
                </w:p>
              </w:tc>
              <w:tc>
                <w:tcPr>
                  <w:tcW w:w="942" w:type="dxa"/>
                  <w:tcBorders>
                    <w:top w:val="nil"/>
                    <w:left w:val="nil"/>
                    <w:bottom w:val="single" w:sz="8" w:space="0" w:color="FFFFFF"/>
                    <w:right w:val="single" w:sz="8" w:space="0" w:color="FFFFFF"/>
                  </w:tcBorders>
                  <w:shd w:val="clear" w:color="000000" w:fill="FDE9D9"/>
                  <w:noWrap/>
                  <w:vAlign w:val="center"/>
                  <w:hideMark/>
                </w:tcPr>
                <w:p w14:paraId="6465B5D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-1.0 </w:t>
                  </w:r>
                </w:p>
              </w:tc>
              <w:tc>
                <w:tcPr>
                  <w:tcW w:w="942" w:type="dxa"/>
                  <w:tcBorders>
                    <w:top w:val="nil"/>
                    <w:left w:val="nil"/>
                    <w:bottom w:val="single" w:sz="8" w:space="0" w:color="FFFFFF"/>
                    <w:right w:val="single" w:sz="8" w:space="0" w:color="FFFFFF"/>
                  </w:tcBorders>
                  <w:shd w:val="clear" w:color="000000" w:fill="FDE9D9"/>
                  <w:noWrap/>
                  <w:vAlign w:val="center"/>
                  <w:hideMark/>
                </w:tcPr>
                <w:p w14:paraId="2CFE755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-1.0 </w:t>
                  </w:r>
                </w:p>
              </w:tc>
            </w:tr>
            <w:tr w:rsidR="00FC42DA" w:rsidRPr="00FC42DA" w14:paraId="5873CC80"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20742FF3"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246051B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-7.1 </w:t>
                  </w:r>
                </w:p>
              </w:tc>
              <w:tc>
                <w:tcPr>
                  <w:tcW w:w="942" w:type="dxa"/>
                  <w:tcBorders>
                    <w:top w:val="nil"/>
                    <w:left w:val="nil"/>
                    <w:bottom w:val="single" w:sz="8" w:space="0" w:color="FFFFFF"/>
                    <w:right w:val="single" w:sz="8" w:space="0" w:color="FFFFFF"/>
                  </w:tcBorders>
                  <w:shd w:val="clear" w:color="000000" w:fill="FCD5B4"/>
                  <w:noWrap/>
                  <w:vAlign w:val="center"/>
                  <w:hideMark/>
                </w:tcPr>
                <w:p w14:paraId="1E2BF4E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-8.1 </w:t>
                  </w:r>
                </w:p>
              </w:tc>
              <w:tc>
                <w:tcPr>
                  <w:tcW w:w="942" w:type="dxa"/>
                  <w:tcBorders>
                    <w:top w:val="nil"/>
                    <w:left w:val="nil"/>
                    <w:bottom w:val="single" w:sz="8" w:space="0" w:color="FFFFFF"/>
                    <w:right w:val="single" w:sz="8" w:space="0" w:color="FFFFFF"/>
                  </w:tcBorders>
                  <w:shd w:val="clear" w:color="000000" w:fill="FCD5B4"/>
                  <w:noWrap/>
                  <w:vAlign w:val="center"/>
                  <w:hideMark/>
                </w:tcPr>
                <w:p w14:paraId="175E514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-6.1 </w:t>
                  </w:r>
                </w:p>
              </w:tc>
              <w:tc>
                <w:tcPr>
                  <w:tcW w:w="942" w:type="dxa"/>
                  <w:tcBorders>
                    <w:top w:val="nil"/>
                    <w:left w:val="nil"/>
                    <w:bottom w:val="single" w:sz="8" w:space="0" w:color="FFFFFF"/>
                    <w:right w:val="single" w:sz="8" w:space="0" w:color="FFFFFF"/>
                  </w:tcBorders>
                  <w:shd w:val="clear" w:color="000000" w:fill="FCD5B4"/>
                  <w:noWrap/>
                  <w:vAlign w:val="center"/>
                  <w:hideMark/>
                </w:tcPr>
                <w:p w14:paraId="1861D09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-4.1 </w:t>
                  </w:r>
                </w:p>
              </w:tc>
              <w:tc>
                <w:tcPr>
                  <w:tcW w:w="1178" w:type="dxa"/>
                  <w:tcBorders>
                    <w:top w:val="nil"/>
                    <w:left w:val="nil"/>
                    <w:bottom w:val="single" w:sz="8" w:space="0" w:color="FFFFFF"/>
                    <w:right w:val="single" w:sz="8" w:space="0" w:color="FFFFFF"/>
                  </w:tcBorders>
                  <w:shd w:val="clear" w:color="000000" w:fill="FCD5B4"/>
                  <w:noWrap/>
                  <w:vAlign w:val="center"/>
                  <w:hideMark/>
                </w:tcPr>
                <w:p w14:paraId="7B8BED9E"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4227D28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1.0 </w:t>
                  </w:r>
                </w:p>
              </w:tc>
              <w:tc>
                <w:tcPr>
                  <w:tcW w:w="942" w:type="dxa"/>
                  <w:tcBorders>
                    <w:top w:val="nil"/>
                    <w:left w:val="nil"/>
                    <w:bottom w:val="single" w:sz="8" w:space="0" w:color="FFFFFF"/>
                    <w:right w:val="single" w:sz="8" w:space="0" w:color="FFFFFF"/>
                  </w:tcBorders>
                  <w:shd w:val="clear" w:color="000000" w:fill="FCD5B4"/>
                  <w:noWrap/>
                  <w:vAlign w:val="center"/>
                  <w:hideMark/>
                </w:tcPr>
                <w:p w14:paraId="0CC3DF3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-0.0 </w:t>
                  </w:r>
                </w:p>
              </w:tc>
              <w:tc>
                <w:tcPr>
                  <w:tcW w:w="942" w:type="dxa"/>
                  <w:tcBorders>
                    <w:top w:val="nil"/>
                    <w:left w:val="nil"/>
                    <w:bottom w:val="single" w:sz="8" w:space="0" w:color="FFFFFF"/>
                    <w:right w:val="single" w:sz="8" w:space="0" w:color="FFFFFF"/>
                  </w:tcBorders>
                  <w:shd w:val="clear" w:color="000000" w:fill="FCD5B4"/>
                  <w:noWrap/>
                  <w:vAlign w:val="center"/>
                  <w:hideMark/>
                </w:tcPr>
                <w:p w14:paraId="5156B22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2.0 </w:t>
                  </w:r>
                </w:p>
              </w:tc>
              <w:tc>
                <w:tcPr>
                  <w:tcW w:w="942" w:type="dxa"/>
                  <w:tcBorders>
                    <w:top w:val="nil"/>
                    <w:left w:val="nil"/>
                    <w:bottom w:val="single" w:sz="8" w:space="0" w:color="FFFFFF"/>
                    <w:right w:val="single" w:sz="8" w:space="0" w:color="FFFFFF"/>
                  </w:tcBorders>
                  <w:shd w:val="clear" w:color="000000" w:fill="FCD5B4"/>
                  <w:noWrap/>
                  <w:vAlign w:val="center"/>
                  <w:hideMark/>
                </w:tcPr>
                <w:p w14:paraId="05FD10A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4.0 </w:t>
                  </w:r>
                </w:p>
              </w:tc>
            </w:tr>
            <w:tr w:rsidR="00FC42DA" w:rsidRPr="00FC42DA" w14:paraId="76260DDD"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6D79266F"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5BC46BA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-3.4 </w:t>
                  </w:r>
                </w:p>
              </w:tc>
              <w:tc>
                <w:tcPr>
                  <w:tcW w:w="942" w:type="dxa"/>
                  <w:tcBorders>
                    <w:top w:val="nil"/>
                    <w:left w:val="nil"/>
                    <w:bottom w:val="single" w:sz="8" w:space="0" w:color="FFFFFF"/>
                    <w:right w:val="single" w:sz="8" w:space="0" w:color="FFFFFF"/>
                  </w:tcBorders>
                  <w:shd w:val="clear" w:color="000000" w:fill="FDE9D9"/>
                  <w:noWrap/>
                  <w:vAlign w:val="center"/>
                  <w:hideMark/>
                </w:tcPr>
                <w:p w14:paraId="1962E54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-5.4 </w:t>
                  </w:r>
                </w:p>
              </w:tc>
              <w:tc>
                <w:tcPr>
                  <w:tcW w:w="942" w:type="dxa"/>
                  <w:tcBorders>
                    <w:top w:val="nil"/>
                    <w:left w:val="nil"/>
                    <w:bottom w:val="single" w:sz="8" w:space="0" w:color="FFFFFF"/>
                    <w:right w:val="single" w:sz="8" w:space="0" w:color="FFFFFF"/>
                  </w:tcBorders>
                  <w:shd w:val="clear" w:color="000000" w:fill="FDE9D9"/>
                  <w:noWrap/>
                  <w:vAlign w:val="center"/>
                  <w:hideMark/>
                </w:tcPr>
                <w:p w14:paraId="02026EB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-3.4 </w:t>
                  </w:r>
                </w:p>
              </w:tc>
              <w:tc>
                <w:tcPr>
                  <w:tcW w:w="942" w:type="dxa"/>
                  <w:tcBorders>
                    <w:top w:val="nil"/>
                    <w:left w:val="nil"/>
                    <w:bottom w:val="single" w:sz="8" w:space="0" w:color="FFFFFF"/>
                    <w:right w:val="single" w:sz="8" w:space="0" w:color="FFFFFF"/>
                  </w:tcBorders>
                  <w:shd w:val="clear" w:color="000000" w:fill="FDE9D9"/>
                  <w:noWrap/>
                  <w:vAlign w:val="center"/>
                  <w:hideMark/>
                </w:tcPr>
                <w:p w14:paraId="325E5CD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-2.4 </w:t>
                  </w:r>
                </w:p>
              </w:tc>
              <w:tc>
                <w:tcPr>
                  <w:tcW w:w="1178" w:type="dxa"/>
                  <w:tcBorders>
                    <w:top w:val="nil"/>
                    <w:left w:val="nil"/>
                    <w:bottom w:val="single" w:sz="8" w:space="0" w:color="FFFFFF"/>
                    <w:right w:val="single" w:sz="8" w:space="0" w:color="FFFFFF"/>
                  </w:tcBorders>
                  <w:shd w:val="clear" w:color="000000" w:fill="FDE9D9"/>
                  <w:noWrap/>
                  <w:vAlign w:val="center"/>
                  <w:hideMark/>
                </w:tcPr>
                <w:p w14:paraId="691C6F55"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02E80ED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-4.0 </w:t>
                  </w:r>
                </w:p>
              </w:tc>
              <w:tc>
                <w:tcPr>
                  <w:tcW w:w="942" w:type="dxa"/>
                  <w:tcBorders>
                    <w:top w:val="nil"/>
                    <w:left w:val="nil"/>
                    <w:bottom w:val="single" w:sz="8" w:space="0" w:color="FFFFFF"/>
                    <w:right w:val="single" w:sz="8" w:space="0" w:color="FFFFFF"/>
                  </w:tcBorders>
                  <w:shd w:val="clear" w:color="000000" w:fill="FDE9D9"/>
                  <w:noWrap/>
                  <w:vAlign w:val="center"/>
                  <w:hideMark/>
                </w:tcPr>
                <w:p w14:paraId="1B8CE98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-6.0 </w:t>
                  </w:r>
                </w:p>
              </w:tc>
              <w:tc>
                <w:tcPr>
                  <w:tcW w:w="942" w:type="dxa"/>
                  <w:tcBorders>
                    <w:top w:val="nil"/>
                    <w:left w:val="nil"/>
                    <w:bottom w:val="single" w:sz="8" w:space="0" w:color="FFFFFF"/>
                    <w:right w:val="single" w:sz="8" w:space="0" w:color="FFFFFF"/>
                  </w:tcBorders>
                  <w:shd w:val="clear" w:color="000000" w:fill="FDE9D9"/>
                  <w:noWrap/>
                  <w:vAlign w:val="center"/>
                  <w:hideMark/>
                </w:tcPr>
                <w:p w14:paraId="07E6A63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-4.0 </w:t>
                  </w:r>
                </w:p>
              </w:tc>
              <w:tc>
                <w:tcPr>
                  <w:tcW w:w="942" w:type="dxa"/>
                  <w:tcBorders>
                    <w:top w:val="nil"/>
                    <w:left w:val="nil"/>
                    <w:bottom w:val="single" w:sz="8" w:space="0" w:color="FFFFFF"/>
                    <w:right w:val="single" w:sz="8" w:space="0" w:color="FFFFFF"/>
                  </w:tcBorders>
                  <w:shd w:val="clear" w:color="000000" w:fill="FDE9D9"/>
                  <w:noWrap/>
                  <w:vAlign w:val="center"/>
                  <w:hideMark/>
                </w:tcPr>
                <w:p w14:paraId="3683B79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-3.0 </w:t>
                  </w:r>
                </w:p>
              </w:tc>
            </w:tr>
            <w:tr w:rsidR="00FC42DA" w:rsidRPr="00FC42DA" w14:paraId="6BE72072" w14:textId="77777777" w:rsidTr="00FC42DA">
              <w:trPr>
                <w:trHeight w:val="290"/>
              </w:trPr>
              <w:tc>
                <w:tcPr>
                  <w:tcW w:w="1160" w:type="dxa"/>
                  <w:tcBorders>
                    <w:top w:val="nil"/>
                    <w:left w:val="nil"/>
                    <w:bottom w:val="nil"/>
                    <w:right w:val="nil"/>
                  </w:tcBorders>
                  <w:shd w:val="clear" w:color="000000" w:fill="FCD5B4"/>
                  <w:noWrap/>
                  <w:vAlign w:val="center"/>
                  <w:hideMark/>
                </w:tcPr>
                <w:p w14:paraId="2CEECF79"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609A15E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 xml:space="preserve">0.2 </w:t>
                  </w:r>
                </w:p>
              </w:tc>
              <w:tc>
                <w:tcPr>
                  <w:tcW w:w="942" w:type="dxa"/>
                  <w:tcBorders>
                    <w:top w:val="nil"/>
                    <w:left w:val="nil"/>
                    <w:bottom w:val="single" w:sz="8" w:space="0" w:color="FFFFFF"/>
                    <w:right w:val="single" w:sz="8" w:space="0" w:color="FFFFFF"/>
                  </w:tcBorders>
                  <w:shd w:val="clear" w:color="000000" w:fill="FCD5B4"/>
                  <w:noWrap/>
                  <w:vAlign w:val="center"/>
                  <w:hideMark/>
                </w:tcPr>
                <w:p w14:paraId="1247C4B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6652935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08EB824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-1.8 </w:t>
                  </w:r>
                </w:p>
              </w:tc>
              <w:tc>
                <w:tcPr>
                  <w:tcW w:w="1178" w:type="dxa"/>
                  <w:tcBorders>
                    <w:top w:val="nil"/>
                    <w:left w:val="nil"/>
                    <w:bottom w:val="nil"/>
                    <w:right w:val="nil"/>
                  </w:tcBorders>
                  <w:shd w:val="clear" w:color="000000" w:fill="FCD5B4"/>
                  <w:noWrap/>
                  <w:vAlign w:val="center"/>
                  <w:hideMark/>
                </w:tcPr>
                <w:p w14:paraId="4DF148BD"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3C8052E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21FA26E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-4.4 </w:t>
                  </w:r>
                </w:p>
              </w:tc>
              <w:tc>
                <w:tcPr>
                  <w:tcW w:w="942" w:type="dxa"/>
                  <w:tcBorders>
                    <w:top w:val="nil"/>
                    <w:left w:val="nil"/>
                    <w:bottom w:val="single" w:sz="8" w:space="0" w:color="FFFFFF"/>
                    <w:right w:val="single" w:sz="8" w:space="0" w:color="FFFFFF"/>
                  </w:tcBorders>
                  <w:shd w:val="clear" w:color="000000" w:fill="FCD5B4"/>
                  <w:noWrap/>
                  <w:vAlign w:val="center"/>
                  <w:hideMark/>
                </w:tcPr>
                <w:p w14:paraId="14B2B5A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-4.4 </w:t>
                  </w:r>
                </w:p>
              </w:tc>
              <w:tc>
                <w:tcPr>
                  <w:tcW w:w="942" w:type="dxa"/>
                  <w:tcBorders>
                    <w:top w:val="nil"/>
                    <w:left w:val="nil"/>
                    <w:bottom w:val="single" w:sz="8" w:space="0" w:color="FFFFFF"/>
                    <w:right w:val="single" w:sz="8" w:space="0" w:color="FFFFFF"/>
                  </w:tcBorders>
                  <w:shd w:val="clear" w:color="000000" w:fill="FCD5B4"/>
                  <w:noWrap/>
                  <w:vAlign w:val="center"/>
                  <w:hideMark/>
                </w:tcPr>
                <w:p w14:paraId="26F04DD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FF0000"/>
                      <w:kern w:val="0"/>
                      <w:szCs w:val="21"/>
                    </w:rPr>
                    <w:t xml:space="preserve">-3.4 </w:t>
                  </w:r>
                </w:p>
              </w:tc>
            </w:tr>
            <w:tr w:rsidR="00FC42DA" w:rsidRPr="00FC42DA" w14:paraId="6B748156" w14:textId="77777777" w:rsidTr="00FC42DA">
              <w:trPr>
                <w:trHeight w:val="150"/>
              </w:trPr>
              <w:tc>
                <w:tcPr>
                  <w:tcW w:w="1160" w:type="dxa"/>
                  <w:tcBorders>
                    <w:top w:val="nil"/>
                    <w:left w:val="nil"/>
                    <w:bottom w:val="nil"/>
                    <w:right w:val="nil"/>
                  </w:tcBorders>
                  <w:shd w:val="clear" w:color="auto" w:fill="auto"/>
                  <w:noWrap/>
                  <w:vAlign w:val="center"/>
                  <w:hideMark/>
                </w:tcPr>
                <w:p w14:paraId="1CD4B279" w14:textId="77777777" w:rsidR="00FC42DA" w:rsidRPr="00FC42DA" w:rsidRDefault="00FC42DA" w:rsidP="00FC42DA">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26CF8594"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2444C65"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1337910"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EB82165" w14:textId="77777777" w:rsidR="00FC42DA" w:rsidRPr="00FC42DA" w:rsidRDefault="00FC42DA" w:rsidP="00FC42DA">
                  <w:pPr>
                    <w:widowControl/>
                    <w:jc w:val="center"/>
                    <w:rPr>
                      <w:rFonts w:ascii="Times New Roman" w:eastAsia="Times New Roman" w:hAnsi="Times New Roman"/>
                      <w:kern w:val="0"/>
                      <w:sz w:val="20"/>
                      <w:szCs w:val="20"/>
                    </w:rPr>
                  </w:pPr>
                </w:p>
              </w:tc>
              <w:tc>
                <w:tcPr>
                  <w:tcW w:w="1178" w:type="dxa"/>
                  <w:tcBorders>
                    <w:top w:val="nil"/>
                    <w:left w:val="nil"/>
                    <w:bottom w:val="nil"/>
                    <w:right w:val="nil"/>
                  </w:tcBorders>
                  <w:shd w:val="clear" w:color="auto" w:fill="auto"/>
                  <w:noWrap/>
                  <w:vAlign w:val="center"/>
                  <w:hideMark/>
                </w:tcPr>
                <w:p w14:paraId="78E61494"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DB05965"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61623342"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F555454" w14:textId="77777777" w:rsidR="00FC42DA" w:rsidRPr="00FC42DA" w:rsidRDefault="00FC42DA" w:rsidP="00FC42DA">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790DCD3" w14:textId="77777777" w:rsidR="00FC42DA" w:rsidRPr="00FC42DA" w:rsidRDefault="00FC42DA" w:rsidP="00FC42DA">
                  <w:pPr>
                    <w:widowControl/>
                    <w:jc w:val="center"/>
                    <w:rPr>
                      <w:rFonts w:ascii="Times New Roman" w:eastAsia="Times New Roman" w:hAnsi="Times New Roman"/>
                      <w:kern w:val="0"/>
                      <w:sz w:val="20"/>
                      <w:szCs w:val="20"/>
                    </w:rPr>
                  </w:pPr>
                </w:p>
              </w:tc>
            </w:tr>
            <w:tr w:rsidR="00FC42DA" w:rsidRPr="00FC42DA" w14:paraId="60D3612F" w14:textId="77777777" w:rsidTr="00FC42DA">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6F92B5A7"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收益率分位</w:t>
                  </w:r>
                </w:p>
              </w:tc>
              <w:tc>
                <w:tcPr>
                  <w:tcW w:w="942" w:type="dxa"/>
                  <w:tcBorders>
                    <w:top w:val="nil"/>
                    <w:left w:val="nil"/>
                    <w:bottom w:val="single" w:sz="12" w:space="0" w:color="FFFFFF"/>
                    <w:right w:val="single" w:sz="8" w:space="0" w:color="FFFFFF"/>
                  </w:tcBorders>
                  <w:shd w:val="clear" w:color="000000" w:fill="F79646"/>
                  <w:noWrap/>
                  <w:vAlign w:val="center"/>
                  <w:hideMark/>
                </w:tcPr>
                <w:p w14:paraId="6A4FB9C8"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F972013"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3B63A64"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0EADEB9"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7D6F5B96"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3419776A"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006E2F7"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33E062E"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D7FF47D" w14:textId="77777777" w:rsidR="00FC42DA" w:rsidRPr="00FC42DA" w:rsidRDefault="00FC42DA" w:rsidP="00FC42DA">
                  <w:pPr>
                    <w:widowControl/>
                    <w:jc w:val="center"/>
                    <w:rPr>
                      <w:rFonts w:ascii="楷体" w:eastAsia="楷体" w:hAnsi="楷体" w:cs="宋体"/>
                      <w:b/>
                      <w:bCs/>
                      <w:color w:val="FFFFFF"/>
                      <w:kern w:val="0"/>
                      <w:sz w:val="20"/>
                      <w:szCs w:val="20"/>
                    </w:rPr>
                  </w:pPr>
                  <w:r w:rsidRPr="00FC42DA">
                    <w:rPr>
                      <w:rFonts w:ascii="楷体" w:eastAsia="楷体" w:hAnsi="楷体" w:cs="宋体" w:hint="eastAsia"/>
                      <w:b/>
                      <w:bCs/>
                      <w:color w:val="FFFFFF"/>
                      <w:kern w:val="0"/>
                      <w:sz w:val="20"/>
                      <w:szCs w:val="20"/>
                    </w:rPr>
                    <w:t>AA-</w:t>
                  </w:r>
                </w:p>
              </w:tc>
            </w:tr>
            <w:tr w:rsidR="00FC42DA" w:rsidRPr="00FC42DA" w14:paraId="1F804794" w14:textId="77777777" w:rsidTr="00FC42DA">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284438FE"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5C4B37D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CD5B4"/>
                  <w:noWrap/>
                  <w:vAlign w:val="center"/>
                  <w:hideMark/>
                </w:tcPr>
                <w:p w14:paraId="4CAA55E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3DAF339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CD5B4"/>
                  <w:noWrap/>
                  <w:vAlign w:val="center"/>
                  <w:hideMark/>
                </w:tcPr>
                <w:p w14:paraId="055C426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58%</w:t>
                  </w:r>
                </w:p>
              </w:tc>
              <w:tc>
                <w:tcPr>
                  <w:tcW w:w="1178" w:type="dxa"/>
                  <w:tcBorders>
                    <w:top w:val="nil"/>
                    <w:left w:val="nil"/>
                    <w:bottom w:val="single" w:sz="8" w:space="0" w:color="FFFFFF"/>
                    <w:right w:val="single" w:sz="8" w:space="0" w:color="FFFFFF"/>
                  </w:tcBorders>
                  <w:shd w:val="clear" w:color="000000" w:fill="FCD5B4"/>
                  <w:noWrap/>
                  <w:vAlign w:val="center"/>
                  <w:hideMark/>
                </w:tcPr>
                <w:p w14:paraId="3F6BB1D2"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2191A7A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6BDA37E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CD5B4"/>
                  <w:noWrap/>
                  <w:vAlign w:val="center"/>
                  <w:hideMark/>
                </w:tcPr>
                <w:p w14:paraId="2DA0025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6E85D66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73%</w:t>
                  </w:r>
                </w:p>
              </w:tc>
            </w:tr>
            <w:tr w:rsidR="00FC42DA" w:rsidRPr="00FC42DA" w14:paraId="7839075F"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1746B7EF"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0F0B040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DE9D9"/>
                  <w:noWrap/>
                  <w:vAlign w:val="center"/>
                  <w:hideMark/>
                </w:tcPr>
                <w:p w14:paraId="34A6167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DE9D9"/>
                  <w:noWrap/>
                  <w:vAlign w:val="center"/>
                  <w:hideMark/>
                </w:tcPr>
                <w:p w14:paraId="62B9E87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31%</w:t>
                  </w:r>
                </w:p>
              </w:tc>
              <w:tc>
                <w:tcPr>
                  <w:tcW w:w="942" w:type="dxa"/>
                  <w:tcBorders>
                    <w:top w:val="nil"/>
                    <w:left w:val="nil"/>
                    <w:bottom w:val="single" w:sz="8" w:space="0" w:color="FFFFFF"/>
                    <w:right w:val="single" w:sz="8" w:space="0" w:color="FFFFFF"/>
                  </w:tcBorders>
                  <w:shd w:val="clear" w:color="000000" w:fill="FDE9D9"/>
                  <w:noWrap/>
                  <w:vAlign w:val="center"/>
                  <w:hideMark/>
                </w:tcPr>
                <w:p w14:paraId="11171CE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64%</w:t>
                  </w:r>
                </w:p>
              </w:tc>
              <w:tc>
                <w:tcPr>
                  <w:tcW w:w="1178" w:type="dxa"/>
                  <w:tcBorders>
                    <w:top w:val="nil"/>
                    <w:left w:val="nil"/>
                    <w:bottom w:val="single" w:sz="8" w:space="0" w:color="FFFFFF"/>
                    <w:right w:val="single" w:sz="8" w:space="0" w:color="FFFFFF"/>
                  </w:tcBorders>
                  <w:shd w:val="clear" w:color="000000" w:fill="FDE9D9"/>
                  <w:noWrap/>
                  <w:vAlign w:val="center"/>
                  <w:hideMark/>
                </w:tcPr>
                <w:p w14:paraId="3EBBB7CF"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4287526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DE9D9"/>
                  <w:noWrap/>
                  <w:vAlign w:val="center"/>
                  <w:hideMark/>
                </w:tcPr>
                <w:p w14:paraId="5C70D07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DE9D9"/>
                  <w:noWrap/>
                  <w:vAlign w:val="center"/>
                  <w:hideMark/>
                </w:tcPr>
                <w:p w14:paraId="6EFB6FE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27%</w:t>
                  </w:r>
                </w:p>
              </w:tc>
              <w:tc>
                <w:tcPr>
                  <w:tcW w:w="942" w:type="dxa"/>
                  <w:tcBorders>
                    <w:top w:val="nil"/>
                    <w:left w:val="nil"/>
                    <w:bottom w:val="single" w:sz="8" w:space="0" w:color="FFFFFF"/>
                    <w:right w:val="single" w:sz="8" w:space="0" w:color="FFFFFF"/>
                  </w:tcBorders>
                  <w:shd w:val="clear" w:color="000000" w:fill="FFC7CE"/>
                  <w:noWrap/>
                  <w:vAlign w:val="center"/>
                  <w:hideMark/>
                </w:tcPr>
                <w:p w14:paraId="3EFFD91D" w14:textId="77777777" w:rsidR="00FC42DA" w:rsidRPr="00FC42DA" w:rsidRDefault="00FC42DA" w:rsidP="00FC42DA">
                  <w:pPr>
                    <w:widowControl/>
                    <w:jc w:val="center"/>
                    <w:rPr>
                      <w:rFonts w:eastAsia="等线" w:cs="Calibri"/>
                      <w:color w:val="9C0006"/>
                      <w:kern w:val="0"/>
                      <w:szCs w:val="21"/>
                    </w:rPr>
                  </w:pPr>
                  <w:r w:rsidRPr="00FC42DA">
                    <w:rPr>
                      <w:rFonts w:eastAsia="等线" w:cs="Calibri"/>
                      <w:color w:val="9C0006"/>
                      <w:kern w:val="0"/>
                      <w:szCs w:val="21"/>
                    </w:rPr>
                    <w:t>86%</w:t>
                  </w:r>
                </w:p>
              </w:tc>
            </w:tr>
            <w:tr w:rsidR="00FC42DA" w:rsidRPr="00FC42DA" w14:paraId="1674487B"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EDCBF8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35AD376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5133203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3167C7D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CD5B4"/>
                  <w:noWrap/>
                  <w:vAlign w:val="center"/>
                  <w:hideMark/>
                </w:tcPr>
                <w:p w14:paraId="756AE94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54%</w:t>
                  </w:r>
                </w:p>
              </w:tc>
              <w:tc>
                <w:tcPr>
                  <w:tcW w:w="1178" w:type="dxa"/>
                  <w:tcBorders>
                    <w:top w:val="nil"/>
                    <w:left w:val="nil"/>
                    <w:bottom w:val="single" w:sz="8" w:space="0" w:color="FFFFFF"/>
                    <w:right w:val="single" w:sz="8" w:space="0" w:color="FFFFFF"/>
                  </w:tcBorders>
                  <w:shd w:val="clear" w:color="000000" w:fill="FCD5B4"/>
                  <w:noWrap/>
                  <w:vAlign w:val="center"/>
                  <w:hideMark/>
                </w:tcPr>
                <w:p w14:paraId="21846F5C"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70B0EE2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w:t>
                  </w:r>
                </w:p>
              </w:tc>
              <w:tc>
                <w:tcPr>
                  <w:tcW w:w="942" w:type="dxa"/>
                  <w:tcBorders>
                    <w:top w:val="nil"/>
                    <w:left w:val="nil"/>
                    <w:bottom w:val="single" w:sz="8" w:space="0" w:color="FFFFFF"/>
                    <w:right w:val="single" w:sz="8" w:space="0" w:color="FFFFFF"/>
                  </w:tcBorders>
                  <w:shd w:val="clear" w:color="000000" w:fill="FCD5B4"/>
                  <w:noWrap/>
                  <w:vAlign w:val="center"/>
                  <w:hideMark/>
                </w:tcPr>
                <w:p w14:paraId="4EADC7F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w:t>
                  </w:r>
                </w:p>
              </w:tc>
              <w:tc>
                <w:tcPr>
                  <w:tcW w:w="942" w:type="dxa"/>
                  <w:tcBorders>
                    <w:top w:val="nil"/>
                    <w:left w:val="nil"/>
                    <w:bottom w:val="single" w:sz="8" w:space="0" w:color="FFFFFF"/>
                    <w:right w:val="single" w:sz="8" w:space="0" w:color="FFFFFF"/>
                  </w:tcBorders>
                  <w:shd w:val="clear" w:color="000000" w:fill="FCD5B4"/>
                  <w:noWrap/>
                  <w:vAlign w:val="center"/>
                  <w:hideMark/>
                </w:tcPr>
                <w:p w14:paraId="7BDDB26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03134CC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64%</w:t>
                  </w:r>
                </w:p>
              </w:tc>
            </w:tr>
            <w:tr w:rsidR="00FC42DA" w:rsidRPr="00FC42DA" w14:paraId="652AF020"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60D4B4A"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470E0DA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DE9D9"/>
                  <w:noWrap/>
                  <w:vAlign w:val="center"/>
                  <w:hideMark/>
                </w:tcPr>
                <w:p w14:paraId="012DB8B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521465E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28%</w:t>
                  </w:r>
                </w:p>
              </w:tc>
              <w:tc>
                <w:tcPr>
                  <w:tcW w:w="942" w:type="dxa"/>
                  <w:tcBorders>
                    <w:top w:val="nil"/>
                    <w:left w:val="nil"/>
                    <w:bottom w:val="single" w:sz="8" w:space="0" w:color="FFFFFF"/>
                    <w:right w:val="single" w:sz="8" w:space="0" w:color="FFFFFF"/>
                  </w:tcBorders>
                  <w:shd w:val="clear" w:color="000000" w:fill="FDE9D9"/>
                  <w:noWrap/>
                  <w:vAlign w:val="center"/>
                  <w:hideMark/>
                </w:tcPr>
                <w:p w14:paraId="739525F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63%</w:t>
                  </w:r>
                </w:p>
              </w:tc>
              <w:tc>
                <w:tcPr>
                  <w:tcW w:w="1178" w:type="dxa"/>
                  <w:tcBorders>
                    <w:top w:val="nil"/>
                    <w:left w:val="nil"/>
                    <w:bottom w:val="single" w:sz="8" w:space="0" w:color="FFFFFF"/>
                    <w:right w:val="single" w:sz="8" w:space="0" w:color="FFFFFF"/>
                  </w:tcBorders>
                  <w:shd w:val="clear" w:color="000000" w:fill="FDE9D9"/>
                  <w:noWrap/>
                  <w:vAlign w:val="center"/>
                  <w:hideMark/>
                </w:tcPr>
                <w:p w14:paraId="3BDDF64E"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4D3EE12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DE9D9"/>
                  <w:noWrap/>
                  <w:vAlign w:val="center"/>
                  <w:hideMark/>
                </w:tcPr>
                <w:p w14:paraId="004FA42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DE9D9"/>
                  <w:noWrap/>
                  <w:vAlign w:val="center"/>
                  <w:hideMark/>
                </w:tcPr>
                <w:p w14:paraId="0A5A2F7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FC7CE"/>
                  <w:noWrap/>
                  <w:vAlign w:val="center"/>
                  <w:hideMark/>
                </w:tcPr>
                <w:p w14:paraId="40DC796C" w14:textId="77777777" w:rsidR="00FC42DA" w:rsidRPr="00FC42DA" w:rsidRDefault="00FC42DA" w:rsidP="00FC42DA">
                  <w:pPr>
                    <w:widowControl/>
                    <w:jc w:val="center"/>
                    <w:rPr>
                      <w:rFonts w:eastAsia="等线" w:cs="Calibri"/>
                      <w:color w:val="9C0006"/>
                      <w:kern w:val="0"/>
                      <w:szCs w:val="21"/>
                    </w:rPr>
                  </w:pPr>
                  <w:r w:rsidRPr="00FC42DA">
                    <w:rPr>
                      <w:rFonts w:eastAsia="等线" w:cs="Calibri"/>
                      <w:color w:val="9C0006"/>
                      <w:kern w:val="0"/>
                      <w:szCs w:val="21"/>
                    </w:rPr>
                    <w:t>83%</w:t>
                  </w:r>
                </w:p>
              </w:tc>
            </w:tr>
            <w:tr w:rsidR="00FC42DA" w:rsidRPr="00FC42DA" w14:paraId="57973C8B"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B4AEC9E"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44643FF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54F5D28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759A2D9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CD5B4"/>
                  <w:noWrap/>
                  <w:vAlign w:val="center"/>
                  <w:hideMark/>
                </w:tcPr>
                <w:p w14:paraId="36D36ADF"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47%</w:t>
                  </w:r>
                </w:p>
              </w:tc>
              <w:tc>
                <w:tcPr>
                  <w:tcW w:w="1178" w:type="dxa"/>
                  <w:tcBorders>
                    <w:top w:val="nil"/>
                    <w:left w:val="nil"/>
                    <w:bottom w:val="single" w:sz="8" w:space="0" w:color="FFFFFF"/>
                    <w:right w:val="single" w:sz="8" w:space="0" w:color="FFFFFF"/>
                  </w:tcBorders>
                  <w:shd w:val="clear" w:color="000000" w:fill="FCD5B4"/>
                  <w:noWrap/>
                  <w:vAlign w:val="center"/>
                  <w:hideMark/>
                </w:tcPr>
                <w:p w14:paraId="67B7BA43"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0E71809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CD5B4"/>
                  <w:noWrap/>
                  <w:vAlign w:val="center"/>
                  <w:hideMark/>
                </w:tcPr>
                <w:p w14:paraId="335F2268"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w:t>
                  </w:r>
                </w:p>
              </w:tc>
              <w:tc>
                <w:tcPr>
                  <w:tcW w:w="942" w:type="dxa"/>
                  <w:tcBorders>
                    <w:top w:val="nil"/>
                    <w:left w:val="nil"/>
                    <w:bottom w:val="single" w:sz="8" w:space="0" w:color="FFFFFF"/>
                    <w:right w:val="single" w:sz="8" w:space="0" w:color="FFFFFF"/>
                  </w:tcBorders>
                  <w:shd w:val="clear" w:color="000000" w:fill="FCD5B4"/>
                  <w:noWrap/>
                  <w:vAlign w:val="center"/>
                  <w:hideMark/>
                </w:tcPr>
                <w:p w14:paraId="63B7CBC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CD5B4"/>
                  <w:noWrap/>
                  <w:vAlign w:val="center"/>
                  <w:hideMark/>
                </w:tcPr>
                <w:p w14:paraId="1D1206B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56%</w:t>
                  </w:r>
                </w:p>
              </w:tc>
            </w:tr>
            <w:tr w:rsidR="00FC42DA" w:rsidRPr="00FC42DA" w14:paraId="118DA00D"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5FFA7996"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2717483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4339F57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218BAD4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DE9D9"/>
                  <w:noWrap/>
                  <w:vAlign w:val="center"/>
                  <w:hideMark/>
                </w:tcPr>
                <w:p w14:paraId="06825F3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44%</w:t>
                  </w:r>
                </w:p>
              </w:tc>
              <w:tc>
                <w:tcPr>
                  <w:tcW w:w="1178" w:type="dxa"/>
                  <w:tcBorders>
                    <w:top w:val="nil"/>
                    <w:left w:val="nil"/>
                    <w:bottom w:val="single" w:sz="8" w:space="0" w:color="FFFFFF"/>
                    <w:right w:val="single" w:sz="8" w:space="0" w:color="FFFFFF"/>
                  </w:tcBorders>
                  <w:shd w:val="clear" w:color="000000" w:fill="FDE9D9"/>
                  <w:noWrap/>
                  <w:vAlign w:val="center"/>
                  <w:hideMark/>
                </w:tcPr>
                <w:p w14:paraId="528BC18E" w14:textId="77777777" w:rsidR="00FC42DA" w:rsidRPr="00FC42DA" w:rsidRDefault="00FC42DA" w:rsidP="00FC42DA">
                  <w:pPr>
                    <w:widowControl/>
                    <w:jc w:val="center"/>
                    <w:rPr>
                      <w:rFonts w:ascii="楷体" w:eastAsia="楷体" w:hAnsi="楷体" w:cs="宋体"/>
                      <w:color w:val="000000"/>
                      <w:kern w:val="0"/>
                      <w:sz w:val="20"/>
                      <w:szCs w:val="20"/>
                    </w:rPr>
                  </w:pPr>
                  <w:r w:rsidRPr="00FC42DA">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568D591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079FFF3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DE9D9"/>
                  <w:noWrap/>
                  <w:vAlign w:val="center"/>
                  <w:hideMark/>
                </w:tcPr>
                <w:p w14:paraId="200F4A89"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DE9D9"/>
                  <w:noWrap/>
                  <w:vAlign w:val="center"/>
                  <w:hideMark/>
                </w:tcPr>
                <w:p w14:paraId="05AB23E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52%</w:t>
                  </w:r>
                </w:p>
              </w:tc>
            </w:tr>
            <w:tr w:rsidR="00FC42DA" w:rsidRPr="00FC42DA" w14:paraId="65952B12" w14:textId="77777777" w:rsidTr="00FC42DA">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0141D69D"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55D2E7E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171667F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519F9A7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72F5AD5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74%</w:t>
                  </w:r>
                </w:p>
              </w:tc>
              <w:tc>
                <w:tcPr>
                  <w:tcW w:w="1178" w:type="dxa"/>
                  <w:tcBorders>
                    <w:top w:val="nil"/>
                    <w:left w:val="nil"/>
                    <w:bottom w:val="single" w:sz="8" w:space="0" w:color="FFFFFF"/>
                    <w:right w:val="single" w:sz="8" w:space="0" w:color="FFFFFF"/>
                  </w:tcBorders>
                  <w:shd w:val="clear" w:color="000000" w:fill="FCD5B4"/>
                  <w:noWrap/>
                  <w:vAlign w:val="center"/>
                  <w:hideMark/>
                </w:tcPr>
                <w:p w14:paraId="56086C00"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1C24243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CD5B4"/>
                  <w:noWrap/>
                  <w:vAlign w:val="center"/>
                  <w:hideMark/>
                </w:tcPr>
                <w:p w14:paraId="318E91F3"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4581D8B1"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FC7CE"/>
                  <w:noWrap/>
                  <w:vAlign w:val="center"/>
                  <w:hideMark/>
                </w:tcPr>
                <w:p w14:paraId="2162C7BC" w14:textId="77777777" w:rsidR="00FC42DA" w:rsidRPr="00FC42DA" w:rsidRDefault="00FC42DA" w:rsidP="00FC42DA">
                  <w:pPr>
                    <w:widowControl/>
                    <w:jc w:val="center"/>
                    <w:rPr>
                      <w:rFonts w:eastAsia="等线" w:cs="Calibri"/>
                      <w:color w:val="9C0006"/>
                      <w:kern w:val="0"/>
                      <w:szCs w:val="21"/>
                    </w:rPr>
                  </w:pPr>
                  <w:r w:rsidRPr="00FC42DA">
                    <w:rPr>
                      <w:rFonts w:eastAsia="等线" w:cs="Calibri"/>
                      <w:color w:val="9C0006"/>
                      <w:kern w:val="0"/>
                      <w:szCs w:val="21"/>
                    </w:rPr>
                    <w:t>89%</w:t>
                  </w:r>
                </w:p>
              </w:tc>
            </w:tr>
            <w:tr w:rsidR="00FC42DA" w:rsidRPr="00FC42DA" w14:paraId="29554773" w14:textId="77777777" w:rsidTr="00FC42DA">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6A23F16"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395AF7E6"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DE9D9"/>
                  <w:noWrap/>
                  <w:vAlign w:val="center"/>
                  <w:hideMark/>
                </w:tcPr>
                <w:p w14:paraId="71E50247"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DE9D9"/>
                  <w:noWrap/>
                  <w:vAlign w:val="center"/>
                  <w:hideMark/>
                </w:tcPr>
                <w:p w14:paraId="799541D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DE9D9"/>
                  <w:noWrap/>
                  <w:vAlign w:val="center"/>
                  <w:hideMark/>
                </w:tcPr>
                <w:p w14:paraId="6E0B0202"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78%</w:t>
                  </w:r>
                </w:p>
              </w:tc>
              <w:tc>
                <w:tcPr>
                  <w:tcW w:w="1178" w:type="dxa"/>
                  <w:tcBorders>
                    <w:top w:val="nil"/>
                    <w:left w:val="nil"/>
                    <w:bottom w:val="single" w:sz="8" w:space="0" w:color="FFFFFF"/>
                    <w:right w:val="single" w:sz="8" w:space="0" w:color="FFFFFF"/>
                  </w:tcBorders>
                  <w:shd w:val="clear" w:color="000000" w:fill="FDE9D9"/>
                  <w:noWrap/>
                  <w:vAlign w:val="center"/>
                  <w:hideMark/>
                </w:tcPr>
                <w:p w14:paraId="3758F625"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6AE7C72D"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DE9D9"/>
                  <w:noWrap/>
                  <w:vAlign w:val="center"/>
                  <w:hideMark/>
                </w:tcPr>
                <w:p w14:paraId="58D0EC1A"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DE9D9"/>
                  <w:noWrap/>
                  <w:vAlign w:val="center"/>
                  <w:hideMark/>
                </w:tcPr>
                <w:p w14:paraId="61FE8ADE"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FC7CE"/>
                  <w:noWrap/>
                  <w:vAlign w:val="center"/>
                  <w:hideMark/>
                </w:tcPr>
                <w:p w14:paraId="7D22564A" w14:textId="77777777" w:rsidR="00FC42DA" w:rsidRPr="00FC42DA" w:rsidRDefault="00FC42DA" w:rsidP="00FC42DA">
                  <w:pPr>
                    <w:widowControl/>
                    <w:jc w:val="center"/>
                    <w:rPr>
                      <w:rFonts w:eastAsia="等线" w:cs="Calibri"/>
                      <w:color w:val="9C0006"/>
                      <w:kern w:val="0"/>
                      <w:szCs w:val="21"/>
                    </w:rPr>
                  </w:pPr>
                  <w:r w:rsidRPr="00FC42DA">
                    <w:rPr>
                      <w:rFonts w:eastAsia="等线" w:cs="Calibri"/>
                      <w:color w:val="9C0006"/>
                      <w:kern w:val="0"/>
                      <w:szCs w:val="21"/>
                    </w:rPr>
                    <w:t>90%</w:t>
                  </w:r>
                </w:p>
              </w:tc>
            </w:tr>
            <w:tr w:rsidR="00FC42DA" w:rsidRPr="00FC42DA" w14:paraId="07C96ACC" w14:textId="77777777" w:rsidTr="00FC42DA">
              <w:trPr>
                <w:trHeight w:val="290"/>
              </w:trPr>
              <w:tc>
                <w:tcPr>
                  <w:tcW w:w="1160" w:type="dxa"/>
                  <w:tcBorders>
                    <w:top w:val="nil"/>
                    <w:left w:val="nil"/>
                    <w:bottom w:val="nil"/>
                    <w:right w:val="nil"/>
                  </w:tcBorders>
                  <w:shd w:val="clear" w:color="000000" w:fill="FCD5B4"/>
                  <w:noWrap/>
                  <w:vAlign w:val="center"/>
                  <w:hideMark/>
                </w:tcPr>
                <w:p w14:paraId="47A2D647"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4D0330E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0E787A0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3EEDD2B4"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CD5B4"/>
                  <w:noWrap/>
                  <w:vAlign w:val="center"/>
                  <w:hideMark/>
                </w:tcPr>
                <w:p w14:paraId="44B928C5"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75%</w:t>
                  </w:r>
                </w:p>
              </w:tc>
              <w:tc>
                <w:tcPr>
                  <w:tcW w:w="1178" w:type="dxa"/>
                  <w:tcBorders>
                    <w:top w:val="nil"/>
                    <w:left w:val="nil"/>
                    <w:bottom w:val="nil"/>
                    <w:right w:val="nil"/>
                  </w:tcBorders>
                  <w:shd w:val="clear" w:color="000000" w:fill="FCD5B4"/>
                  <w:noWrap/>
                  <w:vAlign w:val="center"/>
                  <w:hideMark/>
                </w:tcPr>
                <w:p w14:paraId="0E5DDE31" w14:textId="77777777" w:rsidR="00FC42DA" w:rsidRPr="00FC42DA" w:rsidRDefault="00FC42DA" w:rsidP="00FC42DA">
                  <w:pPr>
                    <w:widowControl/>
                    <w:jc w:val="center"/>
                    <w:rPr>
                      <w:rFonts w:ascii="楷体" w:eastAsia="楷体" w:hAnsi="楷体" w:cs="宋体"/>
                      <w:color w:val="000000"/>
                      <w:kern w:val="0"/>
                      <w:sz w:val="20"/>
                      <w:szCs w:val="20"/>
                    </w:rPr>
                  </w:pPr>
                  <w:proofErr w:type="gramStart"/>
                  <w:r w:rsidRPr="00FC42DA">
                    <w:rPr>
                      <w:rFonts w:ascii="楷体" w:eastAsia="楷体" w:hAnsi="楷体" w:cs="宋体" w:hint="eastAsia"/>
                      <w:color w:val="000000"/>
                      <w:kern w:val="0"/>
                      <w:sz w:val="20"/>
                      <w:szCs w:val="20"/>
                    </w:rPr>
                    <w:t>城投债</w:t>
                  </w:r>
                  <w:proofErr w:type="gramEnd"/>
                  <w:r w:rsidRPr="00FC42DA">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4221C25C"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242A24FB"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CD5B4"/>
                  <w:noWrap/>
                  <w:vAlign w:val="center"/>
                  <w:hideMark/>
                </w:tcPr>
                <w:p w14:paraId="7FD977B0" w14:textId="77777777" w:rsidR="00FC42DA" w:rsidRPr="00FC42DA" w:rsidRDefault="00FC42DA" w:rsidP="00FC42DA">
                  <w:pPr>
                    <w:widowControl/>
                    <w:jc w:val="center"/>
                    <w:rPr>
                      <w:rFonts w:eastAsia="等线" w:cs="Calibri"/>
                      <w:color w:val="000000"/>
                      <w:kern w:val="0"/>
                      <w:szCs w:val="21"/>
                    </w:rPr>
                  </w:pPr>
                  <w:r w:rsidRPr="00FC42DA">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FC7CE"/>
                  <w:noWrap/>
                  <w:vAlign w:val="center"/>
                  <w:hideMark/>
                </w:tcPr>
                <w:p w14:paraId="54D19837" w14:textId="77777777" w:rsidR="00FC42DA" w:rsidRPr="00FC42DA" w:rsidRDefault="00FC42DA" w:rsidP="00FC42DA">
                  <w:pPr>
                    <w:widowControl/>
                    <w:jc w:val="center"/>
                    <w:rPr>
                      <w:rFonts w:eastAsia="等线" w:cs="Calibri"/>
                      <w:color w:val="9C0006"/>
                      <w:kern w:val="0"/>
                      <w:szCs w:val="21"/>
                    </w:rPr>
                  </w:pPr>
                  <w:r w:rsidRPr="00FC42DA">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AF31473"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F54091" w:rsidRPr="00F54091">
        <w:rPr>
          <w:rFonts w:ascii="华文楷体" w:hAnsi="华文楷体" w:hint="eastAsia"/>
          <w:sz w:val="24"/>
          <w:szCs w:val="24"/>
          <w:lang w:eastAsia="zh-CN"/>
        </w:rPr>
        <w:t>各主要板块指数</w:t>
      </w:r>
      <w:r w:rsidR="00F54091">
        <w:rPr>
          <w:rFonts w:ascii="华文楷体" w:hAnsi="华文楷体" w:hint="eastAsia"/>
          <w:sz w:val="24"/>
          <w:szCs w:val="24"/>
          <w:lang w:eastAsia="zh-CN"/>
        </w:rPr>
        <w:t>多数</w:t>
      </w:r>
      <w:r w:rsidR="00E14948">
        <w:rPr>
          <w:rFonts w:ascii="华文楷体" w:hAnsi="华文楷体" w:hint="eastAsia"/>
          <w:sz w:val="24"/>
          <w:szCs w:val="24"/>
          <w:lang w:eastAsia="zh-CN"/>
        </w:rPr>
        <w:t>上涨</w:t>
      </w:r>
      <w:r w:rsidR="00F54091" w:rsidRPr="00F54091">
        <w:rPr>
          <w:rFonts w:ascii="华文楷体" w:hAnsi="华文楷体" w:hint="eastAsia"/>
          <w:sz w:val="24"/>
          <w:szCs w:val="24"/>
          <w:lang w:eastAsia="zh-CN"/>
        </w:rPr>
        <w:t>，成交量</w:t>
      </w:r>
      <w:r w:rsidR="00FB1C79">
        <w:rPr>
          <w:rFonts w:ascii="华文楷体" w:hAnsi="华文楷体" w:hint="eastAsia"/>
          <w:sz w:val="24"/>
          <w:szCs w:val="24"/>
          <w:lang w:eastAsia="zh-CN"/>
        </w:rPr>
        <w:t>普遍上行</w:t>
      </w:r>
      <w:r w:rsidR="00F54091" w:rsidRPr="00F54091">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FB1C79">
        <w:rPr>
          <w:rFonts w:ascii="华文楷体" w:hAnsi="华文楷体" w:hint="eastAsia"/>
          <w:sz w:val="24"/>
          <w:szCs w:val="24"/>
          <w:lang w:eastAsia="zh-CN"/>
        </w:rPr>
        <w:t>+</w:t>
      </w:r>
      <w:r w:rsidR="00FB1C79">
        <w:rPr>
          <w:rFonts w:ascii="华文楷体" w:hAnsi="华文楷体"/>
          <w:sz w:val="24"/>
          <w:szCs w:val="24"/>
          <w:lang w:eastAsia="zh-CN"/>
        </w:rPr>
        <w:t>1.4</w:t>
      </w:r>
      <w:r w:rsidR="00AC28BB">
        <w:rPr>
          <w:rFonts w:ascii="华文楷体" w:hAnsi="华文楷体"/>
          <w:sz w:val="24"/>
          <w:szCs w:val="24"/>
          <w:lang w:eastAsia="zh-CN"/>
        </w:rPr>
        <w:t>%、</w:t>
      </w:r>
      <w:r w:rsidR="00FB1C79">
        <w:rPr>
          <w:rFonts w:ascii="华文楷体" w:hAnsi="华文楷体" w:hint="eastAsia"/>
          <w:sz w:val="24"/>
          <w:szCs w:val="24"/>
          <w:lang w:eastAsia="zh-CN"/>
        </w:rPr>
        <w:t>+</w:t>
      </w:r>
      <w:r w:rsidR="00FB1C79">
        <w:rPr>
          <w:rFonts w:ascii="华文楷体" w:hAnsi="华文楷体"/>
          <w:sz w:val="24"/>
          <w:szCs w:val="24"/>
          <w:lang w:eastAsia="zh-CN"/>
        </w:rPr>
        <w:t>7.6</w:t>
      </w:r>
      <w:r w:rsidR="00AC28BB">
        <w:rPr>
          <w:rFonts w:ascii="华文楷体" w:hAnsi="华文楷体"/>
          <w:sz w:val="24"/>
          <w:szCs w:val="24"/>
          <w:lang w:eastAsia="zh-CN"/>
        </w:rPr>
        <w:t>%、</w:t>
      </w:r>
      <w:r w:rsidR="00FB1C79">
        <w:rPr>
          <w:rFonts w:ascii="华文楷体" w:hAnsi="华文楷体" w:hint="eastAsia"/>
          <w:sz w:val="24"/>
          <w:szCs w:val="24"/>
          <w:lang w:eastAsia="zh-CN"/>
        </w:rPr>
        <w:t>+</w:t>
      </w:r>
      <w:r w:rsidR="00FB1C79">
        <w:rPr>
          <w:rFonts w:ascii="华文楷体" w:hAnsi="华文楷体"/>
          <w:sz w:val="24"/>
          <w:szCs w:val="24"/>
          <w:lang w:eastAsia="zh-CN"/>
        </w:rPr>
        <w:t>2.2</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FB1C79">
        <w:rPr>
          <w:rFonts w:ascii="华文楷体" w:hAnsi="华文楷体" w:hint="eastAsia"/>
          <w:sz w:val="24"/>
          <w:szCs w:val="24"/>
          <w:lang w:eastAsia="zh-CN"/>
        </w:rPr>
        <w:t>+</w:t>
      </w:r>
      <w:r w:rsidR="00FB1C79">
        <w:rPr>
          <w:rFonts w:ascii="华文楷体" w:hAnsi="华文楷体"/>
          <w:sz w:val="24"/>
          <w:szCs w:val="24"/>
          <w:lang w:eastAsia="zh-CN"/>
        </w:rPr>
        <w:t>3</w:t>
      </w:r>
      <w:r w:rsidR="0093645F">
        <w:rPr>
          <w:rFonts w:ascii="华文楷体" w:hAnsi="华文楷体"/>
          <w:sz w:val="24"/>
          <w:szCs w:val="24"/>
          <w:lang w:eastAsia="zh-CN"/>
        </w:rPr>
        <w:t>.4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E14948">
        <w:rPr>
          <w:rFonts w:ascii="华文楷体" w:hAnsi="华文楷体" w:hint="eastAsia"/>
          <w:sz w:val="24"/>
          <w:szCs w:val="24"/>
          <w:lang w:eastAsia="zh-CN"/>
        </w:rPr>
        <w:t>微涨</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FB1C79">
        <w:rPr>
          <w:rFonts w:ascii="华文楷体" w:hAnsi="华文楷体" w:hint="eastAsia"/>
          <w:sz w:val="24"/>
          <w:szCs w:val="24"/>
          <w:lang w:eastAsia="zh-CN"/>
        </w:rPr>
        <w:t>微</w:t>
      </w:r>
      <w:proofErr w:type="gramEnd"/>
      <w:r w:rsidR="00FB1C79">
        <w:rPr>
          <w:rFonts w:ascii="华文楷体" w:hAnsi="华文楷体" w:hint="eastAsia"/>
          <w:sz w:val="24"/>
          <w:szCs w:val="24"/>
          <w:lang w:eastAsia="zh-CN"/>
        </w:rPr>
        <w:t>涨0</w:t>
      </w:r>
      <w:r w:rsidR="00FB1C79">
        <w:rPr>
          <w:rFonts w:ascii="华文楷体" w:hAnsi="华文楷体"/>
          <w:sz w:val="24"/>
          <w:szCs w:val="24"/>
          <w:lang w:eastAsia="zh-CN"/>
        </w:rPr>
        <w:t>.7</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FB1C79">
        <w:tblPrEx>
          <w:tblCellMar>
            <w:left w:w="108" w:type="dxa"/>
            <w:right w:w="108" w:type="dxa"/>
          </w:tblCellMar>
        </w:tblPrEx>
        <w:trPr>
          <w:trHeight w:val="2921"/>
          <w:jc w:val="center"/>
        </w:trPr>
        <w:tc>
          <w:tcPr>
            <w:tcW w:w="4939" w:type="dxa"/>
            <w:vAlign w:val="center"/>
          </w:tcPr>
          <w:p w14:paraId="5C83721A" w14:textId="6C4C76FC" w:rsidR="00E0626C" w:rsidRPr="00345C30" w:rsidRDefault="00FB1C79" w:rsidP="00345C30">
            <w:pPr>
              <w:widowControl/>
              <w:jc w:val="left"/>
              <w:rPr>
                <w:rFonts w:ascii="宋体" w:hAnsi="宋体" w:cs="宋体"/>
                <w:kern w:val="0"/>
                <w:sz w:val="24"/>
                <w:szCs w:val="24"/>
              </w:rPr>
            </w:pPr>
            <w:r w:rsidRPr="00FB1C79">
              <w:rPr>
                <w:rFonts w:ascii="宋体" w:hAnsi="宋体" w:cs="宋体"/>
                <w:noProof/>
                <w:kern w:val="0"/>
                <w:sz w:val="24"/>
                <w:szCs w:val="24"/>
              </w:rPr>
              <w:drawing>
                <wp:inline distT="0" distB="0" distL="0" distR="0" wp14:anchorId="4C7D99CE" wp14:editId="4BFDDE32">
                  <wp:extent cx="3112168" cy="1957533"/>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0020" cy="1962472"/>
                          </a:xfrm>
                          <a:prstGeom prst="rect">
                            <a:avLst/>
                          </a:prstGeom>
                          <a:noFill/>
                          <a:ln>
                            <a:noFill/>
                          </a:ln>
                        </pic:spPr>
                      </pic:pic>
                    </a:graphicData>
                  </a:graphic>
                </wp:inline>
              </w:drawing>
            </w:r>
          </w:p>
        </w:tc>
        <w:tc>
          <w:tcPr>
            <w:tcW w:w="4938" w:type="dxa"/>
            <w:vAlign w:val="center"/>
          </w:tcPr>
          <w:p w14:paraId="39BD4383" w14:textId="4FA38631" w:rsidR="00E0626C" w:rsidRPr="007E0340" w:rsidRDefault="00FB1C79" w:rsidP="009A2BA0">
            <w:pPr>
              <w:jc w:val="center"/>
              <w:rPr>
                <w:noProof/>
                <w:szCs w:val="18"/>
              </w:rPr>
            </w:pPr>
            <w:r>
              <w:rPr>
                <w:noProof/>
              </w:rPr>
              <w:drawing>
                <wp:inline distT="0" distB="0" distL="0" distR="0" wp14:anchorId="4F5FF598" wp14:editId="40A76E5A">
                  <wp:extent cx="2998470" cy="1956268"/>
                  <wp:effectExtent l="0" t="0" r="0" b="6350"/>
                  <wp:docPr id="23" name="图表 2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816B362"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E14948">
        <w:rPr>
          <w:rFonts w:ascii="华文楷体" w:hAnsi="华文楷体" w:hint="eastAsia"/>
          <w:sz w:val="24"/>
          <w:szCs w:val="24"/>
          <w:lang w:eastAsia="zh-CN"/>
        </w:rPr>
        <w:t>上</w:t>
      </w:r>
      <w:r w:rsidR="00F704B5" w:rsidRPr="00F704B5">
        <w:rPr>
          <w:rFonts w:ascii="华文楷体" w:hAnsi="华文楷体" w:hint="eastAsia"/>
          <w:sz w:val="24"/>
          <w:szCs w:val="24"/>
          <w:lang w:eastAsia="zh-CN"/>
        </w:rPr>
        <w:t>周</w:t>
      </w:r>
      <w:r w:rsidR="0071038D" w:rsidRPr="0071038D">
        <w:rPr>
          <w:rFonts w:ascii="华文楷体" w:hAnsi="华文楷体" w:hint="eastAsia"/>
          <w:sz w:val="24"/>
          <w:szCs w:val="24"/>
          <w:lang w:eastAsia="zh-CN"/>
        </w:rPr>
        <w:t>主要港口动力煤平均价环比上涨5.17%，主要与供给小幅收紧有关。PTA产业链</w:t>
      </w:r>
      <w:proofErr w:type="gramStart"/>
      <w:r w:rsidR="0071038D" w:rsidRPr="0071038D">
        <w:rPr>
          <w:rFonts w:ascii="华文楷体" w:hAnsi="华文楷体" w:hint="eastAsia"/>
          <w:sz w:val="24"/>
          <w:szCs w:val="24"/>
          <w:lang w:eastAsia="zh-CN"/>
        </w:rPr>
        <w:t>负荷率环比</w:t>
      </w:r>
      <w:proofErr w:type="gramEnd"/>
      <w:r w:rsidR="0071038D" w:rsidRPr="0071038D">
        <w:rPr>
          <w:rFonts w:ascii="华文楷体" w:hAnsi="华文楷体" w:hint="eastAsia"/>
          <w:sz w:val="24"/>
          <w:szCs w:val="24"/>
          <w:lang w:eastAsia="zh-CN"/>
        </w:rPr>
        <w:t>回升0.64%。中国玻璃综合指数小幅回升0.4%，升幅略低于上</w:t>
      </w:r>
      <w:r w:rsidR="00E14948">
        <w:rPr>
          <w:rFonts w:ascii="华文楷体" w:hAnsi="华文楷体" w:hint="eastAsia"/>
          <w:sz w:val="24"/>
          <w:szCs w:val="24"/>
          <w:lang w:eastAsia="zh-CN"/>
        </w:rPr>
        <w:t>一</w:t>
      </w:r>
      <w:r w:rsidR="0071038D" w:rsidRPr="0071038D">
        <w:rPr>
          <w:rFonts w:ascii="华文楷体" w:hAnsi="华文楷体" w:hint="eastAsia"/>
          <w:sz w:val="24"/>
          <w:szCs w:val="24"/>
          <w:lang w:eastAsia="zh-CN"/>
        </w:rPr>
        <w:t>周。</w:t>
      </w:r>
      <w:proofErr w:type="spellStart"/>
      <w:r w:rsidR="0071038D" w:rsidRPr="0071038D">
        <w:rPr>
          <w:rFonts w:ascii="华文楷体" w:hAnsi="华文楷体" w:hint="eastAsia"/>
          <w:sz w:val="24"/>
          <w:szCs w:val="24"/>
          <w:lang w:eastAsia="zh-CN"/>
        </w:rPr>
        <w:t>Myspic</w:t>
      </w:r>
      <w:proofErr w:type="spellEnd"/>
      <w:r w:rsidR="0071038D" w:rsidRPr="0071038D">
        <w:rPr>
          <w:rFonts w:ascii="华文楷体" w:hAnsi="华文楷体" w:hint="eastAsia"/>
          <w:sz w:val="24"/>
          <w:szCs w:val="24"/>
          <w:lang w:eastAsia="zh-CN"/>
        </w:rPr>
        <w:t>综合全国钢铁价格指数下跌0.02%，跌幅较上一周明显收窄。按品种来看，螺纹钢、热卷、高线价格</w:t>
      </w:r>
      <w:r w:rsidR="00E14948">
        <w:rPr>
          <w:rFonts w:ascii="华文楷体" w:hAnsi="华文楷体" w:hint="eastAsia"/>
          <w:sz w:val="24"/>
          <w:szCs w:val="24"/>
          <w:lang w:eastAsia="zh-CN"/>
        </w:rPr>
        <w:t>上</w:t>
      </w:r>
      <w:r w:rsidR="0071038D" w:rsidRPr="0071038D">
        <w:rPr>
          <w:rFonts w:ascii="华文楷体" w:hAnsi="华文楷体" w:hint="eastAsia"/>
          <w:sz w:val="24"/>
          <w:szCs w:val="24"/>
          <w:lang w:eastAsia="zh-CN"/>
        </w:rPr>
        <w:t>周分别上涨0.18%、0.53%、0.59%，环比由跌转升。库存方面，各</w:t>
      </w:r>
      <w:proofErr w:type="gramStart"/>
      <w:r w:rsidR="0071038D" w:rsidRPr="0071038D">
        <w:rPr>
          <w:rFonts w:ascii="华文楷体" w:hAnsi="华文楷体" w:hint="eastAsia"/>
          <w:sz w:val="24"/>
          <w:szCs w:val="24"/>
          <w:lang w:eastAsia="zh-CN"/>
        </w:rPr>
        <w:t>品种环</w:t>
      </w:r>
      <w:proofErr w:type="gramEnd"/>
      <w:r w:rsidR="0071038D" w:rsidRPr="0071038D">
        <w:rPr>
          <w:rFonts w:ascii="华文楷体" w:hAnsi="华文楷体" w:hint="eastAsia"/>
          <w:sz w:val="24"/>
          <w:szCs w:val="24"/>
          <w:lang w:eastAsia="zh-CN"/>
        </w:rPr>
        <w:t>比降幅依然显著：螺纹钢、热卷、线材库存分别减少4.74%、0.43%、4.59%。</w:t>
      </w:r>
      <w:r w:rsidR="00891D23" w:rsidRPr="00891D23">
        <w:rPr>
          <w:rFonts w:ascii="华文楷体" w:hAnsi="华文楷体" w:hint="eastAsia"/>
          <w:sz w:val="24"/>
          <w:szCs w:val="24"/>
          <w:lang w:eastAsia="zh-CN"/>
        </w:rPr>
        <w:t>。</w:t>
      </w:r>
    </w:p>
    <w:p w14:paraId="21425444" w14:textId="3086A439"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71038D" w:rsidRPr="0071038D">
        <w:rPr>
          <w:rFonts w:ascii="华文楷体" w:hAnsi="华文楷体" w:hint="eastAsia"/>
          <w:sz w:val="24"/>
          <w:szCs w:val="24"/>
          <w:lang w:eastAsia="zh-CN"/>
        </w:rPr>
        <w:t>30大中城市商品房平均成交</w:t>
      </w:r>
      <w:proofErr w:type="gramStart"/>
      <w:r w:rsidR="0071038D" w:rsidRPr="0071038D">
        <w:rPr>
          <w:rFonts w:ascii="华文楷体" w:hAnsi="华文楷体" w:hint="eastAsia"/>
          <w:sz w:val="24"/>
          <w:szCs w:val="24"/>
          <w:lang w:eastAsia="zh-CN"/>
        </w:rPr>
        <w:t>面积环</w:t>
      </w:r>
      <w:proofErr w:type="gramEnd"/>
      <w:r w:rsidR="0071038D" w:rsidRPr="0071038D">
        <w:rPr>
          <w:rFonts w:ascii="华文楷体" w:hAnsi="华文楷体" w:hint="eastAsia"/>
          <w:sz w:val="24"/>
          <w:szCs w:val="24"/>
          <w:lang w:eastAsia="zh-CN"/>
        </w:rPr>
        <w:t>比回升7.12%，其中，一、二、三线城市分别变化29.32%、-1.81%、10.7%，销售表现有所回暖。拿地方面，受供应增加的影响，100大中城市土地成交</w:t>
      </w:r>
      <w:proofErr w:type="gramStart"/>
      <w:r w:rsidR="0071038D" w:rsidRPr="0071038D">
        <w:rPr>
          <w:rFonts w:ascii="华文楷体" w:hAnsi="华文楷体" w:hint="eastAsia"/>
          <w:sz w:val="24"/>
          <w:szCs w:val="24"/>
          <w:lang w:eastAsia="zh-CN"/>
        </w:rPr>
        <w:t>面积环</w:t>
      </w:r>
      <w:proofErr w:type="gramEnd"/>
      <w:r w:rsidR="0071038D" w:rsidRPr="0071038D">
        <w:rPr>
          <w:rFonts w:ascii="华文楷体" w:hAnsi="华文楷体" w:hint="eastAsia"/>
          <w:sz w:val="24"/>
          <w:szCs w:val="24"/>
          <w:lang w:eastAsia="zh-CN"/>
        </w:rPr>
        <w:t>比增加55.03%，其中二线</w:t>
      </w:r>
      <w:proofErr w:type="gramStart"/>
      <w:r w:rsidR="0071038D" w:rsidRPr="0071038D">
        <w:rPr>
          <w:rFonts w:ascii="华文楷体" w:hAnsi="华文楷体" w:hint="eastAsia"/>
          <w:sz w:val="24"/>
          <w:szCs w:val="24"/>
          <w:lang w:eastAsia="zh-CN"/>
        </w:rPr>
        <w:t>城市环</w:t>
      </w:r>
      <w:proofErr w:type="gramEnd"/>
      <w:r w:rsidR="0071038D" w:rsidRPr="0071038D">
        <w:rPr>
          <w:rFonts w:ascii="华文楷体" w:hAnsi="华文楷体" w:hint="eastAsia"/>
          <w:sz w:val="24"/>
          <w:szCs w:val="24"/>
          <w:lang w:eastAsia="zh-CN"/>
        </w:rPr>
        <w:t>比涨幅达到166%</w:t>
      </w:r>
      <w:r w:rsidR="0071038D">
        <w:rPr>
          <w:rFonts w:ascii="华文楷体" w:hAnsi="华文楷体" w:hint="eastAsia"/>
          <w:sz w:val="24"/>
          <w:szCs w:val="24"/>
          <w:lang w:eastAsia="zh-CN"/>
        </w:rPr>
        <w:t>。</w:t>
      </w:r>
    </w:p>
    <w:p w14:paraId="77CCCEDF" w14:textId="1C5D993E"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71038D" w:rsidRPr="0071038D">
        <w:rPr>
          <w:rFonts w:ascii="华文楷体" w:hAnsi="华文楷体" w:hint="eastAsia"/>
          <w:bCs/>
          <w:sz w:val="24"/>
          <w:szCs w:val="24"/>
          <w:lang w:eastAsia="zh-CN"/>
        </w:rPr>
        <w:t>波罗的海干散货指数较上</w:t>
      </w:r>
      <w:r w:rsidR="00E14948">
        <w:rPr>
          <w:rFonts w:ascii="华文楷体" w:hAnsi="华文楷体" w:hint="eastAsia"/>
          <w:bCs/>
          <w:sz w:val="24"/>
          <w:szCs w:val="24"/>
          <w:lang w:eastAsia="zh-CN"/>
        </w:rPr>
        <w:t>一</w:t>
      </w:r>
      <w:r w:rsidR="0071038D" w:rsidRPr="0071038D">
        <w:rPr>
          <w:rFonts w:ascii="华文楷体" w:hAnsi="华文楷体" w:hint="eastAsia"/>
          <w:bCs/>
          <w:sz w:val="24"/>
          <w:szCs w:val="24"/>
          <w:lang w:eastAsia="zh-CN"/>
        </w:rPr>
        <w:t>周大幅上行17.73%，涨幅扩大，中国进口干散货运价</w:t>
      </w:r>
      <w:proofErr w:type="gramStart"/>
      <w:r w:rsidR="0071038D" w:rsidRPr="0071038D">
        <w:rPr>
          <w:rFonts w:ascii="华文楷体" w:hAnsi="华文楷体" w:hint="eastAsia"/>
          <w:bCs/>
          <w:sz w:val="24"/>
          <w:szCs w:val="24"/>
          <w:lang w:eastAsia="zh-CN"/>
        </w:rPr>
        <w:t>指数环</w:t>
      </w:r>
      <w:proofErr w:type="gramEnd"/>
      <w:r w:rsidR="0071038D" w:rsidRPr="0071038D">
        <w:rPr>
          <w:rFonts w:ascii="华文楷体" w:hAnsi="华文楷体" w:hint="eastAsia"/>
          <w:bCs/>
          <w:sz w:val="24"/>
          <w:szCs w:val="24"/>
          <w:lang w:eastAsia="zh-CN"/>
        </w:rPr>
        <w:t>比上行6.13%。</w:t>
      </w:r>
      <w:r w:rsidR="009D1B63" w:rsidRPr="009D1B63">
        <w:rPr>
          <w:rFonts w:ascii="华文楷体" w:hAnsi="华文楷体" w:hint="eastAsia"/>
          <w:bCs/>
          <w:sz w:val="24"/>
          <w:szCs w:val="24"/>
          <w:lang w:eastAsia="zh-CN"/>
        </w:rPr>
        <w:t>上海出口集装箱指数（SCFI）</w:t>
      </w:r>
      <w:r w:rsidR="00E14948">
        <w:rPr>
          <w:rFonts w:ascii="华文楷体" w:hAnsi="华文楷体" w:hint="eastAsia"/>
          <w:bCs/>
          <w:sz w:val="24"/>
          <w:szCs w:val="24"/>
          <w:lang w:eastAsia="zh-CN"/>
        </w:rPr>
        <w:t>上</w:t>
      </w:r>
      <w:r w:rsidR="009D1B63" w:rsidRPr="009D1B63">
        <w:rPr>
          <w:rFonts w:ascii="华文楷体" w:hAnsi="华文楷体" w:hint="eastAsia"/>
          <w:bCs/>
          <w:sz w:val="24"/>
          <w:szCs w:val="24"/>
          <w:lang w:eastAsia="zh-CN"/>
        </w:rPr>
        <w:t>周环比回升5.16%，中国出口集装箱运价指数（CCFI）上行2.70%，</w:t>
      </w:r>
      <w:proofErr w:type="gramStart"/>
      <w:r w:rsidR="009D1B63" w:rsidRPr="009D1B63">
        <w:rPr>
          <w:rFonts w:ascii="华文楷体" w:hAnsi="华文楷体" w:hint="eastAsia"/>
          <w:bCs/>
          <w:sz w:val="24"/>
          <w:szCs w:val="24"/>
          <w:lang w:eastAsia="zh-CN"/>
        </w:rPr>
        <w:t>指数环</w:t>
      </w:r>
      <w:proofErr w:type="gramEnd"/>
      <w:r w:rsidR="009D1B63" w:rsidRPr="009D1B63">
        <w:rPr>
          <w:rFonts w:ascii="华文楷体" w:hAnsi="华文楷体" w:hint="eastAsia"/>
          <w:bCs/>
          <w:sz w:val="24"/>
          <w:szCs w:val="24"/>
          <w:lang w:eastAsia="zh-CN"/>
        </w:rPr>
        <w:t>比由跌转涨。</w:t>
      </w:r>
    </w:p>
    <w:p w14:paraId="0542DAC4" w14:textId="10ABD167"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1A601B" w:rsidRPr="001A601B">
        <w:rPr>
          <w:rFonts w:ascii="华文楷体" w:hAnsi="华文楷体" w:hint="eastAsia"/>
          <w:bCs/>
          <w:sz w:val="24"/>
          <w:szCs w:val="24"/>
          <w:lang w:eastAsia="zh-CN"/>
        </w:rPr>
        <w:t>猪价来看，</w:t>
      </w:r>
      <w:r w:rsidR="009D1B63" w:rsidRPr="009D1B63">
        <w:rPr>
          <w:rFonts w:ascii="华文楷体" w:hAnsi="华文楷体" w:hint="eastAsia"/>
          <w:bCs/>
          <w:sz w:val="24"/>
          <w:szCs w:val="24"/>
          <w:lang w:eastAsia="zh-CN"/>
        </w:rPr>
        <w:t>猪价方面，</w:t>
      </w:r>
      <w:r w:rsidR="00E14948">
        <w:rPr>
          <w:rFonts w:ascii="华文楷体" w:hAnsi="华文楷体" w:hint="eastAsia"/>
          <w:bCs/>
          <w:sz w:val="24"/>
          <w:szCs w:val="24"/>
          <w:lang w:eastAsia="zh-CN"/>
        </w:rPr>
        <w:t>上</w:t>
      </w:r>
      <w:r w:rsidR="009D1B63" w:rsidRPr="009D1B63">
        <w:rPr>
          <w:rFonts w:ascii="华文楷体" w:hAnsi="华文楷体" w:hint="eastAsia"/>
          <w:bCs/>
          <w:sz w:val="24"/>
          <w:szCs w:val="24"/>
          <w:lang w:eastAsia="zh-CN"/>
        </w:rPr>
        <w:t>周农业部公布的全国平均批发价下降至31.71元/公斤，环比由跌转涨，涨幅为0.37%</w:t>
      </w:r>
      <w:r w:rsidR="001A601B" w:rsidRPr="001A601B">
        <w:rPr>
          <w:rFonts w:ascii="华文楷体" w:hAnsi="华文楷体" w:hint="eastAsia"/>
          <w:bCs/>
          <w:sz w:val="24"/>
          <w:szCs w:val="24"/>
          <w:lang w:eastAsia="zh-CN"/>
        </w:rPr>
        <w:t>。</w:t>
      </w:r>
      <w:r w:rsidR="009D1B63" w:rsidRPr="009D1B63">
        <w:rPr>
          <w:rFonts w:ascii="华文楷体" w:hAnsi="华文楷体" w:hint="eastAsia"/>
          <w:bCs/>
          <w:sz w:val="24"/>
          <w:szCs w:val="24"/>
          <w:lang w:eastAsia="zh-CN"/>
        </w:rPr>
        <w:t>蔬菜价格跌幅依然较大，生鲜乳制品价格略有下行，水果、水产品价格环比涨幅均有所加大，牛肉、羊肉也转为上涨。</w:t>
      </w:r>
      <w:r w:rsidR="0063487B" w:rsidRPr="0063487B">
        <w:rPr>
          <w:rFonts w:ascii="华文楷体" w:hAnsi="华文楷体" w:hint="eastAsia"/>
          <w:bCs/>
          <w:sz w:val="24"/>
          <w:szCs w:val="24"/>
          <w:lang w:eastAsia="zh-CN"/>
        </w:rPr>
        <w:t>工业品价格方面，</w:t>
      </w:r>
      <w:r w:rsidR="009D1B63" w:rsidRPr="009D1B63">
        <w:rPr>
          <w:rFonts w:ascii="华文楷体" w:hAnsi="华文楷体" w:hint="eastAsia"/>
          <w:bCs/>
          <w:sz w:val="24"/>
          <w:szCs w:val="24"/>
          <w:lang w:eastAsia="zh-CN"/>
        </w:rPr>
        <w:t>长江有色市场现货价格铜、铝、铅、锌价分别变3.09%、2.16%、2.54%、-0.07%；海外方面，LME铜、铝、铅、</w:t>
      </w:r>
      <w:proofErr w:type="gramStart"/>
      <w:r w:rsidR="009D1B63" w:rsidRPr="009D1B63">
        <w:rPr>
          <w:rFonts w:ascii="华文楷体" w:hAnsi="华文楷体" w:hint="eastAsia"/>
          <w:bCs/>
          <w:sz w:val="24"/>
          <w:szCs w:val="24"/>
          <w:lang w:eastAsia="zh-CN"/>
        </w:rPr>
        <w:t>锌较上</w:t>
      </w:r>
      <w:proofErr w:type="gramEnd"/>
      <w:r w:rsidR="00E14948">
        <w:rPr>
          <w:rFonts w:ascii="华文楷体" w:hAnsi="华文楷体" w:hint="eastAsia"/>
          <w:bCs/>
          <w:sz w:val="24"/>
          <w:szCs w:val="24"/>
          <w:lang w:eastAsia="zh-CN"/>
        </w:rPr>
        <w:t>一</w:t>
      </w:r>
      <w:r w:rsidR="009D1B63" w:rsidRPr="009D1B63">
        <w:rPr>
          <w:rFonts w:ascii="华文楷体" w:hAnsi="华文楷体" w:hint="eastAsia"/>
          <w:bCs/>
          <w:sz w:val="24"/>
          <w:szCs w:val="24"/>
          <w:lang w:eastAsia="zh-CN"/>
        </w:rPr>
        <w:t>周环比分别上涨3.79%、1.54%、1.81%、0.75%。</w:t>
      </w:r>
    </w:p>
    <w:p w14:paraId="3425BC76" w14:textId="15A368C4"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095AFC" w:rsidRPr="00095AFC">
        <w:rPr>
          <w:rFonts w:ascii="华文楷体" w:hAnsi="华文楷体" w:hint="eastAsia"/>
          <w:bCs/>
          <w:sz w:val="24"/>
          <w:szCs w:val="24"/>
          <w:lang w:eastAsia="zh-CN"/>
        </w:rPr>
        <w:t>乘联会最新数据显示，</w:t>
      </w:r>
      <w:r w:rsidR="009D1B63" w:rsidRPr="009D1B63">
        <w:rPr>
          <w:rFonts w:ascii="华文楷体" w:hAnsi="华文楷体" w:hint="eastAsia"/>
          <w:bCs/>
          <w:sz w:val="24"/>
          <w:szCs w:val="24"/>
          <w:lang w:eastAsia="zh-CN"/>
        </w:rPr>
        <w:t>4月第二周日均零售在4.2万辆左右，同比2019年4月第二周增长12%，环比3月下滑3%，跌幅收窄</w:t>
      </w:r>
      <w:r w:rsidR="00891D23" w:rsidRPr="00891D23">
        <w:rPr>
          <w:rFonts w:ascii="华文楷体" w:hAnsi="华文楷体" w:hint="eastAsia"/>
          <w:bCs/>
          <w:sz w:val="24"/>
          <w:szCs w:val="24"/>
          <w:lang w:eastAsia="zh-CN"/>
        </w:rPr>
        <w:t>。</w:t>
      </w:r>
      <w:r w:rsidR="009D1B63" w:rsidRPr="009D1B63">
        <w:rPr>
          <w:rFonts w:ascii="华文楷体" w:hAnsi="华文楷体" w:hint="eastAsia"/>
          <w:bCs/>
          <w:sz w:val="24"/>
          <w:szCs w:val="24"/>
          <w:lang w:eastAsia="zh-CN"/>
        </w:rPr>
        <w:t>批发方面，4月次周主要厂商批发销量达到日均4.1万辆，持平2020年同期表现，环比今年3月下滑11%</w:t>
      </w:r>
      <w:r w:rsidR="009D1B63">
        <w:rPr>
          <w:rFonts w:ascii="华文楷体" w:hAnsi="华文楷体" w:hint="eastAsia"/>
          <w:bCs/>
          <w:sz w:val="24"/>
          <w:szCs w:val="24"/>
          <w:lang w:eastAsia="zh-CN"/>
        </w:rPr>
        <w:t>。</w:t>
      </w:r>
    </w:p>
    <w:p w14:paraId="6C0621FD" w14:textId="2A8D26D3"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9D1B63" w:rsidRPr="009D1B63">
        <w:rPr>
          <w:rFonts w:ascii="华文楷体" w:hAnsi="华文楷体" w:hint="eastAsia"/>
          <w:bCs/>
          <w:sz w:val="24"/>
          <w:szCs w:val="24"/>
          <w:lang w:eastAsia="zh-CN"/>
        </w:rPr>
        <w:t>布伦</w:t>
      </w:r>
      <w:proofErr w:type="gramStart"/>
      <w:r w:rsidR="009D1B63" w:rsidRPr="009D1B63">
        <w:rPr>
          <w:rFonts w:ascii="华文楷体" w:hAnsi="华文楷体" w:hint="eastAsia"/>
          <w:bCs/>
          <w:sz w:val="24"/>
          <w:szCs w:val="24"/>
          <w:lang w:eastAsia="zh-CN"/>
        </w:rPr>
        <w:t>特</w:t>
      </w:r>
      <w:proofErr w:type="gramEnd"/>
      <w:r w:rsidR="009D1B63" w:rsidRPr="009D1B63">
        <w:rPr>
          <w:rFonts w:ascii="华文楷体" w:hAnsi="华文楷体" w:hint="eastAsia"/>
          <w:bCs/>
          <w:sz w:val="24"/>
          <w:szCs w:val="24"/>
          <w:lang w:eastAsia="zh-CN"/>
        </w:rPr>
        <w:t>原油环比上</w:t>
      </w:r>
      <w:r w:rsidR="00E14948">
        <w:rPr>
          <w:rFonts w:ascii="华文楷体" w:hAnsi="华文楷体" w:hint="eastAsia"/>
          <w:bCs/>
          <w:sz w:val="24"/>
          <w:szCs w:val="24"/>
          <w:lang w:eastAsia="zh-CN"/>
        </w:rPr>
        <w:t>一</w:t>
      </w:r>
      <w:r w:rsidR="009D1B63" w:rsidRPr="009D1B63">
        <w:rPr>
          <w:rFonts w:ascii="华文楷体" w:hAnsi="华文楷体" w:hint="eastAsia"/>
          <w:bCs/>
          <w:sz w:val="24"/>
          <w:szCs w:val="24"/>
          <w:lang w:eastAsia="zh-CN"/>
        </w:rPr>
        <w:t>周五跌0.99%至66.11美元/桶；WTI原油价格跌1.57%至62.14美元/桶</w:t>
      </w:r>
      <w:r w:rsidR="00891D23" w:rsidRPr="00891D23">
        <w:rPr>
          <w:rFonts w:ascii="华文楷体" w:hAnsi="华文楷体" w:hint="eastAsia"/>
          <w:bCs/>
          <w:sz w:val="24"/>
          <w:szCs w:val="24"/>
          <w:lang w:eastAsia="zh-CN"/>
        </w:rPr>
        <w:t>。</w:t>
      </w:r>
    </w:p>
    <w:p w14:paraId="35D3E229" w14:textId="538C369C"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9D1B63" w:rsidRPr="009D1B63">
        <w:rPr>
          <w:rFonts w:ascii="华文楷体" w:hAnsi="华文楷体" w:hint="eastAsia"/>
          <w:bCs/>
          <w:sz w:val="24"/>
          <w:szCs w:val="24"/>
          <w:lang w:eastAsia="zh-CN"/>
        </w:rPr>
        <w:t>3月工业企业利润、4月官方PMI、中央政治局会议分析并部署经济工作</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0857AB39" w:rsidR="00FF7903" w:rsidRPr="00884635" w:rsidRDefault="00FF7903" w:rsidP="009A2BA0">
      <w:pPr>
        <w:pStyle w:val="Header2"/>
        <w:spacing w:before="120"/>
        <w:rPr>
          <w:rFonts w:eastAsia="PMingLiU"/>
          <w:sz w:val="28"/>
          <w:szCs w:val="21"/>
          <w:lang w:eastAsia="zh-CN"/>
        </w:rPr>
      </w:pPr>
      <w:r>
        <w:rPr>
          <w:sz w:val="28"/>
          <w:szCs w:val="21"/>
          <w:lang w:eastAsia="zh-CN"/>
        </w:rPr>
        <w:lastRenderedPageBreak/>
        <w:t>2</w:t>
      </w:r>
      <w:r>
        <w:rPr>
          <w:rFonts w:hint="eastAsia"/>
          <w:sz w:val="28"/>
          <w:szCs w:val="21"/>
          <w:lang w:eastAsia="zh-CN"/>
        </w:rPr>
        <w:t>、</w:t>
      </w:r>
      <w:r w:rsidR="00E14948">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34EBC25D"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9D1B63" w:rsidRPr="009D1B63">
        <w:rPr>
          <w:rFonts w:ascii="华文楷体" w:hAnsi="华文楷体" w:hint="eastAsia"/>
          <w:sz w:val="24"/>
          <w:szCs w:val="24"/>
          <w:lang w:eastAsia="zh-CN"/>
        </w:rPr>
        <w:t>从近期数据来看，基本面数据仍体现一定韧性，尤其即将迎来五一小长假，内需在二季度仍有望进一步恢复。市场关注度较高的缴税周，尽管</w:t>
      </w:r>
      <w:proofErr w:type="gramStart"/>
      <w:r w:rsidR="009D1B63" w:rsidRPr="009D1B63">
        <w:rPr>
          <w:rFonts w:ascii="华文楷体" w:hAnsi="华文楷体" w:hint="eastAsia"/>
          <w:sz w:val="24"/>
          <w:szCs w:val="24"/>
          <w:lang w:eastAsia="zh-CN"/>
        </w:rPr>
        <w:t>隔夜资金</w:t>
      </w:r>
      <w:proofErr w:type="gramEnd"/>
      <w:r w:rsidR="009D1B63" w:rsidRPr="009D1B63">
        <w:rPr>
          <w:rFonts w:ascii="华文楷体" w:hAnsi="华文楷体" w:hint="eastAsia"/>
          <w:sz w:val="24"/>
          <w:szCs w:val="24"/>
          <w:lang w:eastAsia="zh-CN"/>
        </w:rPr>
        <w:t>出现边际上行，</w:t>
      </w:r>
      <w:proofErr w:type="gramStart"/>
      <w:r w:rsidR="009D1B63" w:rsidRPr="009D1B63">
        <w:rPr>
          <w:rFonts w:ascii="华文楷体" w:hAnsi="华文楷体" w:hint="eastAsia"/>
          <w:sz w:val="24"/>
          <w:szCs w:val="24"/>
          <w:lang w:eastAsia="zh-CN"/>
        </w:rPr>
        <w:t>隔夜与</w:t>
      </w:r>
      <w:proofErr w:type="gramEnd"/>
      <w:r w:rsidR="009D1B63" w:rsidRPr="009D1B63">
        <w:rPr>
          <w:rFonts w:ascii="华文楷体" w:hAnsi="华文楷体" w:hint="eastAsia"/>
          <w:sz w:val="24"/>
          <w:szCs w:val="24"/>
          <w:lang w:eastAsia="zh-CN"/>
        </w:rPr>
        <w:t>7天走平甚至周内出现了一定阶段性小幅倒挂现象，但整体相对平稳暂未对现券产生明显扰动。1Y期限同业存单逼近2.95%一年期限MFL水平，考虑到后续即将迎来政府债券净发行高峰；通胀压力尤其是全年宏观杠杆率的压力持续，央行货币政策或仍维持相对中性；贷款需求一季度相对强劲，关注后续信贷需求持续释放情况。后续关注的焦点，本周召开4月政治局会议，关注中央对经济形势的判断和年内政策定调。其次，本周五将公布中国4月官方PMI，关注经济是否可以延续一季度相对强劲的表现。疫情方面，近期印度、南美等地区疫情持续恶化，国内上海也</w:t>
      </w:r>
      <w:proofErr w:type="gramStart"/>
      <w:r w:rsidR="009D1B63" w:rsidRPr="009D1B63">
        <w:rPr>
          <w:rFonts w:ascii="华文楷体" w:hAnsi="华文楷体" w:hint="eastAsia"/>
          <w:sz w:val="24"/>
          <w:szCs w:val="24"/>
          <w:lang w:eastAsia="zh-CN"/>
        </w:rPr>
        <w:t>出现单例确诊</w:t>
      </w:r>
      <w:proofErr w:type="gramEnd"/>
      <w:r w:rsidR="009D1B63" w:rsidRPr="009D1B63">
        <w:rPr>
          <w:rFonts w:ascii="华文楷体" w:hAnsi="华文楷体" w:hint="eastAsia"/>
          <w:sz w:val="24"/>
          <w:szCs w:val="24"/>
          <w:lang w:eastAsia="zh-CN"/>
        </w:rPr>
        <w:t>，关注疫情反复对经济修复预期的扰动。债券市场短期预计仍可能震荡为主，利率</w:t>
      </w:r>
      <w:proofErr w:type="gramStart"/>
      <w:r w:rsidR="009D1B63" w:rsidRPr="009D1B63">
        <w:rPr>
          <w:rFonts w:ascii="华文楷体" w:hAnsi="华文楷体" w:hint="eastAsia"/>
          <w:sz w:val="24"/>
          <w:szCs w:val="24"/>
          <w:lang w:eastAsia="zh-CN"/>
        </w:rPr>
        <w:t>债走势</w:t>
      </w:r>
      <w:proofErr w:type="gramEnd"/>
      <w:r w:rsidR="009D1B63" w:rsidRPr="009D1B63">
        <w:rPr>
          <w:rFonts w:ascii="华文楷体" w:hAnsi="华文楷体" w:hint="eastAsia"/>
          <w:sz w:val="24"/>
          <w:szCs w:val="24"/>
          <w:lang w:eastAsia="zh-CN"/>
        </w:rPr>
        <w:t>存在一定分歧，持续下行需要配置盘进一步的积极参与，后续下行幅度可能边际收窄。</w:t>
      </w:r>
    </w:p>
    <w:p w14:paraId="2C3F4BD1" w14:textId="354813D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33F53">
        <w:rPr>
          <w:rFonts w:ascii="华文楷体" w:hAnsi="华文楷体" w:hint="eastAsia"/>
          <w:sz w:val="24"/>
          <w:szCs w:val="24"/>
          <w:lang w:eastAsia="zh-CN"/>
        </w:rPr>
        <w:t>信用风险</w:t>
      </w:r>
      <w:proofErr w:type="gramStart"/>
      <w:r w:rsidR="00233F53">
        <w:rPr>
          <w:rFonts w:ascii="华文楷体" w:hAnsi="华文楷体" w:hint="eastAsia"/>
          <w:sz w:val="24"/>
          <w:szCs w:val="24"/>
          <w:lang w:eastAsia="zh-CN"/>
        </w:rPr>
        <w:t>偏好仍</w:t>
      </w:r>
      <w:proofErr w:type="gramEnd"/>
      <w:r w:rsidR="00233F53">
        <w:rPr>
          <w:rFonts w:ascii="华文楷体" w:hAnsi="华文楷体" w:hint="eastAsia"/>
          <w:sz w:val="24"/>
          <w:szCs w:val="24"/>
          <w:lang w:eastAsia="zh-CN"/>
        </w:rPr>
        <w:t>相对偏低，</w:t>
      </w:r>
      <w:r w:rsidR="009D1B63">
        <w:rPr>
          <w:rFonts w:ascii="华文楷体" w:hAnsi="华文楷体" w:hint="eastAsia"/>
          <w:sz w:val="24"/>
          <w:szCs w:val="24"/>
          <w:lang w:eastAsia="zh-CN"/>
        </w:rPr>
        <w:t>信用分层</w:t>
      </w:r>
      <w:r w:rsidR="005C1B69">
        <w:rPr>
          <w:rFonts w:ascii="华文楷体" w:hAnsi="华文楷体" w:hint="eastAsia"/>
          <w:sz w:val="24"/>
          <w:szCs w:val="24"/>
          <w:lang w:eastAsia="zh-CN"/>
        </w:rPr>
        <w:t>情况</w:t>
      </w:r>
      <w:r w:rsidR="009D1B63">
        <w:rPr>
          <w:rFonts w:ascii="华文楷体" w:hAnsi="华文楷体" w:hint="eastAsia"/>
          <w:sz w:val="24"/>
          <w:szCs w:val="24"/>
          <w:lang w:eastAsia="zh-CN"/>
        </w:rPr>
        <w:t>仍基本延续</w:t>
      </w:r>
      <w:r w:rsidR="00891D23">
        <w:rPr>
          <w:rFonts w:ascii="华文楷体" w:hAnsi="华文楷体" w:hint="eastAsia"/>
          <w:sz w:val="24"/>
          <w:szCs w:val="24"/>
          <w:lang w:eastAsia="zh-CN"/>
        </w:rPr>
        <w:t>，城</w:t>
      </w:r>
      <w:proofErr w:type="gramStart"/>
      <w:r w:rsidR="00891D23">
        <w:rPr>
          <w:rFonts w:ascii="华文楷体" w:hAnsi="华文楷体" w:hint="eastAsia"/>
          <w:sz w:val="24"/>
          <w:szCs w:val="24"/>
          <w:lang w:eastAsia="zh-CN"/>
        </w:rPr>
        <w:t>投债近期</w:t>
      </w:r>
      <w:proofErr w:type="gramEnd"/>
      <w:r w:rsidR="00891D23">
        <w:rPr>
          <w:rFonts w:ascii="华文楷体" w:hAnsi="华文楷体" w:hint="eastAsia"/>
          <w:sz w:val="24"/>
          <w:szCs w:val="24"/>
          <w:lang w:eastAsia="zh-CN"/>
        </w:rPr>
        <w:t>表现</w:t>
      </w:r>
      <w:r w:rsidR="009D1B63">
        <w:rPr>
          <w:rFonts w:ascii="华文楷体" w:hAnsi="华文楷体" w:hint="eastAsia"/>
          <w:sz w:val="24"/>
          <w:szCs w:val="24"/>
          <w:lang w:eastAsia="zh-CN"/>
        </w:rPr>
        <w:t>稍</w:t>
      </w:r>
      <w:r w:rsidR="00891D23">
        <w:rPr>
          <w:rFonts w:ascii="华文楷体" w:hAnsi="华文楷体" w:hint="eastAsia"/>
          <w:sz w:val="24"/>
          <w:szCs w:val="24"/>
          <w:lang w:eastAsia="zh-CN"/>
        </w:rPr>
        <w:t>好</w:t>
      </w:r>
      <w:r w:rsidR="009D1B63">
        <w:rPr>
          <w:rFonts w:ascii="华文楷体" w:hAnsi="华文楷体" w:hint="eastAsia"/>
          <w:sz w:val="24"/>
          <w:szCs w:val="24"/>
          <w:lang w:eastAsia="zh-CN"/>
        </w:rPr>
        <w:t>，利差持续收窄，机构控杠杆前提下会开始寻找票息保护，与此同时</w:t>
      </w:r>
      <w:proofErr w:type="gramStart"/>
      <w:r w:rsidR="009D1B63">
        <w:rPr>
          <w:rFonts w:ascii="华文楷体" w:hAnsi="华文楷体" w:hint="eastAsia"/>
          <w:sz w:val="24"/>
          <w:szCs w:val="24"/>
          <w:lang w:eastAsia="zh-CN"/>
        </w:rPr>
        <w:t>个券</w:t>
      </w:r>
      <w:proofErr w:type="gramEnd"/>
      <w:r w:rsidR="009D1B63">
        <w:rPr>
          <w:rFonts w:ascii="华文楷体" w:hAnsi="华文楷体" w:hint="eastAsia"/>
          <w:sz w:val="24"/>
          <w:szCs w:val="24"/>
          <w:lang w:eastAsia="zh-CN"/>
        </w:rPr>
        <w:t>的风险排查仍在持续。</w:t>
      </w:r>
    </w:p>
    <w:p w14:paraId="4C893BAE" w14:textId="218C406D"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9D1B63">
        <w:rPr>
          <w:rFonts w:ascii="华文楷体" w:hAnsi="华文楷体" w:hint="eastAsia"/>
          <w:sz w:val="24"/>
          <w:szCs w:val="24"/>
          <w:lang w:eastAsia="zh-CN"/>
        </w:rPr>
        <w:t>权益市场出现</w:t>
      </w:r>
      <w:r w:rsidR="009D1B63" w:rsidRPr="009D1B63">
        <w:rPr>
          <w:rFonts w:ascii="华文楷体" w:hAnsi="华文楷体" w:hint="eastAsia"/>
          <w:sz w:val="24"/>
          <w:szCs w:val="24"/>
          <w:lang w:eastAsia="zh-CN"/>
        </w:rPr>
        <w:t>一定反弹，转债市场表现亦跟随权益强势反弹出现一定修复，转债策略上仍集中关注在业绩表现，行业景气度高和正股业绩较好的转债。</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6CFC40ED"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AC23A5">
              <w:rPr>
                <w:rFonts w:hint="eastAsia"/>
              </w:rPr>
              <w:t>持续震荡调整</w:t>
            </w:r>
          </w:p>
        </w:tc>
        <w:tc>
          <w:tcPr>
            <w:tcW w:w="4938" w:type="dxa"/>
            <w:vAlign w:val="center"/>
          </w:tcPr>
          <w:p w14:paraId="02A10F26" w14:textId="57A71E5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6D72C8">
              <w:rPr>
                <w:rFonts w:hint="eastAsia"/>
              </w:rPr>
              <w:t>回调</w:t>
            </w:r>
          </w:p>
        </w:tc>
      </w:tr>
      <w:tr w:rsidR="001D35B3" w:rsidRPr="006A5F34" w14:paraId="205667F1" w14:textId="77777777" w:rsidTr="00783527">
        <w:tblPrEx>
          <w:tblCellMar>
            <w:left w:w="108" w:type="dxa"/>
            <w:right w:w="108" w:type="dxa"/>
          </w:tblCellMar>
        </w:tblPrEx>
        <w:trPr>
          <w:jc w:val="center"/>
        </w:trPr>
        <w:tc>
          <w:tcPr>
            <w:tcW w:w="4939" w:type="dxa"/>
            <w:vAlign w:val="center"/>
          </w:tcPr>
          <w:p w14:paraId="56C782C2" w14:textId="329505E6" w:rsidR="001D35B3" w:rsidRPr="007E0340" w:rsidRDefault="009D1B63" w:rsidP="009A2BA0">
            <w:pPr>
              <w:jc w:val="center"/>
              <w:rPr>
                <w:noProof/>
              </w:rPr>
            </w:pPr>
            <w:r>
              <w:rPr>
                <w:noProof/>
              </w:rPr>
              <w:drawing>
                <wp:inline distT="0" distB="0" distL="0" distR="0" wp14:anchorId="1A100ED7" wp14:editId="2C59F09A">
                  <wp:extent cx="2999105" cy="1934411"/>
                  <wp:effectExtent l="0" t="0" r="0" b="8890"/>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F5A98F1" w:rsidR="001D35B3" w:rsidRPr="007E0340" w:rsidRDefault="00783527" w:rsidP="009A2BA0">
            <w:pPr>
              <w:jc w:val="center"/>
              <w:rPr>
                <w:noProof/>
                <w:szCs w:val="18"/>
              </w:rPr>
            </w:pPr>
            <w:r>
              <w:rPr>
                <w:noProof/>
              </w:rPr>
              <w:drawing>
                <wp:inline distT="0" distB="0" distL="0" distR="0" wp14:anchorId="41AA1C6F" wp14:editId="0F50CE84">
                  <wp:extent cx="2998470" cy="1967664"/>
                  <wp:effectExtent l="0" t="0" r="0" b="0"/>
                  <wp:docPr id="10" name="图表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783527">
        <w:tblPrEx>
          <w:tblCellMar>
            <w:left w:w="108" w:type="dxa"/>
            <w:right w:w="108" w:type="dxa"/>
          </w:tblCellMar>
        </w:tblPrEx>
        <w:trPr>
          <w:trHeight w:val="2987"/>
          <w:jc w:val="center"/>
        </w:trPr>
        <w:tc>
          <w:tcPr>
            <w:tcW w:w="4939" w:type="dxa"/>
            <w:vAlign w:val="center"/>
          </w:tcPr>
          <w:p w14:paraId="0BAC1731" w14:textId="54A63610" w:rsidR="001D35B3" w:rsidRPr="007E0340" w:rsidRDefault="00783527" w:rsidP="009A2BA0">
            <w:pPr>
              <w:jc w:val="center"/>
              <w:rPr>
                <w:noProof/>
              </w:rPr>
            </w:pPr>
            <w:r>
              <w:rPr>
                <w:noProof/>
              </w:rPr>
              <w:drawing>
                <wp:inline distT="0" distB="0" distL="0" distR="0" wp14:anchorId="0774F389" wp14:editId="2A0F69C8">
                  <wp:extent cx="2999105" cy="1949985"/>
                  <wp:effectExtent l="0" t="0" r="10795" b="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6AE22648" w:rsidR="001D35B3" w:rsidRPr="007E0340" w:rsidRDefault="00783527" w:rsidP="009A2BA0">
            <w:pPr>
              <w:jc w:val="center"/>
              <w:rPr>
                <w:noProof/>
                <w:szCs w:val="18"/>
              </w:rPr>
            </w:pPr>
            <w:r>
              <w:rPr>
                <w:noProof/>
              </w:rPr>
              <w:drawing>
                <wp:inline distT="0" distB="0" distL="0" distR="0" wp14:anchorId="00E393DE" wp14:editId="5B8819C0">
                  <wp:extent cx="2998470" cy="1897113"/>
                  <wp:effectExtent l="0" t="0" r="0" b="8255"/>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20229DEC" w14:textId="77777777" w:rsidR="00740D25" w:rsidRPr="004E0DCC" w:rsidRDefault="00740D25" w:rsidP="00740D25">
      <w:pPr>
        <w:rPr>
          <w:szCs w:val="21"/>
        </w:rPr>
      </w:pPr>
      <w:r w:rsidRPr="004E0DCC">
        <w:rPr>
          <w:rFonts w:ascii="微软雅黑" w:eastAsia="微软雅黑" w:hAnsi="微软雅黑" w:hint="eastAsia"/>
          <w:color w:val="474747"/>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E0DCC">
        <w:rPr>
          <w:rFonts w:ascii="微软雅黑" w:eastAsia="微软雅黑" w:hAnsi="微软雅黑" w:hint="eastAsia"/>
          <w:color w:val="474747"/>
          <w:szCs w:val="21"/>
          <w:shd w:val="clear" w:color="auto" w:fill="FFFFFF"/>
        </w:rPr>
        <w:t>作出</w:t>
      </w:r>
      <w:proofErr w:type="gramEnd"/>
      <w:r w:rsidRPr="004E0DCC">
        <w:rPr>
          <w:rFonts w:ascii="微软雅黑" w:eastAsia="微软雅黑" w:hAnsi="微软雅黑" w:hint="eastAsia"/>
          <w:color w:val="474747"/>
          <w:szCs w:val="21"/>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A5BDC7" w14:textId="77777777" w:rsidR="008915C1" w:rsidRDefault="008915C1">
      <w:r>
        <w:separator/>
      </w:r>
    </w:p>
  </w:endnote>
  <w:endnote w:type="continuationSeparator" w:id="0">
    <w:p w14:paraId="48910D5A" w14:textId="77777777" w:rsidR="008915C1" w:rsidRDefault="00891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F6DF8" w:rsidRDefault="00DF6DF8">
        <w:pPr>
          <w:pStyle w:val="a4"/>
          <w:jc w:val="right"/>
        </w:pPr>
        <w:r>
          <w:fldChar w:fldCharType="begin"/>
        </w:r>
        <w:r>
          <w:instrText>PAGE   \* MERGEFORMAT</w:instrText>
        </w:r>
        <w:r>
          <w:fldChar w:fldCharType="separate"/>
        </w:r>
        <w:r w:rsidR="00480949" w:rsidRPr="00480949">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4BAA27" w14:textId="77777777" w:rsidR="008915C1" w:rsidRDefault="008915C1">
      <w:r>
        <w:separator/>
      </w:r>
    </w:p>
  </w:footnote>
  <w:footnote w:type="continuationSeparator" w:id="0">
    <w:p w14:paraId="2B4E37FF" w14:textId="77777777" w:rsidR="008915C1" w:rsidRDefault="008915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F6DF8" w:rsidRDefault="00DF6DF8"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0949"/>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6F32"/>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0D25"/>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5C1"/>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9A5"/>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494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44155</c:v>
                </c:pt>
                <c:pt idx="1">
                  <c:v>44162</c:v>
                </c:pt>
                <c:pt idx="2">
                  <c:v>44169</c:v>
                </c:pt>
                <c:pt idx="3">
                  <c:v>44176</c:v>
                </c:pt>
                <c:pt idx="4">
                  <c:v>44183</c:v>
                </c:pt>
                <c:pt idx="5">
                  <c:v>44190</c:v>
                </c:pt>
                <c:pt idx="6">
                  <c:v>44197</c:v>
                </c:pt>
                <c:pt idx="7">
                  <c:v>44204</c:v>
                </c:pt>
                <c:pt idx="8">
                  <c:v>44211</c:v>
                </c:pt>
                <c:pt idx="9">
                  <c:v>44218</c:v>
                </c:pt>
                <c:pt idx="10">
                  <c:v>44225</c:v>
                </c:pt>
                <c:pt idx="11">
                  <c:v>44232</c:v>
                </c:pt>
                <c:pt idx="12">
                  <c:v>44239</c:v>
                </c:pt>
                <c:pt idx="13">
                  <c:v>44246</c:v>
                </c:pt>
                <c:pt idx="14">
                  <c:v>44253</c:v>
                </c:pt>
                <c:pt idx="15">
                  <c:v>44260</c:v>
                </c:pt>
                <c:pt idx="16">
                  <c:v>44267</c:v>
                </c:pt>
                <c:pt idx="17">
                  <c:v>44274</c:v>
                </c:pt>
                <c:pt idx="18">
                  <c:v>44281</c:v>
                </c:pt>
                <c:pt idx="19">
                  <c:v>44288</c:v>
                </c:pt>
                <c:pt idx="20">
                  <c:v>44295</c:v>
                </c:pt>
                <c:pt idx="21">
                  <c:v>44302</c:v>
                </c:pt>
                <c:pt idx="22">
                  <c:v>44309</c:v>
                </c:pt>
              </c:numCache>
            </c:numRef>
          </c:cat>
          <c:val>
            <c:numRef>
              <c:f>央行!$B$5:$B$27</c:f>
              <c:numCache>
                <c:formatCode>###,###,###,###,##0.00</c:formatCode>
                <c:ptCount val="23"/>
                <c:pt idx="0">
                  <c:v>3000</c:v>
                </c:pt>
                <c:pt idx="1">
                  <c:v>4350</c:v>
                </c:pt>
                <c:pt idx="2">
                  <c:v>2000</c:v>
                </c:pt>
                <c:pt idx="3">
                  <c:v>1500</c:v>
                </c:pt>
                <c:pt idx="4">
                  <c:v>600</c:v>
                </c:pt>
                <c:pt idx="5">
                  <c:v>4300</c:v>
                </c:pt>
                <c:pt idx="6">
                  <c:v>1750</c:v>
                </c:pt>
                <c:pt idx="7">
                  <c:v>550</c:v>
                </c:pt>
                <c:pt idx="8">
                  <c:v>160</c:v>
                </c:pt>
                <c:pt idx="9">
                  <c:v>6140</c:v>
                </c:pt>
                <c:pt idx="10">
                  <c:v>3890</c:v>
                </c:pt>
                <c:pt idx="11">
                  <c:v>4800</c:v>
                </c:pt>
                <c:pt idx="12">
                  <c:v>2300</c:v>
                </c:pt>
                <c:pt idx="13">
                  <c:v>400</c:v>
                </c:pt>
                <c:pt idx="14">
                  <c:v>800</c:v>
                </c:pt>
                <c:pt idx="15">
                  <c:v>550</c:v>
                </c:pt>
                <c:pt idx="16">
                  <c:v>500</c:v>
                </c:pt>
                <c:pt idx="17">
                  <c:v>500</c:v>
                </c:pt>
                <c:pt idx="18">
                  <c:v>550</c:v>
                </c:pt>
                <c:pt idx="19">
                  <c:v>500</c:v>
                </c:pt>
                <c:pt idx="20">
                  <c:v>400</c:v>
                </c:pt>
                <c:pt idx="21">
                  <c:v>500</c:v>
                </c:pt>
                <c:pt idx="22">
                  <c:v>500</c:v>
                </c:pt>
              </c:numCache>
            </c:numRef>
          </c:val>
          <c:extLst xmlns:c16r2="http://schemas.microsoft.com/office/drawing/2015/06/chart">
            <c:ext xmlns:c16="http://schemas.microsoft.com/office/drawing/2014/chart" uri="{C3380CC4-5D6E-409C-BE32-E72D297353CC}">
              <c16:uniqueId val="{00000000-E4E5-4F85-A0BB-F42B1125AAD7}"/>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44155</c:v>
                </c:pt>
                <c:pt idx="1">
                  <c:v>44162</c:v>
                </c:pt>
                <c:pt idx="2">
                  <c:v>44169</c:v>
                </c:pt>
                <c:pt idx="3">
                  <c:v>44176</c:v>
                </c:pt>
                <c:pt idx="4">
                  <c:v>44183</c:v>
                </c:pt>
                <c:pt idx="5">
                  <c:v>44190</c:v>
                </c:pt>
                <c:pt idx="6">
                  <c:v>44197</c:v>
                </c:pt>
                <c:pt idx="7">
                  <c:v>44204</c:v>
                </c:pt>
                <c:pt idx="8">
                  <c:v>44211</c:v>
                </c:pt>
                <c:pt idx="9">
                  <c:v>44218</c:v>
                </c:pt>
                <c:pt idx="10">
                  <c:v>44225</c:v>
                </c:pt>
                <c:pt idx="11">
                  <c:v>44232</c:v>
                </c:pt>
                <c:pt idx="12">
                  <c:v>44239</c:v>
                </c:pt>
                <c:pt idx="13">
                  <c:v>44246</c:v>
                </c:pt>
                <c:pt idx="14">
                  <c:v>44253</c:v>
                </c:pt>
                <c:pt idx="15">
                  <c:v>44260</c:v>
                </c:pt>
                <c:pt idx="16">
                  <c:v>44267</c:v>
                </c:pt>
                <c:pt idx="17">
                  <c:v>44274</c:v>
                </c:pt>
                <c:pt idx="18">
                  <c:v>44281</c:v>
                </c:pt>
                <c:pt idx="19">
                  <c:v>44288</c:v>
                </c:pt>
                <c:pt idx="20">
                  <c:v>44295</c:v>
                </c:pt>
                <c:pt idx="21">
                  <c:v>44302</c:v>
                </c:pt>
                <c:pt idx="22">
                  <c:v>44309</c:v>
                </c:pt>
              </c:numCache>
            </c:numRef>
          </c:cat>
          <c:val>
            <c:numRef>
              <c:f>央行!$C$5:$C$27</c:f>
              <c:numCache>
                <c:formatCode>###,###,###,###,##0.00</c:formatCode>
                <c:ptCount val="23"/>
                <c:pt idx="0">
                  <c:v>-5500</c:v>
                </c:pt>
                <c:pt idx="1">
                  <c:v>-3050</c:v>
                </c:pt>
                <c:pt idx="2">
                  <c:v>-4300</c:v>
                </c:pt>
                <c:pt idx="3">
                  <c:v>-2000</c:v>
                </c:pt>
                <c:pt idx="4">
                  <c:v>-1500</c:v>
                </c:pt>
                <c:pt idx="5">
                  <c:v>-650</c:v>
                </c:pt>
                <c:pt idx="6">
                  <c:v>-800</c:v>
                </c:pt>
                <c:pt idx="7">
                  <c:v>-5200</c:v>
                </c:pt>
                <c:pt idx="8">
                  <c:v>-550</c:v>
                </c:pt>
                <c:pt idx="9">
                  <c:v>-160</c:v>
                </c:pt>
                <c:pt idx="10">
                  <c:v>-6190</c:v>
                </c:pt>
                <c:pt idx="11">
                  <c:v>-3840</c:v>
                </c:pt>
                <c:pt idx="12">
                  <c:v>-2800</c:v>
                </c:pt>
                <c:pt idx="13">
                  <c:v>-3800</c:v>
                </c:pt>
                <c:pt idx="14">
                  <c:v>-950</c:v>
                </c:pt>
                <c:pt idx="15">
                  <c:v>-800</c:v>
                </c:pt>
                <c:pt idx="16">
                  <c:v>-500</c:v>
                </c:pt>
                <c:pt idx="17">
                  <c:v>-500</c:v>
                </c:pt>
                <c:pt idx="18">
                  <c:v>-550</c:v>
                </c:pt>
                <c:pt idx="19">
                  <c:v>-500</c:v>
                </c:pt>
                <c:pt idx="20">
                  <c:v>-500</c:v>
                </c:pt>
                <c:pt idx="21">
                  <c:v>-400</c:v>
                </c:pt>
                <c:pt idx="22">
                  <c:v>-500</c:v>
                </c:pt>
              </c:numCache>
            </c:numRef>
          </c:val>
          <c:extLst xmlns:c16r2="http://schemas.microsoft.com/office/drawing/2015/06/chart">
            <c:ext xmlns:c16="http://schemas.microsoft.com/office/drawing/2014/chart" uri="{C3380CC4-5D6E-409C-BE32-E72D297353CC}">
              <c16:uniqueId val="{00000001-E4E5-4F85-A0BB-F42B1125AAD7}"/>
            </c:ext>
          </c:extLst>
        </c:ser>
        <c:dLbls>
          <c:showLegendKey val="0"/>
          <c:showVal val="0"/>
          <c:showCatName val="0"/>
          <c:showSerName val="0"/>
          <c:showPercent val="0"/>
          <c:showBubbleSize val="0"/>
        </c:dLbls>
        <c:gapWidth val="150"/>
        <c:overlap val="100"/>
        <c:axId val="455660288"/>
        <c:axId val="45566220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44155</c:v>
                </c:pt>
                <c:pt idx="1">
                  <c:v>44162</c:v>
                </c:pt>
                <c:pt idx="2">
                  <c:v>44169</c:v>
                </c:pt>
                <c:pt idx="3">
                  <c:v>44176</c:v>
                </c:pt>
                <c:pt idx="4">
                  <c:v>44183</c:v>
                </c:pt>
                <c:pt idx="5">
                  <c:v>44190</c:v>
                </c:pt>
                <c:pt idx="6">
                  <c:v>44197</c:v>
                </c:pt>
                <c:pt idx="7">
                  <c:v>44204</c:v>
                </c:pt>
                <c:pt idx="8">
                  <c:v>44211</c:v>
                </c:pt>
                <c:pt idx="9">
                  <c:v>44218</c:v>
                </c:pt>
                <c:pt idx="10">
                  <c:v>44225</c:v>
                </c:pt>
                <c:pt idx="11">
                  <c:v>44232</c:v>
                </c:pt>
                <c:pt idx="12">
                  <c:v>44239</c:v>
                </c:pt>
                <c:pt idx="13">
                  <c:v>44246</c:v>
                </c:pt>
                <c:pt idx="14">
                  <c:v>44253</c:v>
                </c:pt>
                <c:pt idx="15">
                  <c:v>44260</c:v>
                </c:pt>
                <c:pt idx="16">
                  <c:v>44267</c:v>
                </c:pt>
                <c:pt idx="17">
                  <c:v>44274</c:v>
                </c:pt>
                <c:pt idx="18">
                  <c:v>44281</c:v>
                </c:pt>
                <c:pt idx="19">
                  <c:v>44288</c:v>
                </c:pt>
                <c:pt idx="20">
                  <c:v>44295</c:v>
                </c:pt>
                <c:pt idx="21">
                  <c:v>44302</c:v>
                </c:pt>
                <c:pt idx="22">
                  <c:v>44309</c:v>
                </c:pt>
              </c:numCache>
            </c:numRef>
          </c:cat>
          <c:val>
            <c:numRef>
              <c:f>央行!$D$5:$D$27</c:f>
              <c:numCache>
                <c:formatCode>###,###,###,###,##0.00</c:formatCode>
                <c:ptCount val="23"/>
                <c:pt idx="0">
                  <c:v>-2500</c:v>
                </c:pt>
                <c:pt idx="1">
                  <c:v>1300</c:v>
                </c:pt>
                <c:pt idx="2">
                  <c:v>-2300</c:v>
                </c:pt>
                <c:pt idx="3">
                  <c:v>-500</c:v>
                </c:pt>
                <c:pt idx="4">
                  <c:v>-900</c:v>
                </c:pt>
                <c:pt idx="5">
                  <c:v>3650</c:v>
                </c:pt>
                <c:pt idx="6">
                  <c:v>950</c:v>
                </c:pt>
                <c:pt idx="7">
                  <c:v>-4650</c:v>
                </c:pt>
                <c:pt idx="8">
                  <c:v>-390</c:v>
                </c:pt>
                <c:pt idx="9">
                  <c:v>5980</c:v>
                </c:pt>
                <c:pt idx="10">
                  <c:v>-2300</c:v>
                </c:pt>
                <c:pt idx="11">
                  <c:v>960</c:v>
                </c:pt>
                <c:pt idx="12">
                  <c:v>-500</c:v>
                </c:pt>
                <c:pt idx="13">
                  <c:v>-3400</c:v>
                </c:pt>
                <c:pt idx="14">
                  <c:v>-150</c:v>
                </c:pt>
                <c:pt idx="15">
                  <c:v>-250</c:v>
                </c:pt>
                <c:pt idx="16">
                  <c:v>0</c:v>
                </c:pt>
                <c:pt idx="17">
                  <c:v>0</c:v>
                </c:pt>
                <c:pt idx="18">
                  <c:v>0</c:v>
                </c:pt>
                <c:pt idx="19">
                  <c:v>0</c:v>
                </c:pt>
                <c:pt idx="20">
                  <c:v>-100</c:v>
                </c:pt>
                <c:pt idx="21">
                  <c:v>100</c:v>
                </c:pt>
                <c:pt idx="22">
                  <c:v>0</c:v>
                </c:pt>
              </c:numCache>
            </c:numRef>
          </c:val>
          <c:smooth val="0"/>
          <c:extLst xmlns:c16r2="http://schemas.microsoft.com/office/drawing/2015/06/chart">
            <c:ext xmlns:c16="http://schemas.microsoft.com/office/drawing/2014/chart" uri="{C3380CC4-5D6E-409C-BE32-E72D297353CC}">
              <c16:uniqueId val="{00000002-E4E5-4F85-A0BB-F42B1125AAD7}"/>
            </c:ext>
          </c:extLst>
        </c:ser>
        <c:dLbls>
          <c:showLegendKey val="0"/>
          <c:showVal val="0"/>
          <c:showCatName val="0"/>
          <c:showSerName val="0"/>
          <c:showPercent val="0"/>
          <c:showBubbleSize val="0"/>
        </c:dLbls>
        <c:marker val="1"/>
        <c:smooth val="0"/>
        <c:axId val="455660288"/>
        <c:axId val="455662208"/>
      </c:lineChart>
      <c:catAx>
        <c:axId val="45566028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5662208"/>
        <c:crosses val="autoZero"/>
        <c:auto val="0"/>
        <c:lblAlgn val="ctr"/>
        <c:lblOffset val="0"/>
        <c:tickMarkSkip val="2"/>
        <c:noMultiLvlLbl val="0"/>
      </c:catAx>
      <c:valAx>
        <c:axId val="45566220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566028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217916860830746"/>
          <c:h val="0.78993622581743195"/>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44311</c:v>
                </c:pt>
                <c:pt idx="1">
                  <c:v>44309</c:v>
                </c:pt>
                <c:pt idx="2">
                  <c:v>44308</c:v>
                </c:pt>
                <c:pt idx="3">
                  <c:v>44307</c:v>
                </c:pt>
                <c:pt idx="4">
                  <c:v>44306</c:v>
                </c:pt>
                <c:pt idx="5">
                  <c:v>44305</c:v>
                </c:pt>
                <c:pt idx="6">
                  <c:v>44302</c:v>
                </c:pt>
                <c:pt idx="7">
                  <c:v>44301</c:v>
                </c:pt>
                <c:pt idx="8">
                  <c:v>44300</c:v>
                </c:pt>
                <c:pt idx="9">
                  <c:v>44299</c:v>
                </c:pt>
                <c:pt idx="10">
                  <c:v>44298</c:v>
                </c:pt>
                <c:pt idx="11">
                  <c:v>44295</c:v>
                </c:pt>
                <c:pt idx="12">
                  <c:v>44294</c:v>
                </c:pt>
                <c:pt idx="13">
                  <c:v>44293</c:v>
                </c:pt>
                <c:pt idx="14">
                  <c:v>44292</c:v>
                </c:pt>
                <c:pt idx="15">
                  <c:v>44288</c:v>
                </c:pt>
                <c:pt idx="16">
                  <c:v>44287</c:v>
                </c:pt>
                <c:pt idx="17">
                  <c:v>44286</c:v>
                </c:pt>
                <c:pt idx="18">
                  <c:v>44285</c:v>
                </c:pt>
                <c:pt idx="19">
                  <c:v>44284</c:v>
                </c:pt>
                <c:pt idx="20">
                  <c:v>44281</c:v>
                </c:pt>
                <c:pt idx="21">
                  <c:v>44280</c:v>
                </c:pt>
                <c:pt idx="22">
                  <c:v>44279</c:v>
                </c:pt>
                <c:pt idx="23">
                  <c:v>44278</c:v>
                </c:pt>
                <c:pt idx="24">
                  <c:v>44277</c:v>
                </c:pt>
                <c:pt idx="25">
                  <c:v>44274</c:v>
                </c:pt>
                <c:pt idx="26">
                  <c:v>44273</c:v>
                </c:pt>
                <c:pt idx="27">
                  <c:v>44272</c:v>
                </c:pt>
                <c:pt idx="28">
                  <c:v>44271</c:v>
                </c:pt>
                <c:pt idx="29">
                  <c:v>44270</c:v>
                </c:pt>
                <c:pt idx="30">
                  <c:v>44267</c:v>
                </c:pt>
                <c:pt idx="31">
                  <c:v>44266</c:v>
                </c:pt>
                <c:pt idx="32">
                  <c:v>44265</c:v>
                </c:pt>
                <c:pt idx="33">
                  <c:v>44264</c:v>
                </c:pt>
                <c:pt idx="34">
                  <c:v>44263</c:v>
                </c:pt>
                <c:pt idx="35">
                  <c:v>44260</c:v>
                </c:pt>
                <c:pt idx="36">
                  <c:v>44259</c:v>
                </c:pt>
                <c:pt idx="37">
                  <c:v>44258</c:v>
                </c:pt>
                <c:pt idx="38">
                  <c:v>44257</c:v>
                </c:pt>
                <c:pt idx="39">
                  <c:v>44256</c:v>
                </c:pt>
                <c:pt idx="40">
                  <c:v>44253</c:v>
                </c:pt>
                <c:pt idx="41">
                  <c:v>44252</c:v>
                </c:pt>
                <c:pt idx="42">
                  <c:v>44251</c:v>
                </c:pt>
                <c:pt idx="43">
                  <c:v>44250</c:v>
                </c:pt>
                <c:pt idx="44">
                  <c:v>44249</c:v>
                </c:pt>
                <c:pt idx="45">
                  <c:v>44247</c:v>
                </c:pt>
                <c:pt idx="46">
                  <c:v>44246</c:v>
                </c:pt>
                <c:pt idx="47">
                  <c:v>44245</c:v>
                </c:pt>
                <c:pt idx="48">
                  <c:v>44237</c:v>
                </c:pt>
                <c:pt idx="49">
                  <c:v>44236</c:v>
                </c:pt>
                <c:pt idx="50">
                  <c:v>44235</c:v>
                </c:pt>
                <c:pt idx="51">
                  <c:v>44234</c:v>
                </c:pt>
                <c:pt idx="52">
                  <c:v>44232</c:v>
                </c:pt>
                <c:pt idx="53">
                  <c:v>44231</c:v>
                </c:pt>
                <c:pt idx="54">
                  <c:v>44230</c:v>
                </c:pt>
                <c:pt idx="55">
                  <c:v>44229</c:v>
                </c:pt>
                <c:pt idx="56">
                  <c:v>44228</c:v>
                </c:pt>
                <c:pt idx="57">
                  <c:v>44225</c:v>
                </c:pt>
                <c:pt idx="58">
                  <c:v>44224</c:v>
                </c:pt>
              </c:numCache>
            </c:numRef>
          </c:cat>
          <c:val>
            <c:numRef>
              <c:f>资金!$B$3:$B$61</c:f>
              <c:numCache>
                <c:formatCode>###,###,###,###,##0.0000</c:formatCode>
                <c:ptCount val="59"/>
                <c:pt idx="0">
                  <c:v>2.0192000000000001</c:v>
                </c:pt>
                <c:pt idx="1">
                  <c:v>1.9596</c:v>
                </c:pt>
                <c:pt idx="2">
                  <c:v>2.1551999999999998</c:v>
                </c:pt>
                <c:pt idx="3">
                  <c:v>1.9048</c:v>
                </c:pt>
                <c:pt idx="4">
                  <c:v>1.873</c:v>
                </c:pt>
                <c:pt idx="5">
                  <c:v>2.1116999999999999</c:v>
                </c:pt>
                <c:pt idx="6">
                  <c:v>1.9665999999999999</c:v>
                </c:pt>
                <c:pt idx="7">
                  <c:v>1.8460000000000001</c:v>
                </c:pt>
                <c:pt idx="8">
                  <c:v>1.8394999999999999</c:v>
                </c:pt>
                <c:pt idx="9">
                  <c:v>1.8163</c:v>
                </c:pt>
                <c:pt idx="10">
                  <c:v>1.8184</c:v>
                </c:pt>
                <c:pt idx="11">
                  <c:v>1.8128</c:v>
                </c:pt>
                <c:pt idx="12">
                  <c:v>1.7882</c:v>
                </c:pt>
                <c:pt idx="13">
                  <c:v>1.8531</c:v>
                </c:pt>
                <c:pt idx="14">
                  <c:v>1.8081</c:v>
                </c:pt>
                <c:pt idx="15">
                  <c:v>1.7512000000000001</c:v>
                </c:pt>
                <c:pt idx="16">
                  <c:v>2.1960000000000002</c:v>
                </c:pt>
                <c:pt idx="17">
                  <c:v>2.3929</c:v>
                </c:pt>
                <c:pt idx="18">
                  <c:v>1.8808</c:v>
                </c:pt>
                <c:pt idx="19">
                  <c:v>1.8393999999999999</c:v>
                </c:pt>
                <c:pt idx="20">
                  <c:v>1.8057000000000001</c:v>
                </c:pt>
                <c:pt idx="21">
                  <c:v>2.0571999999999999</c:v>
                </c:pt>
                <c:pt idx="22">
                  <c:v>1.8817999999999999</c:v>
                </c:pt>
                <c:pt idx="23">
                  <c:v>2.0042</c:v>
                </c:pt>
                <c:pt idx="24">
                  <c:v>2.0869</c:v>
                </c:pt>
                <c:pt idx="25">
                  <c:v>2.1583999999999999</c:v>
                </c:pt>
                <c:pt idx="26">
                  <c:v>2.2496999999999998</c:v>
                </c:pt>
                <c:pt idx="27">
                  <c:v>2.024</c:v>
                </c:pt>
                <c:pt idx="28">
                  <c:v>2.1652</c:v>
                </c:pt>
                <c:pt idx="29">
                  <c:v>2.2884000000000002</c:v>
                </c:pt>
                <c:pt idx="30">
                  <c:v>1.8247</c:v>
                </c:pt>
                <c:pt idx="31">
                  <c:v>1.8349</c:v>
                </c:pt>
                <c:pt idx="32">
                  <c:v>1.7825</c:v>
                </c:pt>
                <c:pt idx="33">
                  <c:v>2.0304000000000002</c:v>
                </c:pt>
                <c:pt idx="34">
                  <c:v>1.7479</c:v>
                </c:pt>
                <c:pt idx="35">
                  <c:v>1.6113999999999999</c:v>
                </c:pt>
                <c:pt idx="36">
                  <c:v>1.9486000000000001</c:v>
                </c:pt>
                <c:pt idx="37">
                  <c:v>1.532</c:v>
                </c:pt>
                <c:pt idx="38">
                  <c:v>1.8036000000000001</c:v>
                </c:pt>
                <c:pt idx="39">
                  <c:v>2.1819999999999999</c:v>
                </c:pt>
                <c:pt idx="40">
                  <c:v>2.2122000000000002</c:v>
                </c:pt>
                <c:pt idx="41">
                  <c:v>1.7466999999999999</c:v>
                </c:pt>
                <c:pt idx="42">
                  <c:v>1.5522</c:v>
                </c:pt>
                <c:pt idx="43">
                  <c:v>1.9908999999999999</c:v>
                </c:pt>
                <c:pt idx="44">
                  <c:v>1.5585</c:v>
                </c:pt>
                <c:pt idx="45">
                  <c:v>1.4419</c:v>
                </c:pt>
                <c:pt idx="46">
                  <c:v>1.8237000000000001</c:v>
                </c:pt>
                <c:pt idx="47">
                  <c:v>2.3538999999999999</c:v>
                </c:pt>
                <c:pt idx="48">
                  <c:v>1.8607</c:v>
                </c:pt>
                <c:pt idx="49">
                  <c:v>1.7911999999999999</c:v>
                </c:pt>
                <c:pt idx="50">
                  <c:v>1.9377</c:v>
                </c:pt>
                <c:pt idx="51">
                  <c:v>1.5358000000000001</c:v>
                </c:pt>
                <c:pt idx="52">
                  <c:v>1.8911</c:v>
                </c:pt>
                <c:pt idx="53">
                  <c:v>2.1088</c:v>
                </c:pt>
                <c:pt idx="54">
                  <c:v>1.9271</c:v>
                </c:pt>
                <c:pt idx="55">
                  <c:v>2.2991999999999999</c:v>
                </c:pt>
                <c:pt idx="56">
                  <c:v>3.0550999999999999</c:v>
                </c:pt>
                <c:pt idx="57">
                  <c:v>6.5883000000000003</c:v>
                </c:pt>
                <c:pt idx="58">
                  <c:v>4.2148000000000003</c:v>
                </c:pt>
              </c:numCache>
            </c:numRef>
          </c:val>
          <c:smooth val="1"/>
          <c:extLst xmlns:c16r2="http://schemas.microsoft.com/office/drawing/2015/06/chart">
            <c:ext xmlns:c16="http://schemas.microsoft.com/office/drawing/2014/chart" uri="{C3380CC4-5D6E-409C-BE32-E72D297353CC}">
              <c16:uniqueId val="{00000000-2B57-4A51-B46E-342E4FF2F82B}"/>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44311</c:v>
                </c:pt>
                <c:pt idx="1">
                  <c:v>44309</c:v>
                </c:pt>
                <c:pt idx="2">
                  <c:v>44308</c:v>
                </c:pt>
                <c:pt idx="3">
                  <c:v>44307</c:v>
                </c:pt>
                <c:pt idx="4">
                  <c:v>44306</c:v>
                </c:pt>
                <c:pt idx="5">
                  <c:v>44305</c:v>
                </c:pt>
                <c:pt idx="6">
                  <c:v>44302</c:v>
                </c:pt>
                <c:pt idx="7">
                  <c:v>44301</c:v>
                </c:pt>
                <c:pt idx="8">
                  <c:v>44300</c:v>
                </c:pt>
                <c:pt idx="9">
                  <c:v>44299</c:v>
                </c:pt>
                <c:pt idx="10">
                  <c:v>44298</c:v>
                </c:pt>
                <c:pt idx="11">
                  <c:v>44295</c:v>
                </c:pt>
                <c:pt idx="12">
                  <c:v>44294</c:v>
                </c:pt>
                <c:pt idx="13">
                  <c:v>44293</c:v>
                </c:pt>
                <c:pt idx="14">
                  <c:v>44292</c:v>
                </c:pt>
                <c:pt idx="15">
                  <c:v>44288</c:v>
                </c:pt>
                <c:pt idx="16">
                  <c:v>44287</c:v>
                </c:pt>
                <c:pt idx="17">
                  <c:v>44286</c:v>
                </c:pt>
                <c:pt idx="18">
                  <c:v>44285</c:v>
                </c:pt>
                <c:pt idx="19">
                  <c:v>44284</c:v>
                </c:pt>
                <c:pt idx="20">
                  <c:v>44281</c:v>
                </c:pt>
                <c:pt idx="21">
                  <c:v>44280</c:v>
                </c:pt>
                <c:pt idx="22">
                  <c:v>44279</c:v>
                </c:pt>
                <c:pt idx="23">
                  <c:v>44278</c:v>
                </c:pt>
                <c:pt idx="24">
                  <c:v>44277</c:v>
                </c:pt>
                <c:pt idx="25">
                  <c:v>44274</c:v>
                </c:pt>
                <c:pt idx="26">
                  <c:v>44273</c:v>
                </c:pt>
                <c:pt idx="27">
                  <c:v>44272</c:v>
                </c:pt>
                <c:pt idx="28">
                  <c:v>44271</c:v>
                </c:pt>
                <c:pt idx="29">
                  <c:v>44270</c:v>
                </c:pt>
                <c:pt idx="30">
                  <c:v>44267</c:v>
                </c:pt>
                <c:pt idx="31">
                  <c:v>44266</c:v>
                </c:pt>
                <c:pt idx="32">
                  <c:v>44265</c:v>
                </c:pt>
                <c:pt idx="33">
                  <c:v>44264</c:v>
                </c:pt>
                <c:pt idx="34">
                  <c:v>44263</c:v>
                </c:pt>
                <c:pt idx="35">
                  <c:v>44260</c:v>
                </c:pt>
                <c:pt idx="36">
                  <c:v>44259</c:v>
                </c:pt>
                <c:pt idx="37">
                  <c:v>44258</c:v>
                </c:pt>
                <c:pt idx="38">
                  <c:v>44257</c:v>
                </c:pt>
                <c:pt idx="39">
                  <c:v>44256</c:v>
                </c:pt>
                <c:pt idx="40">
                  <c:v>44253</c:v>
                </c:pt>
                <c:pt idx="41">
                  <c:v>44252</c:v>
                </c:pt>
                <c:pt idx="42">
                  <c:v>44251</c:v>
                </c:pt>
                <c:pt idx="43">
                  <c:v>44250</c:v>
                </c:pt>
                <c:pt idx="44">
                  <c:v>44249</c:v>
                </c:pt>
                <c:pt idx="45">
                  <c:v>44247</c:v>
                </c:pt>
                <c:pt idx="46">
                  <c:v>44246</c:v>
                </c:pt>
                <c:pt idx="47">
                  <c:v>44245</c:v>
                </c:pt>
                <c:pt idx="48">
                  <c:v>44237</c:v>
                </c:pt>
                <c:pt idx="49">
                  <c:v>44236</c:v>
                </c:pt>
                <c:pt idx="50">
                  <c:v>44235</c:v>
                </c:pt>
                <c:pt idx="51">
                  <c:v>44234</c:v>
                </c:pt>
                <c:pt idx="52">
                  <c:v>44232</c:v>
                </c:pt>
                <c:pt idx="53">
                  <c:v>44231</c:v>
                </c:pt>
                <c:pt idx="54">
                  <c:v>44230</c:v>
                </c:pt>
                <c:pt idx="55">
                  <c:v>44229</c:v>
                </c:pt>
                <c:pt idx="56">
                  <c:v>44228</c:v>
                </c:pt>
                <c:pt idx="57">
                  <c:v>44225</c:v>
                </c:pt>
                <c:pt idx="58">
                  <c:v>44224</c:v>
                </c:pt>
              </c:numCache>
            </c:numRef>
          </c:cat>
          <c:val>
            <c:numRef>
              <c:f>资金!$C$3:$C$61</c:f>
              <c:numCache>
                <c:formatCode>###,###,###,###,##0.0000</c:formatCode>
                <c:ptCount val="59"/>
                <c:pt idx="0">
                  <c:v>2.2372000000000001</c:v>
                </c:pt>
                <c:pt idx="1">
                  <c:v>2.1141000000000001</c:v>
                </c:pt>
                <c:pt idx="2">
                  <c:v>2.1456</c:v>
                </c:pt>
                <c:pt idx="3">
                  <c:v>2.0910000000000002</c:v>
                </c:pt>
                <c:pt idx="4">
                  <c:v>2.2360000000000002</c:v>
                </c:pt>
                <c:pt idx="5">
                  <c:v>2.3254000000000001</c:v>
                </c:pt>
                <c:pt idx="6">
                  <c:v>2.1677</c:v>
                </c:pt>
                <c:pt idx="7">
                  <c:v>2.0480999999999998</c:v>
                </c:pt>
                <c:pt idx="8">
                  <c:v>1.9805999999999999</c:v>
                </c:pt>
                <c:pt idx="9">
                  <c:v>1.9778</c:v>
                </c:pt>
                <c:pt idx="10">
                  <c:v>1.982</c:v>
                </c:pt>
                <c:pt idx="11">
                  <c:v>1.9272</c:v>
                </c:pt>
                <c:pt idx="12">
                  <c:v>1.9629000000000001</c:v>
                </c:pt>
                <c:pt idx="13">
                  <c:v>1.9476</c:v>
                </c:pt>
                <c:pt idx="14">
                  <c:v>1.9693000000000001</c:v>
                </c:pt>
                <c:pt idx="15">
                  <c:v>2.0823999999999998</c:v>
                </c:pt>
                <c:pt idx="16">
                  <c:v>2.2355999999999998</c:v>
                </c:pt>
                <c:pt idx="17">
                  <c:v>2.6713</c:v>
                </c:pt>
                <c:pt idx="18">
                  <c:v>2.4952000000000001</c:v>
                </c:pt>
                <c:pt idx="19">
                  <c:v>2.4664000000000001</c:v>
                </c:pt>
                <c:pt idx="20">
                  <c:v>2.4746000000000001</c:v>
                </c:pt>
                <c:pt idx="21">
                  <c:v>2.4559000000000002</c:v>
                </c:pt>
                <c:pt idx="22">
                  <c:v>1.9964</c:v>
                </c:pt>
                <c:pt idx="23">
                  <c:v>2.1162000000000001</c:v>
                </c:pt>
                <c:pt idx="24">
                  <c:v>2.1791</c:v>
                </c:pt>
                <c:pt idx="25">
                  <c:v>2.1913999999999998</c:v>
                </c:pt>
                <c:pt idx="26">
                  <c:v>2.1907999999999999</c:v>
                </c:pt>
                <c:pt idx="27">
                  <c:v>2.1332</c:v>
                </c:pt>
                <c:pt idx="28">
                  <c:v>2.302</c:v>
                </c:pt>
                <c:pt idx="29">
                  <c:v>2.3008000000000002</c:v>
                </c:pt>
                <c:pt idx="30">
                  <c:v>2.0649999999999999</c:v>
                </c:pt>
                <c:pt idx="31">
                  <c:v>2.0508999999999999</c:v>
                </c:pt>
                <c:pt idx="32">
                  <c:v>2.0379</c:v>
                </c:pt>
                <c:pt idx="33">
                  <c:v>2.0366</c:v>
                </c:pt>
                <c:pt idx="34">
                  <c:v>2.0465</c:v>
                </c:pt>
                <c:pt idx="35">
                  <c:v>1.9971000000000001</c:v>
                </c:pt>
                <c:pt idx="36">
                  <c:v>2.0945999999999998</c:v>
                </c:pt>
                <c:pt idx="37">
                  <c:v>1.9888999999999999</c:v>
                </c:pt>
                <c:pt idx="38">
                  <c:v>2.1551999999999998</c:v>
                </c:pt>
                <c:pt idx="39">
                  <c:v>2.2427000000000001</c:v>
                </c:pt>
                <c:pt idx="40">
                  <c:v>2.3666999999999998</c:v>
                </c:pt>
                <c:pt idx="41">
                  <c:v>2.2989999999999999</c:v>
                </c:pt>
                <c:pt idx="42">
                  <c:v>2.3325999999999998</c:v>
                </c:pt>
                <c:pt idx="43">
                  <c:v>2.4706999999999999</c:v>
                </c:pt>
                <c:pt idx="44">
                  <c:v>2.4460999999999999</c:v>
                </c:pt>
                <c:pt idx="45">
                  <c:v>2.0444</c:v>
                </c:pt>
                <c:pt idx="46">
                  <c:v>2.0552999999999999</c:v>
                </c:pt>
                <c:pt idx="47">
                  <c:v>2.294</c:v>
                </c:pt>
                <c:pt idx="48">
                  <c:v>2.1448</c:v>
                </c:pt>
                <c:pt idx="49">
                  <c:v>2.5484</c:v>
                </c:pt>
                <c:pt idx="50">
                  <c:v>2.5283000000000002</c:v>
                </c:pt>
                <c:pt idx="51">
                  <c:v>2.4319999999999999</c:v>
                </c:pt>
                <c:pt idx="52">
                  <c:v>2.2995999999999999</c:v>
                </c:pt>
                <c:pt idx="53">
                  <c:v>2.5297000000000001</c:v>
                </c:pt>
                <c:pt idx="54">
                  <c:v>2.2336</c:v>
                </c:pt>
                <c:pt idx="55">
                  <c:v>2.5807000000000002</c:v>
                </c:pt>
                <c:pt idx="56">
                  <c:v>3.7665999999999999</c:v>
                </c:pt>
                <c:pt idx="57">
                  <c:v>4.3929999999999998</c:v>
                </c:pt>
                <c:pt idx="58">
                  <c:v>4.8315000000000001</c:v>
                </c:pt>
              </c:numCache>
            </c:numRef>
          </c:val>
          <c:smooth val="1"/>
          <c:extLst xmlns:c16r2="http://schemas.microsoft.com/office/drawing/2015/06/chart">
            <c:ext xmlns:c16="http://schemas.microsoft.com/office/drawing/2014/chart" uri="{C3380CC4-5D6E-409C-BE32-E72D297353CC}">
              <c16:uniqueId val="{00000001-2B57-4A51-B46E-342E4FF2F82B}"/>
            </c:ext>
          </c:extLst>
        </c:ser>
        <c:dLbls>
          <c:showLegendKey val="0"/>
          <c:showVal val="0"/>
          <c:showCatName val="0"/>
          <c:showSerName val="0"/>
          <c:showPercent val="0"/>
          <c:showBubbleSize val="0"/>
        </c:dLbls>
        <c:marker val="1"/>
        <c:smooth val="0"/>
        <c:axId val="457926528"/>
        <c:axId val="457928064"/>
      </c:lineChart>
      <c:dateAx>
        <c:axId val="4579265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7928064"/>
        <c:crosses val="autoZero"/>
        <c:auto val="0"/>
        <c:lblOffset val="0"/>
        <c:baseTimeUnit val="days"/>
        <c:majorUnit val="14"/>
        <c:majorTimeUnit val="days"/>
        <c:minorUnit val="7"/>
        <c:minorTimeUnit val="days"/>
      </c:dateAx>
      <c:valAx>
        <c:axId val="4579280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79265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3.5499999999999865</c:v>
                </c:pt>
                <c:pt idx="1">
                  <c:v>-2.7900000000000258</c:v>
                </c:pt>
                <c:pt idx="2">
                  <c:v>-14.369999999999994</c:v>
                </c:pt>
                <c:pt idx="3">
                  <c:v>-8.0999999999999961</c:v>
                </c:pt>
                <c:pt idx="4">
                  <c:v>0.62000000000002053</c:v>
                </c:pt>
                <c:pt idx="5">
                  <c:v>1.5699999999999825</c:v>
                </c:pt>
                <c:pt idx="6">
                  <c:v>2.0999999999999908</c:v>
                </c:pt>
              </c:numCache>
            </c:numRef>
          </c:val>
          <c:extLst xmlns:c16r2="http://schemas.microsoft.com/office/drawing/2015/06/chart">
            <c:ext xmlns:c16="http://schemas.microsoft.com/office/drawing/2014/chart" uri="{C3380CC4-5D6E-409C-BE32-E72D297353CC}">
              <c16:uniqueId val="{00000000-4F3A-4FB4-9135-C287EF4DCD74}"/>
            </c:ext>
          </c:extLst>
        </c:ser>
        <c:dLbls>
          <c:showLegendKey val="0"/>
          <c:showVal val="0"/>
          <c:showCatName val="0"/>
          <c:showSerName val="0"/>
          <c:showPercent val="0"/>
          <c:showBubbleSize val="0"/>
        </c:dLbls>
        <c:gapWidth val="150"/>
        <c:axId val="458004736"/>
        <c:axId val="45801920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F3A-4FB4-9135-C287EF4DCD74}"/>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F3A-4FB4-9135-C287EF4DCD74}"/>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F3A-4FB4-9135-C287EF4DCD74}"/>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F3A-4FB4-9135-C287EF4DCD74}"/>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F3A-4FB4-9135-C287EF4DCD74}"/>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F3A-4FB4-9135-C287EF4DCD74}"/>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1.7585</c:v>
                </c:pt>
                <c:pt idx="1">
                  <c:v>2.0421999999999998</c:v>
                </c:pt>
                <c:pt idx="2">
                  <c:v>2.3858000000000001</c:v>
                </c:pt>
                <c:pt idx="3">
                  <c:v>2.7483</c:v>
                </c:pt>
                <c:pt idx="4">
                  <c:v>2.9839000000000002</c:v>
                </c:pt>
                <c:pt idx="5">
                  <c:v>3.1494</c:v>
                </c:pt>
                <c:pt idx="6">
                  <c:v>3.1840999999999999</c:v>
                </c:pt>
              </c:numCache>
            </c:numRef>
          </c:val>
          <c:smooth val="0"/>
          <c:extLst xmlns:c16r2="http://schemas.microsoft.com/office/drawing/2015/06/chart">
            <c:ext xmlns:c16="http://schemas.microsoft.com/office/drawing/2014/chart" uri="{C3380CC4-5D6E-409C-BE32-E72D297353CC}">
              <c16:uniqueId val="{00000007-4F3A-4FB4-9135-C287EF4DCD74}"/>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1.7230000000000001</c:v>
                </c:pt>
                <c:pt idx="1">
                  <c:v>2.0701000000000001</c:v>
                </c:pt>
                <c:pt idx="2">
                  <c:v>2.5295000000000001</c:v>
                </c:pt>
                <c:pt idx="3">
                  <c:v>2.8292999999999999</c:v>
                </c:pt>
                <c:pt idx="4">
                  <c:v>2.9777</c:v>
                </c:pt>
                <c:pt idx="5">
                  <c:v>3.1337000000000002</c:v>
                </c:pt>
                <c:pt idx="6">
                  <c:v>3.1631</c:v>
                </c:pt>
              </c:numCache>
            </c:numRef>
          </c:val>
          <c:smooth val="0"/>
          <c:extLst xmlns:c16r2="http://schemas.microsoft.com/office/drawing/2015/06/chart">
            <c:ext xmlns:c16="http://schemas.microsoft.com/office/drawing/2014/chart" uri="{C3380CC4-5D6E-409C-BE32-E72D297353CC}">
              <c16:uniqueId val="{00000008-4F3A-4FB4-9135-C287EF4DCD74}"/>
            </c:ext>
          </c:extLst>
        </c:ser>
        <c:dLbls>
          <c:showLegendKey val="0"/>
          <c:showVal val="0"/>
          <c:showCatName val="0"/>
          <c:showSerName val="0"/>
          <c:showPercent val="0"/>
          <c:showBubbleSize val="0"/>
        </c:dLbls>
        <c:marker val="1"/>
        <c:smooth val="0"/>
        <c:axId val="458022272"/>
        <c:axId val="458020736"/>
      </c:lineChart>
      <c:dateAx>
        <c:axId val="4580047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019200"/>
        <c:crosses val="autoZero"/>
        <c:auto val="0"/>
        <c:lblOffset val="0"/>
        <c:baseTimeUnit val="days"/>
      </c:dateAx>
      <c:valAx>
        <c:axId val="4580192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004736"/>
        <c:crosses val="autoZero"/>
        <c:crossBetween val="between"/>
      </c:valAx>
      <c:valAx>
        <c:axId val="458020736"/>
        <c:scaling>
          <c:orientation val="minMax"/>
        </c:scaling>
        <c:delete val="0"/>
        <c:axPos val="r"/>
        <c:numFmt formatCode="#,##0.0_);[Red]\(#,##0.0\)" sourceLinked="0"/>
        <c:majorTickMark val="out"/>
        <c:minorTickMark val="none"/>
        <c:tickLblPos val="nextTo"/>
        <c:spPr>
          <a:ln w="3175">
            <a:solidFill>
              <a:sysClr val="windowText" lastClr="000000"/>
            </a:solidFill>
          </a:ln>
        </c:spPr>
        <c:crossAx val="458022272"/>
        <c:crosses val="max"/>
        <c:crossBetween val="between"/>
      </c:valAx>
      <c:dateAx>
        <c:axId val="458022272"/>
        <c:scaling>
          <c:orientation val="minMax"/>
        </c:scaling>
        <c:delete val="1"/>
        <c:axPos val="b"/>
        <c:numFmt formatCode="General" sourceLinked="1"/>
        <c:majorTickMark val="out"/>
        <c:minorTickMark val="none"/>
        <c:tickLblPos val="nextTo"/>
        <c:crossAx val="458020736"/>
        <c:crosses val="autoZero"/>
        <c:auto val="0"/>
        <c:lblOffset val="100"/>
        <c:baseTimeUnit val="years"/>
      </c:dateAx>
    </c:plotArea>
    <c:legend>
      <c:legendPos val="r"/>
      <c:layout>
        <c:manualLayout>
          <c:xMode val="edge"/>
          <c:yMode val="edge"/>
          <c:x val="9.7200331432210615E-2"/>
          <c:y val="2.333987768692248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-0.76000000000000512</c:v>
                </c:pt>
                <c:pt idx="1">
                  <c:v>-7.5599999999999667</c:v>
                </c:pt>
                <c:pt idx="2">
                  <c:v>-13.669999999999982</c:v>
                </c:pt>
                <c:pt idx="3">
                  <c:v>-2.4699999999999722</c:v>
                </c:pt>
                <c:pt idx="4">
                  <c:v>-0.53999999999998494</c:v>
                </c:pt>
                <c:pt idx="5">
                  <c:v>-3.0400000000000205</c:v>
                </c:pt>
                <c:pt idx="6">
                  <c:v>3.0100000000000016</c:v>
                </c:pt>
              </c:numCache>
            </c:numRef>
          </c:val>
          <c:extLst xmlns:c16r2="http://schemas.microsoft.com/office/drawing/2015/06/chart">
            <c:ext xmlns:c16="http://schemas.microsoft.com/office/drawing/2014/chart" uri="{C3380CC4-5D6E-409C-BE32-E72D297353CC}">
              <c16:uniqueId val="{00000000-C77B-4C20-993F-2CA1694F3DB1}"/>
            </c:ext>
          </c:extLst>
        </c:ser>
        <c:dLbls>
          <c:showLegendKey val="0"/>
          <c:showVal val="0"/>
          <c:showCatName val="0"/>
          <c:showSerName val="0"/>
          <c:showPercent val="0"/>
          <c:showBubbleSize val="0"/>
        </c:dLbls>
        <c:gapWidth val="150"/>
        <c:axId val="331786880"/>
        <c:axId val="33180134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77B-4C20-993F-2CA1694F3DB1}"/>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77B-4C20-993F-2CA1694F3DB1}"/>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C77B-4C20-993F-2CA1694F3DB1}"/>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C77B-4C20-993F-2CA1694F3DB1}"/>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C77B-4C20-993F-2CA1694F3DB1}"/>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C77B-4C20-993F-2CA1694F3DB1}"/>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1.7871999999999999</c:v>
                </c:pt>
                <c:pt idx="1">
                  <c:v>2.0487000000000002</c:v>
                </c:pt>
                <c:pt idx="2">
                  <c:v>2.5207000000000002</c:v>
                </c:pt>
                <c:pt idx="3">
                  <c:v>3.1063000000000001</c:v>
                </c:pt>
                <c:pt idx="4">
                  <c:v>3.3090999999999999</c:v>
                </c:pt>
                <c:pt idx="5">
                  <c:v>3.4573999999999998</c:v>
                </c:pt>
                <c:pt idx="6">
                  <c:v>3.5579000000000001</c:v>
                </c:pt>
              </c:numCache>
            </c:numRef>
          </c:val>
          <c:smooth val="0"/>
          <c:extLst xmlns:c16r2="http://schemas.microsoft.com/office/drawing/2015/06/chart">
            <c:ext xmlns:c16="http://schemas.microsoft.com/office/drawing/2014/chart" uri="{C3380CC4-5D6E-409C-BE32-E72D297353CC}">
              <c16:uniqueId val="{00000007-C77B-4C20-993F-2CA1694F3DB1}"/>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1.7948</c:v>
                </c:pt>
                <c:pt idx="1">
                  <c:v>2.1242999999999999</c:v>
                </c:pt>
                <c:pt idx="2">
                  <c:v>2.6574</c:v>
                </c:pt>
                <c:pt idx="3">
                  <c:v>3.1309999999999998</c:v>
                </c:pt>
                <c:pt idx="4">
                  <c:v>3.3144999999999998</c:v>
                </c:pt>
                <c:pt idx="5">
                  <c:v>3.4878</c:v>
                </c:pt>
                <c:pt idx="6">
                  <c:v>3.5278</c:v>
                </c:pt>
              </c:numCache>
            </c:numRef>
          </c:val>
          <c:smooth val="0"/>
          <c:extLst xmlns:c16r2="http://schemas.microsoft.com/office/drawing/2015/06/chart">
            <c:ext xmlns:c16="http://schemas.microsoft.com/office/drawing/2014/chart" uri="{C3380CC4-5D6E-409C-BE32-E72D297353CC}">
              <c16:uniqueId val="{00000008-C77B-4C20-993F-2CA1694F3DB1}"/>
            </c:ext>
          </c:extLst>
        </c:ser>
        <c:dLbls>
          <c:showLegendKey val="0"/>
          <c:showVal val="0"/>
          <c:showCatName val="0"/>
          <c:showSerName val="0"/>
          <c:showPercent val="0"/>
          <c:showBubbleSize val="0"/>
        </c:dLbls>
        <c:marker val="1"/>
        <c:smooth val="0"/>
        <c:axId val="455454720"/>
        <c:axId val="331802880"/>
      </c:lineChart>
      <c:dateAx>
        <c:axId val="33178688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31801344"/>
        <c:crosses val="autoZero"/>
        <c:auto val="0"/>
        <c:lblOffset val="0"/>
        <c:baseTimeUnit val="days"/>
      </c:dateAx>
      <c:valAx>
        <c:axId val="3318013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31786880"/>
        <c:crosses val="autoZero"/>
        <c:crossBetween val="between"/>
      </c:valAx>
      <c:valAx>
        <c:axId val="331802880"/>
        <c:scaling>
          <c:orientation val="minMax"/>
        </c:scaling>
        <c:delete val="0"/>
        <c:axPos val="r"/>
        <c:numFmt formatCode="#,##0.0_);[Red]\(#,##0.0\)" sourceLinked="0"/>
        <c:majorTickMark val="out"/>
        <c:minorTickMark val="none"/>
        <c:tickLblPos val="nextTo"/>
        <c:spPr>
          <a:ln w="3175">
            <a:solidFill>
              <a:sysClr val="windowText" lastClr="000000"/>
            </a:solidFill>
          </a:ln>
        </c:spPr>
        <c:crossAx val="455454720"/>
        <c:crosses val="max"/>
        <c:crossBetween val="between"/>
      </c:valAx>
      <c:dateAx>
        <c:axId val="455454720"/>
        <c:scaling>
          <c:orientation val="minMax"/>
        </c:scaling>
        <c:delete val="1"/>
        <c:axPos val="b"/>
        <c:numFmt formatCode="General" sourceLinked="1"/>
        <c:majorTickMark val="out"/>
        <c:minorTickMark val="none"/>
        <c:tickLblPos val="nextTo"/>
        <c:crossAx val="331802880"/>
        <c:crosses val="autoZero"/>
        <c:auto val="0"/>
        <c:lblOffset val="100"/>
        <c:baseTimeUnit val="years"/>
      </c:dateAx>
    </c:plotArea>
    <c:legend>
      <c:legendPos val="r"/>
      <c:layout>
        <c:manualLayout>
          <c:xMode val="edge"/>
          <c:yMode val="edge"/>
          <c:x val="0.13107251364862746"/>
          <c:y val="2.33403242375693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44309</c:v>
                </c:pt>
                <c:pt idx="1">
                  <c:v>44302</c:v>
                </c:pt>
                <c:pt idx="2">
                  <c:v>44295</c:v>
                </c:pt>
                <c:pt idx="3">
                  <c:v>44288</c:v>
                </c:pt>
                <c:pt idx="4">
                  <c:v>44281</c:v>
                </c:pt>
                <c:pt idx="5">
                  <c:v>44274</c:v>
                </c:pt>
                <c:pt idx="6">
                  <c:v>44267</c:v>
                </c:pt>
                <c:pt idx="7">
                  <c:v>44260</c:v>
                </c:pt>
                <c:pt idx="8">
                  <c:v>44253</c:v>
                </c:pt>
                <c:pt idx="9">
                  <c:v>44246</c:v>
                </c:pt>
                <c:pt idx="10">
                  <c:v>44237</c:v>
                </c:pt>
                <c:pt idx="11">
                  <c:v>44232</c:v>
                </c:pt>
                <c:pt idx="12">
                  <c:v>44225</c:v>
                </c:pt>
                <c:pt idx="13">
                  <c:v>44218</c:v>
                </c:pt>
                <c:pt idx="14">
                  <c:v>44211</c:v>
                </c:pt>
                <c:pt idx="15">
                  <c:v>44204</c:v>
                </c:pt>
                <c:pt idx="16">
                  <c:v>44196</c:v>
                </c:pt>
                <c:pt idx="17">
                  <c:v>44190</c:v>
                </c:pt>
                <c:pt idx="18">
                  <c:v>44183</c:v>
                </c:pt>
                <c:pt idx="19">
                  <c:v>44176</c:v>
                </c:pt>
                <c:pt idx="20">
                  <c:v>44169</c:v>
                </c:pt>
                <c:pt idx="21">
                  <c:v>44162</c:v>
                </c:pt>
                <c:pt idx="22">
                  <c:v>44155</c:v>
                </c:pt>
                <c:pt idx="23">
                  <c:v>44148</c:v>
                </c:pt>
              </c:numCache>
            </c:numRef>
          </c:cat>
          <c:val>
            <c:numRef>
              <c:f>转债!$H$5:$H$28</c:f>
              <c:numCache>
                <c:formatCode>General</c:formatCode>
                <c:ptCount val="24"/>
                <c:pt idx="0">
                  <c:v>1.4490117320459017</c:v>
                </c:pt>
                <c:pt idx="1">
                  <c:v>0.72253932668970844</c:v>
                </c:pt>
                <c:pt idx="2">
                  <c:v>1.0085069213990439</c:v>
                </c:pt>
                <c:pt idx="3">
                  <c:v>0.63210583040673729</c:v>
                </c:pt>
                <c:pt idx="4">
                  <c:v>4.5858604729409613E-2</c:v>
                </c:pt>
                <c:pt idx="5">
                  <c:v>0.62008809003690768</c:v>
                </c:pt>
                <c:pt idx="6">
                  <c:v>0.60462890583388162</c:v>
                </c:pt>
                <c:pt idx="7">
                  <c:v>0.28523014245938061</c:v>
                </c:pt>
                <c:pt idx="8">
                  <c:v>-0.1863842279175465</c:v>
                </c:pt>
                <c:pt idx="9">
                  <c:v>1.3314563807919289</c:v>
                </c:pt>
                <c:pt idx="10">
                  <c:v>-0.3315530689758317</c:v>
                </c:pt>
                <c:pt idx="11">
                  <c:v>-3.1046739723602945</c:v>
                </c:pt>
                <c:pt idx="12">
                  <c:v>-0.86063408875757252</c:v>
                </c:pt>
                <c:pt idx="13">
                  <c:v>3.0560294369087693</c:v>
                </c:pt>
                <c:pt idx="14">
                  <c:v>2.1183179315065193</c:v>
                </c:pt>
                <c:pt idx="15">
                  <c:v>2.1615271707453365</c:v>
                </c:pt>
                <c:pt idx="16">
                  <c:v>0.59438651347325511</c:v>
                </c:pt>
                <c:pt idx="17">
                  <c:v>-0.59132745228821504</c:v>
                </c:pt>
                <c:pt idx="18">
                  <c:v>-0.76613094857663766</c:v>
                </c:pt>
                <c:pt idx="19">
                  <c:v>-0.92369991265288665</c:v>
                </c:pt>
                <c:pt idx="20">
                  <c:v>0.78576902886278166</c:v>
                </c:pt>
                <c:pt idx="21">
                  <c:v>0.61858587249068453</c:v>
                </c:pt>
                <c:pt idx="22">
                  <c:v>-2.9798533507918723E-2</c:v>
                </c:pt>
                <c:pt idx="23">
                  <c:v>0</c:v>
                </c:pt>
              </c:numCache>
            </c:numRef>
          </c:val>
          <c:smooth val="1"/>
          <c:extLst xmlns:c16r2="http://schemas.microsoft.com/office/drawing/2015/06/chart">
            <c:ext xmlns:c16="http://schemas.microsoft.com/office/drawing/2014/chart" uri="{C3380CC4-5D6E-409C-BE32-E72D297353CC}">
              <c16:uniqueId val="{00000000-4EF7-4E07-B383-1770679A1082}"/>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44309</c:v>
                </c:pt>
                <c:pt idx="1">
                  <c:v>44302</c:v>
                </c:pt>
                <c:pt idx="2">
                  <c:v>44295</c:v>
                </c:pt>
                <c:pt idx="3">
                  <c:v>44288</c:v>
                </c:pt>
                <c:pt idx="4">
                  <c:v>44281</c:v>
                </c:pt>
                <c:pt idx="5">
                  <c:v>44274</c:v>
                </c:pt>
                <c:pt idx="6">
                  <c:v>44267</c:v>
                </c:pt>
                <c:pt idx="7">
                  <c:v>44260</c:v>
                </c:pt>
                <c:pt idx="8">
                  <c:v>44253</c:v>
                </c:pt>
                <c:pt idx="9">
                  <c:v>44246</c:v>
                </c:pt>
                <c:pt idx="10">
                  <c:v>44237</c:v>
                </c:pt>
                <c:pt idx="11">
                  <c:v>44232</c:v>
                </c:pt>
                <c:pt idx="12">
                  <c:v>44225</c:v>
                </c:pt>
                <c:pt idx="13">
                  <c:v>44218</c:v>
                </c:pt>
                <c:pt idx="14">
                  <c:v>44211</c:v>
                </c:pt>
                <c:pt idx="15">
                  <c:v>44204</c:v>
                </c:pt>
                <c:pt idx="16">
                  <c:v>44196</c:v>
                </c:pt>
                <c:pt idx="17">
                  <c:v>44190</c:v>
                </c:pt>
                <c:pt idx="18">
                  <c:v>44183</c:v>
                </c:pt>
                <c:pt idx="19">
                  <c:v>44176</c:v>
                </c:pt>
                <c:pt idx="20">
                  <c:v>44169</c:v>
                </c:pt>
                <c:pt idx="21">
                  <c:v>44162</c:v>
                </c:pt>
                <c:pt idx="22">
                  <c:v>44155</c:v>
                </c:pt>
                <c:pt idx="23">
                  <c:v>44148</c:v>
                </c:pt>
              </c:numCache>
            </c:numRef>
          </c:cat>
          <c:val>
            <c:numRef>
              <c:f>转债!$I$5:$I$28</c:f>
              <c:numCache>
                <c:formatCode>General</c:formatCode>
                <c:ptCount val="24"/>
                <c:pt idx="0">
                  <c:v>1.1012616179119528</c:v>
                </c:pt>
                <c:pt idx="1">
                  <c:v>0.97283959918630369</c:v>
                </c:pt>
                <c:pt idx="2">
                  <c:v>0.6765271946466811</c:v>
                </c:pt>
                <c:pt idx="3">
                  <c:v>0.70469442408718219</c:v>
                </c:pt>
                <c:pt idx="4">
                  <c:v>0.67755457079647918</c:v>
                </c:pt>
                <c:pt idx="5">
                  <c:v>0.50803750607864018</c:v>
                </c:pt>
                <c:pt idx="6">
                  <c:v>0.4216522948158552</c:v>
                </c:pt>
                <c:pt idx="7">
                  <c:v>0.41146414799695386</c:v>
                </c:pt>
                <c:pt idx="8">
                  <c:v>0.26155284480455787</c:v>
                </c:pt>
                <c:pt idx="9">
                  <c:v>0.28852146873692419</c:v>
                </c:pt>
                <c:pt idx="10">
                  <c:v>0.36369115703100974</c:v>
                </c:pt>
                <c:pt idx="11">
                  <c:v>0.37961548735299111</c:v>
                </c:pt>
                <c:pt idx="12">
                  <c:v>0.57447449709937537</c:v>
                </c:pt>
                <c:pt idx="13">
                  <c:v>0.95648719546859162</c:v>
                </c:pt>
                <c:pt idx="14">
                  <c:v>0.88114627781619159</c:v>
                </c:pt>
                <c:pt idx="15">
                  <c:v>0.89184811271001418</c:v>
                </c:pt>
                <c:pt idx="16">
                  <c:v>0.86676301171892955</c:v>
                </c:pt>
                <c:pt idx="17">
                  <c:v>0.58860091915919899</c:v>
                </c:pt>
                <c:pt idx="18">
                  <c:v>0.26668972555357051</c:v>
                </c:pt>
                <c:pt idx="19">
                  <c:v>0.13621295452832527</c:v>
                </c:pt>
                <c:pt idx="20">
                  <c:v>9.2549468161617909E-2</c:v>
                </c:pt>
                <c:pt idx="21">
                  <c:v>-8.2789394738480571E-2</c:v>
                </c:pt>
                <c:pt idx="22">
                  <c:v>-0.26900132189064951</c:v>
                </c:pt>
                <c:pt idx="23">
                  <c:v>0</c:v>
                </c:pt>
              </c:numCache>
            </c:numRef>
          </c:val>
          <c:smooth val="1"/>
          <c:extLst xmlns:c16r2="http://schemas.microsoft.com/office/drawing/2015/06/chart">
            <c:ext xmlns:c16="http://schemas.microsoft.com/office/drawing/2014/chart" uri="{C3380CC4-5D6E-409C-BE32-E72D297353CC}">
              <c16:uniqueId val="{00000001-4EF7-4E07-B383-1770679A1082}"/>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44309</c:v>
                </c:pt>
                <c:pt idx="1">
                  <c:v>44302</c:v>
                </c:pt>
                <c:pt idx="2">
                  <c:v>44295</c:v>
                </c:pt>
                <c:pt idx="3">
                  <c:v>44288</c:v>
                </c:pt>
                <c:pt idx="4">
                  <c:v>44281</c:v>
                </c:pt>
                <c:pt idx="5">
                  <c:v>44274</c:v>
                </c:pt>
                <c:pt idx="6">
                  <c:v>44267</c:v>
                </c:pt>
                <c:pt idx="7">
                  <c:v>44260</c:v>
                </c:pt>
                <c:pt idx="8">
                  <c:v>44253</c:v>
                </c:pt>
                <c:pt idx="9">
                  <c:v>44246</c:v>
                </c:pt>
                <c:pt idx="10">
                  <c:v>44237</c:v>
                </c:pt>
                <c:pt idx="11">
                  <c:v>44232</c:v>
                </c:pt>
                <c:pt idx="12">
                  <c:v>44225</c:v>
                </c:pt>
                <c:pt idx="13">
                  <c:v>44218</c:v>
                </c:pt>
                <c:pt idx="14">
                  <c:v>44211</c:v>
                </c:pt>
                <c:pt idx="15">
                  <c:v>44204</c:v>
                </c:pt>
                <c:pt idx="16">
                  <c:v>44196</c:v>
                </c:pt>
                <c:pt idx="17">
                  <c:v>44190</c:v>
                </c:pt>
                <c:pt idx="18">
                  <c:v>44183</c:v>
                </c:pt>
                <c:pt idx="19">
                  <c:v>44176</c:v>
                </c:pt>
                <c:pt idx="20">
                  <c:v>44169</c:v>
                </c:pt>
                <c:pt idx="21">
                  <c:v>44162</c:v>
                </c:pt>
                <c:pt idx="22">
                  <c:v>44155</c:v>
                </c:pt>
                <c:pt idx="23">
                  <c:v>44148</c:v>
                </c:pt>
              </c:numCache>
            </c:numRef>
          </c:cat>
          <c:val>
            <c:numRef>
              <c:f>转债!$J$5:$J$28</c:f>
              <c:numCache>
                <c:formatCode>General</c:formatCode>
                <c:ptCount val="24"/>
                <c:pt idx="0">
                  <c:v>5.7362699162727182</c:v>
                </c:pt>
                <c:pt idx="1">
                  <c:v>2.2510427692113977</c:v>
                </c:pt>
                <c:pt idx="2">
                  <c:v>3.6749344168720999</c:v>
                </c:pt>
                <c:pt idx="3">
                  <c:v>6.2737271779351955</c:v>
                </c:pt>
                <c:pt idx="4">
                  <c:v>3.7295479892497374</c:v>
                </c:pt>
                <c:pt idx="5">
                  <c:v>3.093349800517875</c:v>
                </c:pt>
                <c:pt idx="6">
                  <c:v>5.9612140071078512</c:v>
                </c:pt>
                <c:pt idx="7">
                  <c:v>8.3581825945546093</c:v>
                </c:pt>
                <c:pt idx="8">
                  <c:v>9.8810848913574834</c:v>
                </c:pt>
                <c:pt idx="9">
                  <c:v>18.983300971145646</c:v>
                </c:pt>
                <c:pt idx="10">
                  <c:v>19.577865190149012</c:v>
                </c:pt>
                <c:pt idx="11">
                  <c:v>12.900594671284239</c:v>
                </c:pt>
                <c:pt idx="12">
                  <c:v>10.194121034753522</c:v>
                </c:pt>
                <c:pt idx="13">
                  <c:v>14.67874258369819</c:v>
                </c:pt>
                <c:pt idx="14">
                  <c:v>12.379005715081281</c:v>
                </c:pt>
                <c:pt idx="15">
                  <c:v>13.148010110995155</c:v>
                </c:pt>
                <c:pt idx="16">
                  <c:v>7.2976745242334218</c:v>
                </c:pt>
                <c:pt idx="17">
                  <c:v>3.8123959034941146</c:v>
                </c:pt>
                <c:pt idx="18">
                  <c:v>2.9466930560546611</c:v>
                </c:pt>
                <c:pt idx="19">
                  <c:v>0.67487962828922665</c:v>
                </c:pt>
                <c:pt idx="20">
                  <c:v>4.3045377979762156</c:v>
                </c:pt>
                <c:pt idx="21">
                  <c:v>2.5513175583530945</c:v>
                </c:pt>
                <c:pt idx="22">
                  <c:v>1.779690063807382</c:v>
                </c:pt>
                <c:pt idx="23">
                  <c:v>0</c:v>
                </c:pt>
              </c:numCache>
            </c:numRef>
          </c:val>
          <c:smooth val="1"/>
          <c:extLst xmlns:c16r2="http://schemas.microsoft.com/office/drawing/2015/06/chart">
            <c:ext xmlns:c16="http://schemas.microsoft.com/office/drawing/2014/chart" uri="{C3380CC4-5D6E-409C-BE32-E72D297353CC}">
              <c16:uniqueId val="{00000002-4EF7-4E07-B383-1770679A1082}"/>
            </c:ext>
          </c:extLst>
        </c:ser>
        <c:dLbls>
          <c:showLegendKey val="0"/>
          <c:showVal val="0"/>
          <c:showCatName val="0"/>
          <c:showSerName val="0"/>
          <c:showPercent val="0"/>
          <c:showBubbleSize val="0"/>
        </c:dLbls>
        <c:marker val="1"/>
        <c:smooth val="0"/>
        <c:axId val="455603712"/>
        <c:axId val="455605248"/>
      </c:lineChart>
      <c:dateAx>
        <c:axId val="45560371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55605248"/>
        <c:crosses val="autoZero"/>
        <c:auto val="0"/>
        <c:lblOffset val="0"/>
        <c:baseTimeUnit val="days"/>
        <c:majorUnit val="14"/>
        <c:majorTimeUnit val="days"/>
      </c:dateAx>
      <c:valAx>
        <c:axId val="45560524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560371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0D77-4555-A666-CA3A558EF332}"/>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D77-4555-A666-CA3A558EF332}"/>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0D77-4555-A666-CA3A558EF332}"/>
            </c:ext>
          </c:extLst>
        </c:ser>
        <c:dLbls>
          <c:showLegendKey val="0"/>
          <c:showVal val="0"/>
          <c:showCatName val="0"/>
          <c:showSerName val="0"/>
          <c:showPercent val="0"/>
          <c:showBubbleSize val="0"/>
        </c:dLbls>
        <c:marker val="1"/>
        <c:smooth val="0"/>
        <c:axId val="458132864"/>
        <c:axId val="458142848"/>
      </c:lineChart>
      <c:dateAx>
        <c:axId val="4581328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142848"/>
        <c:crosses val="autoZero"/>
        <c:auto val="0"/>
        <c:lblOffset val="0"/>
        <c:baseTimeUnit val="days"/>
        <c:majorUnit val="1"/>
        <c:majorTimeUnit val="months"/>
      </c:dateAx>
      <c:valAx>
        <c:axId val="45814284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1328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67DF-4727-ACAC-292BFB84EE4A}"/>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67DF-4727-ACAC-292BFB84EE4A}"/>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67DF-4727-ACAC-292BFB84EE4A}"/>
            </c:ext>
          </c:extLst>
        </c:ser>
        <c:dLbls>
          <c:showLegendKey val="0"/>
          <c:showVal val="0"/>
          <c:showCatName val="0"/>
          <c:showSerName val="0"/>
          <c:showPercent val="0"/>
          <c:showBubbleSize val="0"/>
        </c:dLbls>
        <c:marker val="1"/>
        <c:smooth val="0"/>
        <c:axId val="458304896"/>
        <c:axId val="458310784"/>
      </c:lineChart>
      <c:dateAx>
        <c:axId val="4583048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310784"/>
        <c:crosses val="autoZero"/>
        <c:auto val="0"/>
        <c:lblOffset val="0"/>
        <c:baseTimeUnit val="days"/>
        <c:majorUnit val="1"/>
        <c:majorTimeUnit val="months"/>
      </c:dateAx>
      <c:valAx>
        <c:axId val="45831078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3048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44310</c:v>
                </c:pt>
                <c:pt idx="1">
                  <c:v>44303</c:v>
                </c:pt>
                <c:pt idx="2">
                  <c:v>44296</c:v>
                </c:pt>
                <c:pt idx="3">
                  <c:v>44289</c:v>
                </c:pt>
                <c:pt idx="4">
                  <c:v>44282</c:v>
                </c:pt>
                <c:pt idx="5">
                  <c:v>44275</c:v>
                </c:pt>
                <c:pt idx="6">
                  <c:v>44268</c:v>
                </c:pt>
                <c:pt idx="7">
                  <c:v>44261</c:v>
                </c:pt>
                <c:pt idx="8">
                  <c:v>44254</c:v>
                </c:pt>
                <c:pt idx="9">
                  <c:v>44247</c:v>
                </c:pt>
                <c:pt idx="10">
                  <c:v>44240</c:v>
                </c:pt>
                <c:pt idx="11">
                  <c:v>44233</c:v>
                </c:pt>
                <c:pt idx="12">
                  <c:v>44226</c:v>
                </c:pt>
                <c:pt idx="13">
                  <c:v>44219</c:v>
                </c:pt>
                <c:pt idx="14">
                  <c:v>44212</c:v>
                </c:pt>
                <c:pt idx="15">
                  <c:v>44205</c:v>
                </c:pt>
                <c:pt idx="16">
                  <c:v>44198</c:v>
                </c:pt>
                <c:pt idx="17">
                  <c:v>44191</c:v>
                </c:pt>
                <c:pt idx="18">
                  <c:v>44184</c:v>
                </c:pt>
                <c:pt idx="19">
                  <c:v>44177</c:v>
                </c:pt>
                <c:pt idx="20">
                  <c:v>44170</c:v>
                </c:pt>
                <c:pt idx="21">
                  <c:v>44163</c:v>
                </c:pt>
                <c:pt idx="22">
                  <c:v>44156</c:v>
                </c:pt>
                <c:pt idx="23">
                  <c:v>44149</c:v>
                </c:pt>
                <c:pt idx="24">
                  <c:v>44142</c:v>
                </c:pt>
                <c:pt idx="25">
                  <c:v>44135</c:v>
                </c:pt>
              </c:numCache>
            </c:numRef>
          </c:cat>
          <c:val>
            <c:numRef>
              <c:f>汇率!$B$3:$B$28</c:f>
              <c:numCache>
                <c:formatCode>###,###,###,###,##0.00</c:formatCode>
                <c:ptCount val="26"/>
                <c:pt idx="0">
                  <c:v>6.4935999999999998</c:v>
                </c:pt>
                <c:pt idx="1">
                  <c:v>6.5228000000000002</c:v>
                </c:pt>
                <c:pt idx="2">
                  <c:v>6.5589000000000004</c:v>
                </c:pt>
                <c:pt idx="3">
                  <c:v>6.5612000000000004</c:v>
                </c:pt>
                <c:pt idx="4">
                  <c:v>6.5407000000000002</c:v>
                </c:pt>
                <c:pt idx="5">
                  <c:v>6.5045000000000002</c:v>
                </c:pt>
                <c:pt idx="6">
                  <c:v>6.5035999999999996</c:v>
                </c:pt>
                <c:pt idx="7">
                  <c:v>6.4767999999999999</c:v>
                </c:pt>
                <c:pt idx="8">
                  <c:v>6.4589999999999996</c:v>
                </c:pt>
                <c:pt idx="9">
                  <c:v>6.4574999999999996</c:v>
                </c:pt>
                <c:pt idx="10">
                  <c:v>6.4379999999999997</c:v>
                </c:pt>
                <c:pt idx="11">
                  <c:v>6.4809999999999999</c:v>
                </c:pt>
                <c:pt idx="12">
                  <c:v>6.4611999999999998</c:v>
                </c:pt>
                <c:pt idx="13">
                  <c:v>6.4776999999999996</c:v>
                </c:pt>
                <c:pt idx="14">
                  <c:v>6.4752000000000001</c:v>
                </c:pt>
                <c:pt idx="15">
                  <c:v>6.4718999999999998</c:v>
                </c:pt>
                <c:pt idx="16">
                  <c:v>6.5397999999999996</c:v>
                </c:pt>
                <c:pt idx="17">
                  <c:v>6.5240999999999998</c:v>
                </c:pt>
                <c:pt idx="18">
                  <c:v>6.5415000000000001</c:v>
                </c:pt>
                <c:pt idx="19">
                  <c:v>6.5411000000000001</c:v>
                </c:pt>
                <c:pt idx="20">
                  <c:v>6.5301999999999998</c:v>
                </c:pt>
                <c:pt idx="21">
                  <c:v>6.5823</c:v>
                </c:pt>
                <c:pt idx="22">
                  <c:v>6.5713999999999997</c:v>
                </c:pt>
                <c:pt idx="23">
                  <c:v>6.6143999999999998</c:v>
                </c:pt>
                <c:pt idx="24">
                  <c:v>6.6215000000000002</c:v>
                </c:pt>
                <c:pt idx="25">
                  <c:v>6.7001999999999997</c:v>
                </c:pt>
              </c:numCache>
            </c:numRef>
          </c:val>
          <c:smooth val="1"/>
          <c:extLst xmlns:c16r2="http://schemas.microsoft.com/office/drawing/2015/06/chart">
            <c:ext xmlns:c16="http://schemas.microsoft.com/office/drawing/2014/chart" uri="{C3380CC4-5D6E-409C-BE32-E72D297353CC}">
              <c16:uniqueId val="{00000000-5F05-463F-9349-6788ADDA340E}"/>
            </c:ext>
          </c:extLst>
        </c:ser>
        <c:dLbls>
          <c:showLegendKey val="0"/>
          <c:showVal val="0"/>
          <c:showCatName val="0"/>
          <c:showSerName val="0"/>
          <c:showPercent val="0"/>
          <c:showBubbleSize val="0"/>
        </c:dLbls>
        <c:marker val="1"/>
        <c:smooth val="0"/>
        <c:axId val="458333568"/>
        <c:axId val="45803225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44310</c:v>
                </c:pt>
                <c:pt idx="1">
                  <c:v>44303</c:v>
                </c:pt>
                <c:pt idx="2">
                  <c:v>44296</c:v>
                </c:pt>
                <c:pt idx="3">
                  <c:v>44289</c:v>
                </c:pt>
                <c:pt idx="4">
                  <c:v>44282</c:v>
                </c:pt>
                <c:pt idx="5">
                  <c:v>44275</c:v>
                </c:pt>
                <c:pt idx="6">
                  <c:v>44268</c:v>
                </c:pt>
                <c:pt idx="7">
                  <c:v>44261</c:v>
                </c:pt>
                <c:pt idx="8">
                  <c:v>44254</c:v>
                </c:pt>
                <c:pt idx="9">
                  <c:v>44247</c:v>
                </c:pt>
                <c:pt idx="10">
                  <c:v>44240</c:v>
                </c:pt>
                <c:pt idx="11">
                  <c:v>44233</c:v>
                </c:pt>
                <c:pt idx="12">
                  <c:v>44226</c:v>
                </c:pt>
                <c:pt idx="13">
                  <c:v>44219</c:v>
                </c:pt>
                <c:pt idx="14">
                  <c:v>44212</c:v>
                </c:pt>
                <c:pt idx="15">
                  <c:v>44205</c:v>
                </c:pt>
                <c:pt idx="16">
                  <c:v>44198</c:v>
                </c:pt>
                <c:pt idx="17">
                  <c:v>44191</c:v>
                </c:pt>
                <c:pt idx="18">
                  <c:v>44184</c:v>
                </c:pt>
                <c:pt idx="19">
                  <c:v>44177</c:v>
                </c:pt>
                <c:pt idx="20">
                  <c:v>44170</c:v>
                </c:pt>
                <c:pt idx="21">
                  <c:v>44163</c:v>
                </c:pt>
                <c:pt idx="22">
                  <c:v>44156</c:v>
                </c:pt>
                <c:pt idx="23">
                  <c:v>44149</c:v>
                </c:pt>
                <c:pt idx="24">
                  <c:v>44142</c:v>
                </c:pt>
                <c:pt idx="25">
                  <c:v>44135</c:v>
                </c:pt>
              </c:numCache>
            </c:numRef>
          </c:cat>
          <c:val>
            <c:numRef>
              <c:f>汇率!$C$3:$C$28</c:f>
              <c:numCache>
                <c:formatCode>###,###,###,###,##0.00</c:formatCode>
                <c:ptCount val="26"/>
                <c:pt idx="0">
                  <c:v>159.19</c:v>
                </c:pt>
                <c:pt idx="1">
                  <c:v>157.31</c:v>
                </c:pt>
                <c:pt idx="2">
                  <c:v>154.21</c:v>
                </c:pt>
                <c:pt idx="3">
                  <c:v>148.13</c:v>
                </c:pt>
                <c:pt idx="4">
                  <c:v>152.85000000000002</c:v>
                </c:pt>
                <c:pt idx="5">
                  <c:v>149.64000000000001</c:v>
                </c:pt>
                <c:pt idx="6">
                  <c:v>162.13</c:v>
                </c:pt>
                <c:pt idx="7">
                  <c:v>168.56999999999996</c:v>
                </c:pt>
                <c:pt idx="8">
                  <c:v>183.98</c:v>
                </c:pt>
                <c:pt idx="9">
                  <c:v>191.78</c:v>
                </c:pt>
                <c:pt idx="10">
                  <c:v>209.49</c:v>
                </c:pt>
                <c:pt idx="11">
                  <c:v>202.64000000000001</c:v>
                </c:pt>
                <c:pt idx="12">
                  <c:v>206.86</c:v>
                </c:pt>
                <c:pt idx="13">
                  <c:v>201.85</c:v>
                </c:pt>
                <c:pt idx="14">
                  <c:v>204.07999999999998</c:v>
                </c:pt>
                <c:pt idx="15">
                  <c:v>201.56</c:v>
                </c:pt>
                <c:pt idx="16">
                  <c:v>221.29</c:v>
                </c:pt>
                <c:pt idx="17">
                  <c:v>229.03000000000003</c:v>
                </c:pt>
                <c:pt idx="18">
                  <c:v>234.02000000000004</c:v>
                </c:pt>
                <c:pt idx="19">
                  <c:v>239.51000000000002</c:v>
                </c:pt>
                <c:pt idx="20">
                  <c:v>229.50999999999996</c:v>
                </c:pt>
                <c:pt idx="21">
                  <c:v>246</c:v>
                </c:pt>
                <c:pt idx="22">
                  <c:v>248</c:v>
                </c:pt>
                <c:pt idx="23">
                  <c:v>238.15</c:v>
                </c:pt>
                <c:pt idx="24">
                  <c:v>237.63</c:v>
                </c:pt>
                <c:pt idx="25">
                  <c:v>230.10000000000002</c:v>
                </c:pt>
              </c:numCache>
            </c:numRef>
          </c:val>
          <c:smooth val="1"/>
          <c:extLst xmlns:c16r2="http://schemas.microsoft.com/office/drawing/2015/06/chart">
            <c:ext xmlns:c16="http://schemas.microsoft.com/office/drawing/2014/chart" uri="{C3380CC4-5D6E-409C-BE32-E72D297353CC}">
              <c16:uniqueId val="{00000001-5F05-463F-9349-6788ADDA340E}"/>
            </c:ext>
          </c:extLst>
        </c:ser>
        <c:dLbls>
          <c:showLegendKey val="0"/>
          <c:showVal val="0"/>
          <c:showCatName val="0"/>
          <c:showSerName val="0"/>
          <c:showPercent val="0"/>
          <c:showBubbleSize val="0"/>
        </c:dLbls>
        <c:marker val="1"/>
        <c:smooth val="0"/>
        <c:axId val="458039680"/>
        <c:axId val="458033792"/>
      </c:lineChart>
      <c:dateAx>
        <c:axId val="4583335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032256"/>
        <c:crosses val="autoZero"/>
        <c:auto val="0"/>
        <c:lblOffset val="0"/>
        <c:baseTimeUnit val="days"/>
      </c:dateAx>
      <c:valAx>
        <c:axId val="45803225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333568"/>
        <c:crosses val="autoZero"/>
        <c:crossBetween val="between"/>
      </c:valAx>
      <c:valAx>
        <c:axId val="458033792"/>
        <c:scaling>
          <c:orientation val="minMax"/>
        </c:scaling>
        <c:delete val="0"/>
        <c:axPos val="r"/>
        <c:numFmt formatCode="#,##0_);[Red]\(#,##0\)" sourceLinked="0"/>
        <c:majorTickMark val="out"/>
        <c:minorTickMark val="none"/>
        <c:tickLblPos val="nextTo"/>
        <c:spPr>
          <a:ln w="3175">
            <a:solidFill>
              <a:sysClr val="windowText" lastClr="000000"/>
            </a:solidFill>
          </a:ln>
        </c:spPr>
        <c:crossAx val="458039680"/>
        <c:crosses val="max"/>
        <c:crossBetween val="between"/>
      </c:valAx>
      <c:dateAx>
        <c:axId val="458039680"/>
        <c:scaling>
          <c:orientation val="minMax"/>
        </c:scaling>
        <c:delete val="1"/>
        <c:axPos val="b"/>
        <c:numFmt formatCode="yyyy\-mm\-dd;@" sourceLinked="1"/>
        <c:majorTickMark val="out"/>
        <c:minorTickMark val="none"/>
        <c:tickLblPos val="nextTo"/>
        <c:crossAx val="458033792"/>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5335-42AD-863B-C3A6351A840F}"/>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5335-42AD-863B-C3A6351A840F}"/>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31.37</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5335-42AD-863B-C3A6351A840F}"/>
            </c:ext>
          </c:extLst>
        </c:ser>
        <c:dLbls>
          <c:showLegendKey val="0"/>
          <c:showVal val="0"/>
          <c:showCatName val="0"/>
          <c:showSerName val="0"/>
          <c:showPercent val="0"/>
          <c:showBubbleSize val="0"/>
        </c:dLbls>
        <c:marker val="1"/>
        <c:smooth val="0"/>
        <c:axId val="458058752"/>
        <c:axId val="458072832"/>
      </c:lineChart>
      <c:dateAx>
        <c:axId val="45805875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58072832"/>
        <c:crosses val="autoZero"/>
        <c:auto val="0"/>
        <c:lblOffset val="0"/>
        <c:baseTimeUnit val="days"/>
        <c:majorUnit val="1"/>
        <c:majorTimeUnit val="months"/>
      </c:dateAx>
      <c:valAx>
        <c:axId val="45807283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58058752"/>
        <c:crosses val="autoZero"/>
        <c:crossBetween val="between"/>
      </c:valAx>
      <c:spPr>
        <a:solidFill>
          <a:schemeClr val="bg1"/>
        </a:solidFill>
        <a:ln>
          <a:noFill/>
        </a:ln>
        <a:effectLst/>
      </c:spPr>
    </c:plotArea>
    <c:legend>
      <c:legendPos val="r"/>
      <c:layout>
        <c:manualLayout>
          <c:xMode val="edge"/>
          <c:yMode val="edge"/>
          <c:x val="0.15225"/>
          <c:y val="2.3337707786526686E-3"/>
          <c:w val="0.65753266189324733"/>
          <c:h val="0.1116476911416265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5.27219E-7</cdr:y>
    </cdr:from>
    <cdr:to>
      <cdr:x>0.14713</cdr:x>
      <cdr:y>0.09303</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41158" cy="17646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31BD4F-0290-4B8A-BDAA-0994893E2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810</Words>
  <Characters>4623</Characters>
  <Application>Microsoft Office Word</Application>
  <DocSecurity>0</DocSecurity>
  <Lines>38</Lines>
  <Paragraphs>10</Paragraphs>
  <ScaleCrop>false</ScaleCrop>
  <Company>Microsoft</Company>
  <LinksUpToDate>false</LinksUpToDate>
  <CharactersWithSpaces>5423</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2021-04-26T05:02:00Z</dcterms:created>
  <dcterms:modified xsi:type="dcterms:W3CDTF">2021-04-26T07:30:00Z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