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B6FE8EC"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035CCE">
        <w:rPr>
          <w:rFonts w:ascii="楷体" w:eastAsia="楷体" w:hAnsi="楷体" w:hint="eastAsia"/>
          <w:sz w:val="28"/>
          <w:szCs w:val="28"/>
        </w:rPr>
        <w:t>基本面延续渐进中修复</w:t>
      </w:r>
      <w:r w:rsidR="00CD02EA">
        <w:rPr>
          <w:rFonts w:ascii="楷体" w:eastAsia="楷体" w:hAnsi="楷体" w:hint="eastAsia"/>
          <w:sz w:val="28"/>
          <w:szCs w:val="28"/>
        </w:rPr>
        <w:t>，</w:t>
      </w:r>
      <w:r w:rsidR="00793F51">
        <w:rPr>
          <w:rFonts w:ascii="楷体" w:eastAsia="楷体" w:hAnsi="楷体" w:hint="eastAsia"/>
          <w:sz w:val="28"/>
          <w:szCs w:val="28"/>
        </w:rPr>
        <w:t>债市</w:t>
      </w:r>
      <w:r w:rsidR="00035CCE">
        <w:rPr>
          <w:rFonts w:ascii="楷体" w:eastAsia="楷体" w:hAnsi="楷体" w:hint="eastAsia"/>
          <w:sz w:val="28"/>
          <w:szCs w:val="28"/>
        </w:rPr>
        <w:t>多空分歧</w:t>
      </w:r>
      <w:r w:rsidR="00C15F3D">
        <w:rPr>
          <w:rFonts w:ascii="楷体" w:eastAsia="楷体" w:hAnsi="楷体" w:hint="eastAsia"/>
          <w:sz w:val="28"/>
          <w:szCs w:val="28"/>
        </w:rPr>
        <w:t>隐现</w:t>
      </w:r>
      <w:r w:rsidR="007F77B5" w:rsidRPr="00541553">
        <w:rPr>
          <w:rFonts w:ascii="楷体" w:eastAsia="楷体" w:hAnsi="楷体"/>
          <w:sz w:val="28"/>
          <w:szCs w:val="28"/>
        </w:rPr>
        <w:t xml:space="preserve"> </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3A09E43F" w:rsidR="00695DD9" w:rsidRPr="00DF6DF8" w:rsidRDefault="000E131B" w:rsidP="00695DD9">
      <w:pPr>
        <w:pStyle w:val="Header1"/>
        <w:spacing w:before="240"/>
        <w:ind w:firstLine="480"/>
        <w:rPr>
          <w:rFonts w:ascii="华文楷体" w:hAnsi="华文楷体"/>
          <w:b w:val="0"/>
          <w:color w:val="auto"/>
          <w:sz w:val="24"/>
          <w:szCs w:val="24"/>
        </w:rPr>
      </w:pPr>
      <w:r w:rsidRPr="000E131B">
        <w:rPr>
          <w:rFonts w:ascii="华文楷体" w:hAnsi="华文楷体"/>
          <w:b w:val="0"/>
          <w:color w:val="auto"/>
          <w:sz w:val="24"/>
          <w:szCs w:val="24"/>
        </w:rPr>
        <w:t>2021年4月中国官方制造业PMI51.1%，较3月下行0.8个百分点，预期值51.7%；官方非制造业PMI为54.9%，较3月回落1.4个百分点，预期值56.1%；综合PMI产出指数为53.8%，比3月低1.5个百分点。</w:t>
      </w:r>
    </w:p>
    <w:p w14:paraId="090EC56C" w14:textId="22C4183F" w:rsidR="0090508B" w:rsidRPr="0064149E" w:rsidRDefault="00DF6DF8" w:rsidP="002D0C96">
      <w:pPr>
        <w:pStyle w:val="Header1"/>
        <w:spacing w:before="240"/>
        <w:ind w:firstLine="480"/>
        <w:rPr>
          <w:rFonts w:ascii="华文楷体" w:hAnsi="华文楷体"/>
          <w:b w:val="0"/>
          <w:color w:val="auto"/>
          <w:sz w:val="24"/>
          <w:szCs w:val="24"/>
        </w:rPr>
      </w:pPr>
      <w:r>
        <w:rPr>
          <w:rFonts w:ascii="华文楷体" w:hAnsi="华文楷体" w:hint="eastAsia"/>
          <w:b w:val="0"/>
          <w:smallCaps w:val="0"/>
          <w:color w:val="auto"/>
          <w:sz w:val="24"/>
          <w:szCs w:val="24"/>
        </w:rPr>
        <w:t>从数据来</w:t>
      </w:r>
      <w:r w:rsidRPr="00DF6DF8">
        <w:rPr>
          <w:rFonts w:ascii="华文楷体" w:hAnsi="华文楷体" w:hint="eastAsia"/>
          <w:b w:val="0"/>
          <w:color w:val="auto"/>
          <w:sz w:val="24"/>
          <w:szCs w:val="24"/>
        </w:rPr>
        <w:t>看，</w:t>
      </w:r>
      <w:r w:rsidR="000E131B" w:rsidRPr="0064149E">
        <w:rPr>
          <w:rFonts w:ascii="华文楷体" w:hAnsi="华文楷体"/>
          <w:b w:val="0"/>
          <w:color w:val="auto"/>
          <w:sz w:val="24"/>
          <w:szCs w:val="24"/>
        </w:rPr>
        <w:t>2021年4月新订单、生产分项分别回落1.6个百分点、1.7个百分点至52%、52.2%</w:t>
      </w:r>
      <w:r w:rsidR="000E131B" w:rsidRPr="0064149E">
        <w:rPr>
          <w:rFonts w:ascii="华文楷体" w:hAnsi="华文楷体" w:hint="eastAsia"/>
          <w:b w:val="0"/>
          <w:color w:val="auto"/>
          <w:sz w:val="24"/>
          <w:szCs w:val="24"/>
        </w:rPr>
        <w:t>，</w:t>
      </w:r>
      <w:r w:rsidR="000E131B" w:rsidRPr="0064149E">
        <w:rPr>
          <w:rFonts w:ascii="华文楷体" w:hAnsi="华文楷体"/>
          <w:b w:val="0"/>
          <w:color w:val="auto"/>
          <w:sz w:val="24"/>
          <w:szCs w:val="24"/>
        </w:rPr>
        <w:t>采购量分项环比下行1.4个百分点至51.7%。从库存的角度看，原材料库存分项下行、产成品库存上升，幅度均在0.1个百分点</w:t>
      </w:r>
      <w:r w:rsidRPr="0064149E">
        <w:rPr>
          <w:rFonts w:ascii="华文楷体" w:hAnsi="华文楷体" w:hint="eastAsia"/>
          <w:b w:val="0"/>
          <w:color w:val="auto"/>
          <w:sz w:val="24"/>
          <w:szCs w:val="24"/>
        </w:rPr>
        <w:t>。</w:t>
      </w:r>
    </w:p>
    <w:p w14:paraId="57E2FDDB" w14:textId="7D80A4E9" w:rsidR="000E131B" w:rsidRPr="0064149E" w:rsidRDefault="000E131B" w:rsidP="002D0C96">
      <w:pPr>
        <w:pStyle w:val="Header1"/>
        <w:spacing w:before="240"/>
        <w:ind w:firstLine="480"/>
        <w:rPr>
          <w:rFonts w:ascii="华文楷体" w:hAnsi="华文楷体"/>
          <w:b w:val="0"/>
          <w:color w:val="auto"/>
          <w:sz w:val="24"/>
          <w:szCs w:val="24"/>
        </w:rPr>
      </w:pPr>
      <w:r w:rsidRPr="0064149E">
        <w:rPr>
          <w:rFonts w:ascii="华文楷体" w:hAnsi="华文楷体"/>
          <w:b w:val="0"/>
          <w:color w:val="auto"/>
          <w:sz w:val="24"/>
          <w:szCs w:val="24"/>
        </w:rPr>
        <w:t>4月新出口订单和进口分项仍在景气区间，但较3</w:t>
      </w:r>
      <w:proofErr w:type="gramStart"/>
      <w:r w:rsidRPr="0064149E">
        <w:rPr>
          <w:rFonts w:ascii="华文楷体" w:hAnsi="华文楷体"/>
          <w:b w:val="0"/>
          <w:color w:val="auto"/>
          <w:sz w:val="24"/>
          <w:szCs w:val="24"/>
        </w:rPr>
        <w:t>月分</w:t>
      </w:r>
      <w:proofErr w:type="gramEnd"/>
      <w:r w:rsidRPr="0064149E">
        <w:rPr>
          <w:rFonts w:ascii="华文楷体" w:hAnsi="华文楷体"/>
          <w:b w:val="0"/>
          <w:color w:val="auto"/>
          <w:sz w:val="24"/>
          <w:szCs w:val="24"/>
        </w:rPr>
        <w:t>别回落0.8、0.5个百分点至50.4%、50.6%。</w:t>
      </w:r>
      <w:r w:rsidR="0064149E" w:rsidRPr="0064149E">
        <w:rPr>
          <w:rFonts w:ascii="华文楷体" w:hAnsi="华文楷体"/>
          <w:b w:val="0"/>
          <w:color w:val="auto"/>
          <w:sz w:val="24"/>
          <w:szCs w:val="24"/>
        </w:rPr>
        <w:t>4月进出口相关高频指标维持高位运行</w:t>
      </w:r>
      <w:r w:rsidR="0064149E" w:rsidRPr="0064149E">
        <w:rPr>
          <w:rFonts w:ascii="华文楷体" w:hAnsi="华文楷体" w:hint="eastAsia"/>
          <w:b w:val="0"/>
          <w:color w:val="auto"/>
          <w:sz w:val="24"/>
          <w:szCs w:val="24"/>
        </w:rPr>
        <w:t>，一定程度上来自于海外供给修复影响。</w:t>
      </w:r>
    </w:p>
    <w:p w14:paraId="4B437B40" w14:textId="00D0DEFF" w:rsidR="0064149E" w:rsidRPr="0064149E" w:rsidRDefault="0064149E" w:rsidP="002D0C96">
      <w:pPr>
        <w:pStyle w:val="Header1"/>
        <w:spacing w:before="240"/>
        <w:ind w:firstLine="480"/>
        <w:rPr>
          <w:rFonts w:ascii="华文楷体" w:hAnsi="华文楷体"/>
          <w:b w:val="0"/>
          <w:color w:val="auto"/>
          <w:sz w:val="24"/>
          <w:szCs w:val="24"/>
        </w:rPr>
      </w:pPr>
      <w:r w:rsidRPr="0064149E">
        <w:rPr>
          <w:rFonts w:ascii="华文楷体" w:hAnsi="华文楷体"/>
          <w:b w:val="0"/>
          <w:color w:val="auto"/>
          <w:sz w:val="24"/>
          <w:szCs w:val="24"/>
        </w:rPr>
        <w:t>4月制造业从业人员指数为49.6%，比3月回落0.5个百分点；与此同时，非制造业从业人员指数为48.7%，较上月下降1个百分点。</w:t>
      </w:r>
    </w:p>
    <w:p w14:paraId="2272D145" w14:textId="5BD98C70" w:rsidR="00DF6DF8" w:rsidRDefault="0064149E" w:rsidP="002D0C96">
      <w:pPr>
        <w:pStyle w:val="Header1"/>
        <w:spacing w:before="240"/>
        <w:ind w:firstLine="480"/>
        <w:rPr>
          <w:rFonts w:ascii="华文楷体" w:hAnsi="华文楷体"/>
          <w:b w:val="0"/>
          <w:color w:val="auto"/>
          <w:sz w:val="24"/>
          <w:szCs w:val="24"/>
        </w:rPr>
      </w:pPr>
      <w:r w:rsidRPr="0064149E">
        <w:rPr>
          <w:rFonts w:ascii="华文楷体" w:hAnsi="华文楷体"/>
          <w:b w:val="0"/>
          <w:color w:val="auto"/>
          <w:sz w:val="24"/>
          <w:szCs w:val="24"/>
        </w:rPr>
        <w:t>4月小型企业PMI继续上行0.4个百分点至50.8%，而大、中型企业PMI分别回落1个百分点、1.3个百分点至51.7%、50.3%</w:t>
      </w:r>
      <w:r w:rsidR="00DF6DF8" w:rsidRPr="0064149E">
        <w:rPr>
          <w:rFonts w:ascii="华文楷体" w:hAnsi="华文楷体" w:hint="eastAsia"/>
          <w:b w:val="0"/>
          <w:color w:val="auto"/>
          <w:sz w:val="24"/>
          <w:szCs w:val="24"/>
        </w:rPr>
        <w:t>。</w:t>
      </w:r>
    </w:p>
    <w:p w14:paraId="43ED8B7D" w14:textId="71CDCB8D" w:rsidR="0064149E" w:rsidRPr="0064149E" w:rsidRDefault="0064149E" w:rsidP="002D0C96">
      <w:pPr>
        <w:pStyle w:val="Header1"/>
        <w:spacing w:before="240"/>
        <w:ind w:firstLine="480"/>
        <w:rPr>
          <w:rFonts w:ascii="华文楷体" w:hAnsi="华文楷体"/>
          <w:b w:val="0"/>
          <w:color w:val="auto"/>
          <w:sz w:val="24"/>
          <w:szCs w:val="24"/>
        </w:rPr>
      </w:pPr>
      <w:r w:rsidRPr="0064149E">
        <w:rPr>
          <w:rFonts w:ascii="华文楷体" w:hAnsi="华文楷体"/>
          <w:b w:val="0"/>
          <w:color w:val="auto"/>
          <w:sz w:val="24"/>
          <w:szCs w:val="24"/>
        </w:rPr>
        <w:t>4月非制造业PMI环比下滑1.4个百分点至54.9%，其中，新订单分项下滑4.4个百分点，对非制造业整体PMI 下行的拖累较为显著。按行业看，建筑业商务活动指数为57.4%，虽仍在高景气区间，但较3月下行4.9个百分点</w:t>
      </w:r>
      <w:r w:rsidRPr="0064149E">
        <w:rPr>
          <w:rFonts w:ascii="华文楷体" w:hAnsi="华文楷体" w:hint="eastAsia"/>
          <w:b w:val="0"/>
          <w:color w:val="auto"/>
          <w:sz w:val="24"/>
          <w:szCs w:val="24"/>
        </w:rPr>
        <w:t>。服务业商务活动</w:t>
      </w:r>
      <w:proofErr w:type="gramStart"/>
      <w:r w:rsidRPr="0064149E">
        <w:rPr>
          <w:rFonts w:ascii="华文楷体" w:hAnsi="华文楷体" w:hint="eastAsia"/>
          <w:b w:val="0"/>
          <w:color w:val="auto"/>
          <w:sz w:val="24"/>
          <w:szCs w:val="24"/>
        </w:rPr>
        <w:t>指数环</w:t>
      </w:r>
      <w:proofErr w:type="gramEnd"/>
      <w:r w:rsidRPr="0064149E">
        <w:rPr>
          <w:rFonts w:ascii="华文楷体" w:hAnsi="华文楷体" w:hint="eastAsia"/>
          <w:b w:val="0"/>
          <w:color w:val="auto"/>
          <w:sz w:val="24"/>
          <w:szCs w:val="24"/>
        </w:rPr>
        <w:t>比回落0.8个百分点至54.4%，但仍位于2013年以来的同期最高水平。</w:t>
      </w:r>
    </w:p>
    <w:p w14:paraId="60C25741" w14:textId="3D05E521" w:rsidR="0064149E" w:rsidRPr="0064149E" w:rsidRDefault="00DF6DF8" w:rsidP="0064149E">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整体看，</w:t>
      </w:r>
      <w:r w:rsidR="0064149E" w:rsidRPr="0064149E">
        <w:rPr>
          <w:rFonts w:ascii="华文楷体" w:hAnsi="华文楷体" w:hint="eastAsia"/>
          <w:b w:val="0"/>
          <w:smallCaps w:val="0"/>
          <w:color w:val="auto"/>
          <w:sz w:val="24"/>
          <w:szCs w:val="24"/>
        </w:rPr>
        <w:t>4月制造业PMI整体略低于预期，较3月</w:t>
      </w:r>
      <w:r w:rsidR="0064149E">
        <w:rPr>
          <w:rFonts w:ascii="华文楷体" w:hAnsi="华文楷体" w:hint="eastAsia"/>
          <w:b w:val="0"/>
          <w:smallCaps w:val="0"/>
          <w:color w:val="auto"/>
          <w:sz w:val="24"/>
          <w:szCs w:val="24"/>
        </w:rPr>
        <w:t>有一定</w:t>
      </w:r>
      <w:r w:rsidR="0064149E" w:rsidRPr="0064149E">
        <w:rPr>
          <w:rFonts w:ascii="华文楷体" w:hAnsi="华文楷体" w:hint="eastAsia"/>
          <w:b w:val="0"/>
          <w:smallCaps w:val="0"/>
          <w:color w:val="auto"/>
          <w:sz w:val="24"/>
          <w:szCs w:val="24"/>
        </w:rPr>
        <w:t>季节性回落；</w:t>
      </w:r>
      <w:r w:rsidR="0064149E">
        <w:rPr>
          <w:rFonts w:ascii="华文楷体" w:hAnsi="华文楷体" w:hint="eastAsia"/>
          <w:b w:val="0"/>
          <w:smallCaps w:val="0"/>
          <w:color w:val="auto"/>
          <w:sz w:val="24"/>
          <w:szCs w:val="24"/>
        </w:rPr>
        <w:t>分项数据中</w:t>
      </w:r>
      <w:r w:rsidR="0064149E" w:rsidRPr="0064149E">
        <w:rPr>
          <w:rFonts w:ascii="华文楷体" w:hAnsi="华文楷体" w:hint="eastAsia"/>
          <w:b w:val="0"/>
          <w:smallCaps w:val="0"/>
          <w:color w:val="auto"/>
          <w:sz w:val="24"/>
          <w:szCs w:val="24"/>
        </w:rPr>
        <w:t>，生产、新订单、采购等分项有所回落，制造业扩张节奏有所放缓；企业生产经营原材料价格与出厂价格分项有所下降，或暗示PPI环比增速修复将有所放缓；从业人员分项再度降至荣枯线下方，显示制造业就业压力依然存在。4月制造业和非制造业就业回升不均衡</w:t>
      </w:r>
      <w:r w:rsidR="0064149E">
        <w:rPr>
          <w:rFonts w:ascii="华文楷体" w:hAnsi="华文楷体" w:hint="eastAsia"/>
          <w:b w:val="0"/>
          <w:smallCaps w:val="0"/>
          <w:color w:val="auto"/>
          <w:sz w:val="24"/>
          <w:szCs w:val="24"/>
        </w:rPr>
        <w:t>，</w:t>
      </w:r>
      <w:r w:rsidR="0064149E" w:rsidRPr="0064149E">
        <w:rPr>
          <w:rFonts w:ascii="华文楷体" w:hAnsi="华文楷体" w:hint="eastAsia"/>
          <w:b w:val="0"/>
          <w:smallCaps w:val="0"/>
          <w:color w:val="auto"/>
          <w:sz w:val="24"/>
          <w:szCs w:val="24"/>
        </w:rPr>
        <w:t>可能</w:t>
      </w:r>
      <w:r w:rsidR="0064149E">
        <w:rPr>
          <w:rFonts w:ascii="华文楷体" w:hAnsi="华文楷体" w:hint="eastAsia"/>
          <w:b w:val="0"/>
          <w:smallCaps w:val="0"/>
          <w:color w:val="auto"/>
          <w:sz w:val="24"/>
          <w:szCs w:val="24"/>
        </w:rPr>
        <w:t>对</w:t>
      </w:r>
      <w:r w:rsidR="0064149E" w:rsidRPr="0064149E">
        <w:rPr>
          <w:rFonts w:ascii="华文楷体" w:hAnsi="华文楷体" w:hint="eastAsia"/>
          <w:b w:val="0"/>
          <w:smallCaps w:val="0"/>
          <w:color w:val="auto"/>
          <w:sz w:val="24"/>
          <w:szCs w:val="24"/>
        </w:rPr>
        <w:t>后续消费回升</w:t>
      </w:r>
      <w:r w:rsidR="0064149E">
        <w:rPr>
          <w:rFonts w:ascii="华文楷体" w:hAnsi="华文楷体" w:hint="eastAsia"/>
          <w:b w:val="0"/>
          <w:smallCaps w:val="0"/>
          <w:color w:val="auto"/>
          <w:sz w:val="24"/>
          <w:szCs w:val="24"/>
        </w:rPr>
        <w:t>产生一定制约影响，此外，</w:t>
      </w:r>
      <w:r w:rsidR="0064149E" w:rsidRPr="0064149E">
        <w:rPr>
          <w:rFonts w:ascii="华文楷体" w:hAnsi="华文楷体" w:hint="eastAsia"/>
          <w:b w:val="0"/>
          <w:smallCaps w:val="0"/>
          <w:color w:val="auto"/>
          <w:sz w:val="24"/>
          <w:szCs w:val="24"/>
        </w:rPr>
        <w:t>4月建筑业景气度</w:t>
      </w:r>
      <w:r w:rsidR="0064149E">
        <w:rPr>
          <w:rFonts w:ascii="华文楷体" w:hAnsi="华文楷体" w:hint="eastAsia"/>
          <w:b w:val="0"/>
          <w:smallCaps w:val="0"/>
          <w:color w:val="auto"/>
          <w:sz w:val="24"/>
          <w:szCs w:val="24"/>
        </w:rPr>
        <w:t>适度</w:t>
      </w:r>
      <w:r w:rsidR="0064149E" w:rsidRPr="0064149E">
        <w:rPr>
          <w:rFonts w:ascii="华文楷体" w:hAnsi="华文楷体" w:hint="eastAsia"/>
          <w:b w:val="0"/>
          <w:smallCaps w:val="0"/>
          <w:color w:val="auto"/>
          <w:sz w:val="24"/>
          <w:szCs w:val="24"/>
        </w:rPr>
        <w:t>放缓</w:t>
      </w:r>
      <w:r w:rsidR="0064149E">
        <w:rPr>
          <w:rFonts w:ascii="华文楷体" w:hAnsi="华文楷体" w:hint="eastAsia"/>
          <w:b w:val="0"/>
          <w:smallCaps w:val="0"/>
          <w:color w:val="auto"/>
          <w:sz w:val="24"/>
          <w:szCs w:val="24"/>
        </w:rPr>
        <w:t>。</w:t>
      </w:r>
      <w:r w:rsidR="0064149E" w:rsidRPr="0064149E">
        <w:rPr>
          <w:rFonts w:ascii="华文楷体" w:hAnsi="华文楷体" w:hint="eastAsia"/>
          <w:b w:val="0"/>
          <w:smallCaps w:val="0"/>
          <w:color w:val="auto"/>
          <w:sz w:val="24"/>
          <w:szCs w:val="24"/>
        </w:rPr>
        <w:t>从生产端来看，后续生产</w:t>
      </w:r>
      <w:r w:rsidR="0064149E">
        <w:rPr>
          <w:rFonts w:ascii="华文楷体" w:hAnsi="华文楷体" w:hint="eastAsia"/>
          <w:b w:val="0"/>
          <w:smallCaps w:val="0"/>
          <w:color w:val="auto"/>
          <w:sz w:val="24"/>
          <w:szCs w:val="24"/>
        </w:rPr>
        <w:t>或</w:t>
      </w:r>
      <w:proofErr w:type="gramStart"/>
      <w:r w:rsidR="0064149E">
        <w:rPr>
          <w:rFonts w:ascii="华文楷体" w:hAnsi="华文楷体" w:hint="eastAsia"/>
          <w:b w:val="0"/>
          <w:smallCaps w:val="0"/>
          <w:color w:val="auto"/>
          <w:sz w:val="24"/>
          <w:szCs w:val="24"/>
        </w:rPr>
        <w:t>难明显</w:t>
      </w:r>
      <w:proofErr w:type="gramEnd"/>
      <w:r w:rsidR="0064149E">
        <w:rPr>
          <w:rFonts w:ascii="华文楷体" w:hAnsi="华文楷体" w:hint="eastAsia"/>
          <w:b w:val="0"/>
          <w:smallCaps w:val="0"/>
          <w:color w:val="auto"/>
          <w:sz w:val="24"/>
          <w:szCs w:val="24"/>
        </w:rPr>
        <w:t>超出预期</w:t>
      </w:r>
      <w:r w:rsidR="0064149E" w:rsidRPr="0064149E">
        <w:rPr>
          <w:rFonts w:ascii="华文楷体" w:hAnsi="华文楷体" w:hint="eastAsia"/>
          <w:b w:val="0"/>
          <w:smallCaps w:val="0"/>
          <w:color w:val="auto"/>
          <w:sz w:val="24"/>
          <w:szCs w:val="24"/>
        </w:rPr>
        <w:t>。</w:t>
      </w:r>
    </w:p>
    <w:p w14:paraId="39CBC3DB" w14:textId="359924EF" w:rsidR="005341AA" w:rsidRPr="000550B2" w:rsidRDefault="0064149E" w:rsidP="00221256">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目前看，从</w:t>
      </w:r>
      <w:r w:rsidRPr="0064149E">
        <w:rPr>
          <w:rFonts w:ascii="华文楷体" w:hAnsi="华文楷体" w:hint="eastAsia"/>
          <w:b w:val="0"/>
          <w:smallCaps w:val="0"/>
          <w:color w:val="auto"/>
          <w:sz w:val="24"/>
          <w:szCs w:val="24"/>
        </w:rPr>
        <w:t>4月PMI</w:t>
      </w:r>
      <w:r>
        <w:rPr>
          <w:rFonts w:ascii="华文楷体" w:hAnsi="华文楷体" w:hint="eastAsia"/>
          <w:b w:val="0"/>
          <w:smallCaps w:val="0"/>
          <w:color w:val="auto"/>
          <w:sz w:val="24"/>
          <w:szCs w:val="24"/>
        </w:rPr>
        <w:t>观察</w:t>
      </w:r>
      <w:r w:rsidRPr="0064149E">
        <w:rPr>
          <w:rFonts w:ascii="华文楷体" w:hAnsi="华文楷体" w:hint="eastAsia"/>
          <w:b w:val="0"/>
          <w:smallCaps w:val="0"/>
          <w:color w:val="auto"/>
          <w:sz w:val="24"/>
          <w:szCs w:val="24"/>
        </w:rPr>
        <w:t>经济动能</w:t>
      </w:r>
      <w:r>
        <w:rPr>
          <w:rFonts w:ascii="华文楷体" w:hAnsi="华文楷体" w:hint="eastAsia"/>
          <w:b w:val="0"/>
          <w:smallCaps w:val="0"/>
          <w:color w:val="auto"/>
          <w:sz w:val="24"/>
          <w:szCs w:val="24"/>
        </w:rPr>
        <w:t>需进一步密切观察</w:t>
      </w:r>
      <w:r w:rsidRPr="0064149E">
        <w:rPr>
          <w:rFonts w:ascii="华文楷体" w:hAnsi="华文楷体" w:hint="eastAsia"/>
          <w:b w:val="0"/>
          <w:smallCaps w:val="0"/>
          <w:color w:val="auto"/>
          <w:sz w:val="24"/>
          <w:szCs w:val="24"/>
        </w:rPr>
        <w:t>，经济各分项恢复</w:t>
      </w:r>
      <w:r>
        <w:rPr>
          <w:rFonts w:ascii="华文楷体" w:hAnsi="华文楷体" w:hint="eastAsia"/>
          <w:b w:val="0"/>
          <w:smallCaps w:val="0"/>
          <w:color w:val="auto"/>
          <w:sz w:val="24"/>
          <w:szCs w:val="24"/>
        </w:rPr>
        <w:t>有一定</w:t>
      </w:r>
      <w:r w:rsidRPr="0064149E">
        <w:rPr>
          <w:rFonts w:ascii="华文楷体" w:hAnsi="华文楷体" w:hint="eastAsia"/>
          <w:b w:val="0"/>
          <w:smallCaps w:val="0"/>
          <w:color w:val="auto"/>
          <w:sz w:val="24"/>
          <w:szCs w:val="24"/>
        </w:rPr>
        <w:t>不均衡，</w:t>
      </w:r>
      <w:r>
        <w:rPr>
          <w:rFonts w:ascii="华文楷体" w:hAnsi="华文楷体" w:hint="eastAsia"/>
          <w:b w:val="0"/>
          <w:smallCaps w:val="0"/>
          <w:color w:val="auto"/>
          <w:sz w:val="24"/>
          <w:szCs w:val="24"/>
        </w:rPr>
        <w:t>结合政治局会议对经济描述，一定程度上显现了</w:t>
      </w:r>
      <w:r w:rsidRPr="0064149E">
        <w:rPr>
          <w:rFonts w:ascii="华文楷体" w:hAnsi="华文楷体" w:hint="eastAsia"/>
          <w:b w:val="0"/>
          <w:smallCaps w:val="0"/>
          <w:color w:val="auto"/>
          <w:sz w:val="24"/>
          <w:szCs w:val="24"/>
        </w:rPr>
        <w:t>当前经济恢复不均衡、基础不稳固的特征</w:t>
      </w:r>
      <w:r>
        <w:rPr>
          <w:rFonts w:ascii="华文楷体" w:hAnsi="华文楷体" w:hint="eastAsia"/>
          <w:b w:val="0"/>
          <w:smallCaps w:val="0"/>
          <w:color w:val="auto"/>
          <w:sz w:val="24"/>
          <w:szCs w:val="24"/>
        </w:rPr>
        <w:t>，4月数据上还是呈现了一定季节性特征尤其是制造业P</w:t>
      </w:r>
      <w:r>
        <w:rPr>
          <w:rFonts w:ascii="华文楷体" w:hAnsi="华文楷体"/>
          <w:b w:val="0"/>
          <w:smallCaps w:val="0"/>
          <w:color w:val="auto"/>
          <w:sz w:val="24"/>
          <w:szCs w:val="24"/>
        </w:rPr>
        <w:t>MI</w:t>
      </w:r>
      <w:r>
        <w:rPr>
          <w:rFonts w:ascii="华文楷体" w:hAnsi="华文楷体" w:hint="eastAsia"/>
          <w:b w:val="0"/>
          <w:smallCaps w:val="0"/>
          <w:color w:val="auto"/>
          <w:sz w:val="24"/>
          <w:szCs w:val="24"/>
        </w:rPr>
        <w:t>，非制造业中服务业表现相对平稳，</w:t>
      </w:r>
      <w:r w:rsidR="00221256">
        <w:rPr>
          <w:rFonts w:ascii="华文楷体" w:hAnsi="华文楷体" w:hint="eastAsia"/>
          <w:b w:val="0"/>
          <w:smallCaps w:val="0"/>
          <w:color w:val="auto"/>
          <w:sz w:val="24"/>
          <w:szCs w:val="24"/>
        </w:rPr>
        <w:t>综合看数据仍处于景气区间，且考虑二季度小长假及基建、地产和海外市场的变化，从基本面看对债市仍难以形成趋势性利好，市场预计仍维持震荡调整。</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26443802"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C15F3D">
        <w:rPr>
          <w:rFonts w:ascii="华文楷体" w:hAnsi="华文楷体" w:hint="eastAsia"/>
          <w:sz w:val="24"/>
          <w:szCs w:val="24"/>
          <w:lang w:eastAsia="zh-CN"/>
        </w:rPr>
        <w:t>回笼4</w:t>
      </w:r>
      <w:r w:rsidR="00C15F3D">
        <w:rPr>
          <w:rFonts w:ascii="华文楷体" w:hAnsi="华文楷体"/>
          <w:sz w:val="24"/>
          <w:szCs w:val="24"/>
          <w:lang w:eastAsia="zh-CN"/>
        </w:rPr>
        <w:t>00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资金面</w:t>
      </w:r>
      <w:r w:rsidR="00ED7CCC">
        <w:rPr>
          <w:rFonts w:ascii="华文楷体" w:hAnsi="华文楷体" w:hint="eastAsia"/>
          <w:sz w:val="24"/>
          <w:szCs w:val="24"/>
          <w:lang w:eastAsia="zh-CN"/>
        </w:rPr>
        <w:t>受月末和五一小长假影响适度上行</w:t>
      </w:r>
      <w:r w:rsidR="003C1F1C">
        <w:rPr>
          <w:rFonts w:ascii="华文楷体" w:hAnsi="华文楷体" w:hint="eastAsia"/>
          <w:sz w:val="24"/>
          <w:szCs w:val="24"/>
          <w:lang w:eastAsia="zh-CN"/>
        </w:rPr>
        <w:t>，</w:t>
      </w:r>
      <w:r w:rsidR="00C15F3D">
        <w:rPr>
          <w:rFonts w:ascii="华文楷体" w:hAnsi="华文楷体" w:hint="eastAsia"/>
          <w:sz w:val="24"/>
          <w:szCs w:val="24"/>
          <w:lang w:eastAsia="zh-CN"/>
        </w:rPr>
        <w:t>节后</w:t>
      </w:r>
      <w:proofErr w:type="gramStart"/>
      <w:r w:rsidR="00C15F3D">
        <w:rPr>
          <w:rFonts w:ascii="华文楷体" w:hAnsi="华文楷体" w:hint="eastAsia"/>
          <w:sz w:val="24"/>
          <w:szCs w:val="24"/>
          <w:lang w:eastAsia="zh-CN"/>
        </w:rPr>
        <w:t>基本回归</w:t>
      </w:r>
      <w:proofErr w:type="gramEnd"/>
      <w:r w:rsidR="00C15F3D">
        <w:rPr>
          <w:rFonts w:ascii="华文楷体" w:hAnsi="华文楷体" w:hint="eastAsia"/>
          <w:sz w:val="24"/>
          <w:szCs w:val="24"/>
          <w:lang w:eastAsia="zh-CN"/>
        </w:rPr>
        <w:t>中枢，</w:t>
      </w:r>
      <w:r w:rsidR="00ED7CCC">
        <w:rPr>
          <w:rFonts w:ascii="华文楷体" w:hAnsi="华文楷体" w:hint="eastAsia"/>
          <w:sz w:val="24"/>
          <w:szCs w:val="24"/>
          <w:lang w:eastAsia="zh-CN"/>
        </w:rPr>
        <w:t>整体</w:t>
      </w:r>
      <w:r w:rsidR="00C15F3D">
        <w:rPr>
          <w:rFonts w:ascii="华文楷体" w:hAnsi="华文楷体" w:hint="eastAsia"/>
          <w:sz w:val="24"/>
          <w:szCs w:val="24"/>
          <w:lang w:eastAsia="zh-CN"/>
        </w:rPr>
        <w:t>维持在</w:t>
      </w:r>
      <w:r w:rsidR="00ED7CCC">
        <w:rPr>
          <w:rFonts w:ascii="华文楷体" w:hAnsi="华文楷体" w:hint="eastAsia"/>
          <w:sz w:val="24"/>
          <w:szCs w:val="24"/>
          <w:lang w:eastAsia="zh-CN"/>
        </w:rPr>
        <w:t>平稳区间</w:t>
      </w:r>
      <w:r w:rsidR="00C15F3D">
        <w:rPr>
          <w:rFonts w:ascii="华文楷体" w:hAnsi="华文楷体" w:hint="eastAsia"/>
          <w:sz w:val="24"/>
          <w:szCs w:val="24"/>
          <w:lang w:eastAsia="zh-CN"/>
        </w:rPr>
        <w:t>，适度下行</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C15F3D">
        <w:rPr>
          <w:rFonts w:ascii="华文楷体" w:hAnsi="华文楷体" w:hint="eastAsia"/>
          <w:sz w:val="24"/>
          <w:szCs w:val="24"/>
          <w:lang w:eastAsia="zh-CN"/>
        </w:rPr>
        <w:t>下行8</w:t>
      </w:r>
      <w:r w:rsidR="00C15F3D">
        <w:rPr>
          <w:rFonts w:ascii="华文楷体" w:hAnsi="华文楷体"/>
          <w:sz w:val="24"/>
          <w:szCs w:val="24"/>
          <w:lang w:eastAsia="zh-CN"/>
        </w:rPr>
        <w:t>4</w:t>
      </w:r>
      <w:r w:rsidR="002D361C">
        <w:rPr>
          <w:rFonts w:ascii="华文楷体" w:hAnsi="华文楷体" w:hint="eastAsia"/>
          <w:sz w:val="24"/>
          <w:szCs w:val="24"/>
          <w:lang w:eastAsia="zh-CN"/>
        </w:rPr>
        <w:t>BP至</w:t>
      </w:r>
      <w:r w:rsidR="00C15F3D">
        <w:rPr>
          <w:rFonts w:ascii="华文楷体" w:hAnsi="华文楷体"/>
          <w:sz w:val="24"/>
          <w:szCs w:val="24"/>
          <w:lang w:eastAsia="zh-CN"/>
        </w:rPr>
        <w:t>1.47</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C15F3D">
        <w:rPr>
          <w:rFonts w:ascii="华文楷体" w:hAnsi="华文楷体" w:hint="eastAsia"/>
          <w:sz w:val="24"/>
          <w:szCs w:val="24"/>
          <w:lang w:eastAsia="zh-CN"/>
        </w:rPr>
        <w:t>下行5</w:t>
      </w:r>
      <w:r w:rsidR="00C15F3D">
        <w:rPr>
          <w:rFonts w:ascii="华文楷体" w:hAnsi="华文楷体"/>
          <w:sz w:val="24"/>
          <w:szCs w:val="24"/>
          <w:lang w:eastAsia="zh-CN"/>
        </w:rPr>
        <w:t>6</w:t>
      </w:r>
      <w:r w:rsidR="00D9413F">
        <w:rPr>
          <w:rFonts w:ascii="华文楷体" w:hAnsi="华文楷体" w:hint="eastAsia"/>
          <w:sz w:val="24"/>
          <w:szCs w:val="24"/>
          <w:lang w:eastAsia="zh-CN"/>
        </w:rPr>
        <w:t>BP至</w:t>
      </w:r>
      <w:r w:rsidR="00C15F3D">
        <w:rPr>
          <w:rFonts w:ascii="华文楷体" w:hAnsi="华文楷体"/>
          <w:sz w:val="24"/>
          <w:szCs w:val="24"/>
          <w:lang w:eastAsia="zh-CN"/>
        </w:rPr>
        <w:t>1.82</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利差适度走阔</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C15F3D">
        <w:tblPrEx>
          <w:tblCellMar>
            <w:left w:w="108" w:type="dxa"/>
            <w:right w:w="108" w:type="dxa"/>
          </w:tblCellMar>
        </w:tblPrEx>
        <w:trPr>
          <w:jc w:val="center"/>
        </w:trPr>
        <w:tc>
          <w:tcPr>
            <w:tcW w:w="4939" w:type="dxa"/>
            <w:vAlign w:val="center"/>
          </w:tcPr>
          <w:p w14:paraId="60AEAEDC" w14:textId="584895D0" w:rsidR="00E0626C" w:rsidRPr="003C6AC1" w:rsidRDefault="00C15F3D" w:rsidP="009A2BA0">
            <w:pPr>
              <w:jc w:val="center"/>
              <w:rPr>
                <w:noProof/>
                <w:sz w:val="20"/>
              </w:rPr>
            </w:pPr>
            <w:r>
              <w:rPr>
                <w:noProof/>
              </w:rPr>
              <w:drawing>
                <wp:inline distT="0" distB="0" distL="0" distR="0" wp14:anchorId="73A82636" wp14:editId="656E4FB8">
                  <wp:extent cx="2999105" cy="1742006"/>
                  <wp:effectExtent l="0" t="0" r="0" b="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1DC7E684" w:rsidR="00E0626C" w:rsidRPr="00F62F43" w:rsidRDefault="00C15F3D" w:rsidP="009A2BA0">
            <w:pPr>
              <w:jc w:val="center"/>
              <w:rPr>
                <w:noProof/>
                <w:sz w:val="16"/>
                <w:szCs w:val="18"/>
              </w:rPr>
            </w:pPr>
            <w:r>
              <w:rPr>
                <w:noProof/>
              </w:rPr>
              <w:drawing>
                <wp:inline distT="0" distB="0" distL="0" distR="0" wp14:anchorId="18E3139F" wp14:editId="397555EE">
                  <wp:extent cx="2998470" cy="1735455"/>
                  <wp:effectExtent l="0" t="0" r="0" b="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6E089DDB"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FB0590">
        <w:rPr>
          <w:rFonts w:ascii="华文楷体" w:hAnsi="华文楷体" w:hint="eastAsia"/>
          <w:sz w:val="24"/>
          <w:szCs w:val="24"/>
          <w:lang w:eastAsia="zh-CN"/>
        </w:rPr>
        <w:t>中长期</w:t>
      </w:r>
      <w:proofErr w:type="gramStart"/>
      <w:r w:rsidR="00FB0590">
        <w:rPr>
          <w:rFonts w:ascii="华文楷体" w:hAnsi="华文楷体" w:hint="eastAsia"/>
          <w:sz w:val="24"/>
          <w:szCs w:val="24"/>
          <w:lang w:eastAsia="zh-CN"/>
        </w:rPr>
        <w:t>限品种</w:t>
      </w:r>
      <w:proofErr w:type="gramEnd"/>
      <w:r w:rsidR="00FB0590">
        <w:rPr>
          <w:rFonts w:ascii="华文楷体" w:hAnsi="华文楷体" w:hint="eastAsia"/>
          <w:sz w:val="24"/>
          <w:szCs w:val="24"/>
          <w:lang w:eastAsia="zh-CN"/>
        </w:rPr>
        <w:t>窄幅震荡，1Y内期限品种下行</w:t>
      </w:r>
      <w:r w:rsidR="009D5283">
        <w:rPr>
          <w:rFonts w:ascii="华文楷体" w:hAnsi="华文楷体" w:hint="eastAsia"/>
          <w:sz w:val="24"/>
          <w:szCs w:val="24"/>
          <w:lang w:eastAsia="zh-CN"/>
        </w:rPr>
        <w:t>相对明显</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C267D1">
        <w:rPr>
          <w:rFonts w:ascii="华文楷体" w:hAnsi="华文楷体"/>
          <w:sz w:val="24"/>
          <w:szCs w:val="24"/>
          <w:lang w:eastAsia="zh-CN"/>
        </w:rPr>
        <w:t>84</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FC42DA">
        <w:rPr>
          <w:rFonts w:ascii="华文楷体" w:hAnsi="华文楷体"/>
          <w:sz w:val="24"/>
          <w:szCs w:val="24"/>
          <w:lang w:eastAsia="zh-CN"/>
        </w:rPr>
        <w:t>10</w:t>
      </w:r>
      <w:r w:rsidR="00C267D1">
        <w:rPr>
          <w:rFonts w:ascii="华文楷体" w:hAnsi="华文楷体"/>
          <w:sz w:val="24"/>
          <w:szCs w:val="24"/>
          <w:lang w:eastAsia="zh-CN"/>
        </w:rPr>
        <w:t>4</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FB0590">
        <w:rPr>
          <w:rFonts w:ascii="华文楷体" w:hAnsi="华文楷体" w:hint="eastAsia"/>
          <w:sz w:val="24"/>
          <w:szCs w:val="24"/>
          <w:lang w:eastAsia="zh-CN"/>
        </w:rPr>
        <w:t>下行0.</w:t>
      </w:r>
      <w:r w:rsidR="00C267D1">
        <w:rPr>
          <w:rFonts w:ascii="华文楷体" w:hAnsi="华文楷体"/>
          <w:sz w:val="24"/>
          <w:szCs w:val="24"/>
          <w:lang w:eastAsia="zh-CN"/>
        </w:rPr>
        <w:t>6</w:t>
      </w:r>
      <w:r w:rsidR="00087119">
        <w:rPr>
          <w:rFonts w:ascii="华文楷体" w:hAnsi="华文楷体"/>
          <w:sz w:val="24"/>
          <w:szCs w:val="24"/>
          <w:lang w:eastAsia="zh-CN"/>
        </w:rPr>
        <w:t>B</w:t>
      </w:r>
      <w:r w:rsidR="0092340D">
        <w:rPr>
          <w:rFonts w:ascii="华文楷体" w:hAnsi="华文楷体" w:hint="eastAsia"/>
          <w:sz w:val="24"/>
          <w:szCs w:val="24"/>
          <w:lang w:eastAsia="zh-CN"/>
        </w:rPr>
        <w:t>P，10Y</w:t>
      </w:r>
      <w:r w:rsidR="00202D86">
        <w:rPr>
          <w:rFonts w:ascii="华文楷体" w:hAnsi="华文楷体" w:hint="eastAsia"/>
          <w:sz w:val="24"/>
          <w:szCs w:val="24"/>
          <w:lang w:eastAsia="zh-CN"/>
        </w:rPr>
        <w:t>国</w:t>
      </w:r>
      <w:proofErr w:type="gramStart"/>
      <w:r w:rsidR="00202D86">
        <w:rPr>
          <w:rFonts w:ascii="华文楷体" w:hAnsi="华文楷体" w:hint="eastAsia"/>
          <w:sz w:val="24"/>
          <w:szCs w:val="24"/>
          <w:lang w:eastAsia="zh-CN"/>
        </w:rPr>
        <w:t>开</w:t>
      </w:r>
      <w:r w:rsidR="004F02B1">
        <w:rPr>
          <w:rFonts w:ascii="华文楷体" w:hAnsi="华文楷体" w:hint="eastAsia"/>
          <w:sz w:val="24"/>
          <w:szCs w:val="24"/>
          <w:lang w:eastAsia="zh-CN"/>
        </w:rPr>
        <w:t>债</w:t>
      </w:r>
      <w:r w:rsidR="00C267D1">
        <w:rPr>
          <w:rFonts w:ascii="华文楷体" w:hAnsi="华文楷体" w:hint="eastAsia"/>
          <w:sz w:val="24"/>
          <w:szCs w:val="24"/>
          <w:lang w:eastAsia="zh-CN"/>
        </w:rPr>
        <w:t>基本</w:t>
      </w:r>
      <w:proofErr w:type="gramEnd"/>
      <w:r w:rsidR="00C267D1">
        <w:rPr>
          <w:rFonts w:ascii="华文楷体" w:hAnsi="华文楷体" w:hint="eastAsia"/>
          <w:sz w:val="24"/>
          <w:szCs w:val="24"/>
          <w:lang w:eastAsia="zh-CN"/>
        </w:rPr>
        <w:t>持平</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3C0E83">
        <w:rPr>
          <w:rFonts w:ascii="华文楷体" w:hAnsi="华文楷体" w:hint="eastAsia"/>
          <w:sz w:val="24"/>
          <w:szCs w:val="24"/>
          <w:lang w:eastAsia="zh-CN"/>
        </w:rPr>
        <w:t>3</w:t>
      </w:r>
      <w:r w:rsidR="00FB0590">
        <w:rPr>
          <w:rFonts w:ascii="华文楷体" w:hAnsi="华文楷体" w:hint="eastAsia"/>
          <w:sz w:val="24"/>
          <w:szCs w:val="24"/>
          <w:lang w:eastAsia="zh-CN"/>
        </w:rPr>
        <w:t>8</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9D5283">
        <w:tblPrEx>
          <w:tblCellMar>
            <w:left w:w="108" w:type="dxa"/>
            <w:right w:w="108" w:type="dxa"/>
          </w:tblCellMar>
        </w:tblPrEx>
        <w:trPr>
          <w:jc w:val="center"/>
        </w:trPr>
        <w:tc>
          <w:tcPr>
            <w:tcW w:w="4939" w:type="dxa"/>
            <w:vAlign w:val="center"/>
          </w:tcPr>
          <w:p w14:paraId="678C97B0" w14:textId="1B7C2355" w:rsidR="00E0626C" w:rsidRPr="007E0340" w:rsidRDefault="009D5283" w:rsidP="002104B2">
            <w:pPr>
              <w:rPr>
                <w:noProof/>
              </w:rPr>
            </w:pPr>
            <w:r>
              <w:rPr>
                <w:noProof/>
              </w:rPr>
              <w:drawing>
                <wp:inline distT="0" distB="0" distL="0" distR="0" wp14:anchorId="046432F9" wp14:editId="41445644">
                  <wp:extent cx="2999105" cy="1764866"/>
                  <wp:effectExtent l="0" t="0" r="0" b="6985"/>
                  <wp:docPr id="9" name="图表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350CC569" w:rsidR="00E0626C" w:rsidRPr="007E0340" w:rsidRDefault="009D5283" w:rsidP="009A2BA0">
            <w:pPr>
              <w:jc w:val="center"/>
              <w:rPr>
                <w:noProof/>
                <w:szCs w:val="18"/>
              </w:rPr>
            </w:pPr>
            <w:r>
              <w:rPr>
                <w:noProof/>
              </w:rPr>
              <w:drawing>
                <wp:inline distT="0" distB="0" distL="0" distR="0" wp14:anchorId="45FE0EEE" wp14:editId="75AE440B">
                  <wp:extent cx="2998470" cy="1717040"/>
                  <wp:effectExtent l="0" t="0" r="0" b="0"/>
                  <wp:docPr id="10" name="图表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2753ECB3"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D350FB" w:rsidRPr="00D350FB">
        <w:rPr>
          <w:rFonts w:ascii="华文楷体" w:hAnsi="华文楷体" w:hint="eastAsia"/>
          <w:sz w:val="24"/>
          <w:szCs w:val="24"/>
          <w:lang w:eastAsia="zh-CN"/>
        </w:rPr>
        <w:t>主要期限品种震荡</w:t>
      </w:r>
      <w:r w:rsidR="00C05BDD">
        <w:rPr>
          <w:rFonts w:ascii="华文楷体" w:hAnsi="华文楷体" w:hint="eastAsia"/>
          <w:sz w:val="24"/>
          <w:szCs w:val="24"/>
          <w:lang w:eastAsia="zh-CN"/>
        </w:rPr>
        <w:t>下行，风险偏好有所回暖</w:t>
      </w:r>
      <w:r w:rsidR="00D350FB" w:rsidRPr="00D350FB">
        <w:rPr>
          <w:rFonts w:ascii="华文楷体" w:hAnsi="华文楷体" w:hint="eastAsia"/>
          <w:sz w:val="24"/>
          <w:szCs w:val="24"/>
          <w:lang w:eastAsia="zh-CN"/>
        </w:rPr>
        <w:t>。1Y</w:t>
      </w:r>
      <w:proofErr w:type="gramStart"/>
      <w:r w:rsidR="00D350FB" w:rsidRPr="00D350FB">
        <w:rPr>
          <w:rFonts w:ascii="华文楷体" w:hAnsi="华文楷体" w:hint="eastAsia"/>
          <w:sz w:val="24"/>
          <w:szCs w:val="24"/>
          <w:lang w:eastAsia="zh-CN"/>
        </w:rPr>
        <w:t>期限短融</w:t>
      </w:r>
      <w:r w:rsidR="00C05BDD">
        <w:rPr>
          <w:rFonts w:ascii="华文楷体" w:hAnsi="华文楷体" w:hint="eastAsia"/>
          <w:sz w:val="24"/>
          <w:szCs w:val="24"/>
          <w:lang w:eastAsia="zh-CN"/>
        </w:rPr>
        <w:t>小幅</w:t>
      </w:r>
      <w:proofErr w:type="gramEnd"/>
      <w:r w:rsidR="00C05BDD">
        <w:rPr>
          <w:rFonts w:ascii="华文楷体" w:hAnsi="华文楷体" w:hint="eastAsia"/>
          <w:sz w:val="24"/>
          <w:szCs w:val="24"/>
          <w:lang w:eastAsia="zh-CN"/>
        </w:rPr>
        <w:t>下行1</w:t>
      </w:r>
      <w:r w:rsidR="00D350FB" w:rsidRPr="00D350FB">
        <w:rPr>
          <w:rFonts w:ascii="华文楷体" w:hAnsi="华文楷体" w:hint="eastAsia"/>
          <w:sz w:val="24"/>
          <w:szCs w:val="24"/>
          <w:lang w:eastAsia="zh-CN"/>
        </w:rPr>
        <w:t>BP</w:t>
      </w:r>
      <w:r w:rsidR="00C05BDD">
        <w:rPr>
          <w:rFonts w:ascii="华文楷体" w:hAnsi="华文楷体" w:hint="eastAsia"/>
          <w:sz w:val="24"/>
          <w:szCs w:val="24"/>
          <w:lang w:eastAsia="zh-CN"/>
        </w:rPr>
        <w:t>左右</w:t>
      </w:r>
      <w:r w:rsidR="00D350FB" w:rsidRPr="00D350FB">
        <w:rPr>
          <w:rFonts w:ascii="华文楷体" w:hAnsi="华文楷体" w:hint="eastAsia"/>
          <w:sz w:val="24"/>
          <w:szCs w:val="24"/>
          <w:lang w:eastAsia="zh-CN"/>
        </w:rPr>
        <w:t>，3年AAA企业债</w:t>
      </w:r>
      <w:r w:rsidR="00780A79">
        <w:rPr>
          <w:rFonts w:ascii="华文楷体" w:hAnsi="华文楷体" w:hint="eastAsia"/>
          <w:sz w:val="24"/>
          <w:szCs w:val="24"/>
          <w:lang w:eastAsia="zh-CN"/>
        </w:rPr>
        <w:t>波动</w:t>
      </w:r>
      <w:r w:rsidR="00C05BDD">
        <w:rPr>
          <w:rFonts w:ascii="华文楷体" w:hAnsi="华文楷体" w:hint="eastAsia"/>
          <w:sz w:val="24"/>
          <w:szCs w:val="24"/>
          <w:lang w:eastAsia="zh-CN"/>
        </w:rPr>
        <w:t>-</w:t>
      </w:r>
      <w:r w:rsidR="00C05BDD">
        <w:rPr>
          <w:rFonts w:ascii="华文楷体" w:hAnsi="华文楷体"/>
          <w:sz w:val="24"/>
          <w:szCs w:val="24"/>
          <w:lang w:eastAsia="zh-CN"/>
        </w:rPr>
        <w:t>4</w:t>
      </w:r>
      <w:r w:rsidR="00C05BDD">
        <w:rPr>
          <w:rFonts w:ascii="华文楷体" w:hAnsi="华文楷体" w:hint="eastAsia"/>
          <w:sz w:val="24"/>
          <w:szCs w:val="24"/>
          <w:lang w:eastAsia="zh-CN"/>
        </w:rPr>
        <w:t>~</w:t>
      </w:r>
      <w:r w:rsidR="00C05BDD">
        <w:rPr>
          <w:rFonts w:ascii="华文楷体" w:hAnsi="华文楷体"/>
          <w:sz w:val="24"/>
          <w:szCs w:val="24"/>
          <w:lang w:eastAsia="zh-CN"/>
        </w:rPr>
        <w:t>1</w:t>
      </w:r>
      <w:r w:rsidR="00D350FB" w:rsidRPr="00D350FB">
        <w:rPr>
          <w:rFonts w:ascii="华文楷体" w:hAnsi="华文楷体" w:hint="eastAsia"/>
          <w:sz w:val="24"/>
          <w:szCs w:val="24"/>
          <w:lang w:eastAsia="zh-CN"/>
        </w:rPr>
        <w:t>BP，5Y企业债</w:t>
      </w:r>
      <w:r w:rsidR="00C05BDD">
        <w:rPr>
          <w:rFonts w:ascii="华文楷体" w:hAnsi="华文楷体" w:hint="eastAsia"/>
          <w:sz w:val="24"/>
          <w:szCs w:val="24"/>
          <w:lang w:eastAsia="zh-CN"/>
        </w:rPr>
        <w:t>下行1</w:t>
      </w:r>
      <w:r w:rsidR="00D350FB" w:rsidRPr="00D350FB">
        <w:rPr>
          <w:rFonts w:ascii="华文楷体" w:hAnsi="华文楷体" w:hint="eastAsia"/>
          <w:sz w:val="24"/>
          <w:szCs w:val="24"/>
          <w:lang w:eastAsia="zh-CN"/>
        </w:rPr>
        <w:t>BP左右，</w:t>
      </w:r>
      <w:proofErr w:type="gramStart"/>
      <w:r w:rsidR="00D350FB" w:rsidRPr="00D350FB">
        <w:rPr>
          <w:rFonts w:ascii="华文楷体" w:hAnsi="华文楷体" w:hint="eastAsia"/>
          <w:sz w:val="24"/>
          <w:szCs w:val="24"/>
          <w:lang w:eastAsia="zh-CN"/>
        </w:rPr>
        <w:t>城投债</w:t>
      </w:r>
      <w:proofErr w:type="gramEnd"/>
      <w:r w:rsidR="00D350FB" w:rsidRPr="00D350FB">
        <w:rPr>
          <w:rFonts w:ascii="华文楷体" w:hAnsi="华文楷体" w:hint="eastAsia"/>
          <w:sz w:val="24"/>
          <w:szCs w:val="24"/>
          <w:lang w:eastAsia="zh-CN"/>
        </w:rPr>
        <w:t>3Y期限品种</w:t>
      </w:r>
      <w:r w:rsidR="00C05BDD">
        <w:rPr>
          <w:rFonts w:ascii="华文楷体" w:hAnsi="华文楷体" w:hint="eastAsia"/>
          <w:sz w:val="24"/>
          <w:szCs w:val="24"/>
          <w:lang w:eastAsia="zh-CN"/>
        </w:rPr>
        <w:t>下行0-</w:t>
      </w:r>
      <w:r w:rsidR="00C05BDD">
        <w:rPr>
          <w:rFonts w:ascii="华文楷体" w:hAnsi="华文楷体"/>
          <w:sz w:val="24"/>
          <w:szCs w:val="24"/>
          <w:lang w:eastAsia="zh-CN"/>
        </w:rPr>
        <w:t>1</w:t>
      </w:r>
      <w:r w:rsidR="00D350FB" w:rsidRPr="00D350FB">
        <w:rPr>
          <w:rFonts w:ascii="华文楷体" w:hAnsi="华文楷体" w:hint="eastAsia"/>
          <w:sz w:val="24"/>
          <w:szCs w:val="24"/>
          <w:lang w:eastAsia="zh-CN"/>
        </w:rPr>
        <w:t>BP，5Y品种</w:t>
      </w:r>
      <w:r w:rsidR="00C05BDD">
        <w:rPr>
          <w:rFonts w:ascii="华文楷体" w:hAnsi="华文楷体" w:hint="eastAsia"/>
          <w:sz w:val="24"/>
          <w:szCs w:val="24"/>
          <w:lang w:eastAsia="zh-CN"/>
        </w:rPr>
        <w:t>下行</w:t>
      </w:r>
      <w:r w:rsidR="00D350FB" w:rsidRPr="00D350FB">
        <w:rPr>
          <w:rFonts w:ascii="华文楷体" w:hAnsi="华文楷体" w:hint="eastAsia"/>
          <w:sz w:val="24"/>
          <w:szCs w:val="24"/>
          <w:lang w:eastAsia="zh-CN"/>
        </w:rPr>
        <w:t>1-3BP，7Y品种下行</w:t>
      </w:r>
      <w:r w:rsidR="00F62A9C">
        <w:rPr>
          <w:rFonts w:ascii="华文楷体" w:hAnsi="华文楷体"/>
          <w:sz w:val="24"/>
          <w:szCs w:val="24"/>
          <w:lang w:eastAsia="zh-CN"/>
        </w:rPr>
        <w:t>0</w:t>
      </w:r>
      <w:r w:rsidR="00D350FB" w:rsidRPr="00D350FB">
        <w:rPr>
          <w:rFonts w:ascii="华文楷体" w:hAnsi="华文楷体" w:hint="eastAsia"/>
          <w:sz w:val="24"/>
          <w:szCs w:val="24"/>
          <w:lang w:eastAsia="zh-CN"/>
        </w:rPr>
        <w:t>-3BP。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w:t>
      </w:r>
      <w:r w:rsidR="00CE0D51">
        <w:rPr>
          <w:rFonts w:ascii="华文楷体" w:hAnsi="华文楷体"/>
          <w:sz w:val="24"/>
          <w:szCs w:val="24"/>
          <w:lang w:eastAsia="zh-CN"/>
        </w:rPr>
        <w:t>0</w:t>
      </w:r>
      <w:r w:rsidR="00A55DFD">
        <w:rPr>
          <w:rFonts w:ascii="华文楷体" w:hAnsi="华文楷体" w:hint="eastAsia"/>
          <w:sz w:val="24"/>
          <w:szCs w:val="24"/>
          <w:lang w:eastAsia="zh-CN"/>
        </w:rPr>
        <w:t>-</w:t>
      </w:r>
      <w:r w:rsidR="00A55DFD">
        <w:rPr>
          <w:rFonts w:ascii="华文楷体" w:hAnsi="华文楷体"/>
          <w:sz w:val="24"/>
          <w:szCs w:val="24"/>
          <w:lang w:eastAsia="zh-CN"/>
        </w:rPr>
        <w:t>2</w:t>
      </w:r>
      <w:r w:rsidR="00C355F2">
        <w:rPr>
          <w:rFonts w:ascii="华文楷体" w:hAnsi="华文楷体"/>
          <w:sz w:val="24"/>
          <w:szCs w:val="24"/>
          <w:lang w:eastAsia="zh-CN"/>
        </w:rPr>
        <w:t>3</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D350FB">
        <w:rPr>
          <w:rFonts w:ascii="华文楷体" w:hAnsi="华文楷体" w:hint="eastAsia"/>
          <w:sz w:val="24"/>
          <w:szCs w:val="24"/>
          <w:lang w:eastAsia="zh-CN"/>
        </w:rPr>
        <w:t>7</w:t>
      </w:r>
      <w:r w:rsidR="00EF3B44">
        <w:rPr>
          <w:rFonts w:ascii="华文楷体" w:hAnsi="华文楷体" w:hint="eastAsia"/>
          <w:sz w:val="24"/>
          <w:szCs w:val="24"/>
          <w:lang w:eastAsia="zh-CN"/>
        </w:rPr>
        <w:t>-</w:t>
      </w:r>
      <w:r w:rsidR="00CE0D51">
        <w:rPr>
          <w:rFonts w:ascii="华文楷体" w:hAnsi="华文楷体"/>
          <w:sz w:val="24"/>
          <w:szCs w:val="24"/>
          <w:lang w:eastAsia="zh-CN"/>
        </w:rPr>
        <w:t>22</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C355F2">
        <w:rPr>
          <w:rFonts w:ascii="华文楷体" w:hAnsi="华文楷体"/>
          <w:sz w:val="24"/>
          <w:szCs w:val="24"/>
          <w:lang w:eastAsia="zh-CN"/>
        </w:rPr>
        <w:t>9</w:t>
      </w:r>
      <w:r w:rsidR="004F1AB3">
        <w:rPr>
          <w:rFonts w:ascii="华文楷体" w:hAnsi="华文楷体" w:hint="eastAsia"/>
          <w:sz w:val="24"/>
          <w:szCs w:val="24"/>
          <w:lang w:eastAsia="zh-CN"/>
        </w:rPr>
        <w:t>-</w:t>
      </w:r>
      <w:r w:rsidR="0093645F">
        <w:rPr>
          <w:rFonts w:ascii="华文楷体" w:hAnsi="华文楷体" w:hint="eastAsia"/>
          <w:sz w:val="24"/>
          <w:szCs w:val="24"/>
          <w:lang w:eastAsia="zh-CN"/>
        </w:rPr>
        <w:t>1</w:t>
      </w:r>
      <w:r w:rsidR="00581628">
        <w:rPr>
          <w:rFonts w:ascii="华文楷体" w:hAnsi="华文楷体" w:hint="eastAsia"/>
          <w:sz w:val="24"/>
          <w:szCs w:val="24"/>
          <w:lang w:eastAsia="zh-CN"/>
        </w:rPr>
        <w:t>7</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130"/>
              <w:gridCol w:w="919"/>
              <w:gridCol w:w="920"/>
              <w:gridCol w:w="920"/>
              <w:gridCol w:w="920"/>
              <w:gridCol w:w="1149"/>
              <w:gridCol w:w="920"/>
              <w:gridCol w:w="920"/>
              <w:gridCol w:w="920"/>
              <w:gridCol w:w="920"/>
            </w:tblGrid>
            <w:tr w:rsidR="001E16F5" w:rsidRPr="001E16F5" w14:paraId="39CCC9CA" w14:textId="77777777" w:rsidTr="001E16F5">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2CAC079D"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收益率(%)</w:t>
                  </w:r>
                </w:p>
              </w:tc>
              <w:tc>
                <w:tcPr>
                  <w:tcW w:w="942" w:type="dxa"/>
                  <w:tcBorders>
                    <w:top w:val="nil"/>
                    <w:left w:val="nil"/>
                    <w:bottom w:val="single" w:sz="12" w:space="0" w:color="FFFFFF"/>
                    <w:right w:val="single" w:sz="8" w:space="0" w:color="FFFFFF"/>
                  </w:tcBorders>
                  <w:shd w:val="clear" w:color="000000" w:fill="F79646"/>
                  <w:noWrap/>
                  <w:vAlign w:val="center"/>
                  <w:hideMark/>
                </w:tcPr>
                <w:p w14:paraId="5EACEC19"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AEA61A9"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CB15D6B"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B59C796"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1178" w:type="dxa"/>
                  <w:tcBorders>
                    <w:top w:val="nil"/>
                    <w:left w:val="nil"/>
                    <w:bottom w:val="single" w:sz="12" w:space="0" w:color="FFFFFF"/>
                    <w:right w:val="single" w:sz="8" w:space="0" w:color="FFFFFF"/>
                  </w:tcBorders>
                  <w:shd w:val="clear" w:color="000000" w:fill="F79646"/>
                  <w:noWrap/>
                  <w:vAlign w:val="center"/>
                  <w:hideMark/>
                </w:tcPr>
                <w:p w14:paraId="7E4A86C0"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息差</w:t>
                  </w:r>
                </w:p>
              </w:tc>
              <w:tc>
                <w:tcPr>
                  <w:tcW w:w="942" w:type="dxa"/>
                  <w:tcBorders>
                    <w:top w:val="nil"/>
                    <w:left w:val="nil"/>
                    <w:bottom w:val="single" w:sz="12" w:space="0" w:color="FFFFFF"/>
                    <w:right w:val="single" w:sz="8" w:space="0" w:color="FFFFFF"/>
                  </w:tcBorders>
                  <w:shd w:val="clear" w:color="000000" w:fill="F79646"/>
                  <w:noWrap/>
                  <w:vAlign w:val="center"/>
                  <w:hideMark/>
                </w:tcPr>
                <w:p w14:paraId="0C207BF9"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540BBA0"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F6ABD7F"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CF478D8"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r>
            <w:tr w:rsidR="001E16F5" w:rsidRPr="001E16F5" w14:paraId="4DE92A67" w14:textId="77777777" w:rsidTr="001E16F5">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006623A0"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6971716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2.95 </w:t>
                  </w:r>
                </w:p>
              </w:tc>
              <w:tc>
                <w:tcPr>
                  <w:tcW w:w="942" w:type="dxa"/>
                  <w:tcBorders>
                    <w:top w:val="nil"/>
                    <w:left w:val="nil"/>
                    <w:bottom w:val="single" w:sz="8" w:space="0" w:color="FFFFFF"/>
                    <w:right w:val="single" w:sz="8" w:space="0" w:color="FFFFFF"/>
                  </w:tcBorders>
                  <w:shd w:val="clear" w:color="000000" w:fill="FCD5B4"/>
                  <w:noWrap/>
                  <w:vAlign w:val="center"/>
                  <w:hideMark/>
                </w:tcPr>
                <w:p w14:paraId="4018C38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3.09 </w:t>
                  </w:r>
                </w:p>
              </w:tc>
              <w:tc>
                <w:tcPr>
                  <w:tcW w:w="942" w:type="dxa"/>
                  <w:tcBorders>
                    <w:top w:val="nil"/>
                    <w:left w:val="nil"/>
                    <w:bottom w:val="single" w:sz="8" w:space="0" w:color="FFFFFF"/>
                    <w:right w:val="single" w:sz="8" w:space="0" w:color="FFFFFF"/>
                  </w:tcBorders>
                  <w:shd w:val="clear" w:color="000000" w:fill="FCD5B4"/>
                  <w:noWrap/>
                  <w:vAlign w:val="center"/>
                  <w:hideMark/>
                </w:tcPr>
                <w:p w14:paraId="1111057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3.39 </w:t>
                  </w:r>
                </w:p>
              </w:tc>
              <w:tc>
                <w:tcPr>
                  <w:tcW w:w="942" w:type="dxa"/>
                  <w:tcBorders>
                    <w:top w:val="nil"/>
                    <w:left w:val="nil"/>
                    <w:bottom w:val="single" w:sz="8" w:space="0" w:color="FFFFFF"/>
                    <w:right w:val="single" w:sz="8" w:space="0" w:color="FFFFFF"/>
                  </w:tcBorders>
                  <w:shd w:val="clear" w:color="000000" w:fill="FCD5B4"/>
                  <w:noWrap/>
                  <w:vAlign w:val="center"/>
                  <w:hideMark/>
                </w:tcPr>
                <w:p w14:paraId="550BFC7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5.60 </w:t>
                  </w:r>
                </w:p>
              </w:tc>
              <w:tc>
                <w:tcPr>
                  <w:tcW w:w="1178" w:type="dxa"/>
                  <w:tcBorders>
                    <w:top w:val="nil"/>
                    <w:left w:val="nil"/>
                    <w:bottom w:val="single" w:sz="8" w:space="0" w:color="FFFFFF"/>
                    <w:right w:val="single" w:sz="8" w:space="0" w:color="FFFFFF"/>
                  </w:tcBorders>
                  <w:shd w:val="clear" w:color="000000" w:fill="FCD5B4"/>
                  <w:noWrap/>
                  <w:vAlign w:val="center"/>
                  <w:hideMark/>
                </w:tcPr>
                <w:p w14:paraId="47E0AD88"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116E078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0.63 </w:t>
                  </w:r>
                </w:p>
              </w:tc>
              <w:tc>
                <w:tcPr>
                  <w:tcW w:w="942" w:type="dxa"/>
                  <w:tcBorders>
                    <w:top w:val="nil"/>
                    <w:left w:val="nil"/>
                    <w:bottom w:val="single" w:sz="8" w:space="0" w:color="FFFFFF"/>
                    <w:right w:val="single" w:sz="8" w:space="0" w:color="FFFFFF"/>
                  </w:tcBorders>
                  <w:shd w:val="clear" w:color="000000" w:fill="FCD5B4"/>
                  <w:noWrap/>
                  <w:vAlign w:val="center"/>
                  <w:hideMark/>
                </w:tcPr>
                <w:p w14:paraId="4522DC8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0.77 </w:t>
                  </w:r>
                </w:p>
              </w:tc>
              <w:tc>
                <w:tcPr>
                  <w:tcW w:w="942" w:type="dxa"/>
                  <w:tcBorders>
                    <w:top w:val="nil"/>
                    <w:left w:val="nil"/>
                    <w:bottom w:val="single" w:sz="8" w:space="0" w:color="FFFFFF"/>
                    <w:right w:val="single" w:sz="8" w:space="0" w:color="FFFFFF"/>
                  </w:tcBorders>
                  <w:shd w:val="clear" w:color="000000" w:fill="FCD5B4"/>
                  <w:noWrap/>
                  <w:vAlign w:val="center"/>
                  <w:hideMark/>
                </w:tcPr>
                <w:p w14:paraId="6573A3E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1.07 </w:t>
                  </w:r>
                </w:p>
              </w:tc>
              <w:tc>
                <w:tcPr>
                  <w:tcW w:w="942" w:type="dxa"/>
                  <w:tcBorders>
                    <w:top w:val="nil"/>
                    <w:left w:val="nil"/>
                    <w:bottom w:val="single" w:sz="8" w:space="0" w:color="FFFFFF"/>
                    <w:right w:val="single" w:sz="8" w:space="0" w:color="FFFFFF"/>
                  </w:tcBorders>
                  <w:shd w:val="clear" w:color="000000" w:fill="FCD5B4"/>
                  <w:noWrap/>
                  <w:vAlign w:val="center"/>
                  <w:hideMark/>
                </w:tcPr>
                <w:p w14:paraId="2064965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3.28 </w:t>
                  </w:r>
                </w:p>
              </w:tc>
            </w:tr>
            <w:tr w:rsidR="001E16F5" w:rsidRPr="001E16F5" w14:paraId="11BDABBF"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50C893D"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4CF9982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3.49 </w:t>
                  </w:r>
                </w:p>
              </w:tc>
              <w:tc>
                <w:tcPr>
                  <w:tcW w:w="942" w:type="dxa"/>
                  <w:tcBorders>
                    <w:top w:val="nil"/>
                    <w:left w:val="nil"/>
                    <w:bottom w:val="single" w:sz="8" w:space="0" w:color="FFFFFF"/>
                    <w:right w:val="single" w:sz="8" w:space="0" w:color="FFFFFF"/>
                  </w:tcBorders>
                  <w:shd w:val="clear" w:color="000000" w:fill="FDE9D9"/>
                  <w:noWrap/>
                  <w:vAlign w:val="center"/>
                  <w:hideMark/>
                </w:tcPr>
                <w:p w14:paraId="1E4E72A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3.74 </w:t>
                  </w:r>
                </w:p>
              </w:tc>
              <w:tc>
                <w:tcPr>
                  <w:tcW w:w="942" w:type="dxa"/>
                  <w:tcBorders>
                    <w:top w:val="nil"/>
                    <w:left w:val="nil"/>
                    <w:bottom w:val="single" w:sz="8" w:space="0" w:color="FFFFFF"/>
                    <w:right w:val="single" w:sz="8" w:space="0" w:color="FFFFFF"/>
                  </w:tcBorders>
                  <w:shd w:val="clear" w:color="000000" w:fill="FDE9D9"/>
                  <w:noWrap/>
                  <w:vAlign w:val="center"/>
                  <w:hideMark/>
                </w:tcPr>
                <w:p w14:paraId="42910E6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4.17 </w:t>
                  </w:r>
                </w:p>
              </w:tc>
              <w:tc>
                <w:tcPr>
                  <w:tcW w:w="942" w:type="dxa"/>
                  <w:tcBorders>
                    <w:top w:val="nil"/>
                    <w:left w:val="nil"/>
                    <w:bottom w:val="single" w:sz="8" w:space="0" w:color="FFFFFF"/>
                    <w:right w:val="single" w:sz="8" w:space="0" w:color="FFFFFF"/>
                  </w:tcBorders>
                  <w:shd w:val="clear" w:color="000000" w:fill="FDE9D9"/>
                  <w:noWrap/>
                  <w:vAlign w:val="center"/>
                  <w:hideMark/>
                </w:tcPr>
                <w:p w14:paraId="51E2D69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6.38 </w:t>
                  </w:r>
                </w:p>
              </w:tc>
              <w:tc>
                <w:tcPr>
                  <w:tcW w:w="1178" w:type="dxa"/>
                  <w:tcBorders>
                    <w:top w:val="nil"/>
                    <w:left w:val="nil"/>
                    <w:bottom w:val="single" w:sz="8" w:space="0" w:color="FFFFFF"/>
                    <w:right w:val="single" w:sz="8" w:space="0" w:color="FFFFFF"/>
                  </w:tcBorders>
                  <w:shd w:val="clear" w:color="000000" w:fill="FDE9D9"/>
                  <w:noWrap/>
                  <w:vAlign w:val="center"/>
                  <w:hideMark/>
                </w:tcPr>
                <w:p w14:paraId="06504AA3"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514BFD8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0.76 </w:t>
                  </w:r>
                </w:p>
              </w:tc>
              <w:tc>
                <w:tcPr>
                  <w:tcW w:w="942" w:type="dxa"/>
                  <w:tcBorders>
                    <w:top w:val="nil"/>
                    <w:left w:val="nil"/>
                    <w:bottom w:val="single" w:sz="8" w:space="0" w:color="FFFFFF"/>
                    <w:right w:val="single" w:sz="8" w:space="0" w:color="FFFFFF"/>
                  </w:tcBorders>
                  <w:shd w:val="clear" w:color="000000" w:fill="FDE9D9"/>
                  <w:noWrap/>
                  <w:vAlign w:val="center"/>
                  <w:hideMark/>
                </w:tcPr>
                <w:p w14:paraId="6B49BAE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1.01 </w:t>
                  </w:r>
                </w:p>
              </w:tc>
              <w:tc>
                <w:tcPr>
                  <w:tcW w:w="942" w:type="dxa"/>
                  <w:tcBorders>
                    <w:top w:val="nil"/>
                    <w:left w:val="nil"/>
                    <w:bottom w:val="single" w:sz="8" w:space="0" w:color="FFFFFF"/>
                    <w:right w:val="single" w:sz="8" w:space="0" w:color="FFFFFF"/>
                  </w:tcBorders>
                  <w:shd w:val="clear" w:color="000000" w:fill="FDE9D9"/>
                  <w:noWrap/>
                  <w:vAlign w:val="center"/>
                  <w:hideMark/>
                </w:tcPr>
                <w:p w14:paraId="0693CC6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1.44 </w:t>
                  </w:r>
                </w:p>
              </w:tc>
              <w:tc>
                <w:tcPr>
                  <w:tcW w:w="942" w:type="dxa"/>
                  <w:tcBorders>
                    <w:top w:val="nil"/>
                    <w:left w:val="nil"/>
                    <w:bottom w:val="single" w:sz="8" w:space="0" w:color="FFFFFF"/>
                    <w:right w:val="single" w:sz="8" w:space="0" w:color="FFFFFF"/>
                  </w:tcBorders>
                  <w:shd w:val="clear" w:color="000000" w:fill="FDE9D9"/>
                  <w:noWrap/>
                  <w:vAlign w:val="center"/>
                  <w:hideMark/>
                </w:tcPr>
                <w:p w14:paraId="6F14F31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3.65 </w:t>
                  </w:r>
                </w:p>
              </w:tc>
            </w:tr>
            <w:tr w:rsidR="001E16F5" w:rsidRPr="001E16F5" w14:paraId="50385561"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4726679"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23D2109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3.72 </w:t>
                  </w:r>
                </w:p>
              </w:tc>
              <w:tc>
                <w:tcPr>
                  <w:tcW w:w="942" w:type="dxa"/>
                  <w:tcBorders>
                    <w:top w:val="nil"/>
                    <w:left w:val="nil"/>
                    <w:bottom w:val="single" w:sz="8" w:space="0" w:color="FFFFFF"/>
                    <w:right w:val="single" w:sz="8" w:space="0" w:color="FFFFFF"/>
                  </w:tcBorders>
                  <w:shd w:val="clear" w:color="000000" w:fill="FCD5B4"/>
                  <w:noWrap/>
                  <w:vAlign w:val="center"/>
                  <w:hideMark/>
                </w:tcPr>
                <w:p w14:paraId="4CD43D0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4.00 </w:t>
                  </w:r>
                </w:p>
              </w:tc>
              <w:tc>
                <w:tcPr>
                  <w:tcW w:w="942" w:type="dxa"/>
                  <w:tcBorders>
                    <w:top w:val="nil"/>
                    <w:left w:val="nil"/>
                    <w:bottom w:val="single" w:sz="8" w:space="0" w:color="FFFFFF"/>
                    <w:right w:val="single" w:sz="8" w:space="0" w:color="FFFFFF"/>
                  </w:tcBorders>
                  <w:shd w:val="clear" w:color="000000" w:fill="FCD5B4"/>
                  <w:noWrap/>
                  <w:vAlign w:val="center"/>
                  <w:hideMark/>
                </w:tcPr>
                <w:p w14:paraId="05357E1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4.51 </w:t>
                  </w:r>
                </w:p>
              </w:tc>
              <w:tc>
                <w:tcPr>
                  <w:tcW w:w="942" w:type="dxa"/>
                  <w:tcBorders>
                    <w:top w:val="nil"/>
                    <w:left w:val="nil"/>
                    <w:bottom w:val="single" w:sz="8" w:space="0" w:color="FFFFFF"/>
                    <w:right w:val="single" w:sz="8" w:space="0" w:color="FFFFFF"/>
                  </w:tcBorders>
                  <w:shd w:val="clear" w:color="000000" w:fill="FCD5B4"/>
                  <w:noWrap/>
                  <w:vAlign w:val="center"/>
                  <w:hideMark/>
                </w:tcPr>
                <w:p w14:paraId="70334F0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6.72 </w:t>
                  </w:r>
                </w:p>
              </w:tc>
              <w:tc>
                <w:tcPr>
                  <w:tcW w:w="1178" w:type="dxa"/>
                  <w:tcBorders>
                    <w:top w:val="nil"/>
                    <w:left w:val="nil"/>
                    <w:bottom w:val="single" w:sz="8" w:space="0" w:color="FFFFFF"/>
                    <w:right w:val="single" w:sz="8" w:space="0" w:color="FFFFFF"/>
                  </w:tcBorders>
                  <w:shd w:val="clear" w:color="000000" w:fill="FCD5B4"/>
                  <w:noWrap/>
                  <w:vAlign w:val="center"/>
                  <w:hideMark/>
                </w:tcPr>
                <w:p w14:paraId="7B6BF0D2"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77029F7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0.78 </w:t>
                  </w:r>
                </w:p>
              </w:tc>
              <w:tc>
                <w:tcPr>
                  <w:tcW w:w="942" w:type="dxa"/>
                  <w:tcBorders>
                    <w:top w:val="nil"/>
                    <w:left w:val="nil"/>
                    <w:bottom w:val="single" w:sz="8" w:space="0" w:color="FFFFFF"/>
                    <w:right w:val="single" w:sz="8" w:space="0" w:color="FFFFFF"/>
                  </w:tcBorders>
                  <w:shd w:val="clear" w:color="000000" w:fill="FCD5B4"/>
                  <w:noWrap/>
                  <w:vAlign w:val="center"/>
                  <w:hideMark/>
                </w:tcPr>
                <w:p w14:paraId="3AADCB0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1.06 </w:t>
                  </w:r>
                </w:p>
              </w:tc>
              <w:tc>
                <w:tcPr>
                  <w:tcW w:w="942" w:type="dxa"/>
                  <w:tcBorders>
                    <w:top w:val="nil"/>
                    <w:left w:val="nil"/>
                    <w:bottom w:val="single" w:sz="8" w:space="0" w:color="FFFFFF"/>
                    <w:right w:val="single" w:sz="8" w:space="0" w:color="FFFFFF"/>
                  </w:tcBorders>
                  <w:shd w:val="clear" w:color="000000" w:fill="FCD5B4"/>
                  <w:noWrap/>
                  <w:vAlign w:val="center"/>
                  <w:hideMark/>
                </w:tcPr>
                <w:p w14:paraId="38531AD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1.57 </w:t>
                  </w:r>
                </w:p>
              </w:tc>
              <w:tc>
                <w:tcPr>
                  <w:tcW w:w="942" w:type="dxa"/>
                  <w:tcBorders>
                    <w:top w:val="nil"/>
                    <w:left w:val="nil"/>
                    <w:bottom w:val="single" w:sz="8" w:space="0" w:color="FFFFFF"/>
                    <w:right w:val="single" w:sz="8" w:space="0" w:color="FFFFFF"/>
                  </w:tcBorders>
                  <w:shd w:val="clear" w:color="000000" w:fill="FCD5B4"/>
                  <w:noWrap/>
                  <w:vAlign w:val="center"/>
                  <w:hideMark/>
                </w:tcPr>
                <w:p w14:paraId="673AA77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3.78 </w:t>
                  </w:r>
                </w:p>
              </w:tc>
            </w:tr>
            <w:tr w:rsidR="001E16F5" w:rsidRPr="001E16F5" w14:paraId="52D15F7D"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1C304474"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02BEE44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3.45 </w:t>
                  </w:r>
                </w:p>
              </w:tc>
              <w:tc>
                <w:tcPr>
                  <w:tcW w:w="942" w:type="dxa"/>
                  <w:tcBorders>
                    <w:top w:val="nil"/>
                    <w:left w:val="nil"/>
                    <w:bottom w:val="single" w:sz="8" w:space="0" w:color="FFFFFF"/>
                    <w:right w:val="single" w:sz="8" w:space="0" w:color="FFFFFF"/>
                  </w:tcBorders>
                  <w:shd w:val="clear" w:color="000000" w:fill="FDE9D9"/>
                  <w:noWrap/>
                  <w:vAlign w:val="center"/>
                  <w:hideMark/>
                </w:tcPr>
                <w:p w14:paraId="7048D60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3.67 </w:t>
                  </w:r>
                </w:p>
              </w:tc>
              <w:tc>
                <w:tcPr>
                  <w:tcW w:w="942" w:type="dxa"/>
                  <w:tcBorders>
                    <w:top w:val="nil"/>
                    <w:left w:val="nil"/>
                    <w:bottom w:val="single" w:sz="8" w:space="0" w:color="FFFFFF"/>
                    <w:right w:val="single" w:sz="8" w:space="0" w:color="FFFFFF"/>
                  </w:tcBorders>
                  <w:shd w:val="clear" w:color="000000" w:fill="FDE9D9"/>
                  <w:noWrap/>
                  <w:vAlign w:val="center"/>
                  <w:hideMark/>
                </w:tcPr>
                <w:p w14:paraId="3547C10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4.15 </w:t>
                  </w:r>
                </w:p>
              </w:tc>
              <w:tc>
                <w:tcPr>
                  <w:tcW w:w="942" w:type="dxa"/>
                  <w:tcBorders>
                    <w:top w:val="nil"/>
                    <w:left w:val="nil"/>
                    <w:bottom w:val="single" w:sz="8" w:space="0" w:color="FFFFFF"/>
                    <w:right w:val="single" w:sz="8" w:space="0" w:color="FFFFFF"/>
                  </w:tcBorders>
                  <w:shd w:val="clear" w:color="000000" w:fill="FDE9D9"/>
                  <w:noWrap/>
                  <w:vAlign w:val="center"/>
                  <w:hideMark/>
                </w:tcPr>
                <w:p w14:paraId="1CC43AE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6.35 </w:t>
                  </w:r>
                </w:p>
              </w:tc>
              <w:tc>
                <w:tcPr>
                  <w:tcW w:w="1178" w:type="dxa"/>
                  <w:tcBorders>
                    <w:top w:val="nil"/>
                    <w:left w:val="nil"/>
                    <w:bottom w:val="single" w:sz="8" w:space="0" w:color="FFFFFF"/>
                    <w:right w:val="single" w:sz="8" w:space="0" w:color="FFFFFF"/>
                  </w:tcBorders>
                  <w:shd w:val="clear" w:color="000000" w:fill="FDE9D9"/>
                  <w:noWrap/>
                  <w:vAlign w:val="center"/>
                  <w:hideMark/>
                </w:tcPr>
                <w:p w14:paraId="2F13725A"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1816AB6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0.72 </w:t>
                  </w:r>
                </w:p>
              </w:tc>
              <w:tc>
                <w:tcPr>
                  <w:tcW w:w="942" w:type="dxa"/>
                  <w:tcBorders>
                    <w:top w:val="nil"/>
                    <w:left w:val="nil"/>
                    <w:bottom w:val="single" w:sz="8" w:space="0" w:color="FFFFFF"/>
                    <w:right w:val="single" w:sz="8" w:space="0" w:color="FFFFFF"/>
                  </w:tcBorders>
                  <w:shd w:val="clear" w:color="000000" w:fill="FDE9D9"/>
                  <w:noWrap/>
                  <w:vAlign w:val="center"/>
                  <w:hideMark/>
                </w:tcPr>
                <w:p w14:paraId="38BA7DE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0.94 </w:t>
                  </w:r>
                </w:p>
              </w:tc>
              <w:tc>
                <w:tcPr>
                  <w:tcW w:w="942" w:type="dxa"/>
                  <w:tcBorders>
                    <w:top w:val="nil"/>
                    <w:left w:val="nil"/>
                    <w:bottom w:val="single" w:sz="8" w:space="0" w:color="FFFFFF"/>
                    <w:right w:val="single" w:sz="8" w:space="0" w:color="FFFFFF"/>
                  </w:tcBorders>
                  <w:shd w:val="clear" w:color="000000" w:fill="FDE9D9"/>
                  <w:noWrap/>
                  <w:vAlign w:val="center"/>
                  <w:hideMark/>
                </w:tcPr>
                <w:p w14:paraId="657D384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1.42 </w:t>
                  </w:r>
                </w:p>
              </w:tc>
              <w:tc>
                <w:tcPr>
                  <w:tcW w:w="942" w:type="dxa"/>
                  <w:tcBorders>
                    <w:top w:val="nil"/>
                    <w:left w:val="nil"/>
                    <w:bottom w:val="single" w:sz="8" w:space="0" w:color="FFFFFF"/>
                    <w:right w:val="single" w:sz="8" w:space="0" w:color="FFFFFF"/>
                  </w:tcBorders>
                  <w:shd w:val="clear" w:color="000000" w:fill="FDE9D9"/>
                  <w:noWrap/>
                  <w:vAlign w:val="center"/>
                  <w:hideMark/>
                </w:tcPr>
                <w:p w14:paraId="0FE4AD1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3.62 </w:t>
                  </w:r>
                </w:p>
              </w:tc>
            </w:tr>
            <w:tr w:rsidR="001E16F5" w:rsidRPr="001E16F5" w14:paraId="6D4475E0"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45491C38"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20CC7A1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3.67 </w:t>
                  </w:r>
                </w:p>
              </w:tc>
              <w:tc>
                <w:tcPr>
                  <w:tcW w:w="942" w:type="dxa"/>
                  <w:tcBorders>
                    <w:top w:val="nil"/>
                    <w:left w:val="nil"/>
                    <w:bottom w:val="single" w:sz="8" w:space="0" w:color="FFFFFF"/>
                    <w:right w:val="single" w:sz="8" w:space="0" w:color="FFFFFF"/>
                  </w:tcBorders>
                  <w:shd w:val="clear" w:color="000000" w:fill="FCD5B4"/>
                  <w:noWrap/>
                  <w:vAlign w:val="center"/>
                  <w:hideMark/>
                </w:tcPr>
                <w:p w14:paraId="5F73C35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3.92 </w:t>
                  </w:r>
                </w:p>
              </w:tc>
              <w:tc>
                <w:tcPr>
                  <w:tcW w:w="942" w:type="dxa"/>
                  <w:tcBorders>
                    <w:top w:val="nil"/>
                    <w:left w:val="nil"/>
                    <w:bottom w:val="single" w:sz="8" w:space="0" w:color="FFFFFF"/>
                    <w:right w:val="single" w:sz="8" w:space="0" w:color="FFFFFF"/>
                  </w:tcBorders>
                  <w:shd w:val="clear" w:color="000000" w:fill="FCD5B4"/>
                  <w:noWrap/>
                  <w:vAlign w:val="center"/>
                  <w:hideMark/>
                </w:tcPr>
                <w:p w14:paraId="77194F9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4.42 </w:t>
                  </w:r>
                </w:p>
              </w:tc>
              <w:tc>
                <w:tcPr>
                  <w:tcW w:w="942" w:type="dxa"/>
                  <w:tcBorders>
                    <w:top w:val="nil"/>
                    <w:left w:val="nil"/>
                    <w:bottom w:val="single" w:sz="8" w:space="0" w:color="FFFFFF"/>
                    <w:right w:val="single" w:sz="8" w:space="0" w:color="FFFFFF"/>
                  </w:tcBorders>
                  <w:shd w:val="clear" w:color="000000" w:fill="FCD5B4"/>
                  <w:noWrap/>
                  <w:vAlign w:val="center"/>
                  <w:hideMark/>
                </w:tcPr>
                <w:p w14:paraId="210F718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6.62 </w:t>
                  </w:r>
                </w:p>
              </w:tc>
              <w:tc>
                <w:tcPr>
                  <w:tcW w:w="1178" w:type="dxa"/>
                  <w:tcBorders>
                    <w:top w:val="nil"/>
                    <w:left w:val="nil"/>
                    <w:bottom w:val="single" w:sz="8" w:space="0" w:color="FFFFFF"/>
                    <w:right w:val="single" w:sz="8" w:space="0" w:color="FFFFFF"/>
                  </w:tcBorders>
                  <w:shd w:val="clear" w:color="000000" w:fill="FCD5B4"/>
                  <w:noWrap/>
                  <w:vAlign w:val="center"/>
                  <w:hideMark/>
                </w:tcPr>
                <w:p w14:paraId="6882424B"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68362EA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0.74 </w:t>
                  </w:r>
                </w:p>
              </w:tc>
              <w:tc>
                <w:tcPr>
                  <w:tcW w:w="942" w:type="dxa"/>
                  <w:tcBorders>
                    <w:top w:val="nil"/>
                    <w:left w:val="nil"/>
                    <w:bottom w:val="single" w:sz="8" w:space="0" w:color="FFFFFF"/>
                    <w:right w:val="single" w:sz="8" w:space="0" w:color="FFFFFF"/>
                  </w:tcBorders>
                  <w:shd w:val="clear" w:color="000000" w:fill="FCD5B4"/>
                  <w:noWrap/>
                  <w:vAlign w:val="center"/>
                  <w:hideMark/>
                </w:tcPr>
                <w:p w14:paraId="01A9B79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0.99 </w:t>
                  </w:r>
                </w:p>
              </w:tc>
              <w:tc>
                <w:tcPr>
                  <w:tcW w:w="942" w:type="dxa"/>
                  <w:tcBorders>
                    <w:top w:val="nil"/>
                    <w:left w:val="nil"/>
                    <w:bottom w:val="single" w:sz="8" w:space="0" w:color="FFFFFF"/>
                    <w:right w:val="single" w:sz="8" w:space="0" w:color="FFFFFF"/>
                  </w:tcBorders>
                  <w:shd w:val="clear" w:color="000000" w:fill="FCD5B4"/>
                  <w:noWrap/>
                  <w:vAlign w:val="center"/>
                  <w:hideMark/>
                </w:tcPr>
                <w:p w14:paraId="66F497F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1.49 </w:t>
                  </w:r>
                </w:p>
              </w:tc>
              <w:tc>
                <w:tcPr>
                  <w:tcW w:w="942" w:type="dxa"/>
                  <w:tcBorders>
                    <w:top w:val="nil"/>
                    <w:left w:val="nil"/>
                    <w:bottom w:val="single" w:sz="8" w:space="0" w:color="FFFFFF"/>
                    <w:right w:val="single" w:sz="8" w:space="0" w:color="FFFFFF"/>
                  </w:tcBorders>
                  <w:shd w:val="clear" w:color="000000" w:fill="FCD5B4"/>
                  <w:noWrap/>
                  <w:vAlign w:val="center"/>
                  <w:hideMark/>
                </w:tcPr>
                <w:p w14:paraId="5076812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3.69 </w:t>
                  </w:r>
                </w:p>
              </w:tc>
            </w:tr>
            <w:tr w:rsidR="001E16F5" w:rsidRPr="001E16F5" w14:paraId="31D2ACA8"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766AF6A0"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008459D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3.93 </w:t>
                  </w:r>
                </w:p>
              </w:tc>
              <w:tc>
                <w:tcPr>
                  <w:tcW w:w="942" w:type="dxa"/>
                  <w:tcBorders>
                    <w:top w:val="nil"/>
                    <w:left w:val="nil"/>
                    <w:bottom w:val="single" w:sz="8" w:space="0" w:color="FFFFFF"/>
                    <w:right w:val="single" w:sz="8" w:space="0" w:color="FFFFFF"/>
                  </w:tcBorders>
                  <w:shd w:val="clear" w:color="000000" w:fill="FDE9D9"/>
                  <w:noWrap/>
                  <w:vAlign w:val="center"/>
                  <w:hideMark/>
                </w:tcPr>
                <w:p w14:paraId="7076DDA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4.21 </w:t>
                  </w:r>
                </w:p>
              </w:tc>
              <w:tc>
                <w:tcPr>
                  <w:tcW w:w="942" w:type="dxa"/>
                  <w:tcBorders>
                    <w:top w:val="nil"/>
                    <w:left w:val="nil"/>
                    <w:bottom w:val="single" w:sz="8" w:space="0" w:color="FFFFFF"/>
                    <w:right w:val="single" w:sz="8" w:space="0" w:color="FFFFFF"/>
                  </w:tcBorders>
                  <w:shd w:val="clear" w:color="000000" w:fill="FDE9D9"/>
                  <w:noWrap/>
                  <w:vAlign w:val="center"/>
                  <w:hideMark/>
                </w:tcPr>
                <w:p w14:paraId="1B23108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4.73 </w:t>
                  </w:r>
                </w:p>
              </w:tc>
              <w:tc>
                <w:tcPr>
                  <w:tcW w:w="942" w:type="dxa"/>
                  <w:tcBorders>
                    <w:top w:val="nil"/>
                    <w:left w:val="nil"/>
                    <w:bottom w:val="single" w:sz="8" w:space="0" w:color="FFFFFF"/>
                    <w:right w:val="single" w:sz="8" w:space="0" w:color="FFFFFF"/>
                  </w:tcBorders>
                  <w:shd w:val="clear" w:color="000000" w:fill="FDE9D9"/>
                  <w:noWrap/>
                  <w:vAlign w:val="center"/>
                  <w:hideMark/>
                </w:tcPr>
                <w:p w14:paraId="2B3D4EB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6.93 </w:t>
                  </w:r>
                </w:p>
              </w:tc>
              <w:tc>
                <w:tcPr>
                  <w:tcW w:w="1178" w:type="dxa"/>
                  <w:tcBorders>
                    <w:top w:val="nil"/>
                    <w:left w:val="nil"/>
                    <w:bottom w:val="single" w:sz="8" w:space="0" w:color="FFFFFF"/>
                    <w:right w:val="single" w:sz="8" w:space="0" w:color="FFFFFF"/>
                  </w:tcBorders>
                  <w:shd w:val="clear" w:color="000000" w:fill="FDE9D9"/>
                  <w:noWrap/>
                  <w:vAlign w:val="center"/>
                  <w:hideMark/>
                </w:tcPr>
                <w:p w14:paraId="6A0206F1"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6AD12F6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0.79 </w:t>
                  </w:r>
                </w:p>
              </w:tc>
              <w:tc>
                <w:tcPr>
                  <w:tcW w:w="942" w:type="dxa"/>
                  <w:tcBorders>
                    <w:top w:val="nil"/>
                    <w:left w:val="nil"/>
                    <w:bottom w:val="single" w:sz="8" w:space="0" w:color="FFFFFF"/>
                    <w:right w:val="single" w:sz="8" w:space="0" w:color="FFFFFF"/>
                  </w:tcBorders>
                  <w:shd w:val="clear" w:color="000000" w:fill="FDE9D9"/>
                  <w:noWrap/>
                  <w:vAlign w:val="center"/>
                  <w:hideMark/>
                </w:tcPr>
                <w:p w14:paraId="76156DA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1.07 </w:t>
                  </w:r>
                </w:p>
              </w:tc>
              <w:tc>
                <w:tcPr>
                  <w:tcW w:w="942" w:type="dxa"/>
                  <w:tcBorders>
                    <w:top w:val="nil"/>
                    <w:left w:val="nil"/>
                    <w:bottom w:val="single" w:sz="8" w:space="0" w:color="FFFFFF"/>
                    <w:right w:val="single" w:sz="8" w:space="0" w:color="FFFFFF"/>
                  </w:tcBorders>
                  <w:shd w:val="clear" w:color="000000" w:fill="FDE9D9"/>
                  <w:noWrap/>
                  <w:vAlign w:val="center"/>
                  <w:hideMark/>
                </w:tcPr>
                <w:p w14:paraId="2F1D29B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1.59 </w:t>
                  </w:r>
                </w:p>
              </w:tc>
              <w:tc>
                <w:tcPr>
                  <w:tcW w:w="942" w:type="dxa"/>
                  <w:tcBorders>
                    <w:top w:val="nil"/>
                    <w:left w:val="nil"/>
                    <w:bottom w:val="single" w:sz="8" w:space="0" w:color="FFFFFF"/>
                    <w:right w:val="single" w:sz="8" w:space="0" w:color="FFFFFF"/>
                  </w:tcBorders>
                  <w:shd w:val="clear" w:color="000000" w:fill="FDE9D9"/>
                  <w:noWrap/>
                  <w:vAlign w:val="center"/>
                  <w:hideMark/>
                </w:tcPr>
                <w:p w14:paraId="0CD711C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3.79 </w:t>
                  </w:r>
                </w:p>
              </w:tc>
            </w:tr>
            <w:tr w:rsidR="001E16F5" w:rsidRPr="001E16F5" w14:paraId="19D8E5B3"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A3671EF"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15BDD3E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3.51 </w:t>
                  </w:r>
                </w:p>
              </w:tc>
              <w:tc>
                <w:tcPr>
                  <w:tcW w:w="942" w:type="dxa"/>
                  <w:tcBorders>
                    <w:top w:val="nil"/>
                    <w:left w:val="nil"/>
                    <w:bottom w:val="single" w:sz="8" w:space="0" w:color="FFFFFF"/>
                    <w:right w:val="single" w:sz="8" w:space="0" w:color="FFFFFF"/>
                  </w:tcBorders>
                  <w:shd w:val="clear" w:color="000000" w:fill="FCD5B4"/>
                  <w:noWrap/>
                  <w:vAlign w:val="center"/>
                  <w:hideMark/>
                </w:tcPr>
                <w:p w14:paraId="2E7775A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3.67 </w:t>
                  </w:r>
                </w:p>
              </w:tc>
              <w:tc>
                <w:tcPr>
                  <w:tcW w:w="942" w:type="dxa"/>
                  <w:tcBorders>
                    <w:top w:val="nil"/>
                    <w:left w:val="nil"/>
                    <w:bottom w:val="single" w:sz="8" w:space="0" w:color="FFFFFF"/>
                    <w:right w:val="single" w:sz="8" w:space="0" w:color="FFFFFF"/>
                  </w:tcBorders>
                  <w:shd w:val="clear" w:color="000000" w:fill="FCD5B4"/>
                  <w:noWrap/>
                  <w:vAlign w:val="center"/>
                  <w:hideMark/>
                </w:tcPr>
                <w:p w14:paraId="37EA342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3.86 </w:t>
                  </w:r>
                </w:p>
              </w:tc>
              <w:tc>
                <w:tcPr>
                  <w:tcW w:w="942" w:type="dxa"/>
                  <w:tcBorders>
                    <w:top w:val="nil"/>
                    <w:left w:val="nil"/>
                    <w:bottom w:val="single" w:sz="8" w:space="0" w:color="FFFFFF"/>
                    <w:right w:val="single" w:sz="8" w:space="0" w:color="FFFFFF"/>
                  </w:tcBorders>
                  <w:shd w:val="clear" w:color="000000" w:fill="FCD5B4"/>
                  <w:noWrap/>
                  <w:vAlign w:val="center"/>
                  <w:hideMark/>
                </w:tcPr>
                <w:p w14:paraId="2EDEBE5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6.55 </w:t>
                  </w:r>
                </w:p>
              </w:tc>
              <w:tc>
                <w:tcPr>
                  <w:tcW w:w="1178" w:type="dxa"/>
                  <w:tcBorders>
                    <w:top w:val="nil"/>
                    <w:left w:val="nil"/>
                    <w:bottom w:val="single" w:sz="8" w:space="0" w:color="FFFFFF"/>
                    <w:right w:val="single" w:sz="8" w:space="0" w:color="FFFFFF"/>
                  </w:tcBorders>
                  <w:shd w:val="clear" w:color="000000" w:fill="FCD5B4"/>
                  <w:noWrap/>
                  <w:vAlign w:val="center"/>
                  <w:hideMark/>
                </w:tcPr>
                <w:p w14:paraId="3239D099"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6F045D1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0.77 </w:t>
                  </w:r>
                </w:p>
              </w:tc>
              <w:tc>
                <w:tcPr>
                  <w:tcW w:w="942" w:type="dxa"/>
                  <w:tcBorders>
                    <w:top w:val="nil"/>
                    <w:left w:val="nil"/>
                    <w:bottom w:val="single" w:sz="8" w:space="0" w:color="FFFFFF"/>
                    <w:right w:val="single" w:sz="8" w:space="0" w:color="FFFFFF"/>
                  </w:tcBorders>
                  <w:shd w:val="clear" w:color="000000" w:fill="FCD5B4"/>
                  <w:noWrap/>
                  <w:vAlign w:val="center"/>
                  <w:hideMark/>
                </w:tcPr>
                <w:p w14:paraId="1575121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0.93 </w:t>
                  </w:r>
                </w:p>
              </w:tc>
              <w:tc>
                <w:tcPr>
                  <w:tcW w:w="942" w:type="dxa"/>
                  <w:tcBorders>
                    <w:top w:val="nil"/>
                    <w:left w:val="nil"/>
                    <w:bottom w:val="single" w:sz="8" w:space="0" w:color="FFFFFF"/>
                    <w:right w:val="single" w:sz="8" w:space="0" w:color="FFFFFF"/>
                  </w:tcBorders>
                  <w:shd w:val="clear" w:color="000000" w:fill="FCD5B4"/>
                  <w:noWrap/>
                  <w:vAlign w:val="center"/>
                  <w:hideMark/>
                </w:tcPr>
                <w:p w14:paraId="47435C8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1.13 </w:t>
                  </w:r>
                </w:p>
              </w:tc>
              <w:tc>
                <w:tcPr>
                  <w:tcW w:w="942" w:type="dxa"/>
                  <w:tcBorders>
                    <w:top w:val="nil"/>
                    <w:left w:val="nil"/>
                    <w:bottom w:val="single" w:sz="8" w:space="0" w:color="FFFFFF"/>
                    <w:right w:val="single" w:sz="8" w:space="0" w:color="FFFFFF"/>
                  </w:tcBorders>
                  <w:shd w:val="clear" w:color="000000" w:fill="FCD5B4"/>
                  <w:noWrap/>
                  <w:vAlign w:val="center"/>
                  <w:hideMark/>
                </w:tcPr>
                <w:p w14:paraId="7E40DFD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3.82 </w:t>
                  </w:r>
                </w:p>
              </w:tc>
            </w:tr>
            <w:tr w:rsidR="001E16F5" w:rsidRPr="001E16F5" w14:paraId="0AB37F3F"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0F0B15C"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1CD0EC2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3.74 </w:t>
                  </w:r>
                </w:p>
              </w:tc>
              <w:tc>
                <w:tcPr>
                  <w:tcW w:w="942" w:type="dxa"/>
                  <w:tcBorders>
                    <w:top w:val="nil"/>
                    <w:left w:val="nil"/>
                    <w:bottom w:val="single" w:sz="8" w:space="0" w:color="FFFFFF"/>
                    <w:right w:val="single" w:sz="8" w:space="0" w:color="FFFFFF"/>
                  </w:tcBorders>
                  <w:shd w:val="clear" w:color="000000" w:fill="FDE9D9"/>
                  <w:noWrap/>
                  <w:vAlign w:val="center"/>
                  <w:hideMark/>
                </w:tcPr>
                <w:p w14:paraId="15FFF32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4.02 </w:t>
                  </w:r>
                </w:p>
              </w:tc>
              <w:tc>
                <w:tcPr>
                  <w:tcW w:w="942" w:type="dxa"/>
                  <w:tcBorders>
                    <w:top w:val="nil"/>
                    <w:left w:val="nil"/>
                    <w:bottom w:val="single" w:sz="8" w:space="0" w:color="FFFFFF"/>
                    <w:right w:val="single" w:sz="8" w:space="0" w:color="FFFFFF"/>
                  </w:tcBorders>
                  <w:shd w:val="clear" w:color="000000" w:fill="FDE9D9"/>
                  <w:noWrap/>
                  <w:vAlign w:val="center"/>
                  <w:hideMark/>
                </w:tcPr>
                <w:p w14:paraId="171EE87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4.49 </w:t>
                  </w:r>
                </w:p>
              </w:tc>
              <w:tc>
                <w:tcPr>
                  <w:tcW w:w="942" w:type="dxa"/>
                  <w:tcBorders>
                    <w:top w:val="nil"/>
                    <w:left w:val="nil"/>
                    <w:bottom w:val="single" w:sz="8" w:space="0" w:color="FFFFFF"/>
                    <w:right w:val="single" w:sz="8" w:space="0" w:color="FFFFFF"/>
                  </w:tcBorders>
                  <w:shd w:val="clear" w:color="000000" w:fill="FDE9D9"/>
                  <w:noWrap/>
                  <w:vAlign w:val="center"/>
                  <w:hideMark/>
                </w:tcPr>
                <w:p w14:paraId="17CA09C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7.31 </w:t>
                  </w:r>
                </w:p>
              </w:tc>
              <w:tc>
                <w:tcPr>
                  <w:tcW w:w="1178" w:type="dxa"/>
                  <w:tcBorders>
                    <w:top w:val="nil"/>
                    <w:left w:val="nil"/>
                    <w:bottom w:val="single" w:sz="8" w:space="0" w:color="FFFFFF"/>
                    <w:right w:val="single" w:sz="8" w:space="0" w:color="FFFFFF"/>
                  </w:tcBorders>
                  <w:shd w:val="clear" w:color="000000" w:fill="FDE9D9"/>
                  <w:noWrap/>
                  <w:vAlign w:val="center"/>
                  <w:hideMark/>
                </w:tcPr>
                <w:p w14:paraId="3CE5251A"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3DCD372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0.80 </w:t>
                  </w:r>
                </w:p>
              </w:tc>
              <w:tc>
                <w:tcPr>
                  <w:tcW w:w="942" w:type="dxa"/>
                  <w:tcBorders>
                    <w:top w:val="nil"/>
                    <w:left w:val="nil"/>
                    <w:bottom w:val="single" w:sz="8" w:space="0" w:color="FFFFFF"/>
                    <w:right w:val="single" w:sz="8" w:space="0" w:color="FFFFFF"/>
                  </w:tcBorders>
                  <w:shd w:val="clear" w:color="000000" w:fill="FDE9D9"/>
                  <w:noWrap/>
                  <w:vAlign w:val="center"/>
                  <w:hideMark/>
                </w:tcPr>
                <w:p w14:paraId="04CAA64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1.08 </w:t>
                  </w:r>
                </w:p>
              </w:tc>
              <w:tc>
                <w:tcPr>
                  <w:tcW w:w="942" w:type="dxa"/>
                  <w:tcBorders>
                    <w:top w:val="nil"/>
                    <w:left w:val="nil"/>
                    <w:bottom w:val="single" w:sz="8" w:space="0" w:color="FFFFFF"/>
                    <w:right w:val="single" w:sz="8" w:space="0" w:color="FFFFFF"/>
                  </w:tcBorders>
                  <w:shd w:val="clear" w:color="000000" w:fill="FDE9D9"/>
                  <w:noWrap/>
                  <w:vAlign w:val="center"/>
                  <w:hideMark/>
                </w:tcPr>
                <w:p w14:paraId="6D5A692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1.56 </w:t>
                  </w:r>
                </w:p>
              </w:tc>
              <w:tc>
                <w:tcPr>
                  <w:tcW w:w="942" w:type="dxa"/>
                  <w:tcBorders>
                    <w:top w:val="nil"/>
                    <w:left w:val="nil"/>
                    <w:bottom w:val="single" w:sz="8" w:space="0" w:color="FFFFFF"/>
                    <w:right w:val="single" w:sz="8" w:space="0" w:color="FFFFFF"/>
                  </w:tcBorders>
                  <w:shd w:val="clear" w:color="000000" w:fill="FDE9D9"/>
                  <w:noWrap/>
                  <w:vAlign w:val="center"/>
                  <w:hideMark/>
                </w:tcPr>
                <w:p w14:paraId="408007A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4.38 </w:t>
                  </w:r>
                </w:p>
              </w:tc>
            </w:tr>
            <w:tr w:rsidR="001E16F5" w:rsidRPr="001E16F5" w14:paraId="1FF3D2B1" w14:textId="77777777" w:rsidTr="001E16F5">
              <w:trPr>
                <w:trHeight w:val="290"/>
              </w:trPr>
              <w:tc>
                <w:tcPr>
                  <w:tcW w:w="1160" w:type="dxa"/>
                  <w:tcBorders>
                    <w:top w:val="nil"/>
                    <w:left w:val="nil"/>
                    <w:bottom w:val="nil"/>
                    <w:right w:val="nil"/>
                  </w:tcBorders>
                  <w:shd w:val="clear" w:color="000000" w:fill="FCD5B4"/>
                  <w:noWrap/>
                  <w:vAlign w:val="center"/>
                  <w:hideMark/>
                </w:tcPr>
                <w:p w14:paraId="23254FFB"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697A1D9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4.01 </w:t>
                  </w:r>
                </w:p>
              </w:tc>
              <w:tc>
                <w:tcPr>
                  <w:tcW w:w="942" w:type="dxa"/>
                  <w:tcBorders>
                    <w:top w:val="nil"/>
                    <w:left w:val="nil"/>
                    <w:bottom w:val="single" w:sz="8" w:space="0" w:color="FFFFFF"/>
                    <w:right w:val="single" w:sz="8" w:space="0" w:color="FFFFFF"/>
                  </w:tcBorders>
                  <w:shd w:val="clear" w:color="000000" w:fill="FCD5B4"/>
                  <w:noWrap/>
                  <w:vAlign w:val="center"/>
                  <w:hideMark/>
                </w:tcPr>
                <w:p w14:paraId="0CCDCF5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4.29 </w:t>
                  </w:r>
                </w:p>
              </w:tc>
              <w:tc>
                <w:tcPr>
                  <w:tcW w:w="942" w:type="dxa"/>
                  <w:tcBorders>
                    <w:top w:val="nil"/>
                    <w:left w:val="nil"/>
                    <w:bottom w:val="single" w:sz="8" w:space="0" w:color="FFFFFF"/>
                    <w:right w:val="single" w:sz="8" w:space="0" w:color="FFFFFF"/>
                  </w:tcBorders>
                  <w:shd w:val="clear" w:color="000000" w:fill="FCD5B4"/>
                  <w:noWrap/>
                  <w:vAlign w:val="center"/>
                  <w:hideMark/>
                </w:tcPr>
                <w:p w14:paraId="4E974FB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4.80 </w:t>
                  </w:r>
                </w:p>
              </w:tc>
              <w:tc>
                <w:tcPr>
                  <w:tcW w:w="942" w:type="dxa"/>
                  <w:tcBorders>
                    <w:top w:val="nil"/>
                    <w:left w:val="nil"/>
                    <w:bottom w:val="single" w:sz="8" w:space="0" w:color="FFFFFF"/>
                    <w:right w:val="single" w:sz="8" w:space="0" w:color="FFFFFF"/>
                  </w:tcBorders>
                  <w:shd w:val="clear" w:color="000000" w:fill="FCD5B4"/>
                  <w:noWrap/>
                  <w:vAlign w:val="center"/>
                  <w:hideMark/>
                </w:tcPr>
                <w:p w14:paraId="1DDABC0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7.62 </w:t>
                  </w:r>
                </w:p>
              </w:tc>
              <w:tc>
                <w:tcPr>
                  <w:tcW w:w="1178" w:type="dxa"/>
                  <w:tcBorders>
                    <w:top w:val="nil"/>
                    <w:left w:val="nil"/>
                    <w:bottom w:val="nil"/>
                    <w:right w:val="nil"/>
                  </w:tcBorders>
                  <w:shd w:val="clear" w:color="000000" w:fill="FCD5B4"/>
                  <w:noWrap/>
                  <w:vAlign w:val="center"/>
                  <w:hideMark/>
                </w:tcPr>
                <w:p w14:paraId="6B6D6057"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5E15E21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0.88 </w:t>
                  </w:r>
                </w:p>
              </w:tc>
              <w:tc>
                <w:tcPr>
                  <w:tcW w:w="942" w:type="dxa"/>
                  <w:tcBorders>
                    <w:top w:val="nil"/>
                    <w:left w:val="nil"/>
                    <w:bottom w:val="single" w:sz="8" w:space="0" w:color="FFFFFF"/>
                    <w:right w:val="single" w:sz="8" w:space="0" w:color="FFFFFF"/>
                  </w:tcBorders>
                  <w:shd w:val="clear" w:color="000000" w:fill="FCD5B4"/>
                  <w:noWrap/>
                  <w:vAlign w:val="center"/>
                  <w:hideMark/>
                </w:tcPr>
                <w:p w14:paraId="088F693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1.16 </w:t>
                  </w:r>
                </w:p>
              </w:tc>
              <w:tc>
                <w:tcPr>
                  <w:tcW w:w="942" w:type="dxa"/>
                  <w:tcBorders>
                    <w:top w:val="nil"/>
                    <w:left w:val="nil"/>
                    <w:bottom w:val="single" w:sz="8" w:space="0" w:color="FFFFFF"/>
                    <w:right w:val="single" w:sz="8" w:space="0" w:color="FFFFFF"/>
                  </w:tcBorders>
                  <w:shd w:val="clear" w:color="000000" w:fill="FCD5B4"/>
                  <w:noWrap/>
                  <w:vAlign w:val="center"/>
                  <w:hideMark/>
                </w:tcPr>
                <w:p w14:paraId="00C358A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1.67 </w:t>
                  </w:r>
                </w:p>
              </w:tc>
              <w:tc>
                <w:tcPr>
                  <w:tcW w:w="942" w:type="dxa"/>
                  <w:tcBorders>
                    <w:top w:val="nil"/>
                    <w:left w:val="nil"/>
                    <w:bottom w:val="single" w:sz="8" w:space="0" w:color="FFFFFF"/>
                    <w:right w:val="single" w:sz="8" w:space="0" w:color="FFFFFF"/>
                  </w:tcBorders>
                  <w:shd w:val="clear" w:color="000000" w:fill="FCD5B4"/>
                  <w:noWrap/>
                  <w:vAlign w:val="center"/>
                  <w:hideMark/>
                </w:tcPr>
                <w:p w14:paraId="612D3FC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4.49 </w:t>
                  </w:r>
                </w:p>
              </w:tc>
            </w:tr>
            <w:tr w:rsidR="001E16F5" w:rsidRPr="001E16F5" w14:paraId="261A7A47" w14:textId="77777777" w:rsidTr="001E16F5">
              <w:trPr>
                <w:trHeight w:val="150"/>
              </w:trPr>
              <w:tc>
                <w:tcPr>
                  <w:tcW w:w="1160" w:type="dxa"/>
                  <w:tcBorders>
                    <w:top w:val="nil"/>
                    <w:left w:val="nil"/>
                    <w:bottom w:val="nil"/>
                    <w:right w:val="nil"/>
                  </w:tcBorders>
                  <w:shd w:val="clear" w:color="auto" w:fill="auto"/>
                  <w:noWrap/>
                  <w:vAlign w:val="center"/>
                  <w:hideMark/>
                </w:tcPr>
                <w:p w14:paraId="67E68DBD" w14:textId="77777777" w:rsidR="001E16F5" w:rsidRPr="001E16F5" w:rsidRDefault="001E16F5" w:rsidP="001E16F5">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12D889C4"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829F295"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C4BF175"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87AD93E" w14:textId="77777777" w:rsidR="001E16F5" w:rsidRPr="001E16F5" w:rsidRDefault="001E16F5" w:rsidP="001E16F5">
                  <w:pPr>
                    <w:widowControl/>
                    <w:jc w:val="center"/>
                    <w:rPr>
                      <w:rFonts w:ascii="Times New Roman" w:eastAsia="Times New Roman" w:hAnsi="Times New Roman"/>
                      <w:kern w:val="0"/>
                      <w:sz w:val="20"/>
                      <w:szCs w:val="20"/>
                    </w:rPr>
                  </w:pPr>
                </w:p>
              </w:tc>
              <w:tc>
                <w:tcPr>
                  <w:tcW w:w="1178" w:type="dxa"/>
                  <w:tcBorders>
                    <w:top w:val="nil"/>
                    <w:left w:val="nil"/>
                    <w:bottom w:val="nil"/>
                    <w:right w:val="nil"/>
                  </w:tcBorders>
                  <w:shd w:val="clear" w:color="auto" w:fill="auto"/>
                  <w:noWrap/>
                  <w:vAlign w:val="center"/>
                  <w:hideMark/>
                </w:tcPr>
                <w:p w14:paraId="0BECDACC"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8926B3A"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44283C81"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6A5EFB0"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36E91013" w14:textId="77777777" w:rsidR="001E16F5" w:rsidRPr="001E16F5" w:rsidRDefault="001E16F5" w:rsidP="001E16F5">
                  <w:pPr>
                    <w:widowControl/>
                    <w:jc w:val="center"/>
                    <w:rPr>
                      <w:rFonts w:ascii="Times New Roman" w:eastAsia="Times New Roman" w:hAnsi="Times New Roman"/>
                      <w:kern w:val="0"/>
                      <w:sz w:val="20"/>
                      <w:szCs w:val="20"/>
                    </w:rPr>
                  </w:pPr>
                </w:p>
              </w:tc>
            </w:tr>
            <w:tr w:rsidR="001E16F5" w:rsidRPr="001E16F5" w14:paraId="6B5EA9ED" w14:textId="77777777" w:rsidTr="001E16F5">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60D1B34F" w14:textId="77777777" w:rsidR="001E16F5" w:rsidRPr="001E16F5" w:rsidRDefault="001E16F5" w:rsidP="001E16F5">
                  <w:pPr>
                    <w:widowControl/>
                    <w:jc w:val="center"/>
                    <w:rPr>
                      <w:rFonts w:ascii="楷体" w:eastAsia="楷体" w:hAnsi="楷体" w:cs="宋体"/>
                      <w:b/>
                      <w:bCs/>
                      <w:color w:val="FFFFFF"/>
                      <w:kern w:val="0"/>
                      <w:sz w:val="20"/>
                      <w:szCs w:val="20"/>
                    </w:rPr>
                  </w:pPr>
                  <w:proofErr w:type="gramStart"/>
                  <w:r w:rsidRPr="001E16F5">
                    <w:rPr>
                      <w:rFonts w:ascii="楷体" w:eastAsia="楷体" w:hAnsi="楷体" w:cs="宋体" w:hint="eastAsia"/>
                      <w:b/>
                      <w:bCs/>
                      <w:color w:val="FFFFFF"/>
                      <w:kern w:val="0"/>
                      <w:sz w:val="20"/>
                      <w:szCs w:val="20"/>
                    </w:rPr>
                    <w:t>周变化</w:t>
                  </w:r>
                  <w:proofErr w:type="gramEnd"/>
                  <w:r w:rsidRPr="001E16F5">
                    <w:rPr>
                      <w:rFonts w:ascii="楷体" w:eastAsia="楷体" w:hAnsi="楷体" w:cs="宋体" w:hint="eastAsia"/>
                      <w:b/>
                      <w:bCs/>
                      <w:color w:val="FFFFFF"/>
                      <w:kern w:val="0"/>
                      <w:sz w:val="20"/>
                      <w:szCs w:val="20"/>
                    </w:rPr>
                    <w:t>(BP)</w:t>
                  </w:r>
                </w:p>
              </w:tc>
              <w:tc>
                <w:tcPr>
                  <w:tcW w:w="942" w:type="dxa"/>
                  <w:tcBorders>
                    <w:top w:val="nil"/>
                    <w:left w:val="nil"/>
                    <w:bottom w:val="single" w:sz="12" w:space="0" w:color="FFFFFF"/>
                    <w:right w:val="single" w:sz="8" w:space="0" w:color="FFFFFF"/>
                  </w:tcBorders>
                  <w:shd w:val="clear" w:color="000000" w:fill="F79646"/>
                  <w:noWrap/>
                  <w:vAlign w:val="center"/>
                  <w:hideMark/>
                </w:tcPr>
                <w:p w14:paraId="67D8BC68"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0C0D267"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0546D1F"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1EAFE7A"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1178" w:type="dxa"/>
                  <w:tcBorders>
                    <w:top w:val="nil"/>
                    <w:left w:val="nil"/>
                    <w:bottom w:val="single" w:sz="12" w:space="0" w:color="FFFFFF"/>
                    <w:right w:val="single" w:sz="8" w:space="0" w:color="FFFFFF"/>
                  </w:tcBorders>
                  <w:shd w:val="clear" w:color="000000" w:fill="F79646"/>
                  <w:noWrap/>
                  <w:vAlign w:val="center"/>
                  <w:hideMark/>
                </w:tcPr>
                <w:p w14:paraId="6F3166D8"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息差</w:t>
                  </w:r>
                </w:p>
              </w:tc>
              <w:tc>
                <w:tcPr>
                  <w:tcW w:w="942" w:type="dxa"/>
                  <w:tcBorders>
                    <w:top w:val="nil"/>
                    <w:left w:val="nil"/>
                    <w:bottom w:val="single" w:sz="12" w:space="0" w:color="FFFFFF"/>
                    <w:right w:val="single" w:sz="8" w:space="0" w:color="FFFFFF"/>
                  </w:tcBorders>
                  <w:shd w:val="clear" w:color="000000" w:fill="F79646"/>
                  <w:noWrap/>
                  <w:vAlign w:val="center"/>
                  <w:hideMark/>
                </w:tcPr>
                <w:p w14:paraId="55435CB6"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4488FDB"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EC380F4"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D36D38D"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r>
            <w:tr w:rsidR="001E16F5" w:rsidRPr="001E16F5" w14:paraId="000A3061" w14:textId="77777777" w:rsidTr="001E16F5">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29A9E3E8"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75990A0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-0.8 </w:t>
                  </w:r>
                </w:p>
              </w:tc>
              <w:tc>
                <w:tcPr>
                  <w:tcW w:w="942" w:type="dxa"/>
                  <w:tcBorders>
                    <w:top w:val="nil"/>
                    <w:left w:val="nil"/>
                    <w:bottom w:val="single" w:sz="8" w:space="0" w:color="FFFFFF"/>
                    <w:right w:val="single" w:sz="8" w:space="0" w:color="FFFFFF"/>
                  </w:tcBorders>
                  <w:shd w:val="clear" w:color="000000" w:fill="FCD5B4"/>
                  <w:noWrap/>
                  <w:vAlign w:val="center"/>
                  <w:hideMark/>
                </w:tcPr>
                <w:p w14:paraId="0B22AB1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-0.8 </w:t>
                  </w:r>
                </w:p>
              </w:tc>
              <w:tc>
                <w:tcPr>
                  <w:tcW w:w="942" w:type="dxa"/>
                  <w:tcBorders>
                    <w:top w:val="nil"/>
                    <w:left w:val="nil"/>
                    <w:bottom w:val="single" w:sz="8" w:space="0" w:color="FFFFFF"/>
                    <w:right w:val="single" w:sz="8" w:space="0" w:color="FFFFFF"/>
                  </w:tcBorders>
                  <w:shd w:val="clear" w:color="000000" w:fill="FCD5B4"/>
                  <w:noWrap/>
                  <w:vAlign w:val="center"/>
                  <w:hideMark/>
                </w:tcPr>
                <w:p w14:paraId="4C09CD8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-0.8 </w:t>
                  </w:r>
                </w:p>
              </w:tc>
              <w:tc>
                <w:tcPr>
                  <w:tcW w:w="942" w:type="dxa"/>
                  <w:tcBorders>
                    <w:top w:val="nil"/>
                    <w:left w:val="nil"/>
                    <w:bottom w:val="single" w:sz="8" w:space="0" w:color="FFFFFF"/>
                    <w:right w:val="single" w:sz="8" w:space="0" w:color="FFFFFF"/>
                  </w:tcBorders>
                  <w:shd w:val="clear" w:color="000000" w:fill="FCD5B4"/>
                  <w:noWrap/>
                  <w:vAlign w:val="center"/>
                  <w:hideMark/>
                </w:tcPr>
                <w:p w14:paraId="2F1F3EF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-0.8 </w:t>
                  </w:r>
                </w:p>
              </w:tc>
              <w:tc>
                <w:tcPr>
                  <w:tcW w:w="1178" w:type="dxa"/>
                  <w:tcBorders>
                    <w:top w:val="nil"/>
                    <w:left w:val="nil"/>
                    <w:bottom w:val="single" w:sz="8" w:space="0" w:color="FFFFFF"/>
                    <w:right w:val="single" w:sz="8" w:space="0" w:color="FFFFFF"/>
                  </w:tcBorders>
                  <w:shd w:val="clear" w:color="000000" w:fill="FCD5B4"/>
                  <w:noWrap/>
                  <w:vAlign w:val="center"/>
                  <w:hideMark/>
                </w:tcPr>
                <w:p w14:paraId="5CBE572D"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0D2338F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3.2 </w:t>
                  </w:r>
                </w:p>
              </w:tc>
              <w:tc>
                <w:tcPr>
                  <w:tcW w:w="942" w:type="dxa"/>
                  <w:tcBorders>
                    <w:top w:val="nil"/>
                    <w:left w:val="nil"/>
                    <w:bottom w:val="single" w:sz="8" w:space="0" w:color="FFFFFF"/>
                    <w:right w:val="single" w:sz="8" w:space="0" w:color="FFFFFF"/>
                  </w:tcBorders>
                  <w:shd w:val="clear" w:color="000000" w:fill="FCD5B4"/>
                  <w:noWrap/>
                  <w:vAlign w:val="center"/>
                  <w:hideMark/>
                </w:tcPr>
                <w:p w14:paraId="1B4CE02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3.2 </w:t>
                  </w:r>
                </w:p>
              </w:tc>
              <w:tc>
                <w:tcPr>
                  <w:tcW w:w="942" w:type="dxa"/>
                  <w:tcBorders>
                    <w:top w:val="nil"/>
                    <w:left w:val="nil"/>
                    <w:bottom w:val="single" w:sz="8" w:space="0" w:color="FFFFFF"/>
                    <w:right w:val="single" w:sz="8" w:space="0" w:color="FFFFFF"/>
                  </w:tcBorders>
                  <w:shd w:val="clear" w:color="000000" w:fill="FCD5B4"/>
                  <w:noWrap/>
                  <w:vAlign w:val="center"/>
                  <w:hideMark/>
                </w:tcPr>
                <w:p w14:paraId="6F40072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3.2 </w:t>
                  </w:r>
                </w:p>
              </w:tc>
              <w:tc>
                <w:tcPr>
                  <w:tcW w:w="942" w:type="dxa"/>
                  <w:tcBorders>
                    <w:top w:val="nil"/>
                    <w:left w:val="nil"/>
                    <w:bottom w:val="single" w:sz="8" w:space="0" w:color="FFFFFF"/>
                    <w:right w:val="single" w:sz="8" w:space="0" w:color="FFFFFF"/>
                  </w:tcBorders>
                  <w:shd w:val="clear" w:color="000000" w:fill="FCD5B4"/>
                  <w:noWrap/>
                  <w:vAlign w:val="center"/>
                  <w:hideMark/>
                </w:tcPr>
                <w:p w14:paraId="065EDB2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3.2 </w:t>
                  </w:r>
                </w:p>
              </w:tc>
            </w:tr>
            <w:tr w:rsidR="001E16F5" w:rsidRPr="001E16F5" w14:paraId="574B034D"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1EE981C"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594E3DB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-1.4 </w:t>
                  </w:r>
                </w:p>
              </w:tc>
              <w:tc>
                <w:tcPr>
                  <w:tcW w:w="942" w:type="dxa"/>
                  <w:tcBorders>
                    <w:top w:val="nil"/>
                    <w:left w:val="nil"/>
                    <w:bottom w:val="single" w:sz="8" w:space="0" w:color="FFFFFF"/>
                    <w:right w:val="single" w:sz="8" w:space="0" w:color="FFFFFF"/>
                  </w:tcBorders>
                  <w:shd w:val="clear" w:color="000000" w:fill="FDE9D9"/>
                  <w:noWrap/>
                  <w:vAlign w:val="center"/>
                  <w:hideMark/>
                </w:tcPr>
                <w:p w14:paraId="29A2914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-1.4 </w:t>
                  </w:r>
                </w:p>
              </w:tc>
              <w:tc>
                <w:tcPr>
                  <w:tcW w:w="942" w:type="dxa"/>
                  <w:tcBorders>
                    <w:top w:val="nil"/>
                    <w:left w:val="nil"/>
                    <w:bottom w:val="single" w:sz="8" w:space="0" w:color="FFFFFF"/>
                    <w:right w:val="single" w:sz="8" w:space="0" w:color="FFFFFF"/>
                  </w:tcBorders>
                  <w:shd w:val="clear" w:color="000000" w:fill="FDE9D9"/>
                  <w:noWrap/>
                  <w:vAlign w:val="center"/>
                  <w:hideMark/>
                </w:tcPr>
                <w:p w14:paraId="5CAB93E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-2.4 </w:t>
                  </w:r>
                </w:p>
              </w:tc>
              <w:tc>
                <w:tcPr>
                  <w:tcW w:w="942" w:type="dxa"/>
                  <w:tcBorders>
                    <w:top w:val="nil"/>
                    <w:left w:val="nil"/>
                    <w:bottom w:val="single" w:sz="8" w:space="0" w:color="FFFFFF"/>
                    <w:right w:val="single" w:sz="8" w:space="0" w:color="FFFFFF"/>
                  </w:tcBorders>
                  <w:shd w:val="clear" w:color="000000" w:fill="FDE9D9"/>
                  <w:noWrap/>
                  <w:vAlign w:val="center"/>
                  <w:hideMark/>
                </w:tcPr>
                <w:p w14:paraId="3D54DEB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-1.4 </w:t>
                  </w:r>
                </w:p>
              </w:tc>
              <w:tc>
                <w:tcPr>
                  <w:tcW w:w="1178" w:type="dxa"/>
                  <w:tcBorders>
                    <w:top w:val="nil"/>
                    <w:left w:val="nil"/>
                    <w:bottom w:val="single" w:sz="8" w:space="0" w:color="FFFFFF"/>
                    <w:right w:val="single" w:sz="8" w:space="0" w:color="FFFFFF"/>
                  </w:tcBorders>
                  <w:shd w:val="clear" w:color="000000" w:fill="FDE9D9"/>
                  <w:noWrap/>
                  <w:vAlign w:val="center"/>
                  <w:hideMark/>
                </w:tcPr>
                <w:p w14:paraId="7BF1640D"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769848C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4B2DA08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30748D4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0.8 </w:t>
                  </w:r>
                </w:p>
              </w:tc>
              <w:tc>
                <w:tcPr>
                  <w:tcW w:w="942" w:type="dxa"/>
                  <w:tcBorders>
                    <w:top w:val="nil"/>
                    <w:left w:val="nil"/>
                    <w:bottom w:val="single" w:sz="8" w:space="0" w:color="FFFFFF"/>
                    <w:right w:val="single" w:sz="8" w:space="0" w:color="FFFFFF"/>
                  </w:tcBorders>
                  <w:shd w:val="clear" w:color="000000" w:fill="FDE9D9"/>
                  <w:noWrap/>
                  <w:vAlign w:val="center"/>
                  <w:hideMark/>
                </w:tcPr>
                <w:p w14:paraId="025D7B2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1.8 </w:t>
                  </w:r>
                </w:p>
              </w:tc>
            </w:tr>
            <w:tr w:rsidR="001E16F5" w:rsidRPr="001E16F5" w14:paraId="7023A84B"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3CA8347"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3B1B37A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1E31C04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CD5B4"/>
                  <w:noWrap/>
                  <w:vAlign w:val="center"/>
                  <w:hideMark/>
                </w:tcPr>
                <w:p w14:paraId="75AA44B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CD5B4"/>
                  <w:noWrap/>
                  <w:vAlign w:val="center"/>
                  <w:hideMark/>
                </w:tcPr>
                <w:p w14:paraId="201C553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1178" w:type="dxa"/>
                  <w:tcBorders>
                    <w:top w:val="nil"/>
                    <w:left w:val="nil"/>
                    <w:bottom w:val="single" w:sz="8" w:space="0" w:color="FFFFFF"/>
                    <w:right w:val="single" w:sz="8" w:space="0" w:color="FFFFFF"/>
                  </w:tcBorders>
                  <w:shd w:val="clear" w:color="000000" w:fill="FCD5B4"/>
                  <w:noWrap/>
                  <w:vAlign w:val="center"/>
                  <w:hideMark/>
                </w:tcPr>
                <w:p w14:paraId="79FED6C1"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4081A2E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-0.4 </w:t>
                  </w:r>
                </w:p>
              </w:tc>
              <w:tc>
                <w:tcPr>
                  <w:tcW w:w="942" w:type="dxa"/>
                  <w:tcBorders>
                    <w:top w:val="nil"/>
                    <w:left w:val="nil"/>
                    <w:bottom w:val="single" w:sz="8" w:space="0" w:color="FFFFFF"/>
                    <w:right w:val="single" w:sz="8" w:space="0" w:color="FFFFFF"/>
                  </w:tcBorders>
                  <w:shd w:val="clear" w:color="000000" w:fill="FCD5B4"/>
                  <w:noWrap/>
                  <w:vAlign w:val="center"/>
                  <w:hideMark/>
                </w:tcPr>
                <w:p w14:paraId="485323E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0.6 </w:t>
                  </w:r>
                </w:p>
              </w:tc>
              <w:tc>
                <w:tcPr>
                  <w:tcW w:w="942" w:type="dxa"/>
                  <w:tcBorders>
                    <w:top w:val="nil"/>
                    <w:left w:val="nil"/>
                    <w:bottom w:val="single" w:sz="8" w:space="0" w:color="FFFFFF"/>
                    <w:right w:val="single" w:sz="8" w:space="0" w:color="FFFFFF"/>
                  </w:tcBorders>
                  <w:shd w:val="clear" w:color="000000" w:fill="FCD5B4"/>
                  <w:noWrap/>
                  <w:vAlign w:val="center"/>
                  <w:hideMark/>
                </w:tcPr>
                <w:p w14:paraId="3895204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0.6 </w:t>
                  </w:r>
                </w:p>
              </w:tc>
              <w:tc>
                <w:tcPr>
                  <w:tcW w:w="942" w:type="dxa"/>
                  <w:tcBorders>
                    <w:top w:val="nil"/>
                    <w:left w:val="nil"/>
                    <w:bottom w:val="single" w:sz="8" w:space="0" w:color="FFFFFF"/>
                    <w:right w:val="single" w:sz="8" w:space="0" w:color="FFFFFF"/>
                  </w:tcBorders>
                  <w:shd w:val="clear" w:color="000000" w:fill="FCD5B4"/>
                  <w:noWrap/>
                  <w:vAlign w:val="center"/>
                  <w:hideMark/>
                </w:tcPr>
                <w:p w14:paraId="4C04D31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0.6 </w:t>
                  </w:r>
                </w:p>
              </w:tc>
            </w:tr>
            <w:tr w:rsidR="001E16F5" w:rsidRPr="001E16F5" w14:paraId="0DEA5BE5"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2FC3E42"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41ED2AF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-3.1 </w:t>
                  </w:r>
                </w:p>
              </w:tc>
              <w:tc>
                <w:tcPr>
                  <w:tcW w:w="942" w:type="dxa"/>
                  <w:tcBorders>
                    <w:top w:val="nil"/>
                    <w:left w:val="nil"/>
                    <w:bottom w:val="single" w:sz="8" w:space="0" w:color="FFFFFF"/>
                    <w:right w:val="single" w:sz="8" w:space="0" w:color="FFFFFF"/>
                  </w:tcBorders>
                  <w:shd w:val="clear" w:color="000000" w:fill="FDE9D9"/>
                  <w:noWrap/>
                  <w:vAlign w:val="center"/>
                  <w:hideMark/>
                </w:tcPr>
                <w:p w14:paraId="4295258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0.9 </w:t>
                  </w:r>
                </w:p>
              </w:tc>
              <w:tc>
                <w:tcPr>
                  <w:tcW w:w="942" w:type="dxa"/>
                  <w:tcBorders>
                    <w:top w:val="nil"/>
                    <w:left w:val="nil"/>
                    <w:bottom w:val="single" w:sz="8" w:space="0" w:color="FFFFFF"/>
                    <w:right w:val="single" w:sz="8" w:space="0" w:color="FFFFFF"/>
                  </w:tcBorders>
                  <w:shd w:val="clear" w:color="000000" w:fill="FDE9D9"/>
                  <w:noWrap/>
                  <w:vAlign w:val="center"/>
                  <w:hideMark/>
                </w:tcPr>
                <w:p w14:paraId="6ECDC54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-1.1 </w:t>
                  </w:r>
                </w:p>
              </w:tc>
              <w:tc>
                <w:tcPr>
                  <w:tcW w:w="942" w:type="dxa"/>
                  <w:tcBorders>
                    <w:top w:val="nil"/>
                    <w:left w:val="nil"/>
                    <w:bottom w:val="single" w:sz="8" w:space="0" w:color="FFFFFF"/>
                    <w:right w:val="single" w:sz="8" w:space="0" w:color="FFFFFF"/>
                  </w:tcBorders>
                  <w:shd w:val="clear" w:color="000000" w:fill="FDE9D9"/>
                  <w:noWrap/>
                  <w:vAlign w:val="center"/>
                  <w:hideMark/>
                </w:tcPr>
                <w:p w14:paraId="6715D35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-5.1 </w:t>
                  </w:r>
                </w:p>
              </w:tc>
              <w:tc>
                <w:tcPr>
                  <w:tcW w:w="1178" w:type="dxa"/>
                  <w:tcBorders>
                    <w:top w:val="nil"/>
                    <w:left w:val="nil"/>
                    <w:bottom w:val="single" w:sz="8" w:space="0" w:color="FFFFFF"/>
                    <w:right w:val="single" w:sz="8" w:space="0" w:color="FFFFFF"/>
                  </w:tcBorders>
                  <w:shd w:val="clear" w:color="000000" w:fill="FDE9D9"/>
                  <w:noWrap/>
                  <w:vAlign w:val="center"/>
                  <w:hideMark/>
                </w:tcPr>
                <w:p w14:paraId="4B5A74D2"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6840748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0.1 </w:t>
                  </w:r>
                </w:p>
              </w:tc>
              <w:tc>
                <w:tcPr>
                  <w:tcW w:w="942" w:type="dxa"/>
                  <w:tcBorders>
                    <w:top w:val="nil"/>
                    <w:left w:val="nil"/>
                    <w:bottom w:val="single" w:sz="8" w:space="0" w:color="FFFFFF"/>
                    <w:right w:val="single" w:sz="8" w:space="0" w:color="FFFFFF"/>
                  </w:tcBorders>
                  <w:shd w:val="clear" w:color="000000" w:fill="FDE9D9"/>
                  <w:noWrap/>
                  <w:vAlign w:val="center"/>
                  <w:hideMark/>
                </w:tcPr>
                <w:p w14:paraId="0BC4446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4.1 </w:t>
                  </w:r>
                </w:p>
              </w:tc>
              <w:tc>
                <w:tcPr>
                  <w:tcW w:w="942" w:type="dxa"/>
                  <w:tcBorders>
                    <w:top w:val="nil"/>
                    <w:left w:val="nil"/>
                    <w:bottom w:val="single" w:sz="8" w:space="0" w:color="FFFFFF"/>
                    <w:right w:val="single" w:sz="8" w:space="0" w:color="FFFFFF"/>
                  </w:tcBorders>
                  <w:shd w:val="clear" w:color="000000" w:fill="FDE9D9"/>
                  <w:noWrap/>
                  <w:vAlign w:val="center"/>
                  <w:hideMark/>
                </w:tcPr>
                <w:p w14:paraId="037FFA1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2.1 </w:t>
                  </w:r>
                </w:p>
              </w:tc>
              <w:tc>
                <w:tcPr>
                  <w:tcW w:w="942" w:type="dxa"/>
                  <w:tcBorders>
                    <w:top w:val="nil"/>
                    <w:left w:val="nil"/>
                    <w:bottom w:val="single" w:sz="8" w:space="0" w:color="FFFFFF"/>
                    <w:right w:val="single" w:sz="8" w:space="0" w:color="FFFFFF"/>
                  </w:tcBorders>
                  <w:shd w:val="clear" w:color="000000" w:fill="FDE9D9"/>
                  <w:noWrap/>
                  <w:vAlign w:val="center"/>
                  <w:hideMark/>
                </w:tcPr>
                <w:p w14:paraId="5FA9BDF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-1.9 </w:t>
                  </w:r>
                </w:p>
              </w:tc>
            </w:tr>
            <w:tr w:rsidR="001E16F5" w:rsidRPr="001E16F5" w14:paraId="0596AD4E"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2D41084"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4C8A9E3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-1.1 </w:t>
                  </w:r>
                </w:p>
              </w:tc>
              <w:tc>
                <w:tcPr>
                  <w:tcW w:w="942" w:type="dxa"/>
                  <w:tcBorders>
                    <w:top w:val="nil"/>
                    <w:left w:val="nil"/>
                    <w:bottom w:val="single" w:sz="8" w:space="0" w:color="FFFFFF"/>
                    <w:right w:val="single" w:sz="8" w:space="0" w:color="FFFFFF"/>
                  </w:tcBorders>
                  <w:shd w:val="clear" w:color="000000" w:fill="FCD5B4"/>
                  <w:noWrap/>
                  <w:vAlign w:val="center"/>
                  <w:hideMark/>
                </w:tcPr>
                <w:p w14:paraId="7CE4DDB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-1.1 </w:t>
                  </w:r>
                </w:p>
              </w:tc>
              <w:tc>
                <w:tcPr>
                  <w:tcW w:w="942" w:type="dxa"/>
                  <w:tcBorders>
                    <w:top w:val="nil"/>
                    <w:left w:val="nil"/>
                    <w:bottom w:val="single" w:sz="8" w:space="0" w:color="FFFFFF"/>
                    <w:right w:val="single" w:sz="8" w:space="0" w:color="FFFFFF"/>
                  </w:tcBorders>
                  <w:shd w:val="clear" w:color="000000" w:fill="FCD5B4"/>
                  <w:noWrap/>
                  <w:vAlign w:val="center"/>
                  <w:hideMark/>
                </w:tcPr>
                <w:p w14:paraId="731B0D6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-1.1 </w:t>
                  </w:r>
                </w:p>
              </w:tc>
              <w:tc>
                <w:tcPr>
                  <w:tcW w:w="942" w:type="dxa"/>
                  <w:tcBorders>
                    <w:top w:val="nil"/>
                    <w:left w:val="nil"/>
                    <w:bottom w:val="single" w:sz="8" w:space="0" w:color="FFFFFF"/>
                    <w:right w:val="single" w:sz="8" w:space="0" w:color="FFFFFF"/>
                  </w:tcBorders>
                  <w:shd w:val="clear" w:color="000000" w:fill="FCD5B4"/>
                  <w:noWrap/>
                  <w:vAlign w:val="center"/>
                  <w:hideMark/>
                </w:tcPr>
                <w:p w14:paraId="6FDED4F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-2.1 </w:t>
                  </w:r>
                </w:p>
              </w:tc>
              <w:tc>
                <w:tcPr>
                  <w:tcW w:w="1178" w:type="dxa"/>
                  <w:tcBorders>
                    <w:top w:val="nil"/>
                    <w:left w:val="nil"/>
                    <w:bottom w:val="single" w:sz="8" w:space="0" w:color="FFFFFF"/>
                    <w:right w:val="single" w:sz="8" w:space="0" w:color="FFFFFF"/>
                  </w:tcBorders>
                  <w:shd w:val="clear" w:color="000000" w:fill="FCD5B4"/>
                  <w:noWrap/>
                  <w:vAlign w:val="center"/>
                  <w:hideMark/>
                </w:tcPr>
                <w:p w14:paraId="529C840F"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5983112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CD5B4"/>
                  <w:noWrap/>
                  <w:vAlign w:val="center"/>
                  <w:hideMark/>
                </w:tcPr>
                <w:p w14:paraId="14371AD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CD5B4"/>
                  <w:noWrap/>
                  <w:vAlign w:val="center"/>
                  <w:hideMark/>
                </w:tcPr>
                <w:p w14:paraId="210D204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CD5B4"/>
                  <w:noWrap/>
                  <w:vAlign w:val="center"/>
                  <w:hideMark/>
                </w:tcPr>
                <w:p w14:paraId="0F9C989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0.3 </w:t>
                  </w:r>
                </w:p>
              </w:tc>
            </w:tr>
            <w:tr w:rsidR="001E16F5" w:rsidRPr="001E16F5" w14:paraId="366FBE88"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08331A7"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44147C8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60F93A7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544548E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010B16B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1178" w:type="dxa"/>
                  <w:tcBorders>
                    <w:top w:val="nil"/>
                    <w:left w:val="nil"/>
                    <w:bottom w:val="single" w:sz="8" w:space="0" w:color="FFFFFF"/>
                    <w:right w:val="single" w:sz="8" w:space="0" w:color="FFFFFF"/>
                  </w:tcBorders>
                  <w:shd w:val="clear" w:color="000000" w:fill="FDE9D9"/>
                  <w:noWrap/>
                  <w:vAlign w:val="center"/>
                  <w:hideMark/>
                </w:tcPr>
                <w:p w14:paraId="217459C8"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07A5109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627977E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68F8FC3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32EFD94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-1.8 </w:t>
                  </w:r>
                </w:p>
              </w:tc>
            </w:tr>
            <w:tr w:rsidR="001E16F5" w:rsidRPr="001E16F5" w14:paraId="71E313B4"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7ED284B"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602FAA9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-0.4 </w:t>
                  </w:r>
                </w:p>
              </w:tc>
              <w:tc>
                <w:tcPr>
                  <w:tcW w:w="942" w:type="dxa"/>
                  <w:tcBorders>
                    <w:top w:val="nil"/>
                    <w:left w:val="nil"/>
                    <w:bottom w:val="single" w:sz="8" w:space="0" w:color="FFFFFF"/>
                    <w:right w:val="single" w:sz="8" w:space="0" w:color="FFFFFF"/>
                  </w:tcBorders>
                  <w:shd w:val="clear" w:color="000000" w:fill="FCD5B4"/>
                  <w:noWrap/>
                  <w:vAlign w:val="center"/>
                  <w:hideMark/>
                </w:tcPr>
                <w:p w14:paraId="1FB18CD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-0.4 </w:t>
                  </w:r>
                </w:p>
              </w:tc>
              <w:tc>
                <w:tcPr>
                  <w:tcW w:w="942" w:type="dxa"/>
                  <w:tcBorders>
                    <w:top w:val="nil"/>
                    <w:left w:val="nil"/>
                    <w:bottom w:val="single" w:sz="8" w:space="0" w:color="FFFFFF"/>
                    <w:right w:val="single" w:sz="8" w:space="0" w:color="FFFFFF"/>
                  </w:tcBorders>
                  <w:shd w:val="clear" w:color="000000" w:fill="FCD5B4"/>
                  <w:noWrap/>
                  <w:vAlign w:val="center"/>
                  <w:hideMark/>
                </w:tcPr>
                <w:p w14:paraId="7974462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7CB5302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-2.4 </w:t>
                  </w:r>
                </w:p>
              </w:tc>
              <w:tc>
                <w:tcPr>
                  <w:tcW w:w="1178" w:type="dxa"/>
                  <w:tcBorders>
                    <w:top w:val="nil"/>
                    <w:left w:val="nil"/>
                    <w:bottom w:val="single" w:sz="8" w:space="0" w:color="FFFFFF"/>
                    <w:right w:val="single" w:sz="8" w:space="0" w:color="FFFFFF"/>
                  </w:tcBorders>
                  <w:shd w:val="clear" w:color="000000" w:fill="FCD5B4"/>
                  <w:noWrap/>
                  <w:vAlign w:val="center"/>
                  <w:hideMark/>
                </w:tcPr>
                <w:p w14:paraId="4E04E8C3"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2D625B4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315495D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1505849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1.8 </w:t>
                  </w:r>
                </w:p>
              </w:tc>
              <w:tc>
                <w:tcPr>
                  <w:tcW w:w="942" w:type="dxa"/>
                  <w:tcBorders>
                    <w:top w:val="nil"/>
                    <w:left w:val="nil"/>
                    <w:bottom w:val="single" w:sz="8" w:space="0" w:color="FFFFFF"/>
                    <w:right w:val="single" w:sz="8" w:space="0" w:color="FFFFFF"/>
                  </w:tcBorders>
                  <w:shd w:val="clear" w:color="000000" w:fill="FCD5B4"/>
                  <w:noWrap/>
                  <w:vAlign w:val="center"/>
                  <w:hideMark/>
                </w:tcPr>
                <w:p w14:paraId="0FBD72A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0.8 </w:t>
                  </w:r>
                </w:p>
              </w:tc>
            </w:tr>
            <w:tr w:rsidR="001E16F5" w:rsidRPr="001E16F5" w14:paraId="25FFB326"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F77C758"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212744A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-3.1 </w:t>
                  </w:r>
                </w:p>
              </w:tc>
              <w:tc>
                <w:tcPr>
                  <w:tcW w:w="942" w:type="dxa"/>
                  <w:tcBorders>
                    <w:top w:val="nil"/>
                    <w:left w:val="nil"/>
                    <w:bottom w:val="single" w:sz="8" w:space="0" w:color="FFFFFF"/>
                    <w:right w:val="single" w:sz="8" w:space="0" w:color="FFFFFF"/>
                  </w:tcBorders>
                  <w:shd w:val="clear" w:color="000000" w:fill="FDE9D9"/>
                  <w:noWrap/>
                  <w:vAlign w:val="center"/>
                  <w:hideMark/>
                </w:tcPr>
                <w:p w14:paraId="7A8076C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-1.1 </w:t>
                  </w:r>
                </w:p>
              </w:tc>
              <w:tc>
                <w:tcPr>
                  <w:tcW w:w="942" w:type="dxa"/>
                  <w:tcBorders>
                    <w:top w:val="nil"/>
                    <w:left w:val="nil"/>
                    <w:bottom w:val="single" w:sz="8" w:space="0" w:color="FFFFFF"/>
                    <w:right w:val="single" w:sz="8" w:space="0" w:color="FFFFFF"/>
                  </w:tcBorders>
                  <w:shd w:val="clear" w:color="000000" w:fill="FDE9D9"/>
                  <w:noWrap/>
                  <w:vAlign w:val="center"/>
                  <w:hideMark/>
                </w:tcPr>
                <w:p w14:paraId="2D5A9E0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-1.1 </w:t>
                  </w:r>
                </w:p>
              </w:tc>
              <w:tc>
                <w:tcPr>
                  <w:tcW w:w="942" w:type="dxa"/>
                  <w:tcBorders>
                    <w:top w:val="nil"/>
                    <w:left w:val="nil"/>
                    <w:bottom w:val="single" w:sz="8" w:space="0" w:color="FFFFFF"/>
                    <w:right w:val="single" w:sz="8" w:space="0" w:color="FFFFFF"/>
                  </w:tcBorders>
                  <w:shd w:val="clear" w:color="000000" w:fill="FDE9D9"/>
                  <w:noWrap/>
                  <w:vAlign w:val="center"/>
                  <w:hideMark/>
                </w:tcPr>
                <w:p w14:paraId="086CEFE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-0.1 </w:t>
                  </w:r>
                </w:p>
              </w:tc>
              <w:tc>
                <w:tcPr>
                  <w:tcW w:w="1178" w:type="dxa"/>
                  <w:tcBorders>
                    <w:top w:val="nil"/>
                    <w:left w:val="nil"/>
                    <w:bottom w:val="single" w:sz="8" w:space="0" w:color="FFFFFF"/>
                    <w:right w:val="single" w:sz="8" w:space="0" w:color="FFFFFF"/>
                  </w:tcBorders>
                  <w:shd w:val="clear" w:color="000000" w:fill="FDE9D9"/>
                  <w:noWrap/>
                  <w:vAlign w:val="center"/>
                  <w:hideMark/>
                </w:tcPr>
                <w:p w14:paraId="563CFCDC"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7CBD72B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-0.7 </w:t>
                  </w:r>
                </w:p>
              </w:tc>
              <w:tc>
                <w:tcPr>
                  <w:tcW w:w="942" w:type="dxa"/>
                  <w:tcBorders>
                    <w:top w:val="nil"/>
                    <w:left w:val="nil"/>
                    <w:bottom w:val="single" w:sz="8" w:space="0" w:color="FFFFFF"/>
                    <w:right w:val="single" w:sz="8" w:space="0" w:color="FFFFFF"/>
                  </w:tcBorders>
                  <w:shd w:val="clear" w:color="000000" w:fill="FDE9D9"/>
                  <w:noWrap/>
                  <w:vAlign w:val="center"/>
                  <w:hideMark/>
                </w:tcPr>
                <w:p w14:paraId="0AE7AF4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DE9D9"/>
                  <w:noWrap/>
                  <w:vAlign w:val="center"/>
                  <w:hideMark/>
                </w:tcPr>
                <w:p w14:paraId="753CF38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DE9D9"/>
                  <w:noWrap/>
                  <w:vAlign w:val="center"/>
                  <w:hideMark/>
                </w:tcPr>
                <w:p w14:paraId="3E56E0E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2.3 </w:t>
                  </w:r>
                </w:p>
              </w:tc>
            </w:tr>
            <w:tr w:rsidR="001E16F5" w:rsidRPr="001E16F5" w14:paraId="70E967CF" w14:textId="77777777" w:rsidTr="001E16F5">
              <w:trPr>
                <w:trHeight w:val="290"/>
              </w:trPr>
              <w:tc>
                <w:tcPr>
                  <w:tcW w:w="1160" w:type="dxa"/>
                  <w:tcBorders>
                    <w:top w:val="nil"/>
                    <w:left w:val="nil"/>
                    <w:bottom w:val="nil"/>
                    <w:right w:val="nil"/>
                  </w:tcBorders>
                  <w:shd w:val="clear" w:color="000000" w:fill="FCD5B4"/>
                  <w:noWrap/>
                  <w:vAlign w:val="center"/>
                  <w:hideMark/>
                </w:tcPr>
                <w:p w14:paraId="5D88847B"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594F4E0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-2.9 </w:t>
                  </w:r>
                </w:p>
              </w:tc>
              <w:tc>
                <w:tcPr>
                  <w:tcW w:w="942" w:type="dxa"/>
                  <w:tcBorders>
                    <w:top w:val="nil"/>
                    <w:left w:val="nil"/>
                    <w:bottom w:val="single" w:sz="8" w:space="0" w:color="FFFFFF"/>
                    <w:right w:val="single" w:sz="8" w:space="0" w:color="FFFFFF"/>
                  </w:tcBorders>
                  <w:shd w:val="clear" w:color="000000" w:fill="FCD5B4"/>
                  <w:noWrap/>
                  <w:vAlign w:val="center"/>
                  <w:hideMark/>
                </w:tcPr>
                <w:p w14:paraId="5272541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0710CA8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2A3569A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0.1 </w:t>
                  </w:r>
                </w:p>
              </w:tc>
              <w:tc>
                <w:tcPr>
                  <w:tcW w:w="1178" w:type="dxa"/>
                  <w:tcBorders>
                    <w:top w:val="nil"/>
                    <w:left w:val="nil"/>
                    <w:bottom w:val="nil"/>
                    <w:right w:val="nil"/>
                  </w:tcBorders>
                  <w:shd w:val="clear" w:color="000000" w:fill="FCD5B4"/>
                  <w:noWrap/>
                  <w:vAlign w:val="center"/>
                  <w:hideMark/>
                </w:tcPr>
                <w:p w14:paraId="5E237E71"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12B68D2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-2.9 </w:t>
                  </w:r>
                </w:p>
              </w:tc>
              <w:tc>
                <w:tcPr>
                  <w:tcW w:w="942" w:type="dxa"/>
                  <w:tcBorders>
                    <w:top w:val="nil"/>
                    <w:left w:val="nil"/>
                    <w:bottom w:val="single" w:sz="8" w:space="0" w:color="FFFFFF"/>
                    <w:right w:val="single" w:sz="8" w:space="0" w:color="FFFFFF"/>
                  </w:tcBorders>
                  <w:shd w:val="clear" w:color="000000" w:fill="FCD5B4"/>
                  <w:noWrap/>
                  <w:vAlign w:val="center"/>
                  <w:hideMark/>
                </w:tcPr>
                <w:p w14:paraId="0052757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76718E6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FF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7D70F16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 xml:space="preserve">0.1 </w:t>
                  </w:r>
                </w:p>
              </w:tc>
            </w:tr>
            <w:tr w:rsidR="001E16F5" w:rsidRPr="001E16F5" w14:paraId="6BFE00B7" w14:textId="77777777" w:rsidTr="001E16F5">
              <w:trPr>
                <w:trHeight w:val="150"/>
              </w:trPr>
              <w:tc>
                <w:tcPr>
                  <w:tcW w:w="1160" w:type="dxa"/>
                  <w:tcBorders>
                    <w:top w:val="nil"/>
                    <w:left w:val="nil"/>
                    <w:bottom w:val="nil"/>
                    <w:right w:val="nil"/>
                  </w:tcBorders>
                  <w:shd w:val="clear" w:color="auto" w:fill="auto"/>
                  <w:noWrap/>
                  <w:vAlign w:val="center"/>
                  <w:hideMark/>
                </w:tcPr>
                <w:p w14:paraId="4540725A" w14:textId="77777777" w:rsidR="001E16F5" w:rsidRPr="001E16F5" w:rsidRDefault="001E16F5" w:rsidP="001E16F5">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546FADCD"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B6B79C6"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452B74C6"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F2BB396" w14:textId="77777777" w:rsidR="001E16F5" w:rsidRPr="001E16F5" w:rsidRDefault="001E16F5" w:rsidP="001E16F5">
                  <w:pPr>
                    <w:widowControl/>
                    <w:jc w:val="center"/>
                    <w:rPr>
                      <w:rFonts w:ascii="Times New Roman" w:eastAsia="Times New Roman" w:hAnsi="Times New Roman"/>
                      <w:kern w:val="0"/>
                      <w:sz w:val="20"/>
                      <w:szCs w:val="20"/>
                    </w:rPr>
                  </w:pPr>
                </w:p>
              </w:tc>
              <w:tc>
                <w:tcPr>
                  <w:tcW w:w="1178" w:type="dxa"/>
                  <w:tcBorders>
                    <w:top w:val="nil"/>
                    <w:left w:val="nil"/>
                    <w:bottom w:val="nil"/>
                    <w:right w:val="nil"/>
                  </w:tcBorders>
                  <w:shd w:val="clear" w:color="auto" w:fill="auto"/>
                  <w:noWrap/>
                  <w:vAlign w:val="center"/>
                  <w:hideMark/>
                </w:tcPr>
                <w:p w14:paraId="3A954B4C"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0C76793B"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38157F03"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BB660DF" w14:textId="77777777" w:rsidR="001E16F5" w:rsidRPr="001E16F5" w:rsidRDefault="001E16F5" w:rsidP="001E16F5">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0EAF0921" w14:textId="77777777" w:rsidR="001E16F5" w:rsidRPr="001E16F5" w:rsidRDefault="001E16F5" w:rsidP="001E16F5">
                  <w:pPr>
                    <w:widowControl/>
                    <w:jc w:val="center"/>
                    <w:rPr>
                      <w:rFonts w:ascii="Times New Roman" w:eastAsia="Times New Roman" w:hAnsi="Times New Roman"/>
                      <w:kern w:val="0"/>
                      <w:sz w:val="20"/>
                      <w:szCs w:val="20"/>
                    </w:rPr>
                  </w:pPr>
                </w:p>
              </w:tc>
            </w:tr>
            <w:tr w:rsidR="001E16F5" w:rsidRPr="001E16F5" w14:paraId="64F58F9C" w14:textId="77777777" w:rsidTr="001E16F5">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0A6E627F"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收益率分位</w:t>
                  </w:r>
                </w:p>
              </w:tc>
              <w:tc>
                <w:tcPr>
                  <w:tcW w:w="942" w:type="dxa"/>
                  <w:tcBorders>
                    <w:top w:val="nil"/>
                    <w:left w:val="nil"/>
                    <w:bottom w:val="single" w:sz="12" w:space="0" w:color="FFFFFF"/>
                    <w:right w:val="single" w:sz="8" w:space="0" w:color="FFFFFF"/>
                  </w:tcBorders>
                  <w:shd w:val="clear" w:color="000000" w:fill="F79646"/>
                  <w:noWrap/>
                  <w:vAlign w:val="center"/>
                  <w:hideMark/>
                </w:tcPr>
                <w:p w14:paraId="47C558E9"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8F0B403"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536E155"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56F58A9"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1178" w:type="dxa"/>
                  <w:tcBorders>
                    <w:top w:val="nil"/>
                    <w:left w:val="nil"/>
                    <w:bottom w:val="single" w:sz="12" w:space="0" w:color="FFFFFF"/>
                    <w:right w:val="single" w:sz="8" w:space="0" w:color="FFFFFF"/>
                  </w:tcBorders>
                  <w:shd w:val="clear" w:color="000000" w:fill="F79646"/>
                  <w:noWrap/>
                  <w:vAlign w:val="center"/>
                  <w:hideMark/>
                </w:tcPr>
                <w:p w14:paraId="7BA942FA"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息差</w:t>
                  </w:r>
                </w:p>
              </w:tc>
              <w:tc>
                <w:tcPr>
                  <w:tcW w:w="942" w:type="dxa"/>
                  <w:tcBorders>
                    <w:top w:val="nil"/>
                    <w:left w:val="nil"/>
                    <w:bottom w:val="single" w:sz="12" w:space="0" w:color="FFFFFF"/>
                    <w:right w:val="single" w:sz="8" w:space="0" w:color="FFFFFF"/>
                  </w:tcBorders>
                  <w:shd w:val="clear" w:color="000000" w:fill="F79646"/>
                  <w:noWrap/>
                  <w:vAlign w:val="center"/>
                  <w:hideMark/>
                </w:tcPr>
                <w:p w14:paraId="277B6D21"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5164BA7"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3611625"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E9B4011" w14:textId="77777777" w:rsidR="001E16F5" w:rsidRPr="001E16F5" w:rsidRDefault="001E16F5" w:rsidP="001E16F5">
                  <w:pPr>
                    <w:widowControl/>
                    <w:jc w:val="center"/>
                    <w:rPr>
                      <w:rFonts w:ascii="楷体" w:eastAsia="楷体" w:hAnsi="楷体" w:cs="宋体"/>
                      <w:b/>
                      <w:bCs/>
                      <w:color w:val="FFFFFF"/>
                      <w:kern w:val="0"/>
                      <w:sz w:val="20"/>
                      <w:szCs w:val="20"/>
                    </w:rPr>
                  </w:pPr>
                  <w:r w:rsidRPr="001E16F5">
                    <w:rPr>
                      <w:rFonts w:ascii="楷体" w:eastAsia="楷体" w:hAnsi="楷体" w:cs="宋体" w:hint="eastAsia"/>
                      <w:b/>
                      <w:bCs/>
                      <w:color w:val="FFFFFF"/>
                      <w:kern w:val="0"/>
                      <w:sz w:val="20"/>
                      <w:szCs w:val="20"/>
                    </w:rPr>
                    <w:t>AA-</w:t>
                  </w:r>
                </w:p>
              </w:tc>
            </w:tr>
            <w:tr w:rsidR="001E16F5" w:rsidRPr="001E16F5" w14:paraId="07F00404" w14:textId="77777777" w:rsidTr="001E16F5">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3B933FCB"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1B032CB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23%</w:t>
                  </w:r>
                </w:p>
              </w:tc>
              <w:tc>
                <w:tcPr>
                  <w:tcW w:w="942" w:type="dxa"/>
                  <w:tcBorders>
                    <w:top w:val="nil"/>
                    <w:left w:val="nil"/>
                    <w:bottom w:val="single" w:sz="8" w:space="0" w:color="FFFFFF"/>
                    <w:right w:val="single" w:sz="8" w:space="0" w:color="FFFFFF"/>
                  </w:tcBorders>
                  <w:shd w:val="clear" w:color="000000" w:fill="FCD5B4"/>
                  <w:noWrap/>
                  <w:vAlign w:val="center"/>
                  <w:hideMark/>
                </w:tcPr>
                <w:p w14:paraId="63D6ED0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CD5B4"/>
                  <w:noWrap/>
                  <w:vAlign w:val="center"/>
                  <w:hideMark/>
                </w:tcPr>
                <w:p w14:paraId="4750E8A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CD5B4"/>
                  <w:noWrap/>
                  <w:vAlign w:val="center"/>
                  <w:hideMark/>
                </w:tcPr>
                <w:p w14:paraId="05F971B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58%</w:t>
                  </w:r>
                </w:p>
              </w:tc>
              <w:tc>
                <w:tcPr>
                  <w:tcW w:w="1178" w:type="dxa"/>
                  <w:tcBorders>
                    <w:top w:val="nil"/>
                    <w:left w:val="nil"/>
                    <w:bottom w:val="single" w:sz="8" w:space="0" w:color="FFFFFF"/>
                    <w:right w:val="single" w:sz="8" w:space="0" w:color="FFFFFF"/>
                  </w:tcBorders>
                  <w:shd w:val="clear" w:color="000000" w:fill="FCD5B4"/>
                  <w:noWrap/>
                  <w:vAlign w:val="center"/>
                  <w:hideMark/>
                </w:tcPr>
                <w:p w14:paraId="4D8B1074"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6B030FB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CD5B4"/>
                  <w:noWrap/>
                  <w:vAlign w:val="center"/>
                  <w:hideMark/>
                </w:tcPr>
                <w:p w14:paraId="6F7F276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7C16F27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CD5B4"/>
                  <w:noWrap/>
                  <w:vAlign w:val="center"/>
                  <w:hideMark/>
                </w:tcPr>
                <w:p w14:paraId="176139B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78%</w:t>
                  </w:r>
                </w:p>
              </w:tc>
            </w:tr>
            <w:tr w:rsidR="001E16F5" w:rsidRPr="001E16F5" w14:paraId="3800F811"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1DD6BB76"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51E2659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23%</w:t>
                  </w:r>
                </w:p>
              </w:tc>
              <w:tc>
                <w:tcPr>
                  <w:tcW w:w="942" w:type="dxa"/>
                  <w:tcBorders>
                    <w:top w:val="nil"/>
                    <w:left w:val="nil"/>
                    <w:bottom w:val="single" w:sz="8" w:space="0" w:color="FFFFFF"/>
                    <w:right w:val="single" w:sz="8" w:space="0" w:color="FFFFFF"/>
                  </w:tcBorders>
                  <w:shd w:val="clear" w:color="000000" w:fill="FDE9D9"/>
                  <w:noWrap/>
                  <w:vAlign w:val="center"/>
                  <w:hideMark/>
                </w:tcPr>
                <w:p w14:paraId="755F8BB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DE9D9"/>
                  <w:noWrap/>
                  <w:vAlign w:val="center"/>
                  <w:hideMark/>
                </w:tcPr>
                <w:p w14:paraId="6D80117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28%</w:t>
                  </w:r>
                </w:p>
              </w:tc>
              <w:tc>
                <w:tcPr>
                  <w:tcW w:w="942" w:type="dxa"/>
                  <w:tcBorders>
                    <w:top w:val="nil"/>
                    <w:left w:val="nil"/>
                    <w:bottom w:val="single" w:sz="8" w:space="0" w:color="FFFFFF"/>
                    <w:right w:val="single" w:sz="8" w:space="0" w:color="FFFFFF"/>
                  </w:tcBorders>
                  <w:shd w:val="clear" w:color="000000" w:fill="FDE9D9"/>
                  <w:noWrap/>
                  <w:vAlign w:val="center"/>
                  <w:hideMark/>
                </w:tcPr>
                <w:p w14:paraId="652A292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63%</w:t>
                  </w:r>
                </w:p>
              </w:tc>
              <w:tc>
                <w:tcPr>
                  <w:tcW w:w="1178" w:type="dxa"/>
                  <w:tcBorders>
                    <w:top w:val="nil"/>
                    <w:left w:val="nil"/>
                    <w:bottom w:val="single" w:sz="8" w:space="0" w:color="FFFFFF"/>
                    <w:right w:val="single" w:sz="8" w:space="0" w:color="FFFFFF"/>
                  </w:tcBorders>
                  <w:shd w:val="clear" w:color="000000" w:fill="FDE9D9"/>
                  <w:noWrap/>
                  <w:vAlign w:val="center"/>
                  <w:hideMark/>
                </w:tcPr>
                <w:p w14:paraId="1D79251E"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4B91BDF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DE9D9"/>
                  <w:noWrap/>
                  <w:vAlign w:val="center"/>
                  <w:hideMark/>
                </w:tcPr>
                <w:p w14:paraId="3131DDA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DE9D9"/>
                  <w:noWrap/>
                  <w:vAlign w:val="center"/>
                  <w:hideMark/>
                </w:tcPr>
                <w:p w14:paraId="61108A6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FC7CE"/>
                  <w:noWrap/>
                  <w:vAlign w:val="center"/>
                  <w:hideMark/>
                </w:tcPr>
                <w:p w14:paraId="529BA475" w14:textId="77777777" w:rsidR="001E16F5" w:rsidRPr="001E16F5" w:rsidRDefault="001E16F5" w:rsidP="001E16F5">
                  <w:pPr>
                    <w:widowControl/>
                    <w:jc w:val="center"/>
                    <w:rPr>
                      <w:rFonts w:eastAsia="等线" w:cs="Calibri"/>
                      <w:color w:val="9C0006"/>
                      <w:kern w:val="0"/>
                      <w:szCs w:val="21"/>
                    </w:rPr>
                  </w:pPr>
                  <w:r w:rsidRPr="001E16F5">
                    <w:rPr>
                      <w:rFonts w:eastAsia="等线" w:cs="Calibri"/>
                      <w:color w:val="9C0006"/>
                      <w:kern w:val="0"/>
                      <w:szCs w:val="21"/>
                    </w:rPr>
                    <w:t>85%</w:t>
                  </w:r>
                </w:p>
              </w:tc>
            </w:tr>
            <w:tr w:rsidR="001E16F5" w:rsidRPr="001E16F5" w14:paraId="16AEF109"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18397CAB"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7070737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CD5B4"/>
                  <w:noWrap/>
                  <w:vAlign w:val="center"/>
                  <w:hideMark/>
                </w:tcPr>
                <w:p w14:paraId="2509FFF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0BAE2E1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CD5B4"/>
                  <w:noWrap/>
                  <w:vAlign w:val="center"/>
                  <w:hideMark/>
                </w:tcPr>
                <w:p w14:paraId="342B873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54%</w:t>
                  </w:r>
                </w:p>
              </w:tc>
              <w:tc>
                <w:tcPr>
                  <w:tcW w:w="1178" w:type="dxa"/>
                  <w:tcBorders>
                    <w:top w:val="nil"/>
                    <w:left w:val="nil"/>
                    <w:bottom w:val="single" w:sz="8" w:space="0" w:color="FFFFFF"/>
                    <w:right w:val="single" w:sz="8" w:space="0" w:color="FFFFFF"/>
                  </w:tcBorders>
                  <w:shd w:val="clear" w:color="000000" w:fill="FCD5B4"/>
                  <w:noWrap/>
                  <w:vAlign w:val="center"/>
                  <w:hideMark/>
                </w:tcPr>
                <w:p w14:paraId="04EE4449"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43BE640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CD5B4"/>
                  <w:noWrap/>
                  <w:vAlign w:val="center"/>
                  <w:hideMark/>
                </w:tcPr>
                <w:p w14:paraId="7A116E7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8%</w:t>
                  </w:r>
                </w:p>
              </w:tc>
              <w:tc>
                <w:tcPr>
                  <w:tcW w:w="942" w:type="dxa"/>
                  <w:tcBorders>
                    <w:top w:val="nil"/>
                    <w:left w:val="nil"/>
                    <w:bottom w:val="single" w:sz="8" w:space="0" w:color="FFFFFF"/>
                    <w:right w:val="single" w:sz="8" w:space="0" w:color="FFFFFF"/>
                  </w:tcBorders>
                  <w:shd w:val="clear" w:color="000000" w:fill="FCD5B4"/>
                  <w:noWrap/>
                  <w:vAlign w:val="center"/>
                  <w:hideMark/>
                </w:tcPr>
                <w:p w14:paraId="09C87F7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6BCF9C60"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68%</w:t>
                  </w:r>
                </w:p>
              </w:tc>
            </w:tr>
            <w:tr w:rsidR="001E16F5" w:rsidRPr="001E16F5" w14:paraId="1F362EE7"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506197F2"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4B0F092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DE9D9"/>
                  <w:noWrap/>
                  <w:vAlign w:val="center"/>
                  <w:hideMark/>
                </w:tcPr>
                <w:p w14:paraId="1ADF597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DE9D9"/>
                  <w:noWrap/>
                  <w:vAlign w:val="center"/>
                  <w:hideMark/>
                </w:tcPr>
                <w:p w14:paraId="0577EF7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26%</w:t>
                  </w:r>
                </w:p>
              </w:tc>
              <w:tc>
                <w:tcPr>
                  <w:tcW w:w="942" w:type="dxa"/>
                  <w:tcBorders>
                    <w:top w:val="nil"/>
                    <w:left w:val="nil"/>
                    <w:bottom w:val="single" w:sz="8" w:space="0" w:color="FFFFFF"/>
                    <w:right w:val="single" w:sz="8" w:space="0" w:color="FFFFFF"/>
                  </w:tcBorders>
                  <w:shd w:val="clear" w:color="000000" w:fill="FDE9D9"/>
                  <w:noWrap/>
                  <w:vAlign w:val="center"/>
                  <w:hideMark/>
                </w:tcPr>
                <w:p w14:paraId="652A7BC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60%</w:t>
                  </w:r>
                </w:p>
              </w:tc>
              <w:tc>
                <w:tcPr>
                  <w:tcW w:w="1178" w:type="dxa"/>
                  <w:tcBorders>
                    <w:top w:val="nil"/>
                    <w:left w:val="nil"/>
                    <w:bottom w:val="single" w:sz="8" w:space="0" w:color="FFFFFF"/>
                    <w:right w:val="single" w:sz="8" w:space="0" w:color="FFFFFF"/>
                  </w:tcBorders>
                  <w:shd w:val="clear" w:color="000000" w:fill="FDE9D9"/>
                  <w:noWrap/>
                  <w:vAlign w:val="center"/>
                  <w:hideMark/>
                </w:tcPr>
                <w:p w14:paraId="29DB4913"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5C8F383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17%</w:t>
                  </w:r>
                </w:p>
              </w:tc>
              <w:tc>
                <w:tcPr>
                  <w:tcW w:w="942" w:type="dxa"/>
                  <w:tcBorders>
                    <w:top w:val="nil"/>
                    <w:left w:val="nil"/>
                    <w:bottom w:val="single" w:sz="8" w:space="0" w:color="FFFFFF"/>
                    <w:right w:val="single" w:sz="8" w:space="0" w:color="FFFFFF"/>
                  </w:tcBorders>
                  <w:shd w:val="clear" w:color="000000" w:fill="FDE9D9"/>
                  <w:noWrap/>
                  <w:vAlign w:val="center"/>
                  <w:hideMark/>
                </w:tcPr>
                <w:p w14:paraId="7D6B84E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DE9D9"/>
                  <w:noWrap/>
                  <w:vAlign w:val="center"/>
                  <w:hideMark/>
                </w:tcPr>
                <w:p w14:paraId="20D7126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23%</w:t>
                  </w:r>
                </w:p>
              </w:tc>
              <w:tc>
                <w:tcPr>
                  <w:tcW w:w="942" w:type="dxa"/>
                  <w:tcBorders>
                    <w:top w:val="nil"/>
                    <w:left w:val="nil"/>
                    <w:bottom w:val="single" w:sz="8" w:space="0" w:color="FFFFFF"/>
                    <w:right w:val="single" w:sz="8" w:space="0" w:color="FFFFFF"/>
                  </w:tcBorders>
                  <w:shd w:val="clear" w:color="000000" w:fill="FDE9D9"/>
                  <w:noWrap/>
                  <w:vAlign w:val="center"/>
                  <w:hideMark/>
                </w:tcPr>
                <w:p w14:paraId="75E9A39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78%</w:t>
                  </w:r>
                </w:p>
              </w:tc>
            </w:tr>
            <w:tr w:rsidR="001E16F5" w:rsidRPr="001E16F5" w14:paraId="49C2EF0B"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CB21361"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569E6AA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166F1AD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CD5B4"/>
                  <w:noWrap/>
                  <w:vAlign w:val="center"/>
                  <w:hideMark/>
                </w:tcPr>
                <w:p w14:paraId="3F6528C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CD5B4"/>
                  <w:noWrap/>
                  <w:vAlign w:val="center"/>
                  <w:hideMark/>
                </w:tcPr>
                <w:p w14:paraId="26D969FA"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47%</w:t>
                  </w:r>
                </w:p>
              </w:tc>
              <w:tc>
                <w:tcPr>
                  <w:tcW w:w="1178" w:type="dxa"/>
                  <w:tcBorders>
                    <w:top w:val="nil"/>
                    <w:left w:val="nil"/>
                    <w:bottom w:val="single" w:sz="8" w:space="0" w:color="FFFFFF"/>
                    <w:right w:val="single" w:sz="8" w:space="0" w:color="FFFFFF"/>
                  </w:tcBorders>
                  <w:shd w:val="clear" w:color="000000" w:fill="FCD5B4"/>
                  <w:noWrap/>
                  <w:vAlign w:val="center"/>
                  <w:hideMark/>
                </w:tcPr>
                <w:p w14:paraId="7DC36AF1"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4CEA988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8%</w:t>
                  </w:r>
                </w:p>
              </w:tc>
              <w:tc>
                <w:tcPr>
                  <w:tcW w:w="942" w:type="dxa"/>
                  <w:tcBorders>
                    <w:top w:val="nil"/>
                    <w:left w:val="nil"/>
                    <w:bottom w:val="single" w:sz="8" w:space="0" w:color="FFFFFF"/>
                    <w:right w:val="single" w:sz="8" w:space="0" w:color="FFFFFF"/>
                  </w:tcBorders>
                  <w:shd w:val="clear" w:color="000000" w:fill="FCD5B4"/>
                  <w:noWrap/>
                  <w:vAlign w:val="center"/>
                  <w:hideMark/>
                </w:tcPr>
                <w:p w14:paraId="5EEB8D4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5%</w:t>
                  </w:r>
                </w:p>
              </w:tc>
              <w:tc>
                <w:tcPr>
                  <w:tcW w:w="942" w:type="dxa"/>
                  <w:tcBorders>
                    <w:top w:val="nil"/>
                    <w:left w:val="nil"/>
                    <w:bottom w:val="single" w:sz="8" w:space="0" w:color="FFFFFF"/>
                    <w:right w:val="single" w:sz="8" w:space="0" w:color="FFFFFF"/>
                  </w:tcBorders>
                  <w:shd w:val="clear" w:color="000000" w:fill="FCD5B4"/>
                  <w:noWrap/>
                  <w:vAlign w:val="center"/>
                  <w:hideMark/>
                </w:tcPr>
                <w:p w14:paraId="0D97A2C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CD5B4"/>
                  <w:noWrap/>
                  <w:vAlign w:val="center"/>
                  <w:hideMark/>
                </w:tcPr>
                <w:p w14:paraId="0D4C78C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59%</w:t>
                  </w:r>
                </w:p>
              </w:tc>
            </w:tr>
            <w:tr w:rsidR="001E16F5" w:rsidRPr="001E16F5" w14:paraId="4D32DEF4"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56595708"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3C6CA62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DE9D9"/>
                  <w:noWrap/>
                  <w:vAlign w:val="center"/>
                  <w:hideMark/>
                </w:tcPr>
                <w:p w14:paraId="2F2FBEC7"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DE9D9"/>
                  <w:noWrap/>
                  <w:vAlign w:val="center"/>
                  <w:hideMark/>
                </w:tcPr>
                <w:p w14:paraId="55B6952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DE9D9"/>
                  <w:noWrap/>
                  <w:vAlign w:val="center"/>
                  <w:hideMark/>
                </w:tcPr>
                <w:p w14:paraId="58842612"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44%</w:t>
                  </w:r>
                </w:p>
              </w:tc>
              <w:tc>
                <w:tcPr>
                  <w:tcW w:w="1178" w:type="dxa"/>
                  <w:tcBorders>
                    <w:top w:val="nil"/>
                    <w:left w:val="nil"/>
                    <w:bottom w:val="single" w:sz="8" w:space="0" w:color="FFFFFF"/>
                    <w:right w:val="single" w:sz="8" w:space="0" w:color="FFFFFF"/>
                  </w:tcBorders>
                  <w:shd w:val="clear" w:color="000000" w:fill="FDE9D9"/>
                  <w:noWrap/>
                  <w:vAlign w:val="center"/>
                  <w:hideMark/>
                </w:tcPr>
                <w:p w14:paraId="60B56FE1" w14:textId="77777777" w:rsidR="001E16F5" w:rsidRPr="001E16F5" w:rsidRDefault="001E16F5" w:rsidP="001E16F5">
                  <w:pPr>
                    <w:widowControl/>
                    <w:jc w:val="center"/>
                    <w:rPr>
                      <w:rFonts w:ascii="楷体" w:eastAsia="楷体" w:hAnsi="楷体" w:cs="宋体"/>
                      <w:color w:val="000000"/>
                      <w:kern w:val="0"/>
                      <w:sz w:val="20"/>
                      <w:szCs w:val="20"/>
                    </w:rPr>
                  </w:pPr>
                  <w:r w:rsidRPr="001E16F5">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2B9207C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DE9D9"/>
                  <w:noWrap/>
                  <w:vAlign w:val="center"/>
                  <w:hideMark/>
                </w:tcPr>
                <w:p w14:paraId="1C41D6A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DE9D9"/>
                  <w:noWrap/>
                  <w:vAlign w:val="center"/>
                  <w:hideMark/>
                </w:tcPr>
                <w:p w14:paraId="24D4B1B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DE9D9"/>
                  <w:noWrap/>
                  <w:vAlign w:val="center"/>
                  <w:hideMark/>
                </w:tcPr>
                <w:p w14:paraId="0EB191C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53%</w:t>
                  </w:r>
                </w:p>
              </w:tc>
            </w:tr>
            <w:tr w:rsidR="001E16F5" w:rsidRPr="001E16F5" w14:paraId="2638EBE8" w14:textId="77777777" w:rsidTr="001E16F5">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3A0180C"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1FC7634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CD5B4"/>
                  <w:noWrap/>
                  <w:vAlign w:val="center"/>
                  <w:hideMark/>
                </w:tcPr>
                <w:p w14:paraId="3F39136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17%</w:t>
                  </w:r>
                </w:p>
              </w:tc>
              <w:tc>
                <w:tcPr>
                  <w:tcW w:w="942" w:type="dxa"/>
                  <w:tcBorders>
                    <w:top w:val="nil"/>
                    <w:left w:val="nil"/>
                    <w:bottom w:val="single" w:sz="8" w:space="0" w:color="FFFFFF"/>
                    <w:right w:val="single" w:sz="8" w:space="0" w:color="FFFFFF"/>
                  </w:tcBorders>
                  <w:shd w:val="clear" w:color="000000" w:fill="FCD5B4"/>
                  <w:noWrap/>
                  <w:vAlign w:val="center"/>
                  <w:hideMark/>
                </w:tcPr>
                <w:p w14:paraId="0BAA4A7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1EF8386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74%</w:t>
                  </w:r>
                </w:p>
              </w:tc>
              <w:tc>
                <w:tcPr>
                  <w:tcW w:w="1178" w:type="dxa"/>
                  <w:tcBorders>
                    <w:top w:val="nil"/>
                    <w:left w:val="nil"/>
                    <w:bottom w:val="single" w:sz="8" w:space="0" w:color="FFFFFF"/>
                    <w:right w:val="single" w:sz="8" w:space="0" w:color="FFFFFF"/>
                  </w:tcBorders>
                  <w:shd w:val="clear" w:color="000000" w:fill="FCD5B4"/>
                  <w:noWrap/>
                  <w:vAlign w:val="center"/>
                  <w:hideMark/>
                </w:tcPr>
                <w:p w14:paraId="3397F06D"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66EF63D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CD5B4"/>
                  <w:noWrap/>
                  <w:vAlign w:val="center"/>
                  <w:hideMark/>
                </w:tcPr>
                <w:p w14:paraId="08D6B5BC"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CD5B4"/>
                  <w:noWrap/>
                  <w:vAlign w:val="center"/>
                  <w:hideMark/>
                </w:tcPr>
                <w:p w14:paraId="3006935D"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17%</w:t>
                  </w:r>
                </w:p>
              </w:tc>
              <w:tc>
                <w:tcPr>
                  <w:tcW w:w="942" w:type="dxa"/>
                  <w:tcBorders>
                    <w:top w:val="nil"/>
                    <w:left w:val="nil"/>
                    <w:bottom w:val="single" w:sz="8" w:space="0" w:color="FFFFFF"/>
                    <w:right w:val="single" w:sz="8" w:space="0" w:color="FFFFFF"/>
                  </w:tcBorders>
                  <w:shd w:val="clear" w:color="000000" w:fill="FFC7CE"/>
                  <w:noWrap/>
                  <w:vAlign w:val="center"/>
                  <w:hideMark/>
                </w:tcPr>
                <w:p w14:paraId="075014C1" w14:textId="77777777" w:rsidR="001E16F5" w:rsidRPr="001E16F5" w:rsidRDefault="001E16F5" w:rsidP="001E16F5">
                  <w:pPr>
                    <w:widowControl/>
                    <w:jc w:val="center"/>
                    <w:rPr>
                      <w:rFonts w:eastAsia="等线" w:cs="Calibri"/>
                      <w:color w:val="9C0006"/>
                      <w:kern w:val="0"/>
                      <w:szCs w:val="21"/>
                    </w:rPr>
                  </w:pPr>
                  <w:r w:rsidRPr="001E16F5">
                    <w:rPr>
                      <w:rFonts w:eastAsia="等线" w:cs="Calibri"/>
                      <w:color w:val="9C0006"/>
                      <w:kern w:val="0"/>
                      <w:szCs w:val="21"/>
                    </w:rPr>
                    <w:t>89%</w:t>
                  </w:r>
                </w:p>
              </w:tc>
            </w:tr>
            <w:tr w:rsidR="001E16F5" w:rsidRPr="001E16F5" w14:paraId="2C7599AB" w14:textId="77777777" w:rsidTr="001E16F5">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70BEFB2B"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69B6A34B"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DE9D9"/>
                  <w:noWrap/>
                  <w:vAlign w:val="center"/>
                  <w:hideMark/>
                </w:tcPr>
                <w:p w14:paraId="1EA36C0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DE9D9"/>
                  <w:noWrap/>
                  <w:vAlign w:val="center"/>
                  <w:hideMark/>
                </w:tcPr>
                <w:p w14:paraId="7E753FEE"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DE9D9"/>
                  <w:noWrap/>
                  <w:vAlign w:val="center"/>
                  <w:hideMark/>
                </w:tcPr>
                <w:p w14:paraId="73228E69"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82%</w:t>
                  </w:r>
                </w:p>
              </w:tc>
              <w:tc>
                <w:tcPr>
                  <w:tcW w:w="1178" w:type="dxa"/>
                  <w:tcBorders>
                    <w:top w:val="nil"/>
                    <w:left w:val="nil"/>
                    <w:bottom w:val="single" w:sz="8" w:space="0" w:color="FFFFFF"/>
                    <w:right w:val="single" w:sz="8" w:space="0" w:color="FFFFFF"/>
                  </w:tcBorders>
                  <w:shd w:val="clear" w:color="000000" w:fill="FDE9D9"/>
                  <w:noWrap/>
                  <w:vAlign w:val="center"/>
                  <w:hideMark/>
                </w:tcPr>
                <w:p w14:paraId="0FBE4337"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11254C3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8%</w:t>
                  </w:r>
                </w:p>
              </w:tc>
              <w:tc>
                <w:tcPr>
                  <w:tcW w:w="942" w:type="dxa"/>
                  <w:tcBorders>
                    <w:top w:val="nil"/>
                    <w:left w:val="nil"/>
                    <w:bottom w:val="single" w:sz="8" w:space="0" w:color="FFFFFF"/>
                    <w:right w:val="single" w:sz="8" w:space="0" w:color="FFFFFF"/>
                  </w:tcBorders>
                  <w:shd w:val="clear" w:color="000000" w:fill="FDE9D9"/>
                  <w:noWrap/>
                  <w:vAlign w:val="center"/>
                  <w:hideMark/>
                </w:tcPr>
                <w:p w14:paraId="5EE93BB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DE9D9"/>
                  <w:noWrap/>
                  <w:vAlign w:val="center"/>
                  <w:hideMark/>
                </w:tcPr>
                <w:p w14:paraId="34A48045"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28%</w:t>
                  </w:r>
                </w:p>
              </w:tc>
              <w:tc>
                <w:tcPr>
                  <w:tcW w:w="942" w:type="dxa"/>
                  <w:tcBorders>
                    <w:top w:val="nil"/>
                    <w:left w:val="nil"/>
                    <w:bottom w:val="single" w:sz="8" w:space="0" w:color="FFFFFF"/>
                    <w:right w:val="single" w:sz="8" w:space="0" w:color="FFFFFF"/>
                  </w:tcBorders>
                  <w:shd w:val="clear" w:color="000000" w:fill="FFC7CE"/>
                  <w:noWrap/>
                  <w:vAlign w:val="center"/>
                  <w:hideMark/>
                </w:tcPr>
                <w:p w14:paraId="25D9B807" w14:textId="77777777" w:rsidR="001E16F5" w:rsidRPr="001E16F5" w:rsidRDefault="001E16F5" w:rsidP="001E16F5">
                  <w:pPr>
                    <w:widowControl/>
                    <w:jc w:val="center"/>
                    <w:rPr>
                      <w:rFonts w:eastAsia="等线" w:cs="Calibri"/>
                      <w:color w:val="9C0006"/>
                      <w:kern w:val="0"/>
                      <w:szCs w:val="21"/>
                    </w:rPr>
                  </w:pPr>
                  <w:r w:rsidRPr="001E16F5">
                    <w:rPr>
                      <w:rFonts w:eastAsia="等线" w:cs="Calibri"/>
                      <w:color w:val="9C0006"/>
                      <w:kern w:val="0"/>
                      <w:szCs w:val="21"/>
                    </w:rPr>
                    <w:t>93%</w:t>
                  </w:r>
                </w:p>
              </w:tc>
            </w:tr>
            <w:tr w:rsidR="001E16F5" w:rsidRPr="001E16F5" w14:paraId="79C65820" w14:textId="77777777" w:rsidTr="001E16F5">
              <w:trPr>
                <w:trHeight w:val="290"/>
              </w:trPr>
              <w:tc>
                <w:tcPr>
                  <w:tcW w:w="1160" w:type="dxa"/>
                  <w:tcBorders>
                    <w:top w:val="nil"/>
                    <w:left w:val="nil"/>
                    <w:bottom w:val="nil"/>
                    <w:right w:val="nil"/>
                  </w:tcBorders>
                  <w:shd w:val="clear" w:color="000000" w:fill="FCD5B4"/>
                  <w:noWrap/>
                  <w:vAlign w:val="center"/>
                  <w:hideMark/>
                </w:tcPr>
                <w:p w14:paraId="369506A5"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0E2CB36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CD5B4"/>
                  <w:noWrap/>
                  <w:vAlign w:val="center"/>
                  <w:hideMark/>
                </w:tcPr>
                <w:p w14:paraId="63EB0028"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4971EFE6"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CD5B4"/>
                  <w:noWrap/>
                  <w:vAlign w:val="center"/>
                  <w:hideMark/>
                </w:tcPr>
                <w:p w14:paraId="330D1D94"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77%</w:t>
                  </w:r>
                </w:p>
              </w:tc>
              <w:tc>
                <w:tcPr>
                  <w:tcW w:w="1178" w:type="dxa"/>
                  <w:tcBorders>
                    <w:top w:val="nil"/>
                    <w:left w:val="nil"/>
                    <w:bottom w:val="nil"/>
                    <w:right w:val="nil"/>
                  </w:tcBorders>
                  <w:shd w:val="clear" w:color="000000" w:fill="FCD5B4"/>
                  <w:noWrap/>
                  <w:vAlign w:val="center"/>
                  <w:hideMark/>
                </w:tcPr>
                <w:p w14:paraId="19347422" w14:textId="77777777" w:rsidR="001E16F5" w:rsidRPr="001E16F5" w:rsidRDefault="001E16F5" w:rsidP="001E16F5">
                  <w:pPr>
                    <w:widowControl/>
                    <w:jc w:val="center"/>
                    <w:rPr>
                      <w:rFonts w:ascii="楷体" w:eastAsia="楷体" w:hAnsi="楷体" w:cs="宋体"/>
                      <w:color w:val="000000"/>
                      <w:kern w:val="0"/>
                      <w:sz w:val="20"/>
                      <w:szCs w:val="20"/>
                    </w:rPr>
                  </w:pPr>
                  <w:proofErr w:type="gramStart"/>
                  <w:r w:rsidRPr="001E16F5">
                    <w:rPr>
                      <w:rFonts w:ascii="楷体" w:eastAsia="楷体" w:hAnsi="楷体" w:cs="宋体" w:hint="eastAsia"/>
                      <w:color w:val="000000"/>
                      <w:kern w:val="0"/>
                      <w:sz w:val="20"/>
                      <w:szCs w:val="20"/>
                    </w:rPr>
                    <w:t>城投债</w:t>
                  </w:r>
                  <w:proofErr w:type="gramEnd"/>
                  <w:r w:rsidRPr="001E16F5">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0C580D21"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CD5B4"/>
                  <w:noWrap/>
                  <w:vAlign w:val="center"/>
                  <w:hideMark/>
                </w:tcPr>
                <w:p w14:paraId="28FC571F"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73A71993" w14:textId="77777777" w:rsidR="001E16F5" w:rsidRPr="001E16F5" w:rsidRDefault="001E16F5" w:rsidP="001E16F5">
                  <w:pPr>
                    <w:widowControl/>
                    <w:jc w:val="center"/>
                    <w:rPr>
                      <w:rFonts w:eastAsia="等线" w:cs="Calibri"/>
                      <w:color w:val="000000"/>
                      <w:kern w:val="0"/>
                      <w:szCs w:val="21"/>
                    </w:rPr>
                  </w:pPr>
                  <w:r w:rsidRPr="001E16F5">
                    <w:rPr>
                      <w:rFonts w:eastAsia="等线" w:cs="Calibri"/>
                      <w:color w:val="000000"/>
                      <w:kern w:val="0"/>
                      <w:szCs w:val="21"/>
                    </w:rPr>
                    <w:t>23%</w:t>
                  </w:r>
                </w:p>
              </w:tc>
              <w:tc>
                <w:tcPr>
                  <w:tcW w:w="942" w:type="dxa"/>
                  <w:tcBorders>
                    <w:top w:val="nil"/>
                    <w:left w:val="nil"/>
                    <w:bottom w:val="single" w:sz="8" w:space="0" w:color="FFFFFF"/>
                    <w:right w:val="single" w:sz="8" w:space="0" w:color="FFFFFF"/>
                  </w:tcBorders>
                  <w:shd w:val="clear" w:color="000000" w:fill="FFC7CE"/>
                  <w:noWrap/>
                  <w:vAlign w:val="center"/>
                  <w:hideMark/>
                </w:tcPr>
                <w:p w14:paraId="6C8D0A05" w14:textId="77777777" w:rsidR="001E16F5" w:rsidRPr="001E16F5" w:rsidRDefault="001E16F5" w:rsidP="001E16F5">
                  <w:pPr>
                    <w:widowControl/>
                    <w:jc w:val="center"/>
                    <w:rPr>
                      <w:rFonts w:eastAsia="等线" w:cs="Calibri"/>
                      <w:color w:val="9C0006"/>
                      <w:kern w:val="0"/>
                      <w:szCs w:val="21"/>
                    </w:rPr>
                  </w:pPr>
                  <w:r w:rsidRPr="001E16F5">
                    <w:rPr>
                      <w:rFonts w:eastAsia="等线" w:cs="Calibri"/>
                      <w:color w:val="9C0006"/>
                      <w:kern w:val="0"/>
                      <w:szCs w:val="21"/>
                    </w:rPr>
                    <w:t>87%</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016E3DE6"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5437B0" w:rsidRPr="005437B0">
        <w:rPr>
          <w:rFonts w:ascii="华文楷体" w:hAnsi="华文楷体" w:hint="eastAsia"/>
          <w:sz w:val="24"/>
          <w:szCs w:val="24"/>
          <w:lang w:eastAsia="zh-CN"/>
        </w:rPr>
        <w:t>各主要板块指数</w:t>
      </w:r>
      <w:r w:rsidR="00976757">
        <w:rPr>
          <w:rFonts w:ascii="华文楷体" w:hAnsi="华文楷体" w:hint="eastAsia"/>
          <w:sz w:val="24"/>
          <w:szCs w:val="24"/>
          <w:lang w:eastAsia="zh-CN"/>
        </w:rPr>
        <w:t>适度下行</w:t>
      </w:r>
      <w:r w:rsidR="005437B0" w:rsidRPr="005437B0">
        <w:rPr>
          <w:rFonts w:ascii="华文楷体" w:hAnsi="华文楷体" w:hint="eastAsia"/>
          <w:sz w:val="24"/>
          <w:szCs w:val="24"/>
          <w:lang w:eastAsia="zh-CN"/>
        </w:rPr>
        <w:t>，成交量</w:t>
      </w:r>
      <w:r w:rsidR="00976757">
        <w:rPr>
          <w:rFonts w:ascii="华文楷体" w:hAnsi="华文楷体" w:hint="eastAsia"/>
          <w:sz w:val="24"/>
          <w:szCs w:val="24"/>
          <w:lang w:eastAsia="zh-CN"/>
        </w:rPr>
        <w:t>多数</w:t>
      </w:r>
      <w:r w:rsidR="005437B0" w:rsidRPr="005437B0">
        <w:rPr>
          <w:rFonts w:ascii="华文楷体" w:hAnsi="华文楷体" w:hint="eastAsia"/>
          <w:sz w:val="24"/>
          <w:szCs w:val="24"/>
          <w:lang w:eastAsia="zh-CN"/>
        </w:rPr>
        <w:t>上涨。</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976757">
        <w:rPr>
          <w:rFonts w:ascii="华文楷体" w:hAnsi="华文楷体" w:hint="eastAsia"/>
          <w:sz w:val="24"/>
          <w:szCs w:val="24"/>
          <w:lang w:eastAsia="zh-CN"/>
        </w:rPr>
        <w:t>-</w:t>
      </w:r>
      <w:r w:rsidR="00976757">
        <w:rPr>
          <w:rFonts w:ascii="华文楷体" w:hAnsi="华文楷体"/>
          <w:sz w:val="24"/>
          <w:szCs w:val="24"/>
          <w:lang w:eastAsia="zh-CN"/>
        </w:rPr>
        <w:t>0.8</w:t>
      </w:r>
      <w:r w:rsidR="00AC28BB">
        <w:rPr>
          <w:rFonts w:ascii="华文楷体" w:hAnsi="华文楷体"/>
          <w:sz w:val="24"/>
          <w:szCs w:val="24"/>
          <w:lang w:eastAsia="zh-CN"/>
        </w:rPr>
        <w:t>%、</w:t>
      </w:r>
      <w:r w:rsidR="00976757">
        <w:rPr>
          <w:rFonts w:ascii="华文楷体" w:hAnsi="华文楷体" w:hint="eastAsia"/>
          <w:sz w:val="24"/>
          <w:szCs w:val="24"/>
          <w:lang w:eastAsia="zh-CN"/>
        </w:rPr>
        <w:t>-</w:t>
      </w:r>
      <w:r w:rsidR="00976757">
        <w:rPr>
          <w:rFonts w:ascii="华文楷体" w:hAnsi="华文楷体"/>
          <w:sz w:val="24"/>
          <w:szCs w:val="24"/>
          <w:lang w:eastAsia="zh-CN"/>
        </w:rPr>
        <w:t>5.9</w:t>
      </w:r>
      <w:r w:rsidR="00AC28BB">
        <w:rPr>
          <w:rFonts w:ascii="华文楷体" w:hAnsi="华文楷体"/>
          <w:sz w:val="24"/>
          <w:szCs w:val="24"/>
          <w:lang w:eastAsia="zh-CN"/>
        </w:rPr>
        <w:t>%、</w:t>
      </w:r>
      <w:r w:rsidR="005437B0">
        <w:rPr>
          <w:rFonts w:ascii="华文楷体" w:hAnsi="华文楷体" w:hint="eastAsia"/>
          <w:sz w:val="24"/>
          <w:szCs w:val="24"/>
          <w:lang w:eastAsia="zh-CN"/>
        </w:rPr>
        <w:t>-</w:t>
      </w:r>
      <w:r w:rsidR="00976757">
        <w:rPr>
          <w:rFonts w:ascii="华文楷体" w:hAnsi="华文楷体"/>
          <w:sz w:val="24"/>
          <w:szCs w:val="24"/>
          <w:lang w:eastAsia="zh-CN"/>
        </w:rPr>
        <w:t>2.4</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5437B0">
        <w:rPr>
          <w:rFonts w:ascii="华文楷体" w:hAnsi="华文楷体" w:hint="eastAsia"/>
          <w:sz w:val="24"/>
          <w:szCs w:val="24"/>
          <w:lang w:eastAsia="zh-CN"/>
        </w:rPr>
        <w:t>-</w:t>
      </w:r>
      <w:r w:rsidR="00976757">
        <w:rPr>
          <w:rFonts w:ascii="华文楷体" w:hAnsi="华文楷体"/>
          <w:sz w:val="24"/>
          <w:szCs w:val="24"/>
          <w:lang w:eastAsia="zh-CN"/>
        </w:rPr>
        <w:t>2.5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w:t>
      </w:r>
      <w:r w:rsidR="009722FD">
        <w:rPr>
          <w:rFonts w:ascii="华文楷体" w:hAnsi="华文楷体" w:hint="eastAsia"/>
          <w:sz w:val="24"/>
          <w:szCs w:val="24"/>
          <w:lang w:eastAsia="zh-CN"/>
        </w:rPr>
        <w:t>略</w:t>
      </w:r>
      <w:r w:rsidR="005F070C">
        <w:rPr>
          <w:rFonts w:ascii="华文楷体" w:hAnsi="华文楷体" w:hint="eastAsia"/>
          <w:sz w:val="24"/>
          <w:szCs w:val="24"/>
          <w:lang w:eastAsia="zh-CN"/>
        </w:rPr>
        <w:t>涨</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976757">
        <w:rPr>
          <w:rFonts w:ascii="华文楷体" w:hAnsi="华文楷体" w:hint="eastAsia"/>
          <w:sz w:val="24"/>
          <w:szCs w:val="24"/>
          <w:lang w:eastAsia="zh-CN"/>
        </w:rPr>
        <w:t>微</w:t>
      </w:r>
      <w:proofErr w:type="gramEnd"/>
      <w:r w:rsidR="00976757">
        <w:rPr>
          <w:rFonts w:ascii="华文楷体" w:hAnsi="华文楷体" w:hint="eastAsia"/>
          <w:sz w:val="24"/>
          <w:szCs w:val="24"/>
          <w:lang w:eastAsia="zh-CN"/>
        </w:rPr>
        <w:t>涨0</w:t>
      </w:r>
      <w:r w:rsidR="00976757">
        <w:rPr>
          <w:rFonts w:ascii="华文楷体" w:hAnsi="华文楷体"/>
          <w:sz w:val="24"/>
          <w:szCs w:val="24"/>
          <w:lang w:eastAsia="zh-CN"/>
        </w:rPr>
        <w:t>.3</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76757">
        <w:tblPrEx>
          <w:tblCellMar>
            <w:left w:w="108" w:type="dxa"/>
            <w:right w:w="108" w:type="dxa"/>
          </w:tblCellMar>
        </w:tblPrEx>
        <w:trPr>
          <w:trHeight w:val="2921"/>
          <w:jc w:val="center"/>
        </w:trPr>
        <w:tc>
          <w:tcPr>
            <w:tcW w:w="4939" w:type="dxa"/>
            <w:vAlign w:val="center"/>
          </w:tcPr>
          <w:p w14:paraId="5C83721A" w14:textId="349226AB" w:rsidR="00E0626C" w:rsidRPr="00345C30" w:rsidRDefault="00976757" w:rsidP="00345C30">
            <w:pPr>
              <w:widowControl/>
              <w:jc w:val="left"/>
              <w:rPr>
                <w:rFonts w:ascii="宋体" w:hAnsi="宋体" w:cs="宋体"/>
                <w:kern w:val="0"/>
                <w:sz w:val="24"/>
                <w:szCs w:val="24"/>
              </w:rPr>
            </w:pPr>
            <w:r w:rsidRPr="00976757">
              <w:rPr>
                <w:rFonts w:ascii="宋体" w:hAnsi="宋体" w:cs="宋体"/>
                <w:noProof/>
                <w:kern w:val="0"/>
                <w:sz w:val="24"/>
                <w:szCs w:val="24"/>
              </w:rPr>
              <w:drawing>
                <wp:inline distT="0" distB="0" distL="0" distR="0" wp14:anchorId="6D64B34A" wp14:editId="775B2853">
                  <wp:extent cx="3123445" cy="1907540"/>
                  <wp:effectExtent l="0" t="0" r="127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3440" cy="1913644"/>
                          </a:xfrm>
                          <a:prstGeom prst="rect">
                            <a:avLst/>
                          </a:prstGeom>
                          <a:noFill/>
                          <a:ln>
                            <a:noFill/>
                          </a:ln>
                        </pic:spPr>
                      </pic:pic>
                    </a:graphicData>
                  </a:graphic>
                </wp:inline>
              </w:drawing>
            </w:r>
          </w:p>
        </w:tc>
        <w:tc>
          <w:tcPr>
            <w:tcW w:w="4938" w:type="dxa"/>
            <w:vAlign w:val="center"/>
          </w:tcPr>
          <w:p w14:paraId="39BD4383" w14:textId="287ECEE7" w:rsidR="00E0626C" w:rsidRPr="007E0340" w:rsidRDefault="00976757" w:rsidP="009A2BA0">
            <w:pPr>
              <w:jc w:val="center"/>
              <w:rPr>
                <w:noProof/>
                <w:szCs w:val="18"/>
              </w:rPr>
            </w:pPr>
            <w:r>
              <w:rPr>
                <w:noProof/>
              </w:rPr>
              <w:drawing>
                <wp:inline distT="0" distB="0" distL="0" distR="0" wp14:anchorId="23D44046" wp14:editId="3E03E14E">
                  <wp:extent cx="2998470" cy="1935285"/>
                  <wp:effectExtent l="0" t="0" r="0" b="8255"/>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7B9F1650"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296F7D" w:rsidRPr="00296F7D">
        <w:rPr>
          <w:rFonts w:ascii="华文楷体" w:hAnsi="华文楷体" w:hint="eastAsia"/>
          <w:sz w:val="24"/>
          <w:szCs w:val="24"/>
          <w:lang w:eastAsia="zh-CN"/>
        </w:rPr>
        <w:t>高炉开工率持续上升，汽车轮胎开工率走低。钢厂生产方面，唐山高炉开工率继上周持续上升，环比上升1.59个百分点，产能利用率上升0.70个百分点，全国高炉开工率也上升0.42个百分点。</w:t>
      </w:r>
      <w:r w:rsidR="003B19EF" w:rsidRPr="003B19EF">
        <w:rPr>
          <w:rFonts w:ascii="华文楷体" w:hAnsi="华文楷体" w:hint="eastAsia"/>
          <w:sz w:val="24"/>
          <w:szCs w:val="24"/>
          <w:lang w:eastAsia="zh-CN"/>
        </w:rPr>
        <w:t>多数行业开工率边际走弱，部分中游行业4月开工率较3月有所回升，上游和下游开工率普遍下降。螺纹钢社会库存处于历史较高水平，粗钢产量两年平均增速较3月下行。水泥、玻璃价格明显强于历年同期。</w:t>
      </w:r>
    </w:p>
    <w:p w14:paraId="21425444" w14:textId="23ABD39A"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296F7D" w:rsidRPr="00296F7D">
        <w:rPr>
          <w:rFonts w:ascii="华文楷体" w:hAnsi="华文楷体" w:hint="eastAsia"/>
          <w:sz w:val="24"/>
          <w:szCs w:val="24"/>
          <w:lang w:eastAsia="zh-CN"/>
        </w:rPr>
        <w:t>30大中城市成交</w:t>
      </w:r>
      <w:proofErr w:type="gramStart"/>
      <w:r w:rsidR="00296F7D" w:rsidRPr="00296F7D">
        <w:rPr>
          <w:rFonts w:ascii="华文楷体" w:hAnsi="华文楷体" w:hint="eastAsia"/>
          <w:sz w:val="24"/>
          <w:szCs w:val="24"/>
          <w:lang w:eastAsia="zh-CN"/>
        </w:rPr>
        <w:t>面积环</w:t>
      </w:r>
      <w:proofErr w:type="gramEnd"/>
      <w:r w:rsidR="00296F7D" w:rsidRPr="00296F7D">
        <w:rPr>
          <w:rFonts w:ascii="华文楷体" w:hAnsi="华文楷体" w:hint="eastAsia"/>
          <w:sz w:val="24"/>
          <w:szCs w:val="24"/>
          <w:lang w:eastAsia="zh-CN"/>
        </w:rPr>
        <w:t>比升高4.52%，其中</w:t>
      </w:r>
      <w:proofErr w:type="gramStart"/>
      <w:r w:rsidR="00296F7D" w:rsidRPr="00296F7D">
        <w:rPr>
          <w:rFonts w:ascii="华文楷体" w:hAnsi="华文楷体" w:hint="eastAsia"/>
          <w:sz w:val="24"/>
          <w:szCs w:val="24"/>
          <w:lang w:eastAsia="zh-CN"/>
        </w:rPr>
        <w:t>一</w:t>
      </w:r>
      <w:proofErr w:type="gramEnd"/>
      <w:r w:rsidR="00296F7D" w:rsidRPr="00296F7D">
        <w:rPr>
          <w:rFonts w:ascii="华文楷体" w:hAnsi="华文楷体" w:hint="eastAsia"/>
          <w:sz w:val="24"/>
          <w:szCs w:val="24"/>
          <w:lang w:eastAsia="zh-CN"/>
        </w:rPr>
        <w:t>二线城市分别上升13.78%和6.74%，三线城市下降7.24%，表现分化；100大中城市成交土地面积回落，降幅达47.78%，一线</w:t>
      </w:r>
      <w:proofErr w:type="gramStart"/>
      <w:r w:rsidR="00296F7D" w:rsidRPr="00296F7D">
        <w:rPr>
          <w:rFonts w:ascii="华文楷体" w:hAnsi="华文楷体" w:hint="eastAsia"/>
          <w:sz w:val="24"/>
          <w:szCs w:val="24"/>
          <w:lang w:eastAsia="zh-CN"/>
        </w:rPr>
        <w:t>城市环</w:t>
      </w:r>
      <w:proofErr w:type="gramEnd"/>
      <w:r w:rsidR="00296F7D" w:rsidRPr="00296F7D">
        <w:rPr>
          <w:rFonts w:ascii="华文楷体" w:hAnsi="华文楷体" w:hint="eastAsia"/>
          <w:sz w:val="24"/>
          <w:szCs w:val="24"/>
          <w:lang w:eastAsia="zh-CN"/>
        </w:rPr>
        <w:t>比上升139.96%，二三线城市分别下降64.48%和32.35%。</w:t>
      </w:r>
      <w:r w:rsidR="003B19EF" w:rsidRPr="003B19EF">
        <w:rPr>
          <w:rFonts w:ascii="华文楷体" w:hAnsi="华文楷体" w:hint="eastAsia"/>
          <w:sz w:val="24"/>
          <w:szCs w:val="24"/>
          <w:lang w:eastAsia="zh-CN"/>
        </w:rPr>
        <w:t>4月30大中城市商品房销售面积当月同比（两年平均）降至6.1%，较前值下滑2.8个百分点，但仍然处于较高水平</w:t>
      </w:r>
      <w:r w:rsidR="003B19EF">
        <w:rPr>
          <w:rFonts w:ascii="华文楷体" w:hAnsi="华文楷体" w:hint="eastAsia"/>
          <w:sz w:val="24"/>
          <w:szCs w:val="24"/>
          <w:lang w:eastAsia="zh-CN"/>
        </w:rPr>
        <w:t>。</w:t>
      </w:r>
    </w:p>
    <w:p w14:paraId="77CCCEDF" w14:textId="529CA53A"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96F7D" w:rsidRPr="00296F7D">
        <w:rPr>
          <w:rFonts w:ascii="华文楷体" w:hAnsi="华文楷体" w:hint="eastAsia"/>
          <w:bCs/>
          <w:sz w:val="24"/>
          <w:szCs w:val="24"/>
          <w:lang w:eastAsia="zh-CN"/>
        </w:rPr>
        <w:t>出口指数持续上行，CCFI综合</w:t>
      </w:r>
      <w:proofErr w:type="gramStart"/>
      <w:r w:rsidR="00296F7D" w:rsidRPr="00296F7D">
        <w:rPr>
          <w:rFonts w:ascii="华文楷体" w:hAnsi="华文楷体" w:hint="eastAsia"/>
          <w:bCs/>
          <w:sz w:val="24"/>
          <w:szCs w:val="24"/>
          <w:lang w:eastAsia="zh-CN"/>
        </w:rPr>
        <w:t>指数环</w:t>
      </w:r>
      <w:proofErr w:type="gramEnd"/>
      <w:r w:rsidR="00296F7D" w:rsidRPr="00296F7D">
        <w:rPr>
          <w:rFonts w:ascii="华文楷体" w:hAnsi="华文楷体" w:hint="eastAsia"/>
          <w:bCs/>
          <w:sz w:val="24"/>
          <w:szCs w:val="24"/>
          <w:lang w:eastAsia="zh-CN"/>
        </w:rPr>
        <w:t>比上升4.61%，SCFI综合</w:t>
      </w:r>
      <w:proofErr w:type="gramStart"/>
      <w:r w:rsidR="00296F7D" w:rsidRPr="00296F7D">
        <w:rPr>
          <w:rFonts w:ascii="华文楷体" w:hAnsi="华文楷体" w:hint="eastAsia"/>
          <w:bCs/>
          <w:sz w:val="24"/>
          <w:szCs w:val="24"/>
          <w:lang w:eastAsia="zh-CN"/>
        </w:rPr>
        <w:t>指数环</w:t>
      </w:r>
      <w:proofErr w:type="gramEnd"/>
      <w:r w:rsidR="00296F7D" w:rsidRPr="00296F7D">
        <w:rPr>
          <w:rFonts w:ascii="华文楷体" w:hAnsi="华文楷体" w:hint="eastAsia"/>
          <w:bCs/>
          <w:sz w:val="24"/>
          <w:szCs w:val="24"/>
          <w:lang w:eastAsia="zh-CN"/>
        </w:rPr>
        <w:t>比上升4.06%；进口指数继续回暖，BDI指数上升9.35个百分点，CDFI</w:t>
      </w:r>
      <w:proofErr w:type="gramStart"/>
      <w:r w:rsidR="00296F7D" w:rsidRPr="00296F7D">
        <w:rPr>
          <w:rFonts w:ascii="华文楷体" w:hAnsi="华文楷体" w:hint="eastAsia"/>
          <w:bCs/>
          <w:sz w:val="24"/>
          <w:szCs w:val="24"/>
          <w:lang w:eastAsia="zh-CN"/>
        </w:rPr>
        <w:t>指数环</w:t>
      </w:r>
      <w:proofErr w:type="gramEnd"/>
      <w:r w:rsidR="00296F7D" w:rsidRPr="00296F7D">
        <w:rPr>
          <w:rFonts w:ascii="华文楷体" w:hAnsi="华文楷体" w:hint="eastAsia"/>
          <w:bCs/>
          <w:sz w:val="24"/>
          <w:szCs w:val="24"/>
          <w:lang w:eastAsia="zh-CN"/>
        </w:rPr>
        <w:t>比上升5.75个百分点。</w:t>
      </w:r>
      <w:r w:rsidR="003B19EF" w:rsidRPr="003B19EF">
        <w:rPr>
          <w:rFonts w:ascii="华文楷体" w:hAnsi="华文楷体" w:hint="eastAsia"/>
          <w:bCs/>
          <w:sz w:val="24"/>
          <w:szCs w:val="24"/>
          <w:lang w:eastAsia="zh-CN"/>
        </w:rPr>
        <w:t>4月主要发达国家PMI均在回升，欧元区和日本PMI较3</w:t>
      </w:r>
      <w:proofErr w:type="gramStart"/>
      <w:r w:rsidR="003B19EF" w:rsidRPr="003B19EF">
        <w:rPr>
          <w:rFonts w:ascii="华文楷体" w:hAnsi="华文楷体" w:hint="eastAsia"/>
          <w:bCs/>
          <w:sz w:val="24"/>
          <w:szCs w:val="24"/>
          <w:lang w:eastAsia="zh-CN"/>
        </w:rPr>
        <w:t>月分</w:t>
      </w:r>
      <w:proofErr w:type="gramEnd"/>
      <w:r w:rsidR="003B19EF" w:rsidRPr="003B19EF">
        <w:rPr>
          <w:rFonts w:ascii="华文楷体" w:hAnsi="华文楷体" w:hint="eastAsia"/>
          <w:bCs/>
          <w:sz w:val="24"/>
          <w:szCs w:val="24"/>
          <w:lang w:eastAsia="zh-CN"/>
        </w:rPr>
        <w:t>别回升了0.8和0.9个百分点，美国</w:t>
      </w:r>
      <w:proofErr w:type="spellStart"/>
      <w:r w:rsidR="003B19EF" w:rsidRPr="003B19EF">
        <w:rPr>
          <w:rFonts w:ascii="华文楷体" w:hAnsi="华文楷体" w:hint="eastAsia"/>
          <w:bCs/>
          <w:sz w:val="24"/>
          <w:szCs w:val="24"/>
          <w:lang w:eastAsia="zh-CN"/>
        </w:rPr>
        <w:t>MarkitPMI</w:t>
      </w:r>
      <w:proofErr w:type="spellEnd"/>
      <w:r w:rsidR="003B19EF" w:rsidRPr="003B19EF">
        <w:rPr>
          <w:rFonts w:ascii="华文楷体" w:hAnsi="华文楷体" w:hint="eastAsia"/>
          <w:bCs/>
          <w:sz w:val="24"/>
          <w:szCs w:val="24"/>
          <w:lang w:eastAsia="zh-CN"/>
        </w:rPr>
        <w:t>较3月回升了1.5个百分点。</w:t>
      </w:r>
    </w:p>
    <w:p w14:paraId="0542DAC4" w14:textId="626F158C"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CC7FEE">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周猪肉、蔬菜价格继续下跌，猪肉下跌2.79%，月初至今环比下跌14.61%</w:t>
      </w:r>
      <w:r w:rsidR="00CC7FEE">
        <w:rPr>
          <w:rFonts w:ascii="华文楷体" w:hAnsi="华文楷体" w:hint="eastAsia"/>
          <w:bCs/>
          <w:sz w:val="24"/>
          <w:szCs w:val="24"/>
          <w:lang w:eastAsia="zh-CN"/>
        </w:rPr>
        <w:t>，降幅低于历史季节</w:t>
      </w:r>
      <w:r w:rsidR="003B19EF">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鸡蛋和水果价格环比上涨。工业品价格方面，LME铜、LME铝价格，CRB现货指数均上涨。南华工业品指数上升2.60%。原材料价格全面上涨，铜价环比上涨3.77%，铝价格环比上涨3.40%，螺纹钢上升2.34%，水泥价格和玻璃综合指数分别上升1.88%和0.74%。</w:t>
      </w:r>
    </w:p>
    <w:p w14:paraId="3425BC76" w14:textId="72BEE467"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095AFC" w:rsidRPr="00095AFC">
        <w:rPr>
          <w:rFonts w:ascii="华文楷体" w:hAnsi="华文楷体" w:hint="eastAsia"/>
          <w:bCs/>
          <w:sz w:val="24"/>
          <w:szCs w:val="24"/>
          <w:lang w:eastAsia="zh-CN"/>
        </w:rPr>
        <w:t>乘联会最新数据显示，</w:t>
      </w:r>
      <w:r w:rsidR="00CC7FEE">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周乘用车销售继续走高，日均批发和零售量分别上升30.41%和32.45%。</w:t>
      </w:r>
    </w:p>
    <w:p w14:paraId="6C0621FD" w14:textId="4EA98233"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石油需求预期改善，</w:t>
      </w:r>
      <w:proofErr w:type="gramStart"/>
      <w:r w:rsidR="003B19EF" w:rsidRPr="003B19EF">
        <w:rPr>
          <w:rFonts w:ascii="华文楷体" w:hAnsi="华文楷体" w:hint="eastAsia"/>
          <w:bCs/>
          <w:sz w:val="24"/>
          <w:szCs w:val="24"/>
          <w:lang w:eastAsia="zh-CN"/>
        </w:rPr>
        <w:t>布油和</w:t>
      </w:r>
      <w:proofErr w:type="gramEnd"/>
      <w:r w:rsidR="003B19EF" w:rsidRPr="003B19EF">
        <w:rPr>
          <w:rFonts w:ascii="华文楷体" w:hAnsi="华文楷体" w:hint="eastAsia"/>
          <w:bCs/>
          <w:sz w:val="24"/>
          <w:szCs w:val="24"/>
          <w:lang w:eastAsia="zh-CN"/>
        </w:rPr>
        <w:t>WTI原油价格回升，</w:t>
      </w:r>
      <w:r w:rsidR="00CC7FEE">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周分别上涨4.83%和5.83%。人民币小幅升值，实际有效</w:t>
      </w:r>
      <w:proofErr w:type="gramStart"/>
      <w:r w:rsidR="003B19EF" w:rsidRPr="003B19EF">
        <w:rPr>
          <w:rFonts w:ascii="华文楷体" w:hAnsi="华文楷体" w:hint="eastAsia"/>
          <w:bCs/>
          <w:sz w:val="24"/>
          <w:szCs w:val="24"/>
          <w:lang w:eastAsia="zh-CN"/>
        </w:rPr>
        <w:t>汇率环</w:t>
      </w:r>
      <w:proofErr w:type="gramEnd"/>
      <w:r w:rsidR="003B19EF" w:rsidRPr="003B19EF">
        <w:rPr>
          <w:rFonts w:ascii="华文楷体" w:hAnsi="华文楷体" w:hint="eastAsia"/>
          <w:bCs/>
          <w:sz w:val="24"/>
          <w:szCs w:val="24"/>
          <w:lang w:eastAsia="zh-CN"/>
        </w:rPr>
        <w:t>比上升0.24%，美元兑人民币汇率小幅下降至6.47。</w:t>
      </w:r>
    </w:p>
    <w:p w14:paraId="35D3E229" w14:textId="7D1DD81B" w:rsidR="00DA6262" w:rsidRDefault="00CC7FEE"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296F7D" w:rsidRPr="00296F7D">
        <w:rPr>
          <w:rFonts w:ascii="华文楷体" w:hAnsi="华文楷体" w:hint="eastAsia"/>
          <w:bCs/>
          <w:sz w:val="24"/>
          <w:szCs w:val="24"/>
          <w:lang w:eastAsia="zh-CN"/>
        </w:rPr>
        <w:t>4月</w:t>
      </w:r>
      <w:r w:rsidR="00E10677">
        <w:rPr>
          <w:rFonts w:ascii="华文楷体" w:hAnsi="华文楷体" w:hint="eastAsia"/>
          <w:bCs/>
          <w:sz w:val="24"/>
          <w:szCs w:val="24"/>
          <w:lang w:eastAsia="zh-CN"/>
        </w:rPr>
        <w:t>金融</w:t>
      </w:r>
      <w:r w:rsidR="00296F7D" w:rsidRPr="00296F7D">
        <w:rPr>
          <w:rFonts w:ascii="华文楷体" w:hAnsi="华文楷体" w:hint="eastAsia"/>
          <w:bCs/>
          <w:sz w:val="24"/>
          <w:szCs w:val="24"/>
          <w:lang w:eastAsia="zh-CN"/>
        </w:rPr>
        <w:t>数据、4月</w:t>
      </w:r>
      <w:r w:rsidR="00E10677">
        <w:rPr>
          <w:rFonts w:ascii="华文楷体" w:hAnsi="华文楷体" w:hint="eastAsia"/>
          <w:bCs/>
          <w:sz w:val="24"/>
          <w:szCs w:val="24"/>
          <w:lang w:eastAsia="zh-CN"/>
        </w:rPr>
        <w:t>通胀数据、央行一季度货币政策执行报告</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0909D96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CC7FEE">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57F4B465"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5437B0" w:rsidRPr="005437B0">
        <w:rPr>
          <w:rFonts w:ascii="华文楷体" w:hAnsi="华文楷体" w:hint="eastAsia"/>
          <w:sz w:val="24"/>
          <w:szCs w:val="24"/>
          <w:lang w:eastAsia="zh-CN"/>
        </w:rPr>
        <w:t>从近期数据来看，基本</w:t>
      </w:r>
      <w:proofErr w:type="gramStart"/>
      <w:r w:rsidR="005437B0" w:rsidRPr="005437B0">
        <w:rPr>
          <w:rFonts w:ascii="华文楷体" w:hAnsi="华文楷体" w:hint="eastAsia"/>
          <w:sz w:val="24"/>
          <w:szCs w:val="24"/>
          <w:lang w:eastAsia="zh-CN"/>
        </w:rPr>
        <w:t>面整体</w:t>
      </w:r>
      <w:proofErr w:type="gramEnd"/>
      <w:r w:rsidR="005437B0" w:rsidRPr="005437B0">
        <w:rPr>
          <w:rFonts w:ascii="华文楷体" w:hAnsi="华文楷体" w:hint="eastAsia"/>
          <w:sz w:val="24"/>
          <w:szCs w:val="24"/>
          <w:lang w:eastAsia="zh-CN"/>
        </w:rPr>
        <w:t>平稳，宏观经济和货币财政政策保持“稳字当头、调整结构”主基调，对应利率债市场维持区间震荡态势，近期中长端国债收益率继续以窄幅波动为主，直至经济态势从当前“窗口期”演进至新的阶段。五一假期期间，影响全球资产价格表现的主要是海外因素：东南亚疫情扩散、拉美地区出现病毒变异，新兴国家疫苗短缺，疫情管控封锁趋严；</w:t>
      </w:r>
      <w:proofErr w:type="gramStart"/>
      <w:r w:rsidR="005437B0" w:rsidRPr="005437B0">
        <w:rPr>
          <w:rFonts w:ascii="华文楷体" w:hAnsi="华文楷体" w:hint="eastAsia"/>
          <w:sz w:val="24"/>
          <w:szCs w:val="24"/>
          <w:lang w:eastAsia="zh-CN"/>
        </w:rPr>
        <w:t>拜登新</w:t>
      </w:r>
      <w:proofErr w:type="gramEnd"/>
      <w:r w:rsidR="005437B0" w:rsidRPr="005437B0">
        <w:rPr>
          <w:rFonts w:ascii="华文楷体" w:hAnsi="华文楷体" w:hint="eastAsia"/>
          <w:sz w:val="24"/>
          <w:szCs w:val="24"/>
          <w:lang w:eastAsia="zh-CN"/>
        </w:rPr>
        <w:t>一轮财政方案出台，美国4月PMI与Q1GDP数据低于预期，美国</w:t>
      </w:r>
      <w:proofErr w:type="gramStart"/>
      <w:r w:rsidR="005437B0" w:rsidRPr="005437B0">
        <w:rPr>
          <w:rFonts w:ascii="华文楷体" w:hAnsi="华文楷体" w:hint="eastAsia"/>
          <w:sz w:val="24"/>
          <w:szCs w:val="24"/>
          <w:lang w:eastAsia="zh-CN"/>
        </w:rPr>
        <w:t>财长耶伦向</w:t>
      </w:r>
      <w:proofErr w:type="gramEnd"/>
      <w:r w:rsidR="005437B0" w:rsidRPr="005437B0">
        <w:rPr>
          <w:rFonts w:ascii="华文楷体" w:hAnsi="华文楷体" w:hint="eastAsia"/>
          <w:sz w:val="24"/>
          <w:szCs w:val="24"/>
          <w:lang w:eastAsia="zh-CN"/>
        </w:rPr>
        <w:t>外界传达加息预期，股市避险情绪浓厚。海外方面，全球大宗商品价格继续上涨，ICE布油站上69美元/桶，LME</w:t>
      </w:r>
      <w:proofErr w:type="gramStart"/>
      <w:r w:rsidR="005437B0" w:rsidRPr="005437B0">
        <w:rPr>
          <w:rFonts w:ascii="华文楷体" w:hAnsi="华文楷体" w:hint="eastAsia"/>
          <w:sz w:val="24"/>
          <w:szCs w:val="24"/>
          <w:lang w:eastAsia="zh-CN"/>
        </w:rPr>
        <w:t>铜突破</w:t>
      </w:r>
      <w:proofErr w:type="gramEnd"/>
      <w:r w:rsidR="005437B0" w:rsidRPr="005437B0">
        <w:rPr>
          <w:rFonts w:ascii="华文楷体" w:hAnsi="华文楷体" w:hint="eastAsia"/>
          <w:sz w:val="24"/>
          <w:szCs w:val="24"/>
          <w:lang w:eastAsia="zh-CN"/>
        </w:rPr>
        <w:t>10000美元大关，刷新历史记录，避险情绪升温带动黄金价格上扬。节后归来，关注小长假对消费等行业刺激拉动作用，二季度数据是否能继续延续改善态势。</w:t>
      </w:r>
    </w:p>
    <w:p w14:paraId="2C3F4BD1" w14:textId="26763E6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9D1B63">
        <w:rPr>
          <w:rFonts w:ascii="华文楷体" w:hAnsi="华文楷体" w:hint="eastAsia"/>
          <w:sz w:val="24"/>
          <w:szCs w:val="24"/>
          <w:lang w:eastAsia="zh-CN"/>
        </w:rPr>
        <w:t>信用分层</w:t>
      </w:r>
      <w:r w:rsidR="005C1B69">
        <w:rPr>
          <w:rFonts w:ascii="华文楷体" w:hAnsi="华文楷体" w:hint="eastAsia"/>
          <w:sz w:val="24"/>
          <w:szCs w:val="24"/>
          <w:lang w:eastAsia="zh-CN"/>
        </w:rPr>
        <w:t>情况</w:t>
      </w:r>
      <w:r w:rsidR="009D1B63">
        <w:rPr>
          <w:rFonts w:ascii="华文楷体" w:hAnsi="华文楷体" w:hint="eastAsia"/>
          <w:sz w:val="24"/>
          <w:szCs w:val="24"/>
          <w:lang w:eastAsia="zh-CN"/>
        </w:rPr>
        <w:t>仍基本延续</w:t>
      </w:r>
      <w:r w:rsidR="00891D23">
        <w:rPr>
          <w:rFonts w:ascii="华文楷体" w:hAnsi="华文楷体" w:hint="eastAsia"/>
          <w:sz w:val="24"/>
          <w:szCs w:val="24"/>
          <w:lang w:eastAsia="zh-CN"/>
        </w:rPr>
        <w:t>，城</w:t>
      </w:r>
      <w:proofErr w:type="gramStart"/>
      <w:r w:rsidR="00891D23">
        <w:rPr>
          <w:rFonts w:ascii="华文楷体" w:hAnsi="华文楷体" w:hint="eastAsia"/>
          <w:sz w:val="24"/>
          <w:szCs w:val="24"/>
          <w:lang w:eastAsia="zh-CN"/>
        </w:rPr>
        <w:t>投债近期</w:t>
      </w:r>
      <w:proofErr w:type="gramEnd"/>
      <w:r w:rsidR="00891D23">
        <w:rPr>
          <w:rFonts w:ascii="华文楷体" w:hAnsi="华文楷体" w:hint="eastAsia"/>
          <w:sz w:val="24"/>
          <w:szCs w:val="24"/>
          <w:lang w:eastAsia="zh-CN"/>
        </w:rPr>
        <w:t>表现</w:t>
      </w:r>
      <w:r w:rsidR="009D1B63">
        <w:rPr>
          <w:rFonts w:ascii="华文楷体" w:hAnsi="华文楷体" w:hint="eastAsia"/>
          <w:sz w:val="24"/>
          <w:szCs w:val="24"/>
          <w:lang w:eastAsia="zh-CN"/>
        </w:rPr>
        <w:t>稍</w:t>
      </w:r>
      <w:r w:rsidR="00891D23">
        <w:rPr>
          <w:rFonts w:ascii="华文楷体" w:hAnsi="华文楷体" w:hint="eastAsia"/>
          <w:sz w:val="24"/>
          <w:szCs w:val="24"/>
          <w:lang w:eastAsia="zh-CN"/>
        </w:rPr>
        <w:t>好</w:t>
      </w:r>
      <w:r w:rsidR="009D1B63">
        <w:rPr>
          <w:rFonts w:ascii="华文楷体" w:hAnsi="华文楷体" w:hint="eastAsia"/>
          <w:sz w:val="24"/>
          <w:szCs w:val="24"/>
          <w:lang w:eastAsia="zh-CN"/>
        </w:rPr>
        <w:t>，</w:t>
      </w:r>
      <w:r w:rsidR="005437B0">
        <w:rPr>
          <w:rFonts w:ascii="华文楷体" w:hAnsi="华文楷体" w:hint="eastAsia"/>
          <w:sz w:val="24"/>
          <w:szCs w:val="24"/>
          <w:lang w:eastAsia="zh-CN"/>
        </w:rPr>
        <w:t>分位数仍维持相对低位</w:t>
      </w:r>
      <w:r w:rsidR="009D1B63">
        <w:rPr>
          <w:rFonts w:ascii="华文楷体" w:hAnsi="华文楷体" w:hint="eastAsia"/>
          <w:sz w:val="24"/>
          <w:szCs w:val="24"/>
          <w:lang w:eastAsia="zh-CN"/>
        </w:rPr>
        <w:t>，机构控杠杆前提下会开始寻找票息保护，与此同时</w:t>
      </w:r>
      <w:proofErr w:type="gramStart"/>
      <w:r w:rsidR="009D1B63">
        <w:rPr>
          <w:rFonts w:ascii="华文楷体" w:hAnsi="华文楷体" w:hint="eastAsia"/>
          <w:sz w:val="24"/>
          <w:szCs w:val="24"/>
          <w:lang w:eastAsia="zh-CN"/>
        </w:rPr>
        <w:t>个券</w:t>
      </w:r>
      <w:proofErr w:type="gramEnd"/>
      <w:r w:rsidR="009D1B63">
        <w:rPr>
          <w:rFonts w:ascii="华文楷体" w:hAnsi="华文楷体" w:hint="eastAsia"/>
          <w:sz w:val="24"/>
          <w:szCs w:val="24"/>
          <w:lang w:eastAsia="zh-CN"/>
        </w:rPr>
        <w:t>的风险排查仍在持续</w:t>
      </w:r>
      <w:r w:rsidR="005437B0">
        <w:rPr>
          <w:rFonts w:ascii="华文楷体" w:hAnsi="华文楷体" w:hint="eastAsia"/>
          <w:sz w:val="24"/>
          <w:szCs w:val="24"/>
          <w:lang w:eastAsia="zh-CN"/>
        </w:rPr>
        <w:t>，成交活跃度上边际上略有加强。</w:t>
      </w:r>
    </w:p>
    <w:p w14:paraId="4C893BAE" w14:textId="53B24CA2"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5437B0" w:rsidRPr="005437B0">
        <w:rPr>
          <w:rFonts w:ascii="华文楷体" w:hAnsi="华文楷体" w:hint="eastAsia"/>
          <w:sz w:val="24"/>
          <w:szCs w:val="24"/>
          <w:lang w:eastAsia="zh-CN"/>
        </w:rPr>
        <w:t>节前</w:t>
      </w:r>
      <w:r w:rsidR="000E19CA">
        <w:rPr>
          <w:rFonts w:ascii="华文楷体" w:hAnsi="华文楷体" w:hint="eastAsia"/>
          <w:sz w:val="24"/>
          <w:szCs w:val="24"/>
          <w:lang w:eastAsia="zh-CN"/>
        </w:rPr>
        <w:t>估值</w:t>
      </w:r>
      <w:r w:rsidR="005437B0" w:rsidRPr="005437B0">
        <w:rPr>
          <w:rFonts w:ascii="华文楷体" w:hAnsi="华文楷体" w:hint="eastAsia"/>
          <w:sz w:val="24"/>
          <w:szCs w:val="24"/>
          <w:lang w:eastAsia="zh-CN"/>
        </w:rPr>
        <w:t>呈现一定分化，化工、医药板块表现相对亮眼。伴随业绩披露，前期业绩向好但估值过高的正股或出现回调，转债市场上关注高估值</w:t>
      </w:r>
      <w:proofErr w:type="gramStart"/>
      <w:r w:rsidR="005437B0" w:rsidRPr="005437B0">
        <w:rPr>
          <w:rFonts w:ascii="华文楷体" w:hAnsi="华文楷体" w:hint="eastAsia"/>
          <w:sz w:val="24"/>
          <w:szCs w:val="24"/>
          <w:lang w:eastAsia="zh-CN"/>
        </w:rPr>
        <w:t>券</w:t>
      </w:r>
      <w:proofErr w:type="gramEnd"/>
      <w:r w:rsidR="005437B0" w:rsidRPr="005437B0">
        <w:rPr>
          <w:rFonts w:ascii="华文楷体" w:hAnsi="华文楷体" w:hint="eastAsia"/>
          <w:sz w:val="24"/>
          <w:szCs w:val="24"/>
          <w:lang w:eastAsia="zh-CN"/>
        </w:rPr>
        <w:t>的回调压力。</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387D9EE" w:rsidR="001D35B3" w:rsidRPr="006A5F34" w:rsidRDefault="001D35B3" w:rsidP="00DE343B">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993D03">
              <w:rPr>
                <w:rFonts w:hint="eastAsia"/>
              </w:rPr>
              <w:t>震荡上行</w:t>
            </w:r>
          </w:p>
        </w:tc>
        <w:tc>
          <w:tcPr>
            <w:tcW w:w="4938" w:type="dxa"/>
            <w:vAlign w:val="center"/>
          </w:tcPr>
          <w:p w14:paraId="02A10F26" w14:textId="7A679A1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993D03">
              <w:rPr>
                <w:rFonts w:hint="eastAsia"/>
              </w:rPr>
              <w:t>上行</w:t>
            </w:r>
            <w:r w:rsidR="006D72C8">
              <w:rPr>
                <w:rFonts w:hint="eastAsia"/>
              </w:rPr>
              <w:t>回调</w:t>
            </w:r>
          </w:p>
        </w:tc>
      </w:tr>
      <w:tr w:rsidR="001D35B3" w:rsidRPr="006A5F34" w14:paraId="205667F1" w14:textId="77777777" w:rsidTr="00CF6B1F">
        <w:tblPrEx>
          <w:tblCellMar>
            <w:left w:w="108" w:type="dxa"/>
            <w:right w:w="108" w:type="dxa"/>
          </w:tblCellMar>
        </w:tblPrEx>
        <w:trPr>
          <w:jc w:val="center"/>
        </w:trPr>
        <w:tc>
          <w:tcPr>
            <w:tcW w:w="4939" w:type="dxa"/>
            <w:vAlign w:val="center"/>
          </w:tcPr>
          <w:p w14:paraId="56C782C2" w14:textId="7C9F362C" w:rsidR="001D35B3" w:rsidRPr="007E0340" w:rsidRDefault="00E15355" w:rsidP="009A2BA0">
            <w:pPr>
              <w:jc w:val="center"/>
              <w:rPr>
                <w:noProof/>
              </w:rPr>
            </w:pPr>
            <w:r>
              <w:rPr>
                <w:noProof/>
              </w:rPr>
              <w:drawing>
                <wp:inline distT="0" distB="0" distL="0" distR="0" wp14:anchorId="02EE4241" wp14:editId="2E832E22">
                  <wp:extent cx="2999105" cy="1949746"/>
                  <wp:effectExtent l="0" t="0" r="0" b="0"/>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04B2BC42" w:rsidR="001D35B3" w:rsidRPr="007E0340" w:rsidRDefault="00CF6B1F" w:rsidP="009A2BA0">
            <w:pPr>
              <w:jc w:val="center"/>
              <w:rPr>
                <w:noProof/>
                <w:szCs w:val="18"/>
              </w:rPr>
            </w:pPr>
            <w:r>
              <w:rPr>
                <w:noProof/>
              </w:rPr>
              <w:drawing>
                <wp:inline distT="0" distB="0" distL="0" distR="0" wp14:anchorId="57ECF37C" wp14:editId="70A5511C">
                  <wp:extent cx="2998470" cy="1930513"/>
                  <wp:effectExtent l="0" t="0" r="0" b="0"/>
                  <wp:docPr id="18" name="图表 1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bookmarkStart w:id="2" w:name="_GoBack"/>
        <w:bookmarkEnd w:id="2"/>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6D3EDA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小幅下行</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CF6B1F">
        <w:tblPrEx>
          <w:tblCellMar>
            <w:left w:w="108" w:type="dxa"/>
            <w:right w:w="108" w:type="dxa"/>
          </w:tblCellMar>
        </w:tblPrEx>
        <w:trPr>
          <w:trHeight w:val="2987"/>
          <w:jc w:val="center"/>
        </w:trPr>
        <w:tc>
          <w:tcPr>
            <w:tcW w:w="4939" w:type="dxa"/>
            <w:vAlign w:val="center"/>
          </w:tcPr>
          <w:p w14:paraId="0BAC1731" w14:textId="02FA6EE2" w:rsidR="001D35B3" w:rsidRPr="007E0340" w:rsidRDefault="00CF6B1F" w:rsidP="009A2BA0">
            <w:pPr>
              <w:jc w:val="center"/>
              <w:rPr>
                <w:noProof/>
              </w:rPr>
            </w:pPr>
            <w:r>
              <w:rPr>
                <w:noProof/>
              </w:rPr>
              <w:drawing>
                <wp:inline distT="0" distB="0" distL="0" distR="0" wp14:anchorId="5C7C8E2B" wp14:editId="7584A76E">
                  <wp:extent cx="2999105" cy="1947005"/>
                  <wp:effectExtent l="0" t="0" r="10795" b="0"/>
                  <wp:docPr id="19" name="图表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70CC71C5" w:rsidR="001D35B3" w:rsidRPr="007E0340" w:rsidRDefault="00CF6B1F" w:rsidP="009A2BA0">
            <w:pPr>
              <w:jc w:val="center"/>
              <w:rPr>
                <w:noProof/>
                <w:szCs w:val="18"/>
              </w:rPr>
            </w:pPr>
            <w:r>
              <w:rPr>
                <w:noProof/>
              </w:rPr>
              <w:drawing>
                <wp:inline distT="0" distB="0" distL="0" distR="0" wp14:anchorId="6E358953" wp14:editId="054C95B7">
                  <wp:extent cx="2998470" cy="1954769"/>
                  <wp:effectExtent l="0" t="0" r="0" b="7620"/>
                  <wp:docPr id="20" name="图表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36DE518D" w14:textId="10C00EE3" w:rsidR="001170AF" w:rsidRPr="00CC7FEE" w:rsidRDefault="00CC7FEE" w:rsidP="00CC7FEE">
      <w:pPr>
        <w:widowControl/>
        <w:jc w:val="left"/>
        <w:rPr>
          <w:rFonts w:ascii="华文楷体" w:eastAsia="华文楷体" w:hAnsi="华文楷体"/>
          <w:kern w:val="0"/>
          <w:sz w:val="24"/>
          <w:szCs w:val="24"/>
        </w:rPr>
      </w:pPr>
      <w:r w:rsidRPr="00BC74C9">
        <w:rPr>
          <w:rFonts w:ascii="微软雅黑" w:eastAsia="微软雅黑" w:hAnsi="微软雅黑" w:hint="eastAsia"/>
          <w:color w:val="474747"/>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C74C9">
        <w:rPr>
          <w:rFonts w:ascii="微软雅黑" w:eastAsia="微软雅黑" w:hAnsi="微软雅黑" w:hint="eastAsia"/>
          <w:color w:val="474747"/>
          <w:szCs w:val="21"/>
          <w:shd w:val="clear" w:color="auto" w:fill="FFFFFF"/>
        </w:rPr>
        <w:t>作出</w:t>
      </w:r>
      <w:proofErr w:type="gramEnd"/>
      <w:r w:rsidRPr="00BC74C9">
        <w:rPr>
          <w:rFonts w:ascii="微软雅黑" w:eastAsia="微软雅黑" w:hAnsi="微软雅黑" w:hint="eastAsia"/>
          <w:color w:val="474747"/>
          <w:szCs w:val="21"/>
          <w:shd w:val="clear" w:color="auto" w:fill="FFFFFF"/>
        </w:rPr>
        <w:t>调整。2、本报告中的资料、观点和预测等仅供参考，在任何时候均不构成对任何人的个人推荐。市场有风险，投资需谨慎。</w:t>
      </w:r>
    </w:p>
    <w:sectPr w:rsidR="001170AF" w:rsidRPr="00CC7FEE"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4F7BDE" w14:textId="77777777" w:rsidR="00706548" w:rsidRDefault="00706548">
      <w:r>
        <w:separator/>
      </w:r>
    </w:p>
  </w:endnote>
  <w:endnote w:type="continuationSeparator" w:id="0">
    <w:p w14:paraId="56E3CB0D" w14:textId="77777777" w:rsidR="00706548" w:rsidRDefault="00706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64149E" w:rsidRDefault="0064149E">
        <w:pPr>
          <w:pStyle w:val="a4"/>
          <w:jc w:val="right"/>
        </w:pPr>
        <w:r>
          <w:fldChar w:fldCharType="begin"/>
        </w:r>
        <w:r>
          <w:instrText>PAGE   \* MERGEFORMAT</w:instrText>
        </w:r>
        <w:r>
          <w:fldChar w:fldCharType="separate"/>
        </w:r>
        <w:r w:rsidR="000E19CA" w:rsidRPr="000E19CA">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A6CDB5" w14:textId="77777777" w:rsidR="00706548" w:rsidRDefault="00706548">
      <w:r>
        <w:separator/>
      </w:r>
    </w:p>
  </w:footnote>
  <w:footnote w:type="continuationSeparator" w:id="0">
    <w:p w14:paraId="1DC6422C" w14:textId="77777777" w:rsidR="00706548" w:rsidRDefault="007065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64149E" w:rsidRDefault="0064149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9CA"/>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732"/>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3C9"/>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926"/>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70C"/>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548"/>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17B9"/>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0A79"/>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28B4"/>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16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2FD"/>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C7FEE"/>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B48"/>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44169</c:v>
                </c:pt>
                <c:pt idx="1">
                  <c:v>44176</c:v>
                </c:pt>
                <c:pt idx="2">
                  <c:v>44183</c:v>
                </c:pt>
                <c:pt idx="3">
                  <c:v>44190</c:v>
                </c:pt>
                <c:pt idx="4">
                  <c:v>44197</c:v>
                </c:pt>
                <c:pt idx="5">
                  <c:v>44204</c:v>
                </c:pt>
                <c:pt idx="6">
                  <c:v>44211</c:v>
                </c:pt>
                <c:pt idx="7">
                  <c:v>44218</c:v>
                </c:pt>
                <c:pt idx="8">
                  <c:v>44225</c:v>
                </c:pt>
                <c:pt idx="9">
                  <c:v>44232</c:v>
                </c:pt>
                <c:pt idx="10">
                  <c:v>44239</c:v>
                </c:pt>
                <c:pt idx="11">
                  <c:v>44246</c:v>
                </c:pt>
                <c:pt idx="12">
                  <c:v>44253</c:v>
                </c:pt>
                <c:pt idx="13">
                  <c:v>44260</c:v>
                </c:pt>
                <c:pt idx="14">
                  <c:v>44267</c:v>
                </c:pt>
                <c:pt idx="15">
                  <c:v>44274</c:v>
                </c:pt>
                <c:pt idx="16">
                  <c:v>44281</c:v>
                </c:pt>
                <c:pt idx="17">
                  <c:v>44288</c:v>
                </c:pt>
                <c:pt idx="18">
                  <c:v>44295</c:v>
                </c:pt>
                <c:pt idx="19">
                  <c:v>44302</c:v>
                </c:pt>
                <c:pt idx="20">
                  <c:v>44309</c:v>
                </c:pt>
                <c:pt idx="21">
                  <c:v>44316</c:v>
                </c:pt>
                <c:pt idx="22">
                  <c:v>44323</c:v>
                </c:pt>
              </c:numCache>
            </c:numRef>
          </c:cat>
          <c:val>
            <c:numRef>
              <c:f>央行!$B$5:$B$27</c:f>
              <c:numCache>
                <c:formatCode>###,###,###,###,##0.00</c:formatCode>
                <c:ptCount val="23"/>
                <c:pt idx="0">
                  <c:v>2000</c:v>
                </c:pt>
                <c:pt idx="1">
                  <c:v>1500</c:v>
                </c:pt>
                <c:pt idx="2">
                  <c:v>600</c:v>
                </c:pt>
                <c:pt idx="3">
                  <c:v>4300</c:v>
                </c:pt>
                <c:pt idx="4">
                  <c:v>1750</c:v>
                </c:pt>
                <c:pt idx="5">
                  <c:v>550</c:v>
                </c:pt>
                <c:pt idx="6">
                  <c:v>160</c:v>
                </c:pt>
                <c:pt idx="7">
                  <c:v>6140</c:v>
                </c:pt>
                <c:pt idx="8">
                  <c:v>3890</c:v>
                </c:pt>
                <c:pt idx="9">
                  <c:v>4800</c:v>
                </c:pt>
                <c:pt idx="10">
                  <c:v>2300</c:v>
                </c:pt>
                <c:pt idx="11">
                  <c:v>400</c:v>
                </c:pt>
                <c:pt idx="12">
                  <c:v>800</c:v>
                </c:pt>
                <c:pt idx="13">
                  <c:v>550</c:v>
                </c:pt>
                <c:pt idx="14">
                  <c:v>500</c:v>
                </c:pt>
                <c:pt idx="15">
                  <c:v>500</c:v>
                </c:pt>
                <c:pt idx="16">
                  <c:v>550</c:v>
                </c:pt>
                <c:pt idx="17">
                  <c:v>500</c:v>
                </c:pt>
                <c:pt idx="18">
                  <c:v>400</c:v>
                </c:pt>
                <c:pt idx="19">
                  <c:v>500</c:v>
                </c:pt>
                <c:pt idx="20">
                  <c:v>500</c:v>
                </c:pt>
                <c:pt idx="21">
                  <c:v>650</c:v>
                </c:pt>
                <c:pt idx="22">
                  <c:v>200</c:v>
                </c:pt>
              </c:numCache>
            </c:numRef>
          </c:val>
          <c:extLst xmlns:c16r2="http://schemas.microsoft.com/office/drawing/2015/06/chart">
            <c:ext xmlns:c16="http://schemas.microsoft.com/office/drawing/2014/chart" uri="{C3380CC4-5D6E-409C-BE32-E72D297353CC}">
              <c16:uniqueId val="{00000000-0B4F-460C-8B89-B5ED67A7FA53}"/>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44169</c:v>
                </c:pt>
                <c:pt idx="1">
                  <c:v>44176</c:v>
                </c:pt>
                <c:pt idx="2">
                  <c:v>44183</c:v>
                </c:pt>
                <c:pt idx="3">
                  <c:v>44190</c:v>
                </c:pt>
                <c:pt idx="4">
                  <c:v>44197</c:v>
                </c:pt>
                <c:pt idx="5">
                  <c:v>44204</c:v>
                </c:pt>
                <c:pt idx="6">
                  <c:v>44211</c:v>
                </c:pt>
                <c:pt idx="7">
                  <c:v>44218</c:v>
                </c:pt>
                <c:pt idx="8">
                  <c:v>44225</c:v>
                </c:pt>
                <c:pt idx="9">
                  <c:v>44232</c:v>
                </c:pt>
                <c:pt idx="10">
                  <c:v>44239</c:v>
                </c:pt>
                <c:pt idx="11">
                  <c:v>44246</c:v>
                </c:pt>
                <c:pt idx="12">
                  <c:v>44253</c:v>
                </c:pt>
                <c:pt idx="13">
                  <c:v>44260</c:v>
                </c:pt>
                <c:pt idx="14">
                  <c:v>44267</c:v>
                </c:pt>
                <c:pt idx="15">
                  <c:v>44274</c:v>
                </c:pt>
                <c:pt idx="16">
                  <c:v>44281</c:v>
                </c:pt>
                <c:pt idx="17">
                  <c:v>44288</c:v>
                </c:pt>
                <c:pt idx="18">
                  <c:v>44295</c:v>
                </c:pt>
                <c:pt idx="19">
                  <c:v>44302</c:v>
                </c:pt>
                <c:pt idx="20">
                  <c:v>44309</c:v>
                </c:pt>
                <c:pt idx="21">
                  <c:v>44316</c:v>
                </c:pt>
                <c:pt idx="22">
                  <c:v>44323</c:v>
                </c:pt>
              </c:numCache>
            </c:numRef>
          </c:cat>
          <c:val>
            <c:numRef>
              <c:f>央行!$C$5:$C$27</c:f>
              <c:numCache>
                <c:formatCode>###,###,###,###,##0.00</c:formatCode>
                <c:ptCount val="23"/>
                <c:pt idx="0">
                  <c:v>-4300</c:v>
                </c:pt>
                <c:pt idx="1">
                  <c:v>-2000</c:v>
                </c:pt>
                <c:pt idx="2">
                  <c:v>-1500</c:v>
                </c:pt>
                <c:pt idx="3">
                  <c:v>-650</c:v>
                </c:pt>
                <c:pt idx="4">
                  <c:v>-800</c:v>
                </c:pt>
                <c:pt idx="5">
                  <c:v>-5200</c:v>
                </c:pt>
                <c:pt idx="6">
                  <c:v>-550</c:v>
                </c:pt>
                <c:pt idx="7">
                  <c:v>-160</c:v>
                </c:pt>
                <c:pt idx="8">
                  <c:v>-6190</c:v>
                </c:pt>
                <c:pt idx="9">
                  <c:v>-3840</c:v>
                </c:pt>
                <c:pt idx="10">
                  <c:v>-2800</c:v>
                </c:pt>
                <c:pt idx="11">
                  <c:v>-3800</c:v>
                </c:pt>
                <c:pt idx="12">
                  <c:v>-950</c:v>
                </c:pt>
                <c:pt idx="13">
                  <c:v>-800</c:v>
                </c:pt>
                <c:pt idx="14">
                  <c:v>-500</c:v>
                </c:pt>
                <c:pt idx="15">
                  <c:v>-500</c:v>
                </c:pt>
                <c:pt idx="16">
                  <c:v>-550</c:v>
                </c:pt>
                <c:pt idx="17">
                  <c:v>-500</c:v>
                </c:pt>
                <c:pt idx="18">
                  <c:v>-500</c:v>
                </c:pt>
                <c:pt idx="19">
                  <c:v>-400</c:v>
                </c:pt>
                <c:pt idx="20">
                  <c:v>-500</c:v>
                </c:pt>
                <c:pt idx="21">
                  <c:v>-550</c:v>
                </c:pt>
                <c:pt idx="22">
                  <c:v>-600</c:v>
                </c:pt>
              </c:numCache>
            </c:numRef>
          </c:val>
          <c:extLst xmlns:c16r2="http://schemas.microsoft.com/office/drawing/2015/06/chart">
            <c:ext xmlns:c16="http://schemas.microsoft.com/office/drawing/2014/chart" uri="{C3380CC4-5D6E-409C-BE32-E72D297353CC}">
              <c16:uniqueId val="{00000001-0B4F-460C-8B89-B5ED67A7FA53}"/>
            </c:ext>
          </c:extLst>
        </c:ser>
        <c:dLbls>
          <c:showLegendKey val="0"/>
          <c:showVal val="0"/>
          <c:showCatName val="0"/>
          <c:showSerName val="0"/>
          <c:showPercent val="0"/>
          <c:showBubbleSize val="0"/>
        </c:dLbls>
        <c:gapWidth val="150"/>
        <c:overlap val="100"/>
        <c:axId val="165502336"/>
        <c:axId val="16550860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44169</c:v>
                </c:pt>
                <c:pt idx="1">
                  <c:v>44176</c:v>
                </c:pt>
                <c:pt idx="2">
                  <c:v>44183</c:v>
                </c:pt>
                <c:pt idx="3">
                  <c:v>44190</c:v>
                </c:pt>
                <c:pt idx="4">
                  <c:v>44197</c:v>
                </c:pt>
                <c:pt idx="5">
                  <c:v>44204</c:v>
                </c:pt>
                <c:pt idx="6">
                  <c:v>44211</c:v>
                </c:pt>
                <c:pt idx="7">
                  <c:v>44218</c:v>
                </c:pt>
                <c:pt idx="8">
                  <c:v>44225</c:v>
                </c:pt>
                <c:pt idx="9">
                  <c:v>44232</c:v>
                </c:pt>
                <c:pt idx="10">
                  <c:v>44239</c:v>
                </c:pt>
                <c:pt idx="11">
                  <c:v>44246</c:v>
                </c:pt>
                <c:pt idx="12">
                  <c:v>44253</c:v>
                </c:pt>
                <c:pt idx="13">
                  <c:v>44260</c:v>
                </c:pt>
                <c:pt idx="14">
                  <c:v>44267</c:v>
                </c:pt>
                <c:pt idx="15">
                  <c:v>44274</c:v>
                </c:pt>
                <c:pt idx="16">
                  <c:v>44281</c:v>
                </c:pt>
                <c:pt idx="17">
                  <c:v>44288</c:v>
                </c:pt>
                <c:pt idx="18">
                  <c:v>44295</c:v>
                </c:pt>
                <c:pt idx="19">
                  <c:v>44302</c:v>
                </c:pt>
                <c:pt idx="20">
                  <c:v>44309</c:v>
                </c:pt>
                <c:pt idx="21">
                  <c:v>44316</c:v>
                </c:pt>
                <c:pt idx="22">
                  <c:v>44323</c:v>
                </c:pt>
              </c:numCache>
            </c:numRef>
          </c:cat>
          <c:val>
            <c:numRef>
              <c:f>央行!$D$5:$D$27</c:f>
              <c:numCache>
                <c:formatCode>###,###,###,###,##0.00</c:formatCode>
                <c:ptCount val="23"/>
                <c:pt idx="0">
                  <c:v>-2300</c:v>
                </c:pt>
                <c:pt idx="1">
                  <c:v>-500</c:v>
                </c:pt>
                <c:pt idx="2">
                  <c:v>-900</c:v>
                </c:pt>
                <c:pt idx="3">
                  <c:v>3650</c:v>
                </c:pt>
                <c:pt idx="4">
                  <c:v>950</c:v>
                </c:pt>
                <c:pt idx="5">
                  <c:v>-4650</c:v>
                </c:pt>
                <c:pt idx="6">
                  <c:v>-390</c:v>
                </c:pt>
                <c:pt idx="7">
                  <c:v>5980</c:v>
                </c:pt>
                <c:pt idx="8">
                  <c:v>-2300</c:v>
                </c:pt>
                <c:pt idx="9">
                  <c:v>960</c:v>
                </c:pt>
                <c:pt idx="10">
                  <c:v>-500</c:v>
                </c:pt>
                <c:pt idx="11">
                  <c:v>-3400</c:v>
                </c:pt>
                <c:pt idx="12">
                  <c:v>-150</c:v>
                </c:pt>
                <c:pt idx="13">
                  <c:v>-250</c:v>
                </c:pt>
                <c:pt idx="14">
                  <c:v>0</c:v>
                </c:pt>
                <c:pt idx="15">
                  <c:v>0</c:v>
                </c:pt>
                <c:pt idx="16">
                  <c:v>0</c:v>
                </c:pt>
                <c:pt idx="17">
                  <c:v>0</c:v>
                </c:pt>
                <c:pt idx="18">
                  <c:v>-100</c:v>
                </c:pt>
                <c:pt idx="19">
                  <c:v>100</c:v>
                </c:pt>
                <c:pt idx="20">
                  <c:v>0</c:v>
                </c:pt>
                <c:pt idx="21">
                  <c:v>100</c:v>
                </c:pt>
                <c:pt idx="22">
                  <c:v>-400</c:v>
                </c:pt>
              </c:numCache>
            </c:numRef>
          </c:val>
          <c:smooth val="0"/>
          <c:extLst xmlns:c16r2="http://schemas.microsoft.com/office/drawing/2015/06/chart">
            <c:ext xmlns:c16="http://schemas.microsoft.com/office/drawing/2014/chart" uri="{C3380CC4-5D6E-409C-BE32-E72D297353CC}">
              <c16:uniqueId val="{00000002-0B4F-460C-8B89-B5ED67A7FA53}"/>
            </c:ext>
          </c:extLst>
        </c:ser>
        <c:dLbls>
          <c:showLegendKey val="0"/>
          <c:showVal val="0"/>
          <c:showCatName val="0"/>
          <c:showSerName val="0"/>
          <c:showPercent val="0"/>
          <c:showBubbleSize val="0"/>
        </c:dLbls>
        <c:marker val="1"/>
        <c:smooth val="0"/>
        <c:axId val="165502336"/>
        <c:axId val="165508608"/>
      </c:lineChart>
      <c:catAx>
        <c:axId val="16550233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65508608"/>
        <c:crosses val="autoZero"/>
        <c:auto val="0"/>
        <c:lblAlgn val="ctr"/>
        <c:lblOffset val="0"/>
        <c:tickMarkSkip val="2"/>
        <c:noMultiLvlLbl val="0"/>
      </c:catAx>
      <c:valAx>
        <c:axId val="16550860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550233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44324</c:v>
                </c:pt>
                <c:pt idx="1">
                  <c:v>44323</c:v>
                </c:pt>
                <c:pt idx="2">
                  <c:v>44322</c:v>
                </c:pt>
                <c:pt idx="3">
                  <c:v>44316</c:v>
                </c:pt>
                <c:pt idx="4">
                  <c:v>44315</c:v>
                </c:pt>
                <c:pt idx="5">
                  <c:v>44314</c:v>
                </c:pt>
                <c:pt idx="6">
                  <c:v>44313</c:v>
                </c:pt>
                <c:pt idx="7">
                  <c:v>44312</c:v>
                </c:pt>
                <c:pt idx="8">
                  <c:v>44311</c:v>
                </c:pt>
                <c:pt idx="9">
                  <c:v>44309</c:v>
                </c:pt>
                <c:pt idx="10">
                  <c:v>44308</c:v>
                </c:pt>
                <c:pt idx="11">
                  <c:v>44307</c:v>
                </c:pt>
                <c:pt idx="12">
                  <c:v>44306</c:v>
                </c:pt>
                <c:pt idx="13">
                  <c:v>44305</c:v>
                </c:pt>
                <c:pt idx="14">
                  <c:v>44302</c:v>
                </c:pt>
                <c:pt idx="15">
                  <c:v>44301</c:v>
                </c:pt>
                <c:pt idx="16">
                  <c:v>44300</c:v>
                </c:pt>
                <c:pt idx="17">
                  <c:v>44299</c:v>
                </c:pt>
                <c:pt idx="18">
                  <c:v>44298</c:v>
                </c:pt>
                <c:pt idx="19">
                  <c:v>44295</c:v>
                </c:pt>
                <c:pt idx="20">
                  <c:v>44294</c:v>
                </c:pt>
                <c:pt idx="21">
                  <c:v>44293</c:v>
                </c:pt>
                <c:pt idx="22">
                  <c:v>44292</c:v>
                </c:pt>
                <c:pt idx="23">
                  <c:v>44288</c:v>
                </c:pt>
                <c:pt idx="24">
                  <c:v>44287</c:v>
                </c:pt>
                <c:pt idx="25">
                  <c:v>44286</c:v>
                </c:pt>
                <c:pt idx="26">
                  <c:v>44285</c:v>
                </c:pt>
                <c:pt idx="27">
                  <c:v>44284</c:v>
                </c:pt>
                <c:pt idx="28">
                  <c:v>44281</c:v>
                </c:pt>
                <c:pt idx="29">
                  <c:v>44280</c:v>
                </c:pt>
                <c:pt idx="30">
                  <c:v>44279</c:v>
                </c:pt>
                <c:pt idx="31">
                  <c:v>44278</c:v>
                </c:pt>
                <c:pt idx="32">
                  <c:v>44277</c:v>
                </c:pt>
                <c:pt idx="33">
                  <c:v>44274</c:v>
                </c:pt>
                <c:pt idx="34">
                  <c:v>44273</c:v>
                </c:pt>
                <c:pt idx="35">
                  <c:v>44272</c:v>
                </c:pt>
                <c:pt idx="36">
                  <c:v>44271</c:v>
                </c:pt>
                <c:pt idx="37">
                  <c:v>44270</c:v>
                </c:pt>
                <c:pt idx="38">
                  <c:v>44267</c:v>
                </c:pt>
                <c:pt idx="39">
                  <c:v>44266</c:v>
                </c:pt>
                <c:pt idx="40">
                  <c:v>44265</c:v>
                </c:pt>
                <c:pt idx="41">
                  <c:v>44264</c:v>
                </c:pt>
                <c:pt idx="42">
                  <c:v>44263</c:v>
                </c:pt>
                <c:pt idx="43">
                  <c:v>44260</c:v>
                </c:pt>
                <c:pt idx="44">
                  <c:v>44259</c:v>
                </c:pt>
                <c:pt idx="45">
                  <c:v>44258</c:v>
                </c:pt>
                <c:pt idx="46">
                  <c:v>44257</c:v>
                </c:pt>
                <c:pt idx="47">
                  <c:v>44256</c:v>
                </c:pt>
                <c:pt idx="48">
                  <c:v>44253</c:v>
                </c:pt>
                <c:pt idx="49">
                  <c:v>44252</c:v>
                </c:pt>
                <c:pt idx="50">
                  <c:v>44251</c:v>
                </c:pt>
                <c:pt idx="51">
                  <c:v>44250</c:v>
                </c:pt>
                <c:pt idx="52">
                  <c:v>44249</c:v>
                </c:pt>
                <c:pt idx="53">
                  <c:v>44247</c:v>
                </c:pt>
                <c:pt idx="54">
                  <c:v>44246</c:v>
                </c:pt>
                <c:pt idx="55">
                  <c:v>44245</c:v>
                </c:pt>
                <c:pt idx="56">
                  <c:v>44237</c:v>
                </c:pt>
                <c:pt idx="57">
                  <c:v>44236</c:v>
                </c:pt>
                <c:pt idx="58">
                  <c:v>44235</c:v>
                </c:pt>
              </c:numCache>
            </c:numRef>
          </c:cat>
          <c:val>
            <c:numRef>
              <c:f>资金!$B$3:$B$61</c:f>
              <c:numCache>
                <c:formatCode>###,###,###,###,##0.0000</c:formatCode>
                <c:ptCount val="59"/>
                <c:pt idx="0">
                  <c:v>1.4749000000000001</c:v>
                </c:pt>
                <c:pt idx="1">
                  <c:v>1.7567999999999999</c:v>
                </c:pt>
                <c:pt idx="2">
                  <c:v>2.1004999999999998</c:v>
                </c:pt>
                <c:pt idx="3">
                  <c:v>2.3130000000000002</c:v>
                </c:pt>
                <c:pt idx="4">
                  <c:v>1.8532</c:v>
                </c:pt>
                <c:pt idx="5">
                  <c:v>1.8116000000000001</c:v>
                </c:pt>
                <c:pt idx="6">
                  <c:v>1.8314999999999999</c:v>
                </c:pt>
                <c:pt idx="7">
                  <c:v>2.0872999999999999</c:v>
                </c:pt>
                <c:pt idx="8">
                  <c:v>2.0192000000000001</c:v>
                </c:pt>
                <c:pt idx="9">
                  <c:v>1.9596</c:v>
                </c:pt>
                <c:pt idx="10">
                  <c:v>2.1551999999999998</c:v>
                </c:pt>
                <c:pt idx="11">
                  <c:v>1.9048</c:v>
                </c:pt>
                <c:pt idx="12">
                  <c:v>1.873</c:v>
                </c:pt>
                <c:pt idx="13">
                  <c:v>2.1116999999999999</c:v>
                </c:pt>
                <c:pt idx="14">
                  <c:v>1.9665999999999999</c:v>
                </c:pt>
                <c:pt idx="15">
                  <c:v>1.8460000000000001</c:v>
                </c:pt>
                <c:pt idx="16">
                  <c:v>1.8394999999999999</c:v>
                </c:pt>
                <c:pt idx="17">
                  <c:v>1.8163</c:v>
                </c:pt>
                <c:pt idx="18">
                  <c:v>1.8184</c:v>
                </c:pt>
                <c:pt idx="19">
                  <c:v>1.8128</c:v>
                </c:pt>
                <c:pt idx="20">
                  <c:v>1.7882</c:v>
                </c:pt>
                <c:pt idx="21">
                  <c:v>1.8531</c:v>
                </c:pt>
                <c:pt idx="22">
                  <c:v>1.8081</c:v>
                </c:pt>
                <c:pt idx="23">
                  <c:v>1.7512000000000001</c:v>
                </c:pt>
                <c:pt idx="24">
                  <c:v>2.1960000000000002</c:v>
                </c:pt>
                <c:pt idx="25">
                  <c:v>2.3929</c:v>
                </c:pt>
                <c:pt idx="26">
                  <c:v>1.8808</c:v>
                </c:pt>
                <c:pt idx="27">
                  <c:v>1.8393999999999999</c:v>
                </c:pt>
                <c:pt idx="28">
                  <c:v>1.8057000000000001</c:v>
                </c:pt>
                <c:pt idx="29">
                  <c:v>2.0571999999999999</c:v>
                </c:pt>
                <c:pt idx="30">
                  <c:v>1.8817999999999999</c:v>
                </c:pt>
                <c:pt idx="31">
                  <c:v>2.0042</c:v>
                </c:pt>
                <c:pt idx="32">
                  <c:v>2.0869</c:v>
                </c:pt>
                <c:pt idx="33">
                  <c:v>2.1583999999999999</c:v>
                </c:pt>
                <c:pt idx="34">
                  <c:v>2.2496999999999998</c:v>
                </c:pt>
                <c:pt idx="35">
                  <c:v>2.024</c:v>
                </c:pt>
                <c:pt idx="36">
                  <c:v>2.1652</c:v>
                </c:pt>
                <c:pt idx="37">
                  <c:v>2.2884000000000002</c:v>
                </c:pt>
                <c:pt idx="38">
                  <c:v>1.8247</c:v>
                </c:pt>
                <c:pt idx="39">
                  <c:v>1.8349</c:v>
                </c:pt>
                <c:pt idx="40">
                  <c:v>1.7825</c:v>
                </c:pt>
                <c:pt idx="41">
                  <c:v>2.0304000000000002</c:v>
                </c:pt>
                <c:pt idx="42">
                  <c:v>1.7479</c:v>
                </c:pt>
                <c:pt idx="43">
                  <c:v>1.6113999999999999</c:v>
                </c:pt>
                <c:pt idx="44">
                  <c:v>1.9486000000000001</c:v>
                </c:pt>
                <c:pt idx="45">
                  <c:v>1.532</c:v>
                </c:pt>
                <c:pt idx="46">
                  <c:v>1.8036000000000001</c:v>
                </c:pt>
                <c:pt idx="47">
                  <c:v>2.1819999999999999</c:v>
                </c:pt>
                <c:pt idx="48">
                  <c:v>2.2122000000000002</c:v>
                </c:pt>
                <c:pt idx="49">
                  <c:v>1.7466999999999999</c:v>
                </c:pt>
                <c:pt idx="50">
                  <c:v>1.5522</c:v>
                </c:pt>
                <c:pt idx="51">
                  <c:v>1.9908999999999999</c:v>
                </c:pt>
                <c:pt idx="52">
                  <c:v>1.5585</c:v>
                </c:pt>
                <c:pt idx="53">
                  <c:v>1.4419</c:v>
                </c:pt>
                <c:pt idx="54">
                  <c:v>1.8237000000000001</c:v>
                </c:pt>
                <c:pt idx="55">
                  <c:v>2.3538999999999999</c:v>
                </c:pt>
                <c:pt idx="56">
                  <c:v>1.8607</c:v>
                </c:pt>
                <c:pt idx="57">
                  <c:v>1.7911999999999999</c:v>
                </c:pt>
                <c:pt idx="58">
                  <c:v>1.9377</c:v>
                </c:pt>
              </c:numCache>
            </c:numRef>
          </c:val>
          <c:smooth val="1"/>
          <c:extLst xmlns:c16r2="http://schemas.microsoft.com/office/drawing/2015/06/chart">
            <c:ext xmlns:c16="http://schemas.microsoft.com/office/drawing/2014/chart" uri="{C3380CC4-5D6E-409C-BE32-E72D297353CC}">
              <c16:uniqueId val="{00000000-FB6C-48E9-ABE5-F95F9305B3BD}"/>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44324</c:v>
                </c:pt>
                <c:pt idx="1">
                  <c:v>44323</c:v>
                </c:pt>
                <c:pt idx="2">
                  <c:v>44322</c:v>
                </c:pt>
                <c:pt idx="3">
                  <c:v>44316</c:v>
                </c:pt>
                <c:pt idx="4">
                  <c:v>44315</c:v>
                </c:pt>
                <c:pt idx="5">
                  <c:v>44314</c:v>
                </c:pt>
                <c:pt idx="6">
                  <c:v>44313</c:v>
                </c:pt>
                <c:pt idx="7">
                  <c:v>44312</c:v>
                </c:pt>
                <c:pt idx="8">
                  <c:v>44311</c:v>
                </c:pt>
                <c:pt idx="9">
                  <c:v>44309</c:v>
                </c:pt>
                <c:pt idx="10">
                  <c:v>44308</c:v>
                </c:pt>
                <c:pt idx="11">
                  <c:v>44307</c:v>
                </c:pt>
                <c:pt idx="12">
                  <c:v>44306</c:v>
                </c:pt>
                <c:pt idx="13">
                  <c:v>44305</c:v>
                </c:pt>
                <c:pt idx="14">
                  <c:v>44302</c:v>
                </c:pt>
                <c:pt idx="15">
                  <c:v>44301</c:v>
                </c:pt>
                <c:pt idx="16">
                  <c:v>44300</c:v>
                </c:pt>
                <c:pt idx="17">
                  <c:v>44299</c:v>
                </c:pt>
                <c:pt idx="18">
                  <c:v>44298</c:v>
                </c:pt>
                <c:pt idx="19">
                  <c:v>44295</c:v>
                </c:pt>
                <c:pt idx="20">
                  <c:v>44294</c:v>
                </c:pt>
                <c:pt idx="21">
                  <c:v>44293</c:v>
                </c:pt>
                <c:pt idx="22">
                  <c:v>44292</c:v>
                </c:pt>
                <c:pt idx="23">
                  <c:v>44288</c:v>
                </c:pt>
                <c:pt idx="24">
                  <c:v>44287</c:v>
                </c:pt>
                <c:pt idx="25">
                  <c:v>44286</c:v>
                </c:pt>
                <c:pt idx="26">
                  <c:v>44285</c:v>
                </c:pt>
                <c:pt idx="27">
                  <c:v>44284</c:v>
                </c:pt>
                <c:pt idx="28">
                  <c:v>44281</c:v>
                </c:pt>
                <c:pt idx="29">
                  <c:v>44280</c:v>
                </c:pt>
                <c:pt idx="30">
                  <c:v>44279</c:v>
                </c:pt>
                <c:pt idx="31">
                  <c:v>44278</c:v>
                </c:pt>
                <c:pt idx="32">
                  <c:v>44277</c:v>
                </c:pt>
                <c:pt idx="33">
                  <c:v>44274</c:v>
                </c:pt>
                <c:pt idx="34">
                  <c:v>44273</c:v>
                </c:pt>
                <c:pt idx="35">
                  <c:v>44272</c:v>
                </c:pt>
                <c:pt idx="36">
                  <c:v>44271</c:v>
                </c:pt>
                <c:pt idx="37">
                  <c:v>44270</c:v>
                </c:pt>
                <c:pt idx="38">
                  <c:v>44267</c:v>
                </c:pt>
                <c:pt idx="39">
                  <c:v>44266</c:v>
                </c:pt>
                <c:pt idx="40">
                  <c:v>44265</c:v>
                </c:pt>
                <c:pt idx="41">
                  <c:v>44264</c:v>
                </c:pt>
                <c:pt idx="42">
                  <c:v>44263</c:v>
                </c:pt>
                <c:pt idx="43">
                  <c:v>44260</c:v>
                </c:pt>
                <c:pt idx="44">
                  <c:v>44259</c:v>
                </c:pt>
                <c:pt idx="45">
                  <c:v>44258</c:v>
                </c:pt>
                <c:pt idx="46">
                  <c:v>44257</c:v>
                </c:pt>
                <c:pt idx="47">
                  <c:v>44256</c:v>
                </c:pt>
                <c:pt idx="48">
                  <c:v>44253</c:v>
                </c:pt>
                <c:pt idx="49">
                  <c:v>44252</c:v>
                </c:pt>
                <c:pt idx="50">
                  <c:v>44251</c:v>
                </c:pt>
                <c:pt idx="51">
                  <c:v>44250</c:v>
                </c:pt>
                <c:pt idx="52">
                  <c:v>44249</c:v>
                </c:pt>
                <c:pt idx="53">
                  <c:v>44247</c:v>
                </c:pt>
                <c:pt idx="54">
                  <c:v>44246</c:v>
                </c:pt>
                <c:pt idx="55">
                  <c:v>44245</c:v>
                </c:pt>
                <c:pt idx="56">
                  <c:v>44237</c:v>
                </c:pt>
                <c:pt idx="57">
                  <c:v>44236</c:v>
                </c:pt>
                <c:pt idx="58">
                  <c:v>44235</c:v>
                </c:pt>
              </c:numCache>
            </c:numRef>
          </c:cat>
          <c:val>
            <c:numRef>
              <c:f>资金!$C$3:$C$61</c:f>
              <c:numCache>
                <c:formatCode>###,###,###,###,##0.0000</c:formatCode>
                <c:ptCount val="59"/>
                <c:pt idx="0">
                  <c:v>1.821</c:v>
                </c:pt>
                <c:pt idx="1">
                  <c:v>1.9728000000000001</c:v>
                </c:pt>
                <c:pt idx="2">
                  <c:v>2.1395</c:v>
                </c:pt>
                <c:pt idx="3">
                  <c:v>2.3769</c:v>
                </c:pt>
                <c:pt idx="4">
                  <c:v>2.3264999999999998</c:v>
                </c:pt>
                <c:pt idx="5">
                  <c:v>2.2690000000000001</c:v>
                </c:pt>
                <c:pt idx="6">
                  <c:v>2.2949999999999999</c:v>
                </c:pt>
                <c:pt idx="7">
                  <c:v>2.3549000000000002</c:v>
                </c:pt>
                <c:pt idx="8">
                  <c:v>2.2372000000000001</c:v>
                </c:pt>
                <c:pt idx="9">
                  <c:v>2.1141000000000001</c:v>
                </c:pt>
                <c:pt idx="10">
                  <c:v>2.1456</c:v>
                </c:pt>
                <c:pt idx="11">
                  <c:v>2.0910000000000002</c:v>
                </c:pt>
                <c:pt idx="12">
                  <c:v>2.2360000000000002</c:v>
                </c:pt>
                <c:pt idx="13">
                  <c:v>2.3254000000000001</c:v>
                </c:pt>
                <c:pt idx="14">
                  <c:v>2.1677</c:v>
                </c:pt>
                <c:pt idx="15">
                  <c:v>2.0480999999999998</c:v>
                </c:pt>
                <c:pt idx="16">
                  <c:v>1.9805999999999999</c:v>
                </c:pt>
                <c:pt idx="17">
                  <c:v>1.9778</c:v>
                </c:pt>
                <c:pt idx="18">
                  <c:v>1.982</c:v>
                </c:pt>
                <c:pt idx="19">
                  <c:v>1.9272</c:v>
                </c:pt>
                <c:pt idx="20">
                  <c:v>1.9629000000000001</c:v>
                </c:pt>
                <c:pt idx="21">
                  <c:v>1.9476</c:v>
                </c:pt>
                <c:pt idx="22">
                  <c:v>1.9693000000000001</c:v>
                </c:pt>
                <c:pt idx="23">
                  <c:v>2.0823999999999998</c:v>
                </c:pt>
                <c:pt idx="24">
                  <c:v>2.2355999999999998</c:v>
                </c:pt>
                <c:pt idx="25">
                  <c:v>2.6713</c:v>
                </c:pt>
                <c:pt idx="26">
                  <c:v>2.4952000000000001</c:v>
                </c:pt>
                <c:pt idx="27">
                  <c:v>2.4664000000000001</c:v>
                </c:pt>
                <c:pt idx="28">
                  <c:v>2.4746000000000001</c:v>
                </c:pt>
                <c:pt idx="29">
                  <c:v>2.4559000000000002</c:v>
                </c:pt>
                <c:pt idx="30">
                  <c:v>1.9964</c:v>
                </c:pt>
                <c:pt idx="31">
                  <c:v>2.1162000000000001</c:v>
                </c:pt>
                <c:pt idx="32">
                  <c:v>2.1791</c:v>
                </c:pt>
                <c:pt idx="33">
                  <c:v>2.1913999999999998</c:v>
                </c:pt>
                <c:pt idx="34">
                  <c:v>2.1907999999999999</c:v>
                </c:pt>
                <c:pt idx="35">
                  <c:v>2.1332</c:v>
                </c:pt>
                <c:pt idx="36">
                  <c:v>2.302</c:v>
                </c:pt>
                <c:pt idx="37">
                  <c:v>2.3008000000000002</c:v>
                </c:pt>
                <c:pt idx="38">
                  <c:v>2.0649999999999999</c:v>
                </c:pt>
                <c:pt idx="39">
                  <c:v>2.0508999999999999</c:v>
                </c:pt>
                <c:pt idx="40">
                  <c:v>2.0379</c:v>
                </c:pt>
                <c:pt idx="41">
                  <c:v>2.0366</c:v>
                </c:pt>
                <c:pt idx="42">
                  <c:v>2.0465</c:v>
                </c:pt>
                <c:pt idx="43">
                  <c:v>1.9971000000000001</c:v>
                </c:pt>
                <c:pt idx="44">
                  <c:v>2.0945999999999998</c:v>
                </c:pt>
                <c:pt idx="45">
                  <c:v>1.9888999999999999</c:v>
                </c:pt>
                <c:pt idx="46">
                  <c:v>2.1551999999999998</c:v>
                </c:pt>
                <c:pt idx="47">
                  <c:v>2.2427000000000001</c:v>
                </c:pt>
                <c:pt idx="48">
                  <c:v>2.3666999999999998</c:v>
                </c:pt>
                <c:pt idx="49">
                  <c:v>2.2989999999999999</c:v>
                </c:pt>
                <c:pt idx="50">
                  <c:v>2.3325999999999998</c:v>
                </c:pt>
                <c:pt idx="51">
                  <c:v>2.4706999999999999</c:v>
                </c:pt>
                <c:pt idx="52">
                  <c:v>2.4460999999999999</c:v>
                </c:pt>
                <c:pt idx="53">
                  <c:v>2.0444</c:v>
                </c:pt>
                <c:pt idx="54">
                  <c:v>2.0552999999999999</c:v>
                </c:pt>
                <c:pt idx="55">
                  <c:v>2.294</c:v>
                </c:pt>
                <c:pt idx="56">
                  <c:v>2.1448</c:v>
                </c:pt>
                <c:pt idx="57">
                  <c:v>2.5484</c:v>
                </c:pt>
                <c:pt idx="58">
                  <c:v>2.5283000000000002</c:v>
                </c:pt>
              </c:numCache>
            </c:numRef>
          </c:val>
          <c:smooth val="1"/>
          <c:extLst xmlns:c16r2="http://schemas.microsoft.com/office/drawing/2015/06/chart">
            <c:ext xmlns:c16="http://schemas.microsoft.com/office/drawing/2014/chart" uri="{C3380CC4-5D6E-409C-BE32-E72D297353CC}">
              <c16:uniqueId val="{00000001-FB6C-48E9-ABE5-F95F9305B3BD}"/>
            </c:ext>
          </c:extLst>
        </c:ser>
        <c:dLbls>
          <c:showLegendKey val="0"/>
          <c:showVal val="0"/>
          <c:showCatName val="0"/>
          <c:showSerName val="0"/>
          <c:showPercent val="0"/>
          <c:showBubbleSize val="0"/>
        </c:dLbls>
        <c:marker val="1"/>
        <c:smooth val="0"/>
        <c:axId val="200807168"/>
        <c:axId val="200808704"/>
      </c:lineChart>
      <c:dateAx>
        <c:axId val="2008071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0808704"/>
        <c:crosses val="autoZero"/>
        <c:auto val="0"/>
        <c:lblOffset val="0"/>
        <c:baseTimeUnit val="days"/>
        <c:majorUnit val="14"/>
        <c:majorTimeUnit val="days"/>
        <c:minorUnit val="7"/>
        <c:minorTimeUnit val="days"/>
      </c:dateAx>
      <c:valAx>
        <c:axId val="20080870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080716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-0.869999999999993</c:v>
                </c:pt>
                <c:pt idx="1">
                  <c:v>-6.7800000000000082</c:v>
                </c:pt>
                <c:pt idx="2">
                  <c:v>-3.9800000000000058</c:v>
                </c:pt>
                <c:pt idx="3">
                  <c:v>-3.2000000000000028</c:v>
                </c:pt>
                <c:pt idx="4">
                  <c:v>-2.4599999999999955</c:v>
                </c:pt>
                <c:pt idx="5">
                  <c:v>1.9999999999997797E-2</c:v>
                </c:pt>
                <c:pt idx="6">
                  <c:v>-0.58000000000002494</c:v>
                </c:pt>
              </c:numCache>
            </c:numRef>
          </c:val>
          <c:extLst xmlns:c16r2="http://schemas.microsoft.com/office/drawing/2015/06/chart">
            <c:ext xmlns:c16="http://schemas.microsoft.com/office/drawing/2014/chart" uri="{C3380CC4-5D6E-409C-BE32-E72D297353CC}">
              <c16:uniqueId val="{00000000-991D-49C4-8B37-93D66131FD85}"/>
            </c:ext>
          </c:extLst>
        </c:ser>
        <c:dLbls>
          <c:showLegendKey val="0"/>
          <c:showVal val="0"/>
          <c:showCatName val="0"/>
          <c:showSerName val="0"/>
          <c:showPercent val="0"/>
          <c:showBubbleSize val="0"/>
        </c:dLbls>
        <c:gapWidth val="150"/>
        <c:axId val="200860800"/>
        <c:axId val="20086272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91D-49C4-8B37-93D66131FD85}"/>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91D-49C4-8B37-93D66131FD85}"/>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991D-49C4-8B37-93D66131FD85}"/>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91D-49C4-8B37-93D66131FD85}"/>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991D-49C4-8B37-93D66131FD85}"/>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991D-49C4-8B37-93D66131FD85}"/>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1.6327</c:v>
                </c:pt>
                <c:pt idx="1">
                  <c:v>1.8573</c:v>
                </c:pt>
                <c:pt idx="2">
                  <c:v>2.3193000000000001</c:v>
                </c:pt>
                <c:pt idx="3">
                  <c:v>2.7345999999999999</c:v>
                </c:pt>
                <c:pt idx="4">
                  <c:v>2.9369000000000001</c:v>
                </c:pt>
                <c:pt idx="5">
                  <c:v>3.1333000000000002</c:v>
                </c:pt>
                <c:pt idx="6">
                  <c:v>3.1581999999999999</c:v>
                </c:pt>
              </c:numCache>
            </c:numRef>
          </c:val>
          <c:smooth val="0"/>
          <c:extLst xmlns:c16r2="http://schemas.microsoft.com/office/drawing/2015/06/chart">
            <c:ext xmlns:c16="http://schemas.microsoft.com/office/drawing/2014/chart" uri="{C3380CC4-5D6E-409C-BE32-E72D297353CC}">
              <c16:uniqueId val="{00000007-991D-49C4-8B37-93D66131FD85}"/>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1.6414</c:v>
                </c:pt>
                <c:pt idx="1">
                  <c:v>1.9251</c:v>
                </c:pt>
                <c:pt idx="2">
                  <c:v>2.3591000000000002</c:v>
                </c:pt>
                <c:pt idx="3">
                  <c:v>2.7665999999999999</c:v>
                </c:pt>
                <c:pt idx="4">
                  <c:v>2.9615</c:v>
                </c:pt>
                <c:pt idx="5">
                  <c:v>3.1331000000000002</c:v>
                </c:pt>
                <c:pt idx="6">
                  <c:v>3.1640000000000001</c:v>
                </c:pt>
              </c:numCache>
            </c:numRef>
          </c:val>
          <c:smooth val="0"/>
          <c:extLst xmlns:c16r2="http://schemas.microsoft.com/office/drawing/2015/06/chart">
            <c:ext xmlns:c16="http://schemas.microsoft.com/office/drawing/2014/chart" uri="{C3380CC4-5D6E-409C-BE32-E72D297353CC}">
              <c16:uniqueId val="{00000008-991D-49C4-8B37-93D66131FD85}"/>
            </c:ext>
          </c:extLst>
        </c:ser>
        <c:dLbls>
          <c:showLegendKey val="0"/>
          <c:showVal val="0"/>
          <c:showCatName val="0"/>
          <c:showSerName val="0"/>
          <c:showPercent val="0"/>
          <c:showBubbleSize val="0"/>
        </c:dLbls>
        <c:marker val="1"/>
        <c:smooth val="0"/>
        <c:axId val="200878336"/>
        <c:axId val="200876800"/>
      </c:lineChart>
      <c:dateAx>
        <c:axId val="20086080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0862720"/>
        <c:crosses val="autoZero"/>
        <c:auto val="0"/>
        <c:lblOffset val="0"/>
        <c:baseTimeUnit val="days"/>
      </c:dateAx>
      <c:valAx>
        <c:axId val="20086272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0860800"/>
        <c:crosses val="autoZero"/>
        <c:crossBetween val="between"/>
      </c:valAx>
      <c:valAx>
        <c:axId val="200876800"/>
        <c:scaling>
          <c:orientation val="minMax"/>
        </c:scaling>
        <c:delete val="0"/>
        <c:axPos val="r"/>
        <c:numFmt formatCode="#,##0.0_);[Red]\(#,##0.0\)" sourceLinked="0"/>
        <c:majorTickMark val="out"/>
        <c:minorTickMark val="none"/>
        <c:tickLblPos val="nextTo"/>
        <c:spPr>
          <a:ln w="3175">
            <a:solidFill>
              <a:sysClr val="windowText" lastClr="000000"/>
            </a:solidFill>
          </a:ln>
        </c:spPr>
        <c:crossAx val="200878336"/>
        <c:crosses val="max"/>
        <c:crossBetween val="between"/>
      </c:valAx>
      <c:dateAx>
        <c:axId val="200878336"/>
        <c:scaling>
          <c:orientation val="minMax"/>
        </c:scaling>
        <c:delete val="1"/>
        <c:axPos val="b"/>
        <c:numFmt formatCode="General" sourceLinked="1"/>
        <c:majorTickMark val="out"/>
        <c:minorTickMark val="none"/>
        <c:tickLblPos val="nextTo"/>
        <c:crossAx val="200876800"/>
        <c:crosses val="autoZero"/>
        <c:auto val="0"/>
        <c:lblOffset val="100"/>
        <c:baseTimeUnit val="years"/>
      </c:dateAx>
    </c:plotArea>
    <c:legend>
      <c:legendPos val="r"/>
      <c:layout>
        <c:manualLayout>
          <c:xMode val="edge"/>
          <c:yMode val="edge"/>
          <c:x val="0.12260791136022246"/>
          <c:y val="2.333587394774645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-0.8599999999999941</c:v>
                </c:pt>
                <c:pt idx="1">
                  <c:v>-5.8799999999999963</c:v>
                </c:pt>
                <c:pt idx="2">
                  <c:v>1.8699999999999939</c:v>
                </c:pt>
                <c:pt idx="3">
                  <c:v>-1.6700000000000159</c:v>
                </c:pt>
                <c:pt idx="4">
                  <c:v>0.24999999999999467</c:v>
                </c:pt>
                <c:pt idx="5">
                  <c:v>-0.88000000000003631</c:v>
                </c:pt>
                <c:pt idx="6">
                  <c:v>1.9999999999997797E-2</c:v>
                </c:pt>
              </c:numCache>
            </c:numRef>
          </c:val>
          <c:extLst xmlns:c16r2="http://schemas.microsoft.com/office/drawing/2015/06/chart">
            <c:ext xmlns:c16="http://schemas.microsoft.com/office/drawing/2014/chart" uri="{C3380CC4-5D6E-409C-BE32-E72D297353CC}">
              <c16:uniqueId val="{00000000-63EA-4558-8995-2AAE0E534CBD}"/>
            </c:ext>
          </c:extLst>
        </c:ser>
        <c:dLbls>
          <c:showLegendKey val="0"/>
          <c:showVal val="0"/>
          <c:showCatName val="0"/>
          <c:showSerName val="0"/>
          <c:showPercent val="0"/>
          <c:showBubbleSize val="0"/>
        </c:dLbls>
        <c:gapWidth val="150"/>
        <c:axId val="200926720"/>
        <c:axId val="20092864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3EA-4558-8995-2AAE0E534CB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3EA-4558-8995-2AAE0E534CB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3EA-4558-8995-2AAE0E534CB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3EA-4558-8995-2AAE0E534CB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3EA-4558-8995-2AAE0E534CB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3EA-4558-8995-2AAE0E534CB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1.6382000000000001</c:v>
                </c:pt>
                <c:pt idx="1">
                  <c:v>1.915</c:v>
                </c:pt>
                <c:pt idx="2">
                  <c:v>2.5034000000000001</c:v>
                </c:pt>
                <c:pt idx="3">
                  <c:v>3.0985</c:v>
                </c:pt>
                <c:pt idx="4">
                  <c:v>3.286</c:v>
                </c:pt>
                <c:pt idx="5">
                  <c:v>3.4329999999999998</c:v>
                </c:pt>
                <c:pt idx="6">
                  <c:v>3.5407999999999999</c:v>
                </c:pt>
              </c:numCache>
            </c:numRef>
          </c:val>
          <c:smooth val="0"/>
          <c:extLst xmlns:c16r2="http://schemas.microsoft.com/office/drawing/2015/06/chart">
            <c:ext xmlns:c16="http://schemas.microsoft.com/office/drawing/2014/chart" uri="{C3380CC4-5D6E-409C-BE32-E72D297353CC}">
              <c16:uniqueId val="{00000007-63EA-4558-8995-2AAE0E534CBD}"/>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1.6468</c:v>
                </c:pt>
                <c:pt idx="1">
                  <c:v>1.9738</c:v>
                </c:pt>
                <c:pt idx="2">
                  <c:v>2.4847000000000001</c:v>
                </c:pt>
                <c:pt idx="3">
                  <c:v>3.1152000000000002</c:v>
                </c:pt>
                <c:pt idx="4">
                  <c:v>3.2835000000000001</c:v>
                </c:pt>
                <c:pt idx="5">
                  <c:v>3.4418000000000002</c:v>
                </c:pt>
                <c:pt idx="6">
                  <c:v>3.5406</c:v>
                </c:pt>
              </c:numCache>
            </c:numRef>
          </c:val>
          <c:smooth val="0"/>
          <c:extLst xmlns:c16r2="http://schemas.microsoft.com/office/drawing/2015/06/chart">
            <c:ext xmlns:c16="http://schemas.microsoft.com/office/drawing/2014/chart" uri="{C3380CC4-5D6E-409C-BE32-E72D297353CC}">
              <c16:uniqueId val="{00000008-63EA-4558-8995-2AAE0E534CBD}"/>
            </c:ext>
          </c:extLst>
        </c:ser>
        <c:dLbls>
          <c:showLegendKey val="0"/>
          <c:showVal val="0"/>
          <c:showCatName val="0"/>
          <c:showSerName val="0"/>
          <c:showPercent val="0"/>
          <c:showBubbleSize val="0"/>
        </c:dLbls>
        <c:marker val="1"/>
        <c:smooth val="0"/>
        <c:axId val="201267840"/>
        <c:axId val="201266304"/>
      </c:lineChart>
      <c:dateAx>
        <c:axId val="20092672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0928640"/>
        <c:crosses val="autoZero"/>
        <c:auto val="0"/>
        <c:lblOffset val="0"/>
        <c:baseTimeUnit val="days"/>
      </c:dateAx>
      <c:valAx>
        <c:axId val="20092864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0926720"/>
        <c:crosses val="autoZero"/>
        <c:crossBetween val="between"/>
      </c:valAx>
      <c:valAx>
        <c:axId val="201266304"/>
        <c:scaling>
          <c:orientation val="minMax"/>
        </c:scaling>
        <c:delete val="0"/>
        <c:axPos val="r"/>
        <c:numFmt formatCode="#,##0.0_);[Red]\(#,##0.0\)" sourceLinked="0"/>
        <c:majorTickMark val="out"/>
        <c:minorTickMark val="none"/>
        <c:tickLblPos val="nextTo"/>
        <c:spPr>
          <a:ln w="3175">
            <a:solidFill>
              <a:sysClr val="windowText" lastClr="000000"/>
            </a:solidFill>
          </a:ln>
        </c:spPr>
        <c:crossAx val="201267840"/>
        <c:crosses val="max"/>
        <c:crossBetween val="between"/>
      </c:valAx>
      <c:dateAx>
        <c:axId val="201267840"/>
        <c:scaling>
          <c:orientation val="minMax"/>
        </c:scaling>
        <c:delete val="1"/>
        <c:axPos val="b"/>
        <c:numFmt formatCode="General" sourceLinked="1"/>
        <c:majorTickMark val="out"/>
        <c:minorTickMark val="none"/>
        <c:tickLblPos val="nextTo"/>
        <c:crossAx val="201266304"/>
        <c:crosses val="autoZero"/>
        <c:auto val="0"/>
        <c:lblOffset val="100"/>
        <c:baseTimeUnit val="years"/>
      </c:dateAx>
    </c:plotArea>
    <c:legend>
      <c:legendPos val="r"/>
      <c:layout>
        <c:manualLayout>
          <c:xMode val="edge"/>
          <c:yMode val="edge"/>
          <c:x val="0.11413053990868674"/>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44323</c:v>
                </c:pt>
                <c:pt idx="1">
                  <c:v>44316</c:v>
                </c:pt>
                <c:pt idx="2">
                  <c:v>44309</c:v>
                </c:pt>
                <c:pt idx="3">
                  <c:v>44302</c:v>
                </c:pt>
                <c:pt idx="4">
                  <c:v>44295</c:v>
                </c:pt>
                <c:pt idx="5">
                  <c:v>44288</c:v>
                </c:pt>
                <c:pt idx="6">
                  <c:v>44281</c:v>
                </c:pt>
                <c:pt idx="7">
                  <c:v>44274</c:v>
                </c:pt>
                <c:pt idx="8">
                  <c:v>44267</c:v>
                </c:pt>
                <c:pt idx="9">
                  <c:v>44260</c:v>
                </c:pt>
                <c:pt idx="10">
                  <c:v>44253</c:v>
                </c:pt>
                <c:pt idx="11">
                  <c:v>44246</c:v>
                </c:pt>
                <c:pt idx="12">
                  <c:v>44237</c:v>
                </c:pt>
                <c:pt idx="13">
                  <c:v>44232</c:v>
                </c:pt>
                <c:pt idx="14">
                  <c:v>44225</c:v>
                </c:pt>
                <c:pt idx="15">
                  <c:v>44218</c:v>
                </c:pt>
                <c:pt idx="16">
                  <c:v>44211</c:v>
                </c:pt>
                <c:pt idx="17">
                  <c:v>44204</c:v>
                </c:pt>
                <c:pt idx="18">
                  <c:v>44196</c:v>
                </c:pt>
                <c:pt idx="19">
                  <c:v>44190</c:v>
                </c:pt>
                <c:pt idx="20">
                  <c:v>44183</c:v>
                </c:pt>
                <c:pt idx="21">
                  <c:v>44176</c:v>
                </c:pt>
                <c:pt idx="22">
                  <c:v>44169</c:v>
                </c:pt>
                <c:pt idx="23">
                  <c:v>44162</c:v>
                </c:pt>
              </c:numCache>
            </c:numRef>
          </c:cat>
          <c:val>
            <c:numRef>
              <c:f>转债!$H$5:$H$28</c:f>
              <c:numCache>
                <c:formatCode>General</c:formatCode>
                <c:ptCount val="24"/>
                <c:pt idx="0">
                  <c:v>1.1087971395547402</c:v>
                </c:pt>
                <c:pt idx="1">
                  <c:v>0.82342038414704444</c:v>
                </c:pt>
                <c:pt idx="2">
                  <c:v>0.82532054327177917</c:v>
                </c:pt>
                <c:pt idx="3">
                  <c:v>0.10331436612591727</c:v>
                </c:pt>
                <c:pt idx="4">
                  <c:v>0.38752388092841983</c:v>
                </c:pt>
                <c:pt idx="5">
                  <c:v>1.3436839525060584E-2</c:v>
                </c:pt>
                <c:pt idx="6">
                  <c:v>-0.56920623838527806</c:v>
                </c:pt>
                <c:pt idx="7">
                  <c:v>1.4929821694487089E-3</c:v>
                </c:pt>
                <c:pt idx="8">
                  <c:v>-1.3871161610712335E-2</c:v>
                </c:pt>
                <c:pt idx="9">
                  <c:v>-0.3313063159660623</c:v>
                </c:pt>
                <c:pt idx="10">
                  <c:v>-0.80002128178220389</c:v>
                </c:pt>
                <c:pt idx="11">
                  <c:v>0.70848790222974856</c:v>
                </c:pt>
                <c:pt idx="12">
                  <c:v>-0.94429764961174723</c:v>
                </c:pt>
                <c:pt idx="13">
                  <c:v>-3.7003698795461948</c:v>
                </c:pt>
                <c:pt idx="14">
                  <c:v>-1.4701259696919156</c:v>
                </c:pt>
                <c:pt idx="15">
                  <c:v>2.4224585778883423</c:v>
                </c:pt>
                <c:pt idx="16">
                  <c:v>1.490511962587493</c:v>
                </c:pt>
                <c:pt idx="17">
                  <c:v>1.5334555588069509</c:v>
                </c:pt>
                <c:pt idx="18">
                  <c:v>-2.4050585493307075E-2</c:v>
                </c:pt>
                <c:pt idx="19">
                  <c:v>-1.2024749844051219</c:v>
                </c:pt>
                <c:pt idx="20">
                  <c:v>-1.3762038186683534</c:v>
                </c:pt>
                <c:pt idx="21">
                  <c:v>-1.5328040756784511</c:v>
                </c:pt>
                <c:pt idx="22">
                  <c:v>0.16615534289456946</c:v>
                </c:pt>
                <c:pt idx="23">
                  <c:v>0</c:v>
                </c:pt>
              </c:numCache>
            </c:numRef>
          </c:val>
          <c:smooth val="1"/>
          <c:extLst xmlns:c16r2="http://schemas.microsoft.com/office/drawing/2015/06/chart">
            <c:ext xmlns:c16="http://schemas.microsoft.com/office/drawing/2014/chart" uri="{C3380CC4-5D6E-409C-BE32-E72D297353CC}">
              <c16:uniqueId val="{00000000-F81C-41C7-B272-F1283FCBEB2C}"/>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44323</c:v>
                </c:pt>
                <c:pt idx="1">
                  <c:v>44316</c:v>
                </c:pt>
                <c:pt idx="2">
                  <c:v>44309</c:v>
                </c:pt>
                <c:pt idx="3">
                  <c:v>44302</c:v>
                </c:pt>
                <c:pt idx="4">
                  <c:v>44295</c:v>
                </c:pt>
                <c:pt idx="5">
                  <c:v>44288</c:v>
                </c:pt>
                <c:pt idx="6">
                  <c:v>44281</c:v>
                </c:pt>
                <c:pt idx="7">
                  <c:v>44274</c:v>
                </c:pt>
                <c:pt idx="8">
                  <c:v>44267</c:v>
                </c:pt>
                <c:pt idx="9">
                  <c:v>44260</c:v>
                </c:pt>
                <c:pt idx="10">
                  <c:v>44253</c:v>
                </c:pt>
                <c:pt idx="11">
                  <c:v>44246</c:v>
                </c:pt>
                <c:pt idx="12">
                  <c:v>44237</c:v>
                </c:pt>
                <c:pt idx="13">
                  <c:v>44232</c:v>
                </c:pt>
                <c:pt idx="14">
                  <c:v>44225</c:v>
                </c:pt>
                <c:pt idx="15">
                  <c:v>44218</c:v>
                </c:pt>
                <c:pt idx="16">
                  <c:v>44211</c:v>
                </c:pt>
                <c:pt idx="17">
                  <c:v>44204</c:v>
                </c:pt>
                <c:pt idx="18">
                  <c:v>44196</c:v>
                </c:pt>
                <c:pt idx="19">
                  <c:v>44190</c:v>
                </c:pt>
                <c:pt idx="20">
                  <c:v>44183</c:v>
                </c:pt>
                <c:pt idx="21">
                  <c:v>44176</c:v>
                </c:pt>
                <c:pt idx="22">
                  <c:v>44169</c:v>
                </c:pt>
                <c:pt idx="23">
                  <c:v>44162</c:v>
                </c:pt>
              </c:numCache>
            </c:numRef>
          </c:cat>
          <c:val>
            <c:numRef>
              <c:f>转债!$I$5:$I$28</c:f>
              <c:numCache>
                <c:formatCode>General</c:formatCode>
                <c:ptCount val="24"/>
                <c:pt idx="0">
                  <c:v>1.2030260732766251</c:v>
                </c:pt>
                <c:pt idx="1">
                  <c:v>1.1451882812921754</c:v>
                </c:pt>
                <c:pt idx="2">
                  <c:v>1.185032093548144</c:v>
                </c:pt>
                <c:pt idx="3">
                  <c:v>1.0565036669160088</c:v>
                </c:pt>
                <c:pt idx="4">
                  <c:v>0.75994574386684111</c:v>
                </c:pt>
                <c:pt idx="5">
                  <c:v>0.78813631210816748</c:v>
                </c:pt>
                <c:pt idx="6">
                  <c:v>0.76097397127989908</c:v>
                </c:pt>
                <c:pt idx="7">
                  <c:v>0.59131644812548956</c:v>
                </c:pt>
                <c:pt idx="8">
                  <c:v>0.50485965981097447</c:v>
                </c:pt>
                <c:pt idx="9">
                  <c:v>0.49466307129815146</c:v>
                </c:pt>
                <c:pt idx="10">
                  <c:v>0.34462755460960004</c:v>
                </c:pt>
                <c:pt idx="11">
                  <c:v>0.37161852420233288</c:v>
                </c:pt>
                <c:pt idx="12">
                  <c:v>0.44685049659101139</c:v>
                </c:pt>
                <c:pt idx="13">
                  <c:v>0.46278802149339882</c:v>
                </c:pt>
                <c:pt idx="14">
                  <c:v>0.65780848750318643</c:v>
                </c:pt>
                <c:pt idx="15">
                  <c:v>1.0401377139248602</c:v>
                </c:pt>
                <c:pt idx="16">
                  <c:v>0.96473437030069054</c:v>
                </c:pt>
                <c:pt idx="17">
                  <c:v>0.97544507252003143</c:v>
                </c:pt>
                <c:pt idx="18">
                  <c:v>0.95033918651790117</c:v>
                </c:pt>
                <c:pt idx="19">
                  <c:v>0.67194661443272796</c:v>
                </c:pt>
                <c:pt idx="20">
                  <c:v>0.34976869167486768</c:v>
                </c:pt>
                <c:pt idx="21">
                  <c:v>0.2191838102166388</c:v>
                </c:pt>
                <c:pt idx="22">
                  <c:v>0.17548414516173061</c:v>
                </c:pt>
                <c:pt idx="23">
                  <c:v>0</c:v>
                </c:pt>
              </c:numCache>
            </c:numRef>
          </c:val>
          <c:smooth val="1"/>
          <c:extLst xmlns:c16r2="http://schemas.microsoft.com/office/drawing/2015/06/chart">
            <c:ext xmlns:c16="http://schemas.microsoft.com/office/drawing/2014/chart" uri="{C3380CC4-5D6E-409C-BE32-E72D297353CC}">
              <c16:uniqueId val="{00000001-F81C-41C7-B272-F1283FCBEB2C}"/>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44323</c:v>
                </c:pt>
                <c:pt idx="1">
                  <c:v>44316</c:v>
                </c:pt>
                <c:pt idx="2">
                  <c:v>44309</c:v>
                </c:pt>
                <c:pt idx="3">
                  <c:v>44302</c:v>
                </c:pt>
                <c:pt idx="4">
                  <c:v>44295</c:v>
                </c:pt>
                <c:pt idx="5">
                  <c:v>44288</c:v>
                </c:pt>
                <c:pt idx="6">
                  <c:v>44281</c:v>
                </c:pt>
                <c:pt idx="7">
                  <c:v>44274</c:v>
                </c:pt>
                <c:pt idx="8">
                  <c:v>44267</c:v>
                </c:pt>
                <c:pt idx="9">
                  <c:v>44260</c:v>
                </c:pt>
                <c:pt idx="10">
                  <c:v>44253</c:v>
                </c:pt>
                <c:pt idx="11">
                  <c:v>44246</c:v>
                </c:pt>
                <c:pt idx="12">
                  <c:v>44237</c:v>
                </c:pt>
                <c:pt idx="13">
                  <c:v>44232</c:v>
                </c:pt>
                <c:pt idx="14">
                  <c:v>44225</c:v>
                </c:pt>
                <c:pt idx="15">
                  <c:v>44218</c:v>
                </c:pt>
                <c:pt idx="16">
                  <c:v>44211</c:v>
                </c:pt>
                <c:pt idx="17">
                  <c:v>44204</c:v>
                </c:pt>
                <c:pt idx="18">
                  <c:v>44196</c:v>
                </c:pt>
                <c:pt idx="19">
                  <c:v>44190</c:v>
                </c:pt>
                <c:pt idx="20">
                  <c:v>44183</c:v>
                </c:pt>
                <c:pt idx="21">
                  <c:v>44176</c:v>
                </c:pt>
                <c:pt idx="22">
                  <c:v>44169</c:v>
                </c:pt>
                <c:pt idx="23">
                  <c:v>44162</c:v>
                </c:pt>
              </c:numCache>
            </c:numRef>
          </c:cat>
          <c:val>
            <c:numRef>
              <c:f>转债!$J$5:$J$28</c:f>
              <c:numCache>
                <c:formatCode>General</c:formatCode>
                <c:ptCount val="24"/>
                <c:pt idx="0">
                  <c:v>0.30693477809131675</c:v>
                </c:pt>
                <c:pt idx="1">
                  <c:v>2.8655035923196293</c:v>
                </c:pt>
                <c:pt idx="2">
                  <c:v>3.1057156882527082</c:v>
                </c:pt>
                <c:pt idx="3">
                  <c:v>-0.29280441859835804</c:v>
                </c:pt>
                <c:pt idx="4">
                  <c:v>1.0956630156210956</c:v>
                </c:pt>
                <c:pt idx="5">
                  <c:v>3.629801847708114</c:v>
                </c:pt>
                <c:pt idx="6">
                  <c:v>1.1489178871117112</c:v>
                </c:pt>
                <c:pt idx="7">
                  <c:v>0.52854732154596906</c:v>
                </c:pt>
                <c:pt idx="8">
                  <c:v>3.3250635193589728</c:v>
                </c:pt>
                <c:pt idx="9">
                  <c:v>5.6623992499144071</c:v>
                </c:pt>
                <c:pt idx="10">
                  <c:v>7.1474141020505755</c:v>
                </c:pt>
                <c:pt idx="11">
                  <c:v>16.023181177991731</c:v>
                </c:pt>
                <c:pt idx="12">
                  <c:v>16.602953562354372</c:v>
                </c:pt>
                <c:pt idx="13">
                  <c:v>10.091803166782597</c:v>
                </c:pt>
                <c:pt idx="14">
                  <c:v>7.4526623922228863</c:v>
                </c:pt>
                <c:pt idx="15">
                  <c:v>11.825713519911085</c:v>
                </c:pt>
                <c:pt idx="16">
                  <c:v>9.5831905339842205</c:v>
                </c:pt>
                <c:pt idx="17">
                  <c:v>10.333063294493904</c:v>
                </c:pt>
                <c:pt idx="18">
                  <c:v>4.6282749738242979</c:v>
                </c:pt>
                <c:pt idx="19">
                  <c:v>1.2297046738804163</c:v>
                </c:pt>
                <c:pt idx="20">
                  <c:v>0.38553916918384612</c:v>
                </c:pt>
                <c:pt idx="21">
                  <c:v>-1.8297550677456198</c:v>
                </c:pt>
                <c:pt idx="22">
                  <c:v>1.709602842133684</c:v>
                </c:pt>
                <c:pt idx="23">
                  <c:v>0</c:v>
                </c:pt>
              </c:numCache>
            </c:numRef>
          </c:val>
          <c:smooth val="1"/>
          <c:extLst xmlns:c16r2="http://schemas.microsoft.com/office/drawing/2015/06/chart">
            <c:ext xmlns:c16="http://schemas.microsoft.com/office/drawing/2014/chart" uri="{C3380CC4-5D6E-409C-BE32-E72D297353CC}">
              <c16:uniqueId val="{00000002-F81C-41C7-B272-F1283FCBEB2C}"/>
            </c:ext>
          </c:extLst>
        </c:ser>
        <c:dLbls>
          <c:showLegendKey val="0"/>
          <c:showVal val="0"/>
          <c:showCatName val="0"/>
          <c:showSerName val="0"/>
          <c:showPercent val="0"/>
          <c:showBubbleSize val="0"/>
        </c:dLbls>
        <c:marker val="1"/>
        <c:smooth val="0"/>
        <c:axId val="201322880"/>
        <c:axId val="201324416"/>
      </c:lineChart>
      <c:dateAx>
        <c:axId val="20132288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201324416"/>
        <c:crosses val="autoZero"/>
        <c:auto val="0"/>
        <c:lblOffset val="0"/>
        <c:baseTimeUnit val="days"/>
        <c:majorUnit val="14"/>
        <c:majorTimeUnit val="days"/>
      </c:dateAx>
      <c:valAx>
        <c:axId val="20132441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132288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CA1C-41DB-B212-E2A2372A67E3}"/>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CA1C-41DB-B212-E2A2372A67E3}"/>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CA1C-41DB-B212-E2A2372A67E3}"/>
            </c:ext>
          </c:extLst>
        </c:ser>
        <c:dLbls>
          <c:showLegendKey val="0"/>
          <c:showVal val="0"/>
          <c:showCatName val="0"/>
          <c:showSerName val="0"/>
          <c:showPercent val="0"/>
          <c:showBubbleSize val="0"/>
        </c:dLbls>
        <c:marker val="1"/>
        <c:smooth val="0"/>
        <c:axId val="201443584"/>
        <c:axId val="201523200"/>
      </c:lineChart>
      <c:dateAx>
        <c:axId val="20144358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1523200"/>
        <c:crosses val="autoZero"/>
        <c:auto val="0"/>
        <c:lblOffset val="0"/>
        <c:baseTimeUnit val="days"/>
        <c:majorUnit val="1"/>
        <c:majorTimeUnit val="months"/>
      </c:dateAx>
      <c:valAx>
        <c:axId val="20152320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144358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7CF6-4F6A-9207-0D004FB04D05}"/>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7CF6-4F6A-9207-0D004FB04D05}"/>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7CF6-4F6A-9207-0D004FB04D05}"/>
            </c:ext>
          </c:extLst>
        </c:ser>
        <c:dLbls>
          <c:showLegendKey val="0"/>
          <c:showVal val="0"/>
          <c:showCatName val="0"/>
          <c:showSerName val="0"/>
          <c:showPercent val="0"/>
          <c:showBubbleSize val="0"/>
        </c:dLbls>
        <c:marker val="1"/>
        <c:smooth val="0"/>
        <c:axId val="201554176"/>
        <c:axId val="201555968"/>
      </c:lineChart>
      <c:dateAx>
        <c:axId val="20155417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1555968"/>
        <c:crosses val="autoZero"/>
        <c:auto val="0"/>
        <c:lblOffset val="0"/>
        <c:baseTimeUnit val="days"/>
        <c:majorUnit val="1"/>
        <c:majorTimeUnit val="months"/>
      </c:dateAx>
      <c:valAx>
        <c:axId val="20155596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155417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44324</c:v>
                </c:pt>
                <c:pt idx="1">
                  <c:v>44317</c:v>
                </c:pt>
                <c:pt idx="2">
                  <c:v>44310</c:v>
                </c:pt>
                <c:pt idx="3">
                  <c:v>44303</c:v>
                </c:pt>
                <c:pt idx="4">
                  <c:v>44296</c:v>
                </c:pt>
                <c:pt idx="5">
                  <c:v>44289</c:v>
                </c:pt>
                <c:pt idx="6">
                  <c:v>44282</c:v>
                </c:pt>
                <c:pt idx="7">
                  <c:v>44275</c:v>
                </c:pt>
                <c:pt idx="8">
                  <c:v>44268</c:v>
                </c:pt>
                <c:pt idx="9">
                  <c:v>44261</c:v>
                </c:pt>
                <c:pt idx="10">
                  <c:v>44254</c:v>
                </c:pt>
                <c:pt idx="11">
                  <c:v>44247</c:v>
                </c:pt>
                <c:pt idx="12">
                  <c:v>44240</c:v>
                </c:pt>
                <c:pt idx="13">
                  <c:v>44233</c:v>
                </c:pt>
                <c:pt idx="14">
                  <c:v>44226</c:v>
                </c:pt>
                <c:pt idx="15">
                  <c:v>44219</c:v>
                </c:pt>
                <c:pt idx="16">
                  <c:v>44212</c:v>
                </c:pt>
                <c:pt idx="17">
                  <c:v>44205</c:v>
                </c:pt>
                <c:pt idx="18">
                  <c:v>44198</c:v>
                </c:pt>
                <c:pt idx="19">
                  <c:v>44191</c:v>
                </c:pt>
                <c:pt idx="20">
                  <c:v>44184</c:v>
                </c:pt>
                <c:pt idx="21">
                  <c:v>44177</c:v>
                </c:pt>
                <c:pt idx="22">
                  <c:v>44170</c:v>
                </c:pt>
                <c:pt idx="23">
                  <c:v>44163</c:v>
                </c:pt>
                <c:pt idx="24">
                  <c:v>44156</c:v>
                </c:pt>
                <c:pt idx="25">
                  <c:v>44149</c:v>
                </c:pt>
              </c:numCache>
            </c:numRef>
          </c:cat>
          <c:val>
            <c:numRef>
              <c:f>汇率!$B$3:$B$28</c:f>
              <c:numCache>
                <c:formatCode>###,###,###,###,##0.00</c:formatCode>
                <c:ptCount val="26"/>
                <c:pt idx="0">
                  <c:v>6.4588999999999999</c:v>
                </c:pt>
                <c:pt idx="1">
                  <c:v>6.4715999999999996</c:v>
                </c:pt>
                <c:pt idx="2">
                  <c:v>6.4935999999999998</c:v>
                </c:pt>
                <c:pt idx="3">
                  <c:v>6.5228000000000002</c:v>
                </c:pt>
                <c:pt idx="4">
                  <c:v>6.5589000000000004</c:v>
                </c:pt>
                <c:pt idx="5">
                  <c:v>6.5612000000000004</c:v>
                </c:pt>
                <c:pt idx="6">
                  <c:v>6.5407000000000002</c:v>
                </c:pt>
                <c:pt idx="7">
                  <c:v>6.5045000000000002</c:v>
                </c:pt>
                <c:pt idx="8">
                  <c:v>6.5035999999999996</c:v>
                </c:pt>
                <c:pt idx="9">
                  <c:v>6.4767999999999999</c:v>
                </c:pt>
                <c:pt idx="10">
                  <c:v>6.4589999999999996</c:v>
                </c:pt>
                <c:pt idx="11">
                  <c:v>6.4574999999999996</c:v>
                </c:pt>
                <c:pt idx="12">
                  <c:v>6.4379999999999997</c:v>
                </c:pt>
                <c:pt idx="13">
                  <c:v>6.4809999999999999</c:v>
                </c:pt>
                <c:pt idx="14">
                  <c:v>6.4611999999999998</c:v>
                </c:pt>
                <c:pt idx="15">
                  <c:v>6.4776999999999996</c:v>
                </c:pt>
                <c:pt idx="16">
                  <c:v>6.4752000000000001</c:v>
                </c:pt>
                <c:pt idx="17">
                  <c:v>6.4718999999999998</c:v>
                </c:pt>
                <c:pt idx="18">
                  <c:v>6.5397999999999996</c:v>
                </c:pt>
                <c:pt idx="19">
                  <c:v>6.5240999999999998</c:v>
                </c:pt>
                <c:pt idx="20">
                  <c:v>6.5415000000000001</c:v>
                </c:pt>
                <c:pt idx="21">
                  <c:v>6.5411000000000001</c:v>
                </c:pt>
                <c:pt idx="22">
                  <c:v>6.5301999999999998</c:v>
                </c:pt>
                <c:pt idx="23">
                  <c:v>6.5823</c:v>
                </c:pt>
                <c:pt idx="24">
                  <c:v>6.5713999999999997</c:v>
                </c:pt>
                <c:pt idx="25">
                  <c:v>6.6143999999999998</c:v>
                </c:pt>
              </c:numCache>
            </c:numRef>
          </c:val>
          <c:smooth val="1"/>
          <c:extLst xmlns:c16r2="http://schemas.microsoft.com/office/drawing/2015/06/chart">
            <c:ext xmlns:c16="http://schemas.microsoft.com/office/drawing/2014/chart" uri="{C3380CC4-5D6E-409C-BE32-E72D297353CC}">
              <c16:uniqueId val="{00000000-8714-4D9D-8168-F66BE51F9761}"/>
            </c:ext>
          </c:extLst>
        </c:ser>
        <c:dLbls>
          <c:showLegendKey val="0"/>
          <c:showVal val="0"/>
          <c:showCatName val="0"/>
          <c:showSerName val="0"/>
          <c:showPercent val="0"/>
          <c:showBubbleSize val="0"/>
        </c:dLbls>
        <c:marker val="1"/>
        <c:smooth val="0"/>
        <c:axId val="201578752"/>
        <c:axId val="20160102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44324</c:v>
                </c:pt>
                <c:pt idx="1">
                  <c:v>44317</c:v>
                </c:pt>
                <c:pt idx="2">
                  <c:v>44310</c:v>
                </c:pt>
                <c:pt idx="3">
                  <c:v>44303</c:v>
                </c:pt>
                <c:pt idx="4">
                  <c:v>44296</c:v>
                </c:pt>
                <c:pt idx="5">
                  <c:v>44289</c:v>
                </c:pt>
                <c:pt idx="6">
                  <c:v>44282</c:v>
                </c:pt>
                <c:pt idx="7">
                  <c:v>44275</c:v>
                </c:pt>
                <c:pt idx="8">
                  <c:v>44268</c:v>
                </c:pt>
                <c:pt idx="9">
                  <c:v>44261</c:v>
                </c:pt>
                <c:pt idx="10">
                  <c:v>44254</c:v>
                </c:pt>
                <c:pt idx="11">
                  <c:v>44247</c:v>
                </c:pt>
                <c:pt idx="12">
                  <c:v>44240</c:v>
                </c:pt>
                <c:pt idx="13">
                  <c:v>44233</c:v>
                </c:pt>
                <c:pt idx="14">
                  <c:v>44226</c:v>
                </c:pt>
                <c:pt idx="15">
                  <c:v>44219</c:v>
                </c:pt>
                <c:pt idx="16">
                  <c:v>44212</c:v>
                </c:pt>
                <c:pt idx="17">
                  <c:v>44205</c:v>
                </c:pt>
                <c:pt idx="18">
                  <c:v>44198</c:v>
                </c:pt>
                <c:pt idx="19">
                  <c:v>44191</c:v>
                </c:pt>
                <c:pt idx="20">
                  <c:v>44184</c:v>
                </c:pt>
                <c:pt idx="21">
                  <c:v>44177</c:v>
                </c:pt>
                <c:pt idx="22">
                  <c:v>44170</c:v>
                </c:pt>
                <c:pt idx="23">
                  <c:v>44163</c:v>
                </c:pt>
                <c:pt idx="24">
                  <c:v>44156</c:v>
                </c:pt>
                <c:pt idx="25">
                  <c:v>44149</c:v>
                </c:pt>
              </c:numCache>
            </c:numRef>
          </c:cat>
          <c:val>
            <c:numRef>
              <c:f>汇率!$C$3:$C$28</c:f>
              <c:numCache>
                <c:formatCode>###,###,###,###,##0.00</c:formatCode>
                <c:ptCount val="26"/>
                <c:pt idx="0">
                  <c:v>155.88999999999999</c:v>
                </c:pt>
                <c:pt idx="1">
                  <c:v>151.40000000000003</c:v>
                </c:pt>
                <c:pt idx="2">
                  <c:v>159.19</c:v>
                </c:pt>
                <c:pt idx="3">
                  <c:v>157.31</c:v>
                </c:pt>
                <c:pt idx="4">
                  <c:v>154.21</c:v>
                </c:pt>
                <c:pt idx="5">
                  <c:v>148.13</c:v>
                </c:pt>
                <c:pt idx="6">
                  <c:v>152.85000000000002</c:v>
                </c:pt>
                <c:pt idx="7">
                  <c:v>149.64000000000001</c:v>
                </c:pt>
                <c:pt idx="8">
                  <c:v>162.13</c:v>
                </c:pt>
                <c:pt idx="9">
                  <c:v>168.56999999999996</c:v>
                </c:pt>
                <c:pt idx="10">
                  <c:v>183.98</c:v>
                </c:pt>
                <c:pt idx="11">
                  <c:v>191.78</c:v>
                </c:pt>
                <c:pt idx="12">
                  <c:v>209.49</c:v>
                </c:pt>
                <c:pt idx="13">
                  <c:v>202.64000000000001</c:v>
                </c:pt>
                <c:pt idx="14">
                  <c:v>206.86</c:v>
                </c:pt>
                <c:pt idx="15">
                  <c:v>201.85</c:v>
                </c:pt>
                <c:pt idx="16">
                  <c:v>204.07999999999998</c:v>
                </c:pt>
                <c:pt idx="17">
                  <c:v>201.56</c:v>
                </c:pt>
                <c:pt idx="18">
                  <c:v>221.29</c:v>
                </c:pt>
                <c:pt idx="19">
                  <c:v>229.03000000000003</c:v>
                </c:pt>
                <c:pt idx="20">
                  <c:v>234.02000000000004</c:v>
                </c:pt>
                <c:pt idx="21">
                  <c:v>239.51000000000002</c:v>
                </c:pt>
                <c:pt idx="22">
                  <c:v>229.50999999999996</c:v>
                </c:pt>
                <c:pt idx="23">
                  <c:v>246</c:v>
                </c:pt>
                <c:pt idx="24">
                  <c:v>248</c:v>
                </c:pt>
                <c:pt idx="25">
                  <c:v>238.15</c:v>
                </c:pt>
              </c:numCache>
            </c:numRef>
          </c:val>
          <c:smooth val="1"/>
          <c:extLst xmlns:c16r2="http://schemas.microsoft.com/office/drawing/2015/06/chart">
            <c:ext xmlns:c16="http://schemas.microsoft.com/office/drawing/2014/chart" uri="{C3380CC4-5D6E-409C-BE32-E72D297353CC}">
              <c16:uniqueId val="{00000001-8714-4D9D-8168-F66BE51F9761}"/>
            </c:ext>
          </c:extLst>
        </c:ser>
        <c:dLbls>
          <c:showLegendKey val="0"/>
          <c:showVal val="0"/>
          <c:showCatName val="0"/>
          <c:showSerName val="0"/>
          <c:showPercent val="0"/>
          <c:showBubbleSize val="0"/>
        </c:dLbls>
        <c:marker val="1"/>
        <c:smooth val="0"/>
        <c:axId val="201604096"/>
        <c:axId val="201602560"/>
      </c:lineChart>
      <c:dateAx>
        <c:axId val="20157875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1601024"/>
        <c:crosses val="autoZero"/>
        <c:auto val="0"/>
        <c:lblOffset val="0"/>
        <c:baseTimeUnit val="days"/>
      </c:dateAx>
      <c:valAx>
        <c:axId val="20160102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1578752"/>
        <c:crosses val="autoZero"/>
        <c:crossBetween val="between"/>
      </c:valAx>
      <c:valAx>
        <c:axId val="201602560"/>
        <c:scaling>
          <c:orientation val="minMax"/>
        </c:scaling>
        <c:delete val="0"/>
        <c:axPos val="r"/>
        <c:numFmt formatCode="#,##0_);[Red]\(#,##0\)" sourceLinked="0"/>
        <c:majorTickMark val="out"/>
        <c:minorTickMark val="none"/>
        <c:tickLblPos val="nextTo"/>
        <c:spPr>
          <a:ln w="3175">
            <a:solidFill>
              <a:sysClr val="windowText" lastClr="000000"/>
            </a:solidFill>
          </a:ln>
        </c:spPr>
        <c:crossAx val="201604096"/>
        <c:crosses val="max"/>
        <c:crossBetween val="between"/>
      </c:valAx>
      <c:dateAx>
        <c:axId val="201604096"/>
        <c:scaling>
          <c:orientation val="minMax"/>
        </c:scaling>
        <c:delete val="1"/>
        <c:axPos val="b"/>
        <c:numFmt formatCode="yyyy\-mm\-dd;@" sourceLinked="1"/>
        <c:majorTickMark val="out"/>
        <c:minorTickMark val="none"/>
        <c:tickLblPos val="nextTo"/>
        <c:crossAx val="20160256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B3B5-4EC2-8999-E261381E4932}"/>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B3B5-4EC2-8999-E261381E4932}"/>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B3B5-4EC2-8999-E261381E4932}"/>
            </c:ext>
          </c:extLst>
        </c:ser>
        <c:dLbls>
          <c:showLegendKey val="0"/>
          <c:showVal val="0"/>
          <c:showCatName val="0"/>
          <c:showSerName val="0"/>
          <c:showPercent val="0"/>
          <c:showBubbleSize val="0"/>
        </c:dLbls>
        <c:marker val="1"/>
        <c:smooth val="0"/>
        <c:axId val="201635712"/>
        <c:axId val="201637248"/>
      </c:lineChart>
      <c:dateAx>
        <c:axId val="20163571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201637248"/>
        <c:crosses val="autoZero"/>
        <c:auto val="0"/>
        <c:lblOffset val="0"/>
        <c:baseTimeUnit val="days"/>
        <c:majorUnit val="1"/>
        <c:majorTimeUnit val="months"/>
      </c:dateAx>
      <c:valAx>
        <c:axId val="20163724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201635712"/>
        <c:crosses val="autoZero"/>
        <c:crossBetween val="between"/>
      </c:valAx>
      <c:spPr>
        <a:solidFill>
          <a:schemeClr val="bg1"/>
        </a:solidFill>
        <a:ln>
          <a:noFill/>
        </a:ln>
        <a:effectLst/>
      </c:spPr>
    </c:plotArea>
    <c:legend>
      <c:legendPos val="r"/>
      <c:layout>
        <c:manualLayout>
          <c:xMode val="edge"/>
          <c:yMode val="edge"/>
          <c:x val="0.15225"/>
          <c:y val="2.3337707786526686E-3"/>
          <c:w val="0.75292799327657101"/>
          <c:h val="0.11442188147534189"/>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5.11632E-7</cdr:y>
    </cdr:from>
    <cdr:to>
      <cdr:x>0.14795</cdr:x>
      <cdr:y>0.09727</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43620" cy="19012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a:latin typeface="+mn-ea"/>
              <a:ea typeface="+mn-ea"/>
            </a:rPr>
            <a:t>元</a:t>
          </a:r>
          <a:r>
            <a:rPr lang="en-US" altLang="zh-CN" sz="700">
              <a:latin typeface="+mn-ea"/>
              <a:ea typeface="+mn-ea"/>
            </a:rPr>
            <a:t>/</a:t>
          </a:r>
          <a:r>
            <a:rPr lang="zh-CN" altLang="en-US" sz="700">
              <a:latin typeface="+mn-ea"/>
              <a:ea typeface="+mn-ea"/>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F76AB-CC6C-46D1-BF1B-77BE405B5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6</Pages>
  <Words>774</Words>
  <Characters>4415</Characters>
  <Application>Microsoft Office Word</Application>
  <DocSecurity>0</DocSecurity>
  <Lines>36</Lines>
  <Paragraphs>10</Paragraphs>
  <ScaleCrop>false</ScaleCrop>
  <Company>Microsoft</Company>
  <LinksUpToDate>false</LinksUpToDate>
  <CharactersWithSpaces>5179</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6</cp:revision>
  <cp:lastPrinted>2019-06-26T06:05:00Z</cp:lastPrinted>
  <dcterms:created xsi:type="dcterms:W3CDTF">2021-05-10T05:04:00Z</dcterms:created>
  <dcterms:modified xsi:type="dcterms:W3CDTF">2021-05-11T02:15:00Z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