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1CBD9B7" w:rsidR="007E1695" w:rsidRPr="00006470" w:rsidRDefault="00DE3E87" w:rsidP="00D764B0">
            <w:pPr>
              <w:jc w:val="center"/>
              <w:rPr>
                <w:rFonts w:ascii="Times New Roman" w:hAnsi="Times New Roman" w:cs="Times New Roman"/>
                <w:b/>
                <w:sz w:val="32"/>
                <w:szCs w:val="32"/>
              </w:rPr>
            </w:pPr>
            <w:r>
              <w:rPr>
                <w:rFonts w:ascii="Times New Roman" w:hAnsi="Times New Roman" w:cs="Times New Roman" w:hint="eastAsia"/>
                <w:b/>
                <w:sz w:val="32"/>
                <w:szCs w:val="32"/>
              </w:rPr>
              <w:t>市场震荡，</w:t>
            </w:r>
            <w:r w:rsidRPr="00DE3E87">
              <w:rPr>
                <w:rFonts w:ascii="Times New Roman" w:hAnsi="Times New Roman" w:cs="Times New Roman" w:hint="eastAsia"/>
                <w:b/>
                <w:sz w:val="32"/>
                <w:szCs w:val="32"/>
              </w:rPr>
              <w:t>通胀预期再起</w:t>
            </w:r>
            <w:r w:rsidRPr="00DE3E87">
              <w:rPr>
                <w:rFonts w:ascii="Times New Roman" w:hAnsi="Times New Roman" w:cs="Times New Roman"/>
                <w:b/>
                <w:sz w:val="32"/>
                <w:szCs w:val="32"/>
              </w:rPr>
              <w:t xml:space="preserve"> </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7E6547ED"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BB3336">
        <w:rPr>
          <w:rFonts w:ascii="Times New Roman" w:eastAsia="楷体" w:hAnsi="Times New Roman" w:cs="Times New Roman" w:hint="eastAsia"/>
          <w:sz w:val="24"/>
        </w:rPr>
        <w:t>大宗商品价格上涨，通胀预期提升</w:t>
      </w:r>
      <w:r w:rsidR="00C57760" w:rsidRPr="00006470">
        <w:rPr>
          <w:rFonts w:ascii="Times New Roman" w:eastAsia="楷体" w:hAnsi="Times New Roman" w:cs="Times New Roman"/>
          <w:sz w:val="24"/>
        </w:rPr>
        <w:t xml:space="preserve"> </w:t>
      </w:r>
    </w:p>
    <w:bookmarkEnd w:id="0"/>
    <w:p w14:paraId="204E4DF2" w14:textId="046BF99B" w:rsidR="00BB3336" w:rsidRDefault="00BB3336" w:rsidP="00D430D3">
      <w:pPr>
        <w:ind w:firstLineChars="200" w:firstLine="480"/>
        <w:rPr>
          <w:rFonts w:ascii="Times New Roman" w:eastAsia="楷体" w:hAnsi="Times New Roman" w:cs="Times New Roman"/>
          <w:color w:val="000000" w:themeColor="text1"/>
        </w:rPr>
      </w:pPr>
      <w:r w:rsidRPr="00BB3336">
        <w:rPr>
          <w:rFonts w:ascii="Times New Roman" w:eastAsia="楷体" w:hAnsi="Times New Roman" w:cs="Times New Roman" w:hint="eastAsia"/>
          <w:color w:val="000000" w:themeColor="text1"/>
        </w:rPr>
        <w:t>五一期间海外大宗商品价格普涨。</w:t>
      </w:r>
      <w:r w:rsidRPr="00BB3336">
        <w:rPr>
          <w:rFonts w:ascii="Times New Roman" w:eastAsia="楷体" w:hAnsi="Times New Roman" w:cs="Times New Roman" w:hint="eastAsia"/>
          <w:color w:val="000000" w:themeColor="text1"/>
        </w:rPr>
        <w:t>WTI</w:t>
      </w:r>
      <w:r w:rsidRPr="00BB3336">
        <w:rPr>
          <w:rFonts w:ascii="Times New Roman" w:eastAsia="楷体" w:hAnsi="Times New Roman" w:cs="Times New Roman" w:hint="eastAsia"/>
          <w:color w:val="000000" w:themeColor="text1"/>
        </w:rPr>
        <w:t>原油、</w:t>
      </w:r>
      <w:r w:rsidRPr="00BB3336">
        <w:rPr>
          <w:rFonts w:ascii="Times New Roman" w:eastAsia="楷体" w:hAnsi="Times New Roman" w:cs="Times New Roman" w:hint="eastAsia"/>
          <w:color w:val="000000" w:themeColor="text1"/>
        </w:rPr>
        <w:t>ICE</w:t>
      </w:r>
      <w:r w:rsidRPr="00BB3336">
        <w:rPr>
          <w:rFonts w:ascii="Times New Roman" w:eastAsia="楷体" w:hAnsi="Times New Roman" w:cs="Times New Roman" w:hint="eastAsia"/>
          <w:color w:val="000000" w:themeColor="text1"/>
        </w:rPr>
        <w:t>布油、</w:t>
      </w:r>
      <w:r w:rsidRPr="00BB3336">
        <w:rPr>
          <w:rFonts w:ascii="Times New Roman" w:eastAsia="楷体" w:hAnsi="Times New Roman" w:cs="Times New Roman" w:hint="eastAsia"/>
          <w:color w:val="000000" w:themeColor="text1"/>
        </w:rPr>
        <w:t>LME</w:t>
      </w:r>
      <w:r w:rsidRPr="00BB3336">
        <w:rPr>
          <w:rFonts w:ascii="Times New Roman" w:eastAsia="楷体" w:hAnsi="Times New Roman" w:cs="Times New Roman" w:hint="eastAsia"/>
          <w:color w:val="000000" w:themeColor="text1"/>
        </w:rPr>
        <w:t>铜、</w:t>
      </w:r>
      <w:r w:rsidRPr="00BB3336">
        <w:rPr>
          <w:rFonts w:ascii="Times New Roman" w:eastAsia="楷体" w:hAnsi="Times New Roman" w:cs="Times New Roman" w:hint="eastAsia"/>
          <w:color w:val="000000" w:themeColor="text1"/>
        </w:rPr>
        <w:t>LME</w:t>
      </w:r>
      <w:r w:rsidRPr="00BB3336">
        <w:rPr>
          <w:rFonts w:ascii="Times New Roman" w:eastAsia="楷体" w:hAnsi="Times New Roman" w:cs="Times New Roman" w:hint="eastAsia"/>
          <w:color w:val="000000" w:themeColor="text1"/>
        </w:rPr>
        <w:t>铝、</w:t>
      </w:r>
      <w:r w:rsidRPr="00BB3336">
        <w:rPr>
          <w:rFonts w:ascii="Times New Roman" w:eastAsia="楷体" w:hAnsi="Times New Roman" w:cs="Times New Roman" w:hint="eastAsia"/>
          <w:color w:val="000000" w:themeColor="text1"/>
        </w:rPr>
        <w:t>COMEX</w:t>
      </w:r>
      <w:r w:rsidRPr="00BB3336">
        <w:rPr>
          <w:rFonts w:ascii="Times New Roman" w:eastAsia="楷体" w:hAnsi="Times New Roman" w:cs="Times New Roman" w:hint="eastAsia"/>
          <w:color w:val="000000" w:themeColor="text1"/>
        </w:rPr>
        <w:t>黄金分别上涨</w:t>
      </w:r>
      <w:r w:rsidRPr="00BB3336">
        <w:rPr>
          <w:rFonts w:ascii="Times New Roman" w:eastAsia="楷体" w:hAnsi="Times New Roman" w:cs="Times New Roman" w:hint="eastAsia"/>
          <w:color w:val="000000" w:themeColor="text1"/>
        </w:rPr>
        <w:t>4.53%</w:t>
      </w:r>
      <w:r w:rsidRPr="00BB3336">
        <w:rPr>
          <w:rFonts w:ascii="Times New Roman" w:eastAsia="楷体" w:hAnsi="Times New Roman" w:cs="Times New Roman" w:hint="eastAsia"/>
          <w:color w:val="000000" w:themeColor="text1"/>
        </w:rPr>
        <w:t>、</w:t>
      </w:r>
      <w:r w:rsidRPr="00BB3336">
        <w:rPr>
          <w:rFonts w:ascii="Times New Roman" w:eastAsia="楷体" w:hAnsi="Times New Roman" w:cs="Times New Roman" w:hint="eastAsia"/>
          <w:color w:val="000000" w:themeColor="text1"/>
        </w:rPr>
        <w:t>4.39%</w:t>
      </w:r>
      <w:r w:rsidRPr="00BB3336">
        <w:rPr>
          <w:rFonts w:ascii="Times New Roman" w:eastAsia="楷体" w:hAnsi="Times New Roman" w:cs="Times New Roman" w:hint="eastAsia"/>
          <w:color w:val="000000" w:themeColor="text1"/>
        </w:rPr>
        <w:t>、</w:t>
      </w:r>
      <w:r w:rsidRPr="00BB3336">
        <w:rPr>
          <w:rFonts w:ascii="Times New Roman" w:eastAsia="楷体" w:hAnsi="Times New Roman" w:cs="Times New Roman" w:hint="eastAsia"/>
          <w:color w:val="000000" w:themeColor="text1"/>
        </w:rPr>
        <w:t>1.44%</w:t>
      </w:r>
      <w:r w:rsidRPr="00BB3336">
        <w:rPr>
          <w:rFonts w:ascii="Times New Roman" w:eastAsia="楷体" w:hAnsi="Times New Roman" w:cs="Times New Roman" w:hint="eastAsia"/>
          <w:color w:val="000000" w:themeColor="text1"/>
        </w:rPr>
        <w:t>、</w:t>
      </w:r>
      <w:r w:rsidRPr="00BB3336">
        <w:rPr>
          <w:rFonts w:ascii="Times New Roman" w:eastAsia="楷体" w:hAnsi="Times New Roman" w:cs="Times New Roman" w:hint="eastAsia"/>
          <w:color w:val="000000" w:themeColor="text1"/>
        </w:rPr>
        <w:t>1.29%</w:t>
      </w:r>
      <w:r w:rsidRPr="00BB3336">
        <w:rPr>
          <w:rFonts w:ascii="Times New Roman" w:eastAsia="楷体" w:hAnsi="Times New Roman" w:cs="Times New Roman" w:hint="eastAsia"/>
          <w:color w:val="000000" w:themeColor="text1"/>
        </w:rPr>
        <w:t>、</w:t>
      </w:r>
      <w:r w:rsidRPr="00BB3336">
        <w:rPr>
          <w:rFonts w:ascii="Times New Roman" w:eastAsia="楷体" w:hAnsi="Times New Roman" w:cs="Times New Roman" w:hint="eastAsia"/>
          <w:color w:val="000000" w:themeColor="text1"/>
        </w:rPr>
        <w:t>0.74%</w:t>
      </w:r>
      <w:r w:rsidRPr="00BB3336">
        <w:rPr>
          <w:rFonts w:ascii="Times New Roman" w:eastAsia="楷体" w:hAnsi="Times New Roman" w:cs="Times New Roman" w:hint="eastAsia"/>
          <w:color w:val="000000" w:themeColor="text1"/>
        </w:rPr>
        <w:t>。各国股指普遍下跌，其中纳斯达克指数在</w:t>
      </w:r>
      <w:proofErr w:type="gramStart"/>
      <w:r w:rsidRPr="00BB3336">
        <w:rPr>
          <w:rFonts w:ascii="Times New Roman" w:eastAsia="楷体" w:hAnsi="Times New Roman" w:cs="Times New Roman" w:hint="eastAsia"/>
          <w:color w:val="000000" w:themeColor="text1"/>
        </w:rPr>
        <w:t>耶伦讲话</w:t>
      </w:r>
      <w:proofErr w:type="gramEnd"/>
      <w:r w:rsidRPr="00BB3336">
        <w:rPr>
          <w:rFonts w:ascii="Times New Roman" w:eastAsia="楷体" w:hAnsi="Times New Roman" w:cs="Times New Roman" w:hint="eastAsia"/>
          <w:color w:val="000000" w:themeColor="text1"/>
        </w:rPr>
        <w:t>后下跌幅度最大，达</w:t>
      </w:r>
      <w:r w:rsidRPr="00BB3336">
        <w:rPr>
          <w:rFonts w:ascii="Times New Roman" w:eastAsia="楷体" w:hAnsi="Times New Roman" w:cs="Times New Roman" w:hint="eastAsia"/>
          <w:color w:val="000000" w:themeColor="text1"/>
        </w:rPr>
        <w:t>-2.36%</w:t>
      </w:r>
      <w:r w:rsidRPr="00BB3336">
        <w:rPr>
          <w:rFonts w:ascii="Times New Roman" w:eastAsia="楷体" w:hAnsi="Times New Roman" w:cs="Times New Roman" w:hint="eastAsia"/>
          <w:color w:val="000000" w:themeColor="text1"/>
        </w:rPr>
        <w:t>，不过道琼斯指数上涨</w:t>
      </w:r>
      <w:r w:rsidRPr="00BB3336">
        <w:rPr>
          <w:rFonts w:ascii="Times New Roman" w:eastAsia="楷体" w:hAnsi="Times New Roman" w:cs="Times New Roman" w:hint="eastAsia"/>
          <w:color w:val="000000" w:themeColor="text1"/>
        </w:rPr>
        <w:t>0.76%</w:t>
      </w:r>
      <w:r w:rsidRPr="00BB3336">
        <w:rPr>
          <w:rFonts w:ascii="Times New Roman" w:eastAsia="楷体" w:hAnsi="Times New Roman" w:cs="Times New Roman" w:hint="eastAsia"/>
          <w:color w:val="000000" w:themeColor="text1"/>
        </w:rPr>
        <w:t>。大宗商品与道指共同上行，也反映了当前经济修复</w:t>
      </w:r>
      <w:r w:rsidRPr="00BB3336">
        <w:rPr>
          <w:rFonts w:ascii="Times New Roman" w:eastAsia="楷体" w:hAnsi="Times New Roman" w:cs="Times New Roman" w:hint="eastAsia"/>
          <w:color w:val="000000" w:themeColor="text1"/>
        </w:rPr>
        <w:t>+</w:t>
      </w:r>
      <w:r w:rsidRPr="00BB3336">
        <w:rPr>
          <w:rFonts w:ascii="Times New Roman" w:eastAsia="楷体" w:hAnsi="Times New Roman" w:cs="Times New Roman" w:hint="eastAsia"/>
          <w:color w:val="000000" w:themeColor="text1"/>
        </w:rPr>
        <w:t>通胀预期持续走高带来的顺周期行业上涨逻辑仍存在，近期美国通胀预期也呈现持续走高趋势，最高突破</w:t>
      </w:r>
      <w:r w:rsidRPr="00BB3336">
        <w:rPr>
          <w:rFonts w:ascii="Times New Roman" w:eastAsia="楷体" w:hAnsi="Times New Roman" w:cs="Times New Roman" w:hint="eastAsia"/>
          <w:color w:val="000000" w:themeColor="text1"/>
        </w:rPr>
        <w:t>2.56%</w:t>
      </w:r>
      <w:r w:rsidRPr="00BB3336">
        <w:rPr>
          <w:rFonts w:ascii="Times New Roman" w:eastAsia="楷体" w:hAnsi="Times New Roman" w:cs="Times New Roman" w:hint="eastAsia"/>
          <w:color w:val="000000" w:themeColor="text1"/>
        </w:rPr>
        <w:t>，创</w:t>
      </w:r>
      <w:r w:rsidRPr="00BB3336">
        <w:rPr>
          <w:rFonts w:ascii="Times New Roman" w:eastAsia="楷体" w:hAnsi="Times New Roman" w:cs="Times New Roman" w:hint="eastAsia"/>
          <w:color w:val="000000" w:themeColor="text1"/>
        </w:rPr>
        <w:t>2014</w:t>
      </w:r>
      <w:r w:rsidRPr="00BB3336">
        <w:rPr>
          <w:rFonts w:ascii="Times New Roman" w:eastAsia="楷体" w:hAnsi="Times New Roman" w:cs="Times New Roman" w:hint="eastAsia"/>
          <w:color w:val="000000" w:themeColor="text1"/>
        </w:rPr>
        <w:t>年</w:t>
      </w:r>
      <w:r w:rsidRPr="00BB3336">
        <w:rPr>
          <w:rFonts w:ascii="Times New Roman" w:eastAsia="楷体" w:hAnsi="Times New Roman" w:cs="Times New Roman" w:hint="eastAsia"/>
          <w:color w:val="000000" w:themeColor="text1"/>
        </w:rPr>
        <w:t>8</w:t>
      </w:r>
      <w:r w:rsidRPr="00BB3336">
        <w:rPr>
          <w:rFonts w:ascii="Times New Roman" w:eastAsia="楷体" w:hAnsi="Times New Roman" w:cs="Times New Roman" w:hint="eastAsia"/>
          <w:color w:val="000000" w:themeColor="text1"/>
        </w:rPr>
        <w:t>月以来新高。</w:t>
      </w:r>
    </w:p>
    <w:p w14:paraId="4C979505" w14:textId="503C75AE" w:rsidR="0030650C" w:rsidRPr="0096771A" w:rsidRDefault="00BB3336" w:rsidP="00D430D3">
      <w:pPr>
        <w:ind w:firstLineChars="200" w:firstLine="480"/>
        <w:rPr>
          <w:rFonts w:ascii="Times New Roman" w:eastAsia="楷体" w:hAnsi="Times New Roman" w:cs="Times New Roman"/>
          <w:color w:val="000000" w:themeColor="text1"/>
        </w:rPr>
      </w:pPr>
      <w:proofErr w:type="gramStart"/>
      <w:r w:rsidRPr="00BB3336">
        <w:rPr>
          <w:rFonts w:ascii="Times New Roman" w:eastAsia="楷体" w:hAnsi="Times New Roman" w:cs="Times New Roman" w:hint="eastAsia"/>
          <w:color w:val="000000" w:themeColor="text1"/>
        </w:rPr>
        <w:t>耶伦在</w:t>
      </w:r>
      <w:proofErr w:type="gramEnd"/>
      <w:r w:rsidRPr="00BB3336">
        <w:rPr>
          <w:rFonts w:ascii="Times New Roman" w:eastAsia="楷体" w:hAnsi="Times New Roman" w:cs="Times New Roman" w:hint="eastAsia"/>
          <w:color w:val="000000" w:themeColor="text1"/>
        </w:rPr>
        <w:t>华尔街日报的活动中表示关于提高利率的表态并非是其政策建议，且经济不会出现通胀问题，并强调美联储货币政策的独立性，美联储有充足的工具控制通胀。</w:t>
      </w:r>
      <w:r w:rsidR="00C57760" w:rsidRPr="0096771A">
        <w:rPr>
          <w:rFonts w:ascii="Times New Roman" w:eastAsia="楷体" w:hAnsi="Times New Roman" w:cs="Times New Roman" w:hint="eastAsia"/>
          <w:color w:val="000000" w:themeColor="text1"/>
        </w:rPr>
        <w:t xml:space="preserve"> </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19A7FD00"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54042C">
        <w:rPr>
          <w:rFonts w:ascii="Times New Roman" w:eastAsia="楷体" w:hAnsi="Times New Roman" w:cs="Times New Roman" w:hint="eastAsia"/>
          <w:color w:val="000000" w:themeColor="text1"/>
        </w:rPr>
        <w:t>LME</w:t>
      </w:r>
      <w:r w:rsidR="0054042C">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5.98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C7602F">
        <w:rPr>
          <w:rFonts w:ascii="Times New Roman" w:eastAsia="楷体" w:hAnsi="Times New Roman" w:cs="Times New Roman" w:hint="eastAsia"/>
          <w:color w:val="000000" w:themeColor="text1"/>
        </w:rPr>
        <w:t>LME</w:t>
      </w:r>
      <w:r w:rsidR="00C7602F">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5.63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5.30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772498">
        <w:rPr>
          <w:rFonts w:ascii="Times New Roman" w:eastAsia="楷体" w:hAnsi="Times New Roman" w:cs="Times New Roman" w:hint="eastAsia"/>
          <w:color w:val="000000" w:themeColor="text1"/>
        </w:rPr>
        <w:t>万得全</w:t>
      </w:r>
      <w:r w:rsidR="00772498">
        <w:rPr>
          <w:rFonts w:ascii="Times New Roman" w:eastAsia="楷体" w:hAnsi="Times New Roman" w:cs="Times New Roman" w:hint="eastAsia"/>
          <w:color w:val="000000" w:themeColor="text1"/>
        </w:rPr>
        <w:t>A</w:t>
      </w:r>
      <w:r w:rsidR="0054042C">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7602F">
        <w:rPr>
          <w:rFonts w:ascii="Times New Roman" w:eastAsia="楷体" w:hAnsi="Times New Roman" w:cs="Times New Roman" w:hint="eastAsia"/>
          <w:color w:val="000000" w:themeColor="text1"/>
        </w:rPr>
        <w:t>1.</w:t>
      </w:r>
      <w:r w:rsidR="00772498">
        <w:rPr>
          <w:rFonts w:ascii="Times New Roman" w:eastAsia="楷体" w:hAnsi="Times New Roman" w:cs="Times New Roman" w:hint="eastAsia"/>
          <w:color w:val="000000" w:themeColor="text1"/>
        </w:rPr>
        <w:t>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纳斯达克</w:t>
      </w:r>
      <w:r w:rsidR="00C7602F">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1.51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美元指数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1.16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772498">
        <w:rPr>
          <w:rFonts w:ascii="Times New Roman" w:eastAsia="楷体" w:hAnsi="Times New Roman" w:cs="Times New Roman" w:hint="eastAsia"/>
          <w:color w:val="000000" w:themeColor="text1"/>
        </w:rPr>
        <w:t>多数上涨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C7602F">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2.29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72498">
        <w:rPr>
          <w:rFonts w:ascii="Times New Roman" w:eastAsia="楷体" w:hAnsi="Times New Roman" w:cs="Times New Roman" w:hint="eastAsia"/>
          <w:color w:val="000000" w:themeColor="text1"/>
        </w:rPr>
        <w:t>+1.74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C7602F">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1.85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772498">
        <w:rPr>
          <w:rFonts w:ascii="Times New Roman" w:eastAsia="楷体" w:hAnsi="Times New Roman" w:cs="Times New Roman" w:hint="eastAsia"/>
          <w:color w:val="000000" w:themeColor="text1"/>
        </w:rPr>
        <w:t>呈现差异化</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54042C">
        <w:rPr>
          <w:rFonts w:ascii="Times New Roman" w:eastAsia="楷体" w:hAnsi="Times New Roman" w:cs="Times New Roman" w:hint="eastAsia"/>
          <w:color w:val="000000" w:themeColor="text1"/>
        </w:rPr>
        <w:t>-</w:t>
      </w:r>
      <w:r w:rsidR="00D764B0">
        <w:rPr>
          <w:rFonts w:ascii="Times New Roman" w:eastAsia="楷体" w:hAnsi="Times New Roman" w:cs="Times New Roman" w:hint="eastAsia"/>
          <w:color w:val="000000" w:themeColor="text1"/>
        </w:rPr>
        <w:t>1.51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0431DF">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1.23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772498">
        <w:rPr>
          <w:rFonts w:ascii="Times New Roman" w:eastAsia="楷体" w:hAnsi="Times New Roman" w:cs="Times New Roman" w:hint="eastAsia"/>
          <w:color w:val="000000" w:themeColor="text1"/>
        </w:rPr>
        <w:t>2.67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76E460B5"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772498">
        <w:rPr>
          <w:rFonts w:ascii="Times New Roman" w:eastAsia="楷体" w:hAnsi="Times New Roman" w:cs="Times New Roman" w:hint="eastAsia"/>
          <w:color w:val="000000" w:themeColor="text1"/>
        </w:rPr>
        <w:t>普遍下跌</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中证</w:t>
      </w:r>
      <w:r w:rsidR="00772498">
        <w:rPr>
          <w:rFonts w:ascii="Times New Roman" w:eastAsia="楷体" w:hAnsi="Times New Roman" w:cs="Times New Roman" w:hint="eastAsia"/>
          <w:color w:val="000000" w:themeColor="text1"/>
        </w:rPr>
        <w:t>500</w:t>
      </w:r>
      <w:r w:rsidR="00820B9F">
        <w:rPr>
          <w:rFonts w:ascii="Times New Roman" w:eastAsia="楷体" w:hAnsi="Times New Roman" w:cs="Times New Roman" w:hint="eastAsia"/>
          <w:color w:val="000000" w:themeColor="text1"/>
        </w:rPr>
        <w:t>指数</w:t>
      </w:r>
      <w:r w:rsidR="00D764B0">
        <w:rPr>
          <w:rFonts w:ascii="Times New Roman" w:eastAsia="楷体" w:hAnsi="Times New Roman" w:cs="Times New Roman" w:hint="eastAsia"/>
          <w:color w:val="000000" w:themeColor="text1"/>
        </w:rPr>
        <w:t>跌幅较小</w:t>
      </w:r>
      <w:r w:rsidRPr="00D127E3">
        <w:rPr>
          <w:rFonts w:ascii="Times New Roman" w:eastAsia="楷体" w:hAnsi="Times New Roman" w:cs="Times New Roman" w:hint="eastAsia"/>
          <w:color w:val="000000" w:themeColor="text1"/>
        </w:rPr>
        <w:t>，</w:t>
      </w:r>
      <w:r w:rsidR="00D764B0">
        <w:rPr>
          <w:rFonts w:ascii="Times New Roman" w:eastAsia="楷体" w:hAnsi="Times New Roman" w:cs="Times New Roman" w:hint="eastAsia"/>
          <w:color w:val="000000" w:themeColor="text1"/>
        </w:rPr>
        <w:t>周内下跌</w:t>
      </w:r>
      <w:r w:rsidR="00772498">
        <w:rPr>
          <w:rFonts w:ascii="Times New Roman" w:eastAsia="楷体" w:hAnsi="Times New Roman" w:cs="Times New Roman" w:hint="eastAsia"/>
          <w:color w:val="000000" w:themeColor="text1"/>
        </w:rPr>
        <w:t>0.64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0431DF">
        <w:rPr>
          <w:rFonts w:ascii="Times New Roman" w:eastAsia="楷体" w:hAnsi="Times New Roman" w:cs="Times New Roman" w:hint="eastAsia"/>
          <w:color w:val="000000" w:themeColor="text1"/>
        </w:rPr>
        <w:t>下跌</w:t>
      </w:r>
      <w:r w:rsidR="00772498">
        <w:rPr>
          <w:rFonts w:ascii="Times New Roman" w:eastAsia="楷体" w:hAnsi="Times New Roman" w:cs="Times New Roman" w:hint="eastAsia"/>
          <w:color w:val="000000" w:themeColor="text1"/>
        </w:rPr>
        <w:t>0.81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772498">
        <w:rPr>
          <w:rFonts w:ascii="Times New Roman" w:eastAsia="楷体" w:hAnsi="Times New Roman" w:cs="Times New Roman" w:hint="eastAsia"/>
          <w:color w:val="000000" w:themeColor="text1"/>
        </w:rPr>
        <w:t>18.87</w:t>
      </w:r>
      <w:r w:rsidRPr="00D127E3">
        <w:rPr>
          <w:rFonts w:ascii="Times New Roman" w:eastAsia="楷体" w:hAnsi="Times New Roman" w:cs="Times New Roman" w:hint="eastAsia"/>
          <w:color w:val="000000" w:themeColor="text1"/>
        </w:rPr>
        <w:t>点；深证成指周内</w:t>
      </w:r>
      <w:r w:rsidR="000431DF">
        <w:rPr>
          <w:rFonts w:ascii="Times New Roman" w:eastAsia="楷体" w:hAnsi="Times New Roman" w:cs="Times New Roman" w:hint="eastAsia"/>
          <w:color w:val="000000" w:themeColor="text1"/>
        </w:rPr>
        <w:t>下跌</w:t>
      </w:r>
      <w:r w:rsidR="00772498">
        <w:rPr>
          <w:rFonts w:ascii="Times New Roman" w:eastAsia="楷体" w:hAnsi="Times New Roman" w:cs="Times New Roman" w:hint="eastAsia"/>
          <w:color w:val="000000" w:themeColor="text1"/>
        </w:rPr>
        <w:t>3.50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13933.81</w:t>
      </w:r>
      <w:r w:rsidRPr="00D127E3">
        <w:rPr>
          <w:rFonts w:ascii="Times New Roman" w:eastAsia="楷体" w:hAnsi="Times New Roman" w:cs="Times New Roman" w:hint="eastAsia"/>
          <w:color w:val="000000" w:themeColor="text1"/>
        </w:rPr>
        <w:t>点；创业板指周内</w:t>
      </w:r>
      <w:r w:rsidR="00772498">
        <w:rPr>
          <w:rFonts w:ascii="Times New Roman" w:eastAsia="楷体" w:hAnsi="Times New Roman" w:cs="Times New Roman" w:hint="eastAsia"/>
          <w:color w:val="000000" w:themeColor="text1"/>
        </w:rPr>
        <w:t>下跌</w:t>
      </w:r>
      <w:r w:rsidR="00772498">
        <w:rPr>
          <w:rFonts w:ascii="Times New Roman" w:eastAsia="楷体" w:hAnsi="Times New Roman" w:cs="Times New Roman" w:hint="eastAsia"/>
          <w:color w:val="000000" w:themeColor="text1"/>
        </w:rPr>
        <w:t>5.85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2910.41</w:t>
      </w:r>
      <w:r w:rsidRPr="00D127E3">
        <w:rPr>
          <w:rFonts w:ascii="Times New Roman" w:eastAsia="楷体" w:hAnsi="Times New Roman" w:cs="Times New Roman" w:hint="eastAsia"/>
          <w:color w:val="000000" w:themeColor="text1"/>
        </w:rPr>
        <w:t>点。两市周内日均成交</w:t>
      </w:r>
      <w:r w:rsidR="00772498">
        <w:rPr>
          <w:rFonts w:ascii="Times New Roman" w:eastAsia="楷体" w:hAnsi="Times New Roman" w:cs="Times New Roman" w:hint="eastAsia"/>
          <w:color w:val="000000" w:themeColor="text1"/>
        </w:rPr>
        <w:t>8796.88</w:t>
      </w:r>
      <w:r w:rsidRPr="00D127E3">
        <w:rPr>
          <w:rFonts w:ascii="Times New Roman" w:eastAsia="楷体" w:hAnsi="Times New Roman" w:cs="Times New Roman" w:hint="eastAsia"/>
          <w:color w:val="000000" w:themeColor="text1"/>
        </w:rPr>
        <w:t>亿元，较上周</w:t>
      </w:r>
      <w:r w:rsidR="0054042C">
        <w:rPr>
          <w:rFonts w:ascii="Times New Roman" w:eastAsia="楷体" w:hAnsi="Times New Roman" w:cs="Times New Roman" w:hint="eastAsia"/>
          <w:color w:val="000000" w:themeColor="text1"/>
        </w:rPr>
        <w:t>增加</w:t>
      </w:r>
      <w:r w:rsidR="00772498">
        <w:rPr>
          <w:rFonts w:ascii="Times New Roman" w:eastAsia="楷体" w:hAnsi="Times New Roman" w:cs="Times New Roman" w:hint="eastAsia"/>
          <w:color w:val="000000" w:themeColor="text1"/>
        </w:rPr>
        <w:t>496.57</w:t>
      </w:r>
      <w:r w:rsidRPr="00D127E3">
        <w:rPr>
          <w:rFonts w:ascii="Times New Roman" w:eastAsia="楷体" w:hAnsi="Times New Roman" w:cs="Times New Roman" w:hint="eastAsia"/>
          <w:color w:val="000000" w:themeColor="text1"/>
        </w:rPr>
        <w:t>亿元。两市个股周内</w:t>
      </w:r>
      <w:r w:rsidR="0054042C">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772498">
        <w:rPr>
          <w:rFonts w:ascii="Times New Roman" w:eastAsia="楷体" w:hAnsi="Times New Roman" w:cs="Times New Roman" w:hint="eastAsia"/>
          <w:color w:val="000000" w:themeColor="text1"/>
        </w:rPr>
        <w:t>1742</w:t>
      </w:r>
      <w:r w:rsidRPr="00D127E3">
        <w:rPr>
          <w:rFonts w:ascii="Times New Roman" w:eastAsia="楷体" w:hAnsi="Times New Roman" w:cs="Times New Roman" w:hint="eastAsia"/>
          <w:color w:val="000000" w:themeColor="text1"/>
        </w:rPr>
        <w:t>家上涨，</w:t>
      </w:r>
      <w:r w:rsidR="00772498">
        <w:rPr>
          <w:rFonts w:ascii="Times New Roman" w:eastAsia="楷体" w:hAnsi="Times New Roman" w:cs="Times New Roman" w:hint="eastAsia"/>
          <w:color w:val="000000" w:themeColor="text1"/>
        </w:rPr>
        <w:t>62</w:t>
      </w:r>
      <w:r w:rsidRPr="00D127E3">
        <w:rPr>
          <w:rFonts w:ascii="Times New Roman" w:eastAsia="楷体" w:hAnsi="Times New Roman" w:cs="Times New Roman" w:hint="eastAsia"/>
          <w:color w:val="000000" w:themeColor="text1"/>
        </w:rPr>
        <w:t>家平盘，</w:t>
      </w:r>
      <w:r w:rsidR="00772498">
        <w:rPr>
          <w:rFonts w:ascii="Times New Roman" w:eastAsia="楷体" w:hAnsi="Times New Roman" w:cs="Times New Roman" w:hint="eastAsia"/>
          <w:color w:val="000000" w:themeColor="text1"/>
        </w:rPr>
        <w:t>2477</w:t>
      </w:r>
      <w:r w:rsidRPr="00D127E3">
        <w:rPr>
          <w:rFonts w:ascii="Times New Roman" w:eastAsia="楷体" w:hAnsi="Times New Roman" w:cs="Times New Roman" w:hint="eastAsia"/>
          <w:color w:val="000000" w:themeColor="text1"/>
        </w:rPr>
        <w:t>家下跌；全市场本周累计涨停</w:t>
      </w:r>
      <w:r w:rsidR="00772498">
        <w:rPr>
          <w:rFonts w:ascii="Times New Roman" w:eastAsia="楷体" w:hAnsi="Times New Roman" w:cs="Times New Roman" w:hint="eastAsia"/>
          <w:color w:val="000000" w:themeColor="text1"/>
        </w:rPr>
        <w:t>169</w:t>
      </w:r>
      <w:r w:rsidRPr="00D127E3">
        <w:rPr>
          <w:rFonts w:ascii="Times New Roman" w:eastAsia="楷体" w:hAnsi="Times New Roman" w:cs="Times New Roman" w:hint="eastAsia"/>
          <w:color w:val="000000" w:themeColor="text1"/>
        </w:rPr>
        <w:t>家，本周累计跌停</w:t>
      </w:r>
      <w:r w:rsidR="00772498">
        <w:rPr>
          <w:rFonts w:ascii="Times New Roman" w:eastAsia="楷体" w:hAnsi="Times New Roman" w:cs="Times New Roman" w:hint="eastAsia"/>
          <w:color w:val="000000" w:themeColor="text1"/>
        </w:rPr>
        <w:t>96</w:t>
      </w:r>
      <w:r w:rsidRPr="00D127E3">
        <w:rPr>
          <w:rFonts w:ascii="Times New Roman" w:eastAsia="楷体" w:hAnsi="Times New Roman" w:cs="Times New Roman" w:hint="eastAsia"/>
          <w:color w:val="000000" w:themeColor="text1"/>
        </w:rPr>
        <w:t>家。</w:t>
      </w:r>
    </w:p>
    <w:bookmarkEnd w:id="1"/>
    <w:p w14:paraId="001A09E6" w14:textId="440C26D5"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772498">
        <w:rPr>
          <w:rFonts w:ascii="Times New Roman" w:eastAsia="楷体" w:hAnsi="Times New Roman" w:cs="Times New Roman" w:hint="eastAsia"/>
          <w:b/>
        </w:rPr>
        <w:t>中证</w:t>
      </w:r>
      <w:r w:rsidR="00772498">
        <w:rPr>
          <w:rFonts w:ascii="Times New Roman" w:eastAsia="楷体" w:hAnsi="Times New Roman" w:cs="Times New Roman" w:hint="eastAsia"/>
          <w:b/>
        </w:rPr>
        <w:t>500</w:t>
      </w:r>
      <w:r w:rsidR="00820B9F">
        <w:rPr>
          <w:rFonts w:ascii="Times New Roman" w:eastAsia="楷体" w:hAnsi="Times New Roman" w:cs="Times New Roman" w:hint="eastAsia"/>
          <w:b/>
        </w:rPr>
        <w:t>指数</w:t>
      </w:r>
      <w:r w:rsidR="00D764B0">
        <w:rPr>
          <w:rFonts w:ascii="Times New Roman" w:eastAsia="楷体" w:hAnsi="Times New Roman" w:cs="Times New Roman" w:hint="eastAsia"/>
          <w:b/>
        </w:rPr>
        <w:t>跌幅较小</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73140C1" w:rsidR="007E1695" w:rsidRPr="00006470" w:rsidRDefault="00772498">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645CA09F" wp14:editId="5DCB315A">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285C1C7A"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AC7652">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7.76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AC765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7.48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AC7652">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4.71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35.66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431DF">
        <w:rPr>
          <w:rFonts w:ascii="Times New Roman" w:eastAsia="楷体" w:hAnsi="Times New Roman" w:cs="Times New Roman" w:hint="eastAsia"/>
          <w:color w:val="000000" w:themeColor="text1"/>
        </w:rPr>
        <w:t>1</w:t>
      </w:r>
      <w:r w:rsidR="00AC7652">
        <w:rPr>
          <w:rFonts w:ascii="Times New Roman" w:eastAsia="楷体" w:hAnsi="Times New Roman" w:cs="Times New Roman" w:hint="eastAsia"/>
          <w:color w:val="000000" w:themeColor="text1"/>
        </w:rPr>
        <w:t>5.67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431DF">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13.62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15.03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17.84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0431DF">
        <w:rPr>
          <w:rFonts w:ascii="Times New Roman" w:eastAsia="楷体" w:hAnsi="Times New Roman" w:cs="Times New Roman" w:hint="eastAsia"/>
          <w:color w:val="000000" w:themeColor="text1"/>
        </w:rPr>
        <w:t>22.</w:t>
      </w:r>
      <w:r w:rsidR="00AC7652">
        <w:rPr>
          <w:rFonts w:ascii="Times New Roman" w:eastAsia="楷体" w:hAnsi="Times New Roman" w:cs="Times New Roman" w:hint="eastAsia"/>
          <w:color w:val="000000" w:themeColor="text1"/>
        </w:rPr>
        <w:t>14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2B368A1E"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AC7652">
        <w:rPr>
          <w:rFonts w:ascii="Times New Roman" w:eastAsia="楷体" w:hAnsi="Times New Roman" w:cs="Times New Roman" w:hint="eastAsia"/>
          <w:b/>
        </w:rPr>
        <w:t>钢铁</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7D69BD1" w:rsidR="00C13CA5" w:rsidRPr="00006470" w:rsidRDefault="00AC7652"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52CA10E" wp14:editId="02593DBC">
            <wp:extent cx="6810789" cy="16283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69943" cy="1642523"/>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5A14BD38" w:rsidR="00150164" w:rsidRDefault="00B41C69" w:rsidP="00637AF3">
      <w:pPr>
        <w:ind w:firstLineChars="200" w:firstLine="480"/>
        <w:rPr>
          <w:rFonts w:ascii="Times New Roman" w:eastAsia="楷体" w:hAnsi="Times New Roman" w:cs="Times New Roman"/>
          <w:color w:val="000000" w:themeColor="text1"/>
        </w:rPr>
      </w:pPr>
      <w:bookmarkStart w:id="2"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AC7652">
        <w:rPr>
          <w:rFonts w:ascii="Times New Roman" w:eastAsia="楷体" w:hAnsi="Times New Roman" w:cs="Times New Roman" w:hint="eastAsia"/>
          <w:color w:val="000000" w:themeColor="text1"/>
        </w:rPr>
        <w:t>5.65</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AC7652">
        <w:rPr>
          <w:rFonts w:ascii="Times New Roman" w:eastAsia="楷体" w:hAnsi="Times New Roman" w:cs="Times New Roman" w:hint="eastAsia"/>
          <w:color w:val="000000" w:themeColor="text1"/>
        </w:rPr>
        <w:t>63.68</w:t>
      </w:r>
      <w:r w:rsidRPr="00B41C69">
        <w:rPr>
          <w:rFonts w:ascii="Times New Roman" w:eastAsia="楷体" w:hAnsi="Times New Roman" w:cs="Times New Roman" w:hint="eastAsia"/>
          <w:color w:val="000000" w:themeColor="text1"/>
        </w:rPr>
        <w:t>亿份较前一周</w:t>
      </w:r>
      <w:r w:rsidR="004A0AD3">
        <w:rPr>
          <w:rFonts w:ascii="Times New Roman" w:eastAsia="楷体" w:hAnsi="Times New Roman" w:cs="Times New Roman" w:hint="eastAsia"/>
          <w:color w:val="000000" w:themeColor="text1"/>
        </w:rPr>
        <w:t>大</w:t>
      </w:r>
      <w:r w:rsidR="00205DBE">
        <w:rPr>
          <w:rFonts w:ascii="Times New Roman" w:eastAsia="楷体" w:hAnsi="Times New Roman" w:cs="Times New Roman" w:hint="eastAsia"/>
          <w:color w:val="000000" w:themeColor="text1"/>
        </w:rPr>
        <w:t>幅</w:t>
      </w:r>
      <w:r w:rsidR="00AC7652">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5</w:t>
      </w:r>
      <w:r w:rsidRPr="00B41C69">
        <w:rPr>
          <w:rFonts w:ascii="Times New Roman" w:eastAsia="楷体" w:hAnsi="Times New Roman" w:cs="Times New Roman" w:hint="eastAsia"/>
          <w:color w:val="000000" w:themeColor="text1"/>
        </w:rPr>
        <w:t>月最新募资合计</w:t>
      </w:r>
      <w:r w:rsidR="00AC7652">
        <w:rPr>
          <w:rFonts w:ascii="Times New Roman" w:eastAsia="楷体" w:hAnsi="Times New Roman" w:cs="Times New Roman" w:hint="eastAsia"/>
          <w:color w:val="000000" w:themeColor="text1"/>
        </w:rPr>
        <w:t>128.43</w:t>
      </w:r>
      <w:r w:rsidRPr="00B41C69">
        <w:rPr>
          <w:rFonts w:ascii="Times New Roman" w:eastAsia="楷体" w:hAnsi="Times New Roman" w:cs="Times New Roman" w:hint="eastAsia"/>
          <w:color w:val="000000" w:themeColor="text1"/>
        </w:rPr>
        <w:t>亿元；本周限售解禁市值约</w:t>
      </w:r>
      <w:r w:rsidR="00AC7652">
        <w:rPr>
          <w:rFonts w:ascii="Times New Roman" w:eastAsia="楷体" w:hAnsi="Times New Roman" w:cs="Times New Roman" w:hint="eastAsia"/>
          <w:color w:val="000000" w:themeColor="text1"/>
        </w:rPr>
        <w:t>1703.72</w:t>
      </w:r>
      <w:r w:rsidRPr="00B41C69">
        <w:rPr>
          <w:rFonts w:ascii="Times New Roman" w:eastAsia="楷体" w:hAnsi="Times New Roman" w:cs="Times New Roman" w:hint="eastAsia"/>
          <w:color w:val="000000" w:themeColor="text1"/>
        </w:rPr>
        <w:t>亿元，与上周相比</w:t>
      </w:r>
      <w:r w:rsidR="00376AC8">
        <w:rPr>
          <w:rFonts w:ascii="Times New Roman" w:eastAsia="楷体" w:hAnsi="Times New Roman" w:cs="Times New Roman" w:hint="eastAsia"/>
          <w:color w:val="000000" w:themeColor="text1"/>
        </w:rPr>
        <w:t>大</w:t>
      </w:r>
      <w:r w:rsidR="001234B0">
        <w:rPr>
          <w:rFonts w:ascii="Times New Roman" w:eastAsia="楷体" w:hAnsi="Times New Roman" w:cs="Times New Roman" w:hint="eastAsia"/>
          <w:color w:val="000000" w:themeColor="text1"/>
        </w:rPr>
        <w:t>幅</w:t>
      </w:r>
      <w:r w:rsidR="00AC7652">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039234AF" w:rsidR="0052683C" w:rsidRPr="00006470" w:rsidRDefault="00DE3E87" w:rsidP="00470117">
      <w:pPr>
        <w:ind w:firstLineChars="200" w:firstLine="480"/>
        <w:rPr>
          <w:rFonts w:ascii="Times New Roman" w:eastAsia="楷体" w:hAnsi="Times New Roman" w:cs="Times New Roman"/>
          <w:color w:val="000000"/>
          <w:shd w:val="clear" w:color="auto" w:fill="FFFFFF"/>
        </w:rPr>
      </w:pPr>
      <w:r w:rsidRPr="00DE3E87">
        <w:rPr>
          <w:rFonts w:ascii="Times New Roman" w:eastAsia="楷体" w:hAnsi="Times New Roman" w:cs="Times New Roman" w:hint="eastAsia"/>
          <w:color w:val="000000"/>
          <w:shd w:val="clear" w:color="auto" w:fill="FFFFFF"/>
        </w:rPr>
        <w:t>一季度上市公司披露完毕，业绩回顾如下：上市公司整体保持快速复苏态势，</w:t>
      </w:r>
      <w:r w:rsidRPr="00DE3E87">
        <w:rPr>
          <w:rFonts w:ascii="Times New Roman" w:eastAsia="楷体" w:hAnsi="Times New Roman" w:cs="Times New Roman" w:hint="eastAsia"/>
          <w:color w:val="000000"/>
          <w:shd w:val="clear" w:color="auto" w:fill="FFFFFF"/>
        </w:rPr>
        <w:t>2021</w:t>
      </w:r>
      <w:r w:rsidRPr="00DE3E87">
        <w:rPr>
          <w:rFonts w:ascii="Times New Roman" w:eastAsia="楷体" w:hAnsi="Times New Roman" w:cs="Times New Roman" w:hint="eastAsia"/>
          <w:color w:val="000000"/>
          <w:shd w:val="clear" w:color="auto" w:fill="FFFFFF"/>
        </w:rPr>
        <w:t>年一季度</w:t>
      </w:r>
      <w:r w:rsidRPr="00DE3E87">
        <w:rPr>
          <w:rFonts w:ascii="Times New Roman" w:eastAsia="楷体" w:hAnsi="Times New Roman" w:cs="Times New Roman" w:hint="eastAsia"/>
          <w:color w:val="000000"/>
          <w:shd w:val="clear" w:color="auto" w:fill="FFFFFF"/>
        </w:rPr>
        <w:t xml:space="preserve"> A </w:t>
      </w:r>
      <w:r w:rsidRPr="00DE3E87">
        <w:rPr>
          <w:rFonts w:ascii="Times New Roman" w:eastAsia="楷体" w:hAnsi="Times New Roman" w:cs="Times New Roman" w:hint="eastAsia"/>
          <w:color w:val="000000"/>
          <w:shd w:val="clear" w:color="auto" w:fill="FFFFFF"/>
        </w:rPr>
        <w:lastRenderedPageBreak/>
        <w:t>股上市公司单季净利润增速为</w:t>
      </w:r>
      <w:r w:rsidRPr="00DE3E87">
        <w:rPr>
          <w:rFonts w:ascii="Times New Roman" w:eastAsia="楷体" w:hAnsi="Times New Roman" w:cs="Times New Roman" w:hint="eastAsia"/>
          <w:color w:val="000000"/>
          <w:shd w:val="clear" w:color="auto" w:fill="FFFFFF"/>
        </w:rPr>
        <w:t>54.3%</w:t>
      </w:r>
      <w:r w:rsidRPr="00DE3E87">
        <w:rPr>
          <w:rFonts w:ascii="Times New Roman" w:eastAsia="楷体" w:hAnsi="Times New Roman" w:cs="Times New Roman" w:hint="eastAsia"/>
          <w:color w:val="000000"/>
          <w:shd w:val="clear" w:color="auto" w:fill="FFFFFF"/>
        </w:rPr>
        <w:t>；剔除金融和两油后全部</w:t>
      </w:r>
      <w:r w:rsidRPr="00DE3E87">
        <w:rPr>
          <w:rFonts w:ascii="Times New Roman" w:eastAsia="楷体" w:hAnsi="Times New Roman" w:cs="Times New Roman" w:hint="eastAsia"/>
          <w:color w:val="000000"/>
          <w:shd w:val="clear" w:color="auto" w:fill="FFFFFF"/>
        </w:rPr>
        <w:t>A</w:t>
      </w:r>
      <w:r w:rsidRPr="00DE3E87">
        <w:rPr>
          <w:rFonts w:ascii="Times New Roman" w:eastAsia="楷体" w:hAnsi="Times New Roman" w:cs="Times New Roman" w:hint="eastAsia"/>
          <w:color w:val="000000"/>
          <w:shd w:val="clear" w:color="auto" w:fill="FFFFFF"/>
        </w:rPr>
        <w:t>股一季度单季净利润增速为</w:t>
      </w:r>
      <w:r w:rsidRPr="00DE3E87">
        <w:rPr>
          <w:rFonts w:ascii="Times New Roman" w:eastAsia="楷体" w:hAnsi="Times New Roman" w:cs="Times New Roman" w:hint="eastAsia"/>
          <w:color w:val="000000"/>
          <w:shd w:val="clear" w:color="auto" w:fill="FFFFFF"/>
        </w:rPr>
        <w:t>116.4%</w:t>
      </w:r>
      <w:r w:rsidRPr="00DE3E87">
        <w:rPr>
          <w:rFonts w:ascii="Times New Roman" w:eastAsia="楷体" w:hAnsi="Times New Roman" w:cs="Times New Roman" w:hint="eastAsia"/>
          <w:color w:val="000000"/>
          <w:shd w:val="clear" w:color="auto" w:fill="FFFFFF"/>
        </w:rPr>
        <w:t>，以</w:t>
      </w:r>
      <w:r w:rsidRPr="00DE3E87">
        <w:rPr>
          <w:rFonts w:ascii="Times New Roman" w:eastAsia="楷体" w:hAnsi="Times New Roman" w:cs="Times New Roman" w:hint="eastAsia"/>
          <w:color w:val="000000"/>
          <w:shd w:val="clear" w:color="auto" w:fill="FFFFFF"/>
        </w:rPr>
        <w:t>2019</w:t>
      </w:r>
      <w:r w:rsidRPr="00DE3E87">
        <w:rPr>
          <w:rFonts w:ascii="Times New Roman" w:eastAsia="楷体" w:hAnsi="Times New Roman" w:cs="Times New Roman" w:hint="eastAsia"/>
          <w:color w:val="000000"/>
          <w:shd w:val="clear" w:color="auto" w:fill="FFFFFF"/>
        </w:rPr>
        <w:t>年</w:t>
      </w:r>
      <w:r w:rsidRPr="00DE3E87">
        <w:rPr>
          <w:rFonts w:ascii="Times New Roman" w:eastAsia="楷体" w:hAnsi="Times New Roman" w:cs="Times New Roman" w:hint="eastAsia"/>
          <w:color w:val="000000"/>
          <w:shd w:val="clear" w:color="auto" w:fill="FFFFFF"/>
        </w:rPr>
        <w:t>Q1</w:t>
      </w:r>
      <w:r w:rsidRPr="00DE3E87">
        <w:rPr>
          <w:rFonts w:ascii="Times New Roman" w:eastAsia="楷体" w:hAnsi="Times New Roman" w:cs="Times New Roman" w:hint="eastAsia"/>
          <w:color w:val="000000"/>
          <w:shd w:val="clear" w:color="auto" w:fill="FFFFFF"/>
        </w:rPr>
        <w:t>为基数</w:t>
      </w:r>
      <w:r w:rsidR="00D764B0">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全部</w:t>
      </w:r>
      <w:r w:rsidRPr="00DE3E87">
        <w:rPr>
          <w:rFonts w:ascii="Times New Roman" w:eastAsia="楷体" w:hAnsi="Times New Roman" w:cs="Times New Roman" w:hint="eastAsia"/>
          <w:color w:val="000000"/>
          <w:shd w:val="clear" w:color="auto" w:fill="FFFFFF"/>
        </w:rPr>
        <w:t xml:space="preserve">A </w:t>
      </w:r>
      <w:r w:rsidRPr="00DE3E87">
        <w:rPr>
          <w:rFonts w:ascii="Times New Roman" w:eastAsia="楷体" w:hAnsi="Times New Roman" w:cs="Times New Roman" w:hint="eastAsia"/>
          <w:color w:val="000000"/>
          <w:shd w:val="clear" w:color="auto" w:fill="FFFFFF"/>
        </w:rPr>
        <w:t>股近两年的复合增速为</w:t>
      </w:r>
      <w:r w:rsidRPr="00DE3E87">
        <w:rPr>
          <w:rFonts w:ascii="Times New Roman" w:eastAsia="楷体" w:hAnsi="Times New Roman" w:cs="Times New Roman" w:hint="eastAsia"/>
          <w:color w:val="000000"/>
          <w:shd w:val="clear" w:color="auto" w:fill="FFFFFF"/>
        </w:rPr>
        <w:t>10.4%</w:t>
      </w:r>
      <w:r w:rsidRPr="00DE3E87">
        <w:rPr>
          <w:rFonts w:ascii="Times New Roman" w:eastAsia="楷体" w:hAnsi="Times New Roman" w:cs="Times New Roman" w:hint="eastAsia"/>
          <w:color w:val="000000"/>
          <w:shd w:val="clear" w:color="auto" w:fill="FFFFFF"/>
        </w:rPr>
        <w:t>，剔除金融和两油后全部</w:t>
      </w:r>
      <w:r w:rsidRPr="00DE3E87">
        <w:rPr>
          <w:rFonts w:ascii="Times New Roman" w:eastAsia="楷体" w:hAnsi="Times New Roman" w:cs="Times New Roman" w:hint="eastAsia"/>
          <w:color w:val="000000"/>
          <w:shd w:val="clear" w:color="auto" w:fill="FFFFFF"/>
        </w:rPr>
        <w:t>A</w:t>
      </w:r>
      <w:r w:rsidRPr="00DE3E87">
        <w:rPr>
          <w:rFonts w:ascii="Times New Roman" w:eastAsia="楷体" w:hAnsi="Times New Roman" w:cs="Times New Roman" w:hint="eastAsia"/>
          <w:color w:val="000000"/>
          <w:shd w:val="clear" w:color="auto" w:fill="FFFFFF"/>
        </w:rPr>
        <w:t>股复合增速为</w:t>
      </w:r>
      <w:r w:rsidRPr="00DE3E87">
        <w:rPr>
          <w:rFonts w:ascii="Times New Roman" w:eastAsia="楷体" w:hAnsi="Times New Roman" w:cs="Times New Roman" w:hint="eastAsia"/>
          <w:color w:val="000000"/>
          <w:shd w:val="clear" w:color="auto" w:fill="FFFFFF"/>
        </w:rPr>
        <w:t>7.8%</w:t>
      </w:r>
      <w:r w:rsidRPr="00DE3E87">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 xml:space="preserve"> </w:t>
      </w:r>
      <w:r w:rsidRPr="00DE3E87">
        <w:rPr>
          <w:rFonts w:ascii="Times New Roman" w:eastAsia="楷体" w:hAnsi="Times New Roman" w:cs="Times New Roman" w:hint="eastAsia"/>
          <w:color w:val="000000"/>
          <w:shd w:val="clear" w:color="auto" w:fill="FFFFFF"/>
        </w:rPr>
        <w:t>行业方面，周期、科技表现靠前。</w:t>
      </w:r>
      <w:r w:rsidR="00D764B0">
        <w:rPr>
          <w:rFonts w:ascii="Times New Roman" w:eastAsia="楷体" w:hAnsi="Times New Roman" w:cs="Times New Roman" w:hint="eastAsia"/>
          <w:color w:val="000000"/>
          <w:shd w:val="clear" w:color="auto" w:fill="FFFFFF"/>
        </w:rPr>
        <w:t>20</w:t>
      </w:r>
      <w:r w:rsidRPr="00DE3E87">
        <w:rPr>
          <w:rFonts w:ascii="Times New Roman" w:eastAsia="楷体" w:hAnsi="Times New Roman" w:cs="Times New Roman" w:hint="eastAsia"/>
          <w:color w:val="000000"/>
          <w:shd w:val="clear" w:color="auto" w:fill="FFFFFF"/>
        </w:rPr>
        <w:t>20</w:t>
      </w:r>
      <w:r w:rsidRPr="00DE3E87">
        <w:rPr>
          <w:rFonts w:ascii="Times New Roman" w:eastAsia="楷体" w:hAnsi="Times New Roman" w:cs="Times New Roman" w:hint="eastAsia"/>
          <w:color w:val="000000"/>
          <w:shd w:val="clear" w:color="auto" w:fill="FFFFFF"/>
        </w:rPr>
        <w:t>年疫情影响较大</w:t>
      </w:r>
      <w:r w:rsidR="00D764B0">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以</w:t>
      </w:r>
      <w:r w:rsidRPr="00DE3E87">
        <w:rPr>
          <w:rFonts w:ascii="Times New Roman" w:eastAsia="楷体" w:hAnsi="Times New Roman" w:cs="Times New Roman" w:hint="eastAsia"/>
          <w:color w:val="000000"/>
          <w:shd w:val="clear" w:color="auto" w:fill="FFFFFF"/>
        </w:rPr>
        <w:t>2019</w:t>
      </w:r>
      <w:r w:rsidRPr="00DE3E87">
        <w:rPr>
          <w:rFonts w:ascii="Times New Roman" w:eastAsia="楷体" w:hAnsi="Times New Roman" w:cs="Times New Roman" w:hint="eastAsia"/>
          <w:color w:val="000000"/>
          <w:shd w:val="clear" w:color="auto" w:fill="FFFFFF"/>
        </w:rPr>
        <w:t>年</w:t>
      </w:r>
      <w:r w:rsidRPr="00DE3E87">
        <w:rPr>
          <w:rFonts w:ascii="Times New Roman" w:eastAsia="楷体" w:hAnsi="Times New Roman" w:cs="Times New Roman" w:hint="eastAsia"/>
          <w:color w:val="000000"/>
          <w:shd w:val="clear" w:color="auto" w:fill="FFFFFF"/>
        </w:rPr>
        <w:t>Q1</w:t>
      </w:r>
      <w:r w:rsidRPr="00DE3E87">
        <w:rPr>
          <w:rFonts w:ascii="Times New Roman" w:eastAsia="楷体" w:hAnsi="Times New Roman" w:cs="Times New Roman" w:hint="eastAsia"/>
          <w:color w:val="000000"/>
          <w:shd w:val="clear" w:color="auto" w:fill="FFFFFF"/>
        </w:rPr>
        <w:t>的净利润作为基准，各行业近两年来的净</w:t>
      </w:r>
      <w:proofErr w:type="gramStart"/>
      <w:r w:rsidRPr="00DE3E87">
        <w:rPr>
          <w:rFonts w:ascii="Times New Roman" w:eastAsia="楷体" w:hAnsi="Times New Roman" w:cs="Times New Roman" w:hint="eastAsia"/>
          <w:color w:val="000000"/>
          <w:shd w:val="clear" w:color="auto" w:fill="FFFFFF"/>
        </w:rPr>
        <w:t>利润年化复合</w:t>
      </w:r>
      <w:proofErr w:type="gramEnd"/>
      <w:r w:rsidRPr="00DE3E87">
        <w:rPr>
          <w:rFonts w:ascii="Times New Roman" w:eastAsia="楷体" w:hAnsi="Times New Roman" w:cs="Times New Roman" w:hint="eastAsia"/>
          <w:color w:val="000000"/>
          <w:shd w:val="clear" w:color="auto" w:fill="FFFFFF"/>
        </w:rPr>
        <w:t>增速靠前行业为电子、农林牧渔、电气设备和钢铁等，单季净利润</w:t>
      </w:r>
      <w:proofErr w:type="gramStart"/>
      <w:r w:rsidRPr="00DE3E87">
        <w:rPr>
          <w:rFonts w:ascii="Times New Roman" w:eastAsia="楷体" w:hAnsi="Times New Roman" w:cs="Times New Roman" w:hint="eastAsia"/>
          <w:color w:val="000000"/>
          <w:shd w:val="clear" w:color="auto" w:fill="FFFFFF"/>
        </w:rPr>
        <w:t>的年化复合</w:t>
      </w:r>
      <w:proofErr w:type="gramEnd"/>
      <w:r w:rsidRPr="00DE3E87">
        <w:rPr>
          <w:rFonts w:ascii="Times New Roman" w:eastAsia="楷体" w:hAnsi="Times New Roman" w:cs="Times New Roman" w:hint="eastAsia"/>
          <w:color w:val="000000"/>
          <w:shd w:val="clear" w:color="auto" w:fill="FFFFFF"/>
        </w:rPr>
        <w:t>增速分别为</w:t>
      </w:r>
      <w:r w:rsidRPr="00DE3E87">
        <w:rPr>
          <w:rFonts w:ascii="Times New Roman" w:eastAsia="楷体" w:hAnsi="Times New Roman" w:cs="Times New Roman" w:hint="eastAsia"/>
          <w:color w:val="000000"/>
          <w:shd w:val="clear" w:color="auto" w:fill="FFFFFF"/>
        </w:rPr>
        <w:t xml:space="preserve"> 61.9%</w:t>
      </w:r>
      <w:r w:rsidRPr="00DE3E87">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56.2%</w:t>
      </w:r>
      <w:r w:rsidRPr="00DE3E87">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55.4%</w:t>
      </w:r>
      <w:r w:rsidRPr="00DE3E87">
        <w:rPr>
          <w:rFonts w:ascii="Times New Roman" w:eastAsia="楷体" w:hAnsi="Times New Roman" w:cs="Times New Roman" w:hint="eastAsia"/>
          <w:color w:val="000000"/>
          <w:shd w:val="clear" w:color="auto" w:fill="FFFFFF"/>
        </w:rPr>
        <w:t>和</w:t>
      </w:r>
      <w:r w:rsidRPr="00DE3E87">
        <w:rPr>
          <w:rFonts w:ascii="Times New Roman" w:eastAsia="楷体" w:hAnsi="Times New Roman" w:cs="Times New Roman" w:hint="eastAsia"/>
          <w:color w:val="000000"/>
          <w:shd w:val="clear" w:color="auto" w:fill="FFFFFF"/>
        </w:rPr>
        <w:t xml:space="preserve"> 50.8%</w:t>
      </w:r>
      <w:r w:rsidRPr="00DE3E87">
        <w:rPr>
          <w:rFonts w:ascii="Times New Roman" w:eastAsia="楷体" w:hAnsi="Times New Roman" w:cs="Times New Roman" w:hint="eastAsia"/>
          <w:color w:val="000000"/>
          <w:shd w:val="clear" w:color="auto" w:fill="FFFFFF"/>
        </w:rPr>
        <w:t>。相对靠后的为：计算机、休闲服务、房地产等行业，</w:t>
      </w:r>
      <w:proofErr w:type="gramStart"/>
      <w:r w:rsidRPr="00DE3E87">
        <w:rPr>
          <w:rFonts w:ascii="Times New Roman" w:eastAsia="楷体" w:hAnsi="Times New Roman" w:cs="Times New Roman" w:hint="eastAsia"/>
          <w:color w:val="000000"/>
          <w:shd w:val="clear" w:color="auto" w:fill="FFFFFF"/>
        </w:rPr>
        <w:t>年化增速</w:t>
      </w:r>
      <w:proofErr w:type="gramEnd"/>
      <w:r w:rsidRPr="00DE3E87">
        <w:rPr>
          <w:rFonts w:ascii="Times New Roman" w:eastAsia="楷体" w:hAnsi="Times New Roman" w:cs="Times New Roman" w:hint="eastAsia"/>
          <w:color w:val="000000"/>
          <w:shd w:val="clear" w:color="auto" w:fill="FFFFFF"/>
        </w:rPr>
        <w:t>分别为</w:t>
      </w:r>
      <w:r w:rsidRPr="00DE3E87">
        <w:rPr>
          <w:rFonts w:ascii="Times New Roman" w:eastAsia="楷体" w:hAnsi="Times New Roman" w:cs="Times New Roman" w:hint="eastAsia"/>
          <w:color w:val="000000"/>
          <w:shd w:val="clear" w:color="auto" w:fill="FFFFFF"/>
        </w:rPr>
        <w:t>-35.2%</w:t>
      </w:r>
      <w:r w:rsidRPr="00DE3E87">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-26.2%</w:t>
      </w:r>
      <w:r w:rsidRPr="00DE3E87">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-15.6%</w:t>
      </w:r>
      <w:r w:rsidRPr="00DE3E87">
        <w:rPr>
          <w:rFonts w:ascii="Times New Roman" w:eastAsia="楷体" w:hAnsi="Times New Roman" w:cs="Times New Roman" w:hint="eastAsia"/>
          <w:color w:val="000000"/>
          <w:shd w:val="clear" w:color="auto" w:fill="FFFFFF"/>
        </w:rPr>
        <w:t>。本周展望，在上市公司业绩向上周期背景下市场仍有支撑。但进入</w:t>
      </w:r>
      <w:r w:rsidRPr="00DE3E87">
        <w:rPr>
          <w:rFonts w:ascii="Times New Roman" w:eastAsia="楷体" w:hAnsi="Times New Roman" w:cs="Times New Roman" w:hint="eastAsia"/>
          <w:color w:val="000000"/>
          <w:shd w:val="clear" w:color="auto" w:fill="FFFFFF"/>
        </w:rPr>
        <w:t>5</w:t>
      </w:r>
      <w:r w:rsidRPr="00DE3E87">
        <w:rPr>
          <w:rFonts w:ascii="Times New Roman" w:eastAsia="楷体" w:hAnsi="Times New Roman" w:cs="Times New Roman" w:hint="eastAsia"/>
          <w:color w:val="000000"/>
          <w:shd w:val="clear" w:color="auto" w:fill="FFFFFF"/>
        </w:rPr>
        <w:t>月业绩、政策步入空窗期或消化期，市场“兑现”</w:t>
      </w:r>
      <w:proofErr w:type="gramStart"/>
      <w:r w:rsidRPr="00DE3E87">
        <w:rPr>
          <w:rFonts w:ascii="Times New Roman" w:eastAsia="楷体" w:hAnsi="Times New Roman" w:cs="Times New Roman" w:hint="eastAsia"/>
          <w:color w:val="000000"/>
          <w:shd w:val="clear" w:color="auto" w:fill="FFFFFF"/>
        </w:rPr>
        <w:t>一</w:t>
      </w:r>
      <w:proofErr w:type="gramEnd"/>
      <w:r w:rsidRPr="00DE3E87">
        <w:rPr>
          <w:rFonts w:ascii="Times New Roman" w:eastAsia="楷体" w:hAnsi="Times New Roman" w:cs="Times New Roman" w:hint="eastAsia"/>
          <w:color w:val="000000"/>
          <w:shd w:val="clear" w:color="auto" w:fill="FFFFFF"/>
        </w:rPr>
        <w:t>季报行情可能性在加大</w:t>
      </w:r>
      <w:r w:rsidR="00D764B0">
        <w:rPr>
          <w:rFonts w:ascii="Times New Roman" w:eastAsia="楷体" w:hAnsi="Times New Roman" w:cs="Times New Roman" w:hint="eastAsia"/>
          <w:color w:val="000000"/>
          <w:shd w:val="clear" w:color="auto" w:fill="FFFFFF"/>
        </w:rPr>
        <w:t>，</w:t>
      </w:r>
      <w:r w:rsidRPr="00DE3E87">
        <w:rPr>
          <w:rFonts w:ascii="Times New Roman" w:eastAsia="楷体" w:hAnsi="Times New Roman" w:cs="Times New Roman" w:hint="eastAsia"/>
          <w:color w:val="000000"/>
          <w:shd w:val="clear" w:color="auto" w:fill="FFFFFF"/>
        </w:rPr>
        <w:t>加之核心资产估值仍处历史高位，中短期仍建议以防守为主，建议关注受益于上</w:t>
      </w:r>
      <w:r>
        <w:rPr>
          <w:rFonts w:ascii="Times New Roman" w:eastAsia="楷体" w:hAnsi="Times New Roman" w:cs="Times New Roman" w:hint="eastAsia"/>
          <w:color w:val="000000"/>
          <w:shd w:val="clear" w:color="auto" w:fill="FFFFFF"/>
        </w:rPr>
        <w:t>游涨价的周期龙头、低估值银行以及中游高景气周期的电新、电子板块</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1155C74"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DE3E87">
        <w:rPr>
          <w:rFonts w:ascii="Times New Roman" w:eastAsia="楷体" w:hAnsi="Times New Roman" w:cs="Times New Roman"/>
          <w:color w:val="000000" w:themeColor="text1"/>
        </w:rPr>
        <w:t>周期</w:t>
      </w:r>
      <w:r w:rsidR="00DE3E87">
        <w:rPr>
          <w:rFonts w:ascii="Times New Roman" w:eastAsia="楷体" w:hAnsi="Times New Roman" w:cs="Times New Roman" w:hint="eastAsia"/>
          <w:color w:val="000000" w:themeColor="text1"/>
        </w:rPr>
        <w:t>、</w:t>
      </w:r>
      <w:proofErr w:type="gramStart"/>
      <w:r w:rsidR="00DE3E87">
        <w:rPr>
          <w:rFonts w:ascii="Times New Roman" w:eastAsia="楷体" w:hAnsi="Times New Roman" w:cs="Times New Roman"/>
          <w:color w:val="000000" w:themeColor="text1"/>
        </w:rPr>
        <w:t>中游电</w:t>
      </w:r>
      <w:proofErr w:type="gramEnd"/>
      <w:r w:rsidR="00DE3E87">
        <w:rPr>
          <w:rFonts w:ascii="Times New Roman" w:eastAsia="楷体" w:hAnsi="Times New Roman" w:cs="Times New Roman"/>
          <w:color w:val="000000" w:themeColor="text1"/>
        </w:rPr>
        <w:t>新电子等；</w:t>
      </w:r>
    </w:p>
    <w:p w14:paraId="1F660E1A" w14:textId="53284A4D"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DE3E87">
        <w:rPr>
          <w:rFonts w:ascii="Times New Roman" w:eastAsia="楷体" w:hAnsi="Times New Roman" w:cs="Times New Roman"/>
          <w:color w:val="000000" w:themeColor="text1"/>
        </w:rPr>
        <w:t>、低估值银行</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1EC5084"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073E53">
        <w:rPr>
          <w:rFonts w:ascii="Times New Roman" w:eastAsia="楷体" w:hAnsi="Times New Roman" w:cs="Times New Roman" w:hint="eastAsia"/>
          <w:b/>
        </w:rPr>
        <w:t>LME</w:t>
      </w:r>
      <w:proofErr w:type="gramStart"/>
      <w:r w:rsidR="00073E53">
        <w:rPr>
          <w:rFonts w:ascii="Times New Roman" w:eastAsia="楷体" w:hAnsi="Times New Roman" w:cs="Times New Roman" w:hint="eastAsia"/>
          <w:b/>
        </w:rPr>
        <w:t>铜</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AC7652">
        <w:rPr>
          <w:rFonts w:ascii="Times New Roman" w:eastAsia="楷体" w:hAnsi="Times New Roman" w:cs="Times New Roman" w:hint="eastAsia"/>
          <w:b/>
        </w:rPr>
        <w:t>万得全</w:t>
      </w:r>
      <w:r w:rsidR="00AC7652">
        <w:rPr>
          <w:rFonts w:ascii="Times New Roman" w:eastAsia="楷体" w:hAnsi="Times New Roman" w:cs="Times New Roman" w:hint="eastAsia"/>
          <w:b/>
        </w:rPr>
        <w:t>A</w:t>
      </w:r>
      <w:r w:rsidR="00073E53">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AC7652"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A33DBE0"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26436517" w14:textId="2E4E2C42"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5.98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33DEA4CB"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34.08</w:t>
            </w:r>
          </w:p>
        </w:tc>
      </w:tr>
      <w:tr w:rsidR="00AC7652"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372E660C"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LME铝</w:t>
            </w:r>
          </w:p>
        </w:tc>
        <w:tc>
          <w:tcPr>
            <w:tcW w:w="1875" w:type="dxa"/>
            <w:noWrap/>
          </w:tcPr>
          <w:p w14:paraId="6CBF5955" w14:textId="4BB28F98"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5.63</w:t>
            </w:r>
          </w:p>
        </w:tc>
        <w:tc>
          <w:tcPr>
            <w:tcW w:w="2293" w:type="dxa"/>
            <w:noWrap/>
          </w:tcPr>
          <w:p w14:paraId="03D306C5" w14:textId="6A7B64FC"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27.91</w:t>
            </w:r>
          </w:p>
        </w:tc>
      </w:tr>
      <w:tr w:rsidR="00AC7652"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5B44939"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0B8AF65" w14:textId="5ACCAA8C"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5.30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AC0990A"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29.74</w:t>
            </w:r>
          </w:p>
        </w:tc>
      </w:tr>
      <w:tr w:rsidR="00AC7652"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7311649"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COMEX黄金</w:t>
            </w:r>
          </w:p>
        </w:tc>
        <w:tc>
          <w:tcPr>
            <w:tcW w:w="1875" w:type="dxa"/>
            <w:noWrap/>
          </w:tcPr>
          <w:p w14:paraId="6E1624BD" w14:textId="75ABD84D"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4.28</w:t>
            </w:r>
          </w:p>
        </w:tc>
        <w:tc>
          <w:tcPr>
            <w:tcW w:w="2293" w:type="dxa"/>
            <w:noWrap/>
          </w:tcPr>
          <w:p w14:paraId="628C5028" w14:textId="4F969137"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-2.65</w:t>
            </w:r>
          </w:p>
        </w:tc>
      </w:tr>
      <w:tr w:rsidR="00AC7652"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F9F63F5"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188D2FF8"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2.67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DCD83DF"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13.63</w:t>
            </w:r>
          </w:p>
        </w:tc>
      </w:tr>
      <w:tr w:rsidR="00AC7652"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8B46A86"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英国富时100</w:t>
            </w:r>
          </w:p>
        </w:tc>
        <w:tc>
          <w:tcPr>
            <w:tcW w:w="1875" w:type="dxa"/>
            <w:noWrap/>
          </w:tcPr>
          <w:p w14:paraId="3F2524D6" w14:textId="6C847450"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2.29</w:t>
            </w:r>
          </w:p>
        </w:tc>
        <w:tc>
          <w:tcPr>
            <w:tcW w:w="2293" w:type="dxa"/>
            <w:noWrap/>
          </w:tcPr>
          <w:p w14:paraId="0F02F0AC" w14:textId="190EC367"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10.36</w:t>
            </w:r>
          </w:p>
        </w:tc>
      </w:tr>
      <w:tr w:rsidR="00AC7652"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FB87DC5"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0C654950" w14:textId="2E546248"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1.95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64D36E9"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33.59</w:t>
            </w:r>
          </w:p>
        </w:tc>
      </w:tr>
      <w:tr w:rsidR="00AC7652"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3B0445F2"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日经225</w:t>
            </w:r>
          </w:p>
        </w:tc>
        <w:tc>
          <w:tcPr>
            <w:tcW w:w="1875" w:type="dxa"/>
            <w:noWrap/>
          </w:tcPr>
          <w:p w14:paraId="5DA062AB" w14:textId="3CF106ED"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1.89</w:t>
            </w:r>
          </w:p>
        </w:tc>
        <w:tc>
          <w:tcPr>
            <w:tcW w:w="2293" w:type="dxa"/>
            <w:noWrap/>
          </w:tcPr>
          <w:p w14:paraId="6CF61D40" w14:textId="51CAF12A"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6.79</w:t>
            </w:r>
          </w:p>
        </w:tc>
      </w:tr>
      <w:tr w:rsidR="00AC7652"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D958F5C" w:rsidR="00AC7652" w:rsidRPr="00D60997" w:rsidRDefault="00AC7652" w:rsidP="00AC7652">
            <w:pPr>
              <w:jc w:val="center"/>
              <w:rPr>
                <w:rFonts w:ascii="楷体" w:eastAsia="楷体" w:hAnsi="楷体" w:cs="Times New Roman"/>
                <w:color w:val="000000"/>
              </w:rPr>
            </w:pPr>
            <w:proofErr w:type="gramStart"/>
            <w:r w:rsidRPr="00AC7652">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B52684A" w14:textId="0F384B9B"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0.12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913B688"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1.44</w:t>
            </w:r>
          </w:p>
        </w:tc>
      </w:tr>
      <w:tr w:rsidR="00AC7652"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4C40382"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恒生指数</w:t>
            </w:r>
          </w:p>
        </w:tc>
        <w:tc>
          <w:tcPr>
            <w:tcW w:w="1875" w:type="dxa"/>
            <w:noWrap/>
          </w:tcPr>
          <w:p w14:paraId="07AD02DE" w14:textId="35A041CB"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-0.40</w:t>
            </w:r>
          </w:p>
        </w:tc>
        <w:tc>
          <w:tcPr>
            <w:tcW w:w="2293" w:type="dxa"/>
            <w:noWrap/>
          </w:tcPr>
          <w:p w14:paraId="1353B161" w14:textId="0006B51E"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5.07</w:t>
            </w:r>
          </w:p>
        </w:tc>
      </w:tr>
      <w:tr w:rsidR="00AC7652"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FF4E5A5"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95D9432" w14:textId="7E321956"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-1.16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E620554" w:rsidR="00AC7652" w:rsidRPr="00075E3A"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0.31</w:t>
            </w:r>
          </w:p>
        </w:tc>
      </w:tr>
      <w:tr w:rsidR="00AC7652"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0588F91E"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纳斯达克指数</w:t>
            </w:r>
          </w:p>
        </w:tc>
        <w:tc>
          <w:tcPr>
            <w:tcW w:w="1875" w:type="dxa"/>
            <w:noWrap/>
          </w:tcPr>
          <w:p w14:paraId="0528E8CE" w14:textId="3A77DE75"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-1.51</w:t>
            </w:r>
          </w:p>
        </w:tc>
        <w:tc>
          <w:tcPr>
            <w:tcW w:w="2293" w:type="dxa"/>
            <w:noWrap/>
          </w:tcPr>
          <w:p w14:paraId="0D77D093" w14:textId="3F40D0C7" w:rsidR="00AC7652" w:rsidRPr="00075E3A" w:rsidRDefault="001A2F85"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6.70</w:t>
            </w:r>
          </w:p>
        </w:tc>
      </w:tr>
      <w:tr w:rsidR="00AC7652"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EC47FE2" w:rsidR="00AC7652" w:rsidRPr="00D60997" w:rsidRDefault="00AC7652" w:rsidP="00AC7652">
            <w:pPr>
              <w:jc w:val="center"/>
              <w:rPr>
                <w:rFonts w:ascii="楷体" w:eastAsia="楷体" w:hAnsi="楷体" w:cs="Times New Roman"/>
                <w:color w:val="000000"/>
              </w:rPr>
            </w:pPr>
            <w:r w:rsidRPr="00AC7652">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F4244CE" w14:textId="480A4285" w:rsidR="00AC7652" w:rsidRPr="00D60997" w:rsidRDefault="00AC7652"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AC7652">
              <w:rPr>
                <w:rFonts w:ascii="楷体" w:eastAsia="楷体" w:hAnsi="楷体" w:cs="Times New Roman" w:hint="eastAsia"/>
                <w:color w:val="000000"/>
              </w:rPr>
              <w:t>-1.80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C3C4D1B" w:rsidR="00AC7652" w:rsidRPr="00075E3A" w:rsidRDefault="001A2F85" w:rsidP="00AC7652">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-2.88</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61CEB3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A2F85">
        <w:rPr>
          <w:rFonts w:ascii="Times New Roman" w:eastAsia="楷体" w:hAnsi="Times New Roman" w:cs="Times New Roman" w:hint="eastAsia"/>
          <w:b/>
        </w:rPr>
        <w:t>道琼斯工业</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D42467D" w:rsidR="007E1695" w:rsidRPr="00006470" w:rsidRDefault="001A2F85">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3C102FF" wp14:editId="2ABCEFA5">
            <wp:extent cx="5688330" cy="2700655"/>
            <wp:effectExtent l="0" t="0" r="762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C42D86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073E53">
        <w:rPr>
          <w:rFonts w:ascii="Times New Roman" w:eastAsia="楷体" w:hAnsi="Times New Roman" w:cs="Times New Roman" w:hint="eastAsia"/>
          <w:b/>
        </w:rPr>
        <w:t>大幅</w:t>
      </w:r>
      <w:r w:rsidR="001A2F85">
        <w:rPr>
          <w:rFonts w:ascii="Times New Roman" w:eastAsia="楷体" w:hAnsi="Times New Roman" w:cs="Times New Roman" w:hint="eastAsia"/>
          <w:b/>
        </w:rPr>
        <w:t>下降</w:t>
      </w:r>
    </w:p>
    <w:p w14:paraId="3AD41BC7" w14:textId="6D6A8EF7" w:rsidR="007E1695" w:rsidRPr="00006470" w:rsidRDefault="001A2F8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DE0D3FE" wp14:editId="1F67D531">
            <wp:extent cx="6279515" cy="2755900"/>
            <wp:effectExtent l="0" t="0" r="698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951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E26722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1A2F85">
        <w:rPr>
          <w:rFonts w:ascii="Times New Roman" w:eastAsia="楷体" w:hAnsi="Times New Roman" w:cs="Times New Roman" w:hint="eastAsia"/>
          <w:b/>
        </w:rPr>
        <w:t>5.65</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297E762" w:rsidR="007E1695" w:rsidRPr="00006470" w:rsidRDefault="001A2F85">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D031E75" wp14:editId="1653A970">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7B15FA0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DE3E87">
        <w:rPr>
          <w:rFonts w:ascii="Times New Roman" w:eastAsia="楷体" w:hAnsi="Times New Roman" w:cs="Times New Roman" w:hint="eastAsia"/>
          <w:b/>
          <w:color w:val="000000" w:themeColor="text1"/>
        </w:rPr>
        <w:t>584.46</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DE3E87">
        <w:rPr>
          <w:rFonts w:ascii="Times New Roman" w:eastAsia="楷体" w:hAnsi="Times New Roman" w:cs="Times New Roman" w:hint="eastAsia"/>
          <w:b/>
        </w:rPr>
        <w:t>增加</w:t>
      </w:r>
    </w:p>
    <w:p w14:paraId="3ABC9C3D" w14:textId="5BED377E" w:rsidR="007E1695" w:rsidRPr="00006470" w:rsidRDefault="00DE3E87"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17509111" wp14:editId="213A7D7F">
            <wp:extent cx="5255260" cy="312737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55260" cy="3127375"/>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209D434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1A2F85">
        <w:rPr>
          <w:rFonts w:ascii="Times New Roman" w:eastAsia="楷体" w:hAnsi="Times New Roman" w:cs="Times New Roman" w:hint="eastAsia"/>
          <w:b/>
        </w:rPr>
        <w:t>1703.72</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大幅增加</w:t>
      </w:r>
      <w:r w:rsidR="001C4958" w:rsidRPr="00006470">
        <w:rPr>
          <w:rFonts w:ascii="Times New Roman" w:eastAsia="楷体" w:hAnsi="Times New Roman" w:cs="Times New Roman"/>
          <w:b/>
        </w:rPr>
        <w:t xml:space="preserve"> </w:t>
      </w:r>
    </w:p>
    <w:p w14:paraId="45E40DB6" w14:textId="1F4336D7" w:rsidR="007E1695" w:rsidRPr="00006470" w:rsidRDefault="001A2F85"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AF0FB30" wp14:editId="06A912CF">
            <wp:extent cx="6303645" cy="2682240"/>
            <wp:effectExtent l="0" t="0" r="1905"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13E9BD7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4</w:t>
      </w:r>
      <w:r w:rsidRPr="00006470">
        <w:rPr>
          <w:rFonts w:ascii="Times New Roman" w:eastAsia="楷体" w:hAnsi="Times New Roman" w:cs="Times New Roman"/>
          <w:b/>
        </w:rPr>
        <w:t>月最新募资合计</w:t>
      </w:r>
      <w:r w:rsidR="001A2F85">
        <w:rPr>
          <w:rFonts w:ascii="Times New Roman" w:eastAsia="楷体" w:hAnsi="Times New Roman" w:cs="Times New Roman" w:hint="eastAsia"/>
          <w:b/>
        </w:rPr>
        <w:t>128.43</w:t>
      </w:r>
      <w:r w:rsidRPr="00006470">
        <w:rPr>
          <w:rFonts w:ascii="Times New Roman" w:eastAsia="楷体" w:hAnsi="Times New Roman" w:cs="Times New Roman"/>
          <w:b/>
        </w:rPr>
        <w:t>亿元</w:t>
      </w:r>
    </w:p>
    <w:p w14:paraId="09F800D5" w14:textId="087B5836" w:rsidR="007E1695" w:rsidRPr="00006470" w:rsidRDefault="001A2F8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CF355BF" wp14:editId="53D75F99">
            <wp:extent cx="6383020" cy="3347085"/>
            <wp:effectExtent l="0" t="0" r="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779BD7CE"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A2F85">
        <w:rPr>
          <w:rFonts w:ascii="Times New Roman" w:eastAsia="楷体" w:hAnsi="Times New Roman" w:cs="Times New Roman" w:hint="eastAsia"/>
          <w:b/>
        </w:rPr>
        <w:t>63.68</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1A2F85">
        <w:rPr>
          <w:rFonts w:ascii="Times New Roman" w:eastAsia="楷体" w:hAnsi="Times New Roman" w:cs="Times New Roman" w:hint="eastAsia"/>
          <w:b/>
        </w:rPr>
        <w:t>减少</w:t>
      </w:r>
    </w:p>
    <w:p w14:paraId="110691E2" w14:textId="29E5EF2E" w:rsidR="00051381" w:rsidRPr="00006470" w:rsidRDefault="001A2F85"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7458CCA" wp14:editId="74BA4B41">
            <wp:extent cx="5993130" cy="3347085"/>
            <wp:effectExtent l="0" t="0" r="762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1D7B02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E5327C">
        <w:rPr>
          <w:rFonts w:ascii="Times New Roman" w:eastAsia="楷体" w:hAnsi="Times New Roman" w:cs="Times New Roman" w:hint="eastAsia"/>
          <w:b/>
        </w:rPr>
        <w:t>0.</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23F43211"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5D006A0" wp14:editId="5AB319DE">
            <wp:extent cx="5791835" cy="255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6B47074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w:t>
      </w:r>
      <w:r w:rsidR="00E772C9">
        <w:rPr>
          <w:rFonts w:ascii="Times New Roman" w:eastAsia="楷体" w:hAnsi="Times New Roman" w:cs="Times New Roman" w:hint="eastAsia"/>
          <w:b/>
        </w:rPr>
        <w:t>4</w:t>
      </w:r>
      <w:r w:rsidR="00026688">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4BF6CBE"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32B890D" wp14:editId="45E95DC7">
            <wp:extent cx="5791835" cy="255460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50BE7B3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772C9">
        <w:rPr>
          <w:rFonts w:ascii="Times New Roman" w:eastAsia="楷体" w:hAnsi="Times New Roman" w:cs="Times New Roman" w:hint="eastAsia"/>
          <w:b/>
        </w:rPr>
        <w:t>3</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41A95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月社会融资规模</w:t>
      </w:r>
      <w:r w:rsidR="00317B95">
        <w:rPr>
          <w:rFonts w:ascii="Times New Roman" w:eastAsia="楷体" w:hAnsi="Times New Roman" w:cs="Times New Roman" w:hint="eastAsia"/>
          <w:b/>
        </w:rPr>
        <w:t>3.34</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42D04BA3" w:rsidR="007E1695" w:rsidRPr="00006470" w:rsidRDefault="00317B95">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94686E0" wp14:editId="3B6C3F97">
            <wp:extent cx="5791835" cy="2548255"/>
            <wp:effectExtent l="0" t="0" r="0" b="444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DAD8B3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317B95">
        <w:rPr>
          <w:rFonts w:ascii="Times New Roman" w:eastAsia="楷体" w:hAnsi="Times New Roman" w:cs="Times New Roman" w:hint="eastAsia"/>
          <w:b/>
        </w:rPr>
        <w:t>24.50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w:t>
      </w:r>
      <w:r w:rsidR="00317B95">
        <w:rPr>
          <w:rFonts w:ascii="Times New Roman" w:eastAsia="楷体" w:hAnsi="Times New Roman" w:cs="Times New Roman" w:hint="eastAsia"/>
          <w:b/>
        </w:rPr>
        <w:t>同比高增</w:t>
      </w:r>
    </w:p>
    <w:p w14:paraId="23566A53" w14:textId="2155B115" w:rsidR="007E1695" w:rsidRPr="00006470" w:rsidRDefault="00317B95">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29EEC04E" wp14:editId="00463B18">
            <wp:extent cx="5864860" cy="256032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7DC1537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17B95">
        <w:rPr>
          <w:rFonts w:ascii="Times New Roman" w:eastAsia="楷体" w:hAnsi="Times New Roman" w:cs="Times New Roman" w:hint="eastAsia"/>
          <w:b/>
        </w:rPr>
        <w:t>3</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317B95">
        <w:rPr>
          <w:rFonts w:ascii="Times New Roman" w:eastAsia="楷体" w:hAnsi="Times New Roman" w:cs="Times New Roman" w:hint="eastAsia"/>
          <w:b/>
        </w:rPr>
        <w:t>25.60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7027141D" w:rsidR="00971387" w:rsidRPr="00006470" w:rsidRDefault="00317B95"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4A02B41" wp14:editId="1D200330">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5F03FED7" w14:textId="77777777" w:rsidR="00E501AA" w:rsidRPr="00006470" w:rsidRDefault="00E501AA" w:rsidP="00E501AA">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Pr>
          <w:rFonts w:ascii="Times New Roman" w:eastAsia="楷体" w:hAnsi="Times New Roman" w:cs="Times New Roman" w:hint="eastAsia"/>
          <w:b/>
        </w:rPr>
        <w:t>3</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Pr>
          <w:rFonts w:ascii="Times New Roman" w:eastAsia="楷体" w:hAnsi="Times New Roman" w:cs="Times New Roman" w:hint="eastAsia"/>
          <w:b/>
        </w:rPr>
        <w:t>增长</w:t>
      </w:r>
      <w:r>
        <w:rPr>
          <w:rFonts w:ascii="Times New Roman" w:eastAsia="楷体" w:hAnsi="Times New Roman" w:cs="Times New Roman" w:hint="eastAsia"/>
          <w:b/>
        </w:rPr>
        <w:t>34.20</w:t>
      </w:r>
      <w:r w:rsidRPr="00006470">
        <w:rPr>
          <w:rFonts w:ascii="Times New Roman" w:eastAsia="楷体" w:hAnsi="Times New Roman" w:cs="Times New Roman"/>
          <w:b/>
        </w:rPr>
        <w:t xml:space="preserve">% </w:t>
      </w:r>
      <w:r>
        <w:rPr>
          <w:rFonts w:ascii="Times New Roman" w:eastAsia="楷体" w:hAnsi="Times New Roman" w:cs="Times New Roman" w:hint="eastAsia"/>
          <w:b/>
        </w:rPr>
        <w:t>，同比高增</w:t>
      </w:r>
    </w:p>
    <w:p w14:paraId="375475C4" w14:textId="77777777" w:rsidR="00E501AA" w:rsidRPr="00006470" w:rsidRDefault="00E501AA" w:rsidP="00E501AA">
      <w:pPr>
        <w:pStyle w:val="af"/>
        <w:ind w:firstLine="480"/>
        <w:jc w:val="center"/>
        <w:rPr>
          <w:rFonts w:ascii="Times New Roman" w:hAnsi="Times New Roman" w:cs="Times New Roman"/>
          <w:sz w:val="22"/>
        </w:rPr>
      </w:pPr>
      <w:r>
        <w:rPr>
          <w:noProof/>
        </w:rPr>
        <w:drawing>
          <wp:inline distT="0" distB="0" distL="0" distR="0" wp14:anchorId="5501E45D" wp14:editId="44A2B407">
            <wp:extent cx="5215772" cy="2775058"/>
            <wp:effectExtent l="0" t="0" r="23495" b="25400"/>
            <wp:docPr id="5" name="图表 5">
              <a:extLst xmlns:a="http://schemas.openxmlformats.org/drawingml/2006/main">
                <a:ext uri="{FF2B5EF4-FFF2-40B4-BE49-F238E27FC236}">
                  <a16:creationId xmlns:lc="http://schemas.openxmlformats.org/drawingml/2006/lockedCanvas" xmlns:a16="http://schemas.microsoft.com/office/drawing/2014/main" xmlns:xdr="http://schemas.openxmlformats.org/drawingml/2006/spreadsheetDrawing" xmlns="" xmlns:w="http://schemas.openxmlformats.org/wordprocessingml/2006/main" xmlns:w10="urn:schemas-microsoft-com:office:word" xmlns:v="urn:schemas-microsoft-com:vml" xmlns:o="urn:schemas-microsoft-com:office:office" id="{EE26A1C4-83EE-47CF-B8B9-FA13787B61A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533541FA" w14:textId="3E36BD1D" w:rsidR="00AD4FF0" w:rsidRPr="00006470" w:rsidRDefault="00E501AA" w:rsidP="00E501AA">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bookmarkStart w:id="3" w:name="_GoBack"/>
      <w:bookmarkEnd w:id="3"/>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72B82CF2" w:rsidR="007E1695" w:rsidRPr="00006470" w:rsidRDefault="00D764B0" w:rsidP="00D764B0">
      <w:pPr>
        <w:jc w:val="left"/>
        <w:rPr>
          <w:rFonts w:ascii="Times New Roman" w:hAnsi="Times New Roman" w:cs="Times New Roman"/>
          <w:sz w:val="22"/>
        </w:rPr>
      </w:pPr>
      <w:r w:rsidRPr="00BC74C9">
        <w:rPr>
          <w:rFonts w:ascii="微软雅黑" w:eastAsia="微软雅黑" w:hAnsi="微软雅黑" w:hint="eastAsia"/>
          <w:color w:val="474747"/>
          <w:sz w:val="21"/>
          <w:szCs w:val="21"/>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C74C9">
        <w:rPr>
          <w:rFonts w:ascii="微软雅黑" w:eastAsia="微软雅黑" w:hAnsi="微软雅黑" w:hint="eastAsia"/>
          <w:color w:val="474747"/>
          <w:sz w:val="21"/>
          <w:szCs w:val="21"/>
          <w:shd w:val="clear" w:color="auto" w:fill="FFFFFF"/>
        </w:rPr>
        <w:t>作出</w:t>
      </w:r>
      <w:proofErr w:type="gramEnd"/>
      <w:r w:rsidRPr="00BC74C9">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955C33" w14:textId="77777777" w:rsidR="00B31EED" w:rsidRDefault="00B31EED">
      <w:pPr>
        <w:spacing w:line="240" w:lineRule="auto"/>
      </w:pPr>
      <w:r>
        <w:separator/>
      </w:r>
    </w:p>
  </w:endnote>
  <w:endnote w:type="continuationSeparator" w:id="0">
    <w:p w14:paraId="3F3B77CA" w14:textId="77777777" w:rsidR="00B31EED" w:rsidRDefault="00B31E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E501AA">
              <w:rPr>
                <w:b/>
                <w:bCs/>
                <w:noProof/>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501AA">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E01536" w14:textId="77777777" w:rsidR="00B31EED" w:rsidRDefault="00B31EED">
      <w:pPr>
        <w:spacing w:line="240" w:lineRule="auto"/>
      </w:pPr>
      <w:r>
        <w:separator/>
      </w:r>
    </w:p>
  </w:footnote>
  <w:footnote w:type="continuationSeparator" w:id="0">
    <w:p w14:paraId="07F77AF1" w14:textId="77777777" w:rsidR="00B31EED" w:rsidRDefault="00B31EE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41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29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647"/>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ED"/>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4B0"/>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E87"/>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0724A"/>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1AA"/>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sz="1100" b="1">
                <a:latin typeface="微软雅黑" panose="020B0503020204020204" pitchFamily="34" charset="-122"/>
                <a:ea typeface="微软雅黑" panose="020B0503020204020204" pitchFamily="34" charset="-122"/>
              </a:rPr>
              <a:t>社会消费品零售总额</a:t>
            </a:r>
            <a:r>
              <a:rPr lang="en-US" altLang="zh-CN" sz="1100" b="1">
                <a:latin typeface="微软雅黑" panose="020B0503020204020204" pitchFamily="34" charset="-122"/>
                <a:ea typeface="微软雅黑" panose="020B0503020204020204" pitchFamily="34" charset="-122"/>
              </a:rPr>
              <a:t>:</a:t>
            </a:r>
            <a:r>
              <a:rPr lang="zh-CN" altLang="en-US" sz="1100" b="1">
                <a:latin typeface="微软雅黑" panose="020B0503020204020204" pitchFamily="34" charset="-122"/>
                <a:ea typeface="微软雅黑" panose="020B0503020204020204" pitchFamily="34" charset="-122"/>
              </a:rPr>
              <a:t>当月同比</a:t>
            </a:r>
          </a:p>
        </c:rich>
      </c:tx>
      <c:overlay val="0"/>
      <c:spPr>
        <a:noFill/>
        <a:ln>
          <a:noFill/>
        </a:ln>
        <a:effectLst/>
      </c:spPr>
    </c:title>
    <c:autoTitleDeleted val="0"/>
    <c:plotArea>
      <c:layout/>
      <c:lineChart>
        <c:grouping val="standard"/>
        <c:varyColors val="0"/>
        <c:ser>
          <c:idx val="0"/>
          <c:order val="0"/>
          <c:tx>
            <c:strRef>
              <c:f>Sheet1!$D$2</c:f>
              <c:strCache>
                <c:ptCount val="1"/>
                <c:pt idx="0">
                  <c:v>社会消费品零售总额:当月同比</c:v>
                </c:pt>
              </c:strCache>
            </c:strRef>
          </c:tx>
          <c:spPr>
            <a:ln w="28575" cap="rnd">
              <a:solidFill>
                <a:schemeClr val="accent6"/>
              </a:solidFill>
              <a:round/>
            </a:ln>
            <a:effectLst/>
          </c:spPr>
          <c:marker>
            <c:symbol val="none"/>
          </c:marker>
          <c:cat>
            <c:numRef>
              <c:f>Sheet1!$A$4:$A$72</c:f>
              <c:numCache>
                <c:formatCode>yyyy\-mm;@</c:formatCode>
                <c:ptCount val="69"/>
                <c:pt idx="0">
                  <c:v>44286</c:v>
                </c:pt>
                <c:pt idx="1">
                  <c:v>44255</c:v>
                </c:pt>
                <c:pt idx="2">
                  <c:v>44196</c:v>
                </c:pt>
                <c:pt idx="3">
                  <c:v>44165</c:v>
                </c:pt>
                <c:pt idx="4">
                  <c:v>44135</c:v>
                </c:pt>
                <c:pt idx="5">
                  <c:v>44104</c:v>
                </c:pt>
                <c:pt idx="6">
                  <c:v>44074</c:v>
                </c:pt>
                <c:pt idx="7">
                  <c:v>44043</c:v>
                </c:pt>
                <c:pt idx="8">
                  <c:v>44012</c:v>
                </c:pt>
                <c:pt idx="9">
                  <c:v>43982</c:v>
                </c:pt>
                <c:pt idx="10">
                  <c:v>43951</c:v>
                </c:pt>
                <c:pt idx="11">
                  <c:v>43921</c:v>
                </c:pt>
                <c:pt idx="12">
                  <c:v>43890</c:v>
                </c:pt>
                <c:pt idx="13">
                  <c:v>43830</c:v>
                </c:pt>
                <c:pt idx="14">
                  <c:v>43799</c:v>
                </c:pt>
                <c:pt idx="15">
                  <c:v>43769</c:v>
                </c:pt>
                <c:pt idx="16">
                  <c:v>43738</c:v>
                </c:pt>
                <c:pt idx="17">
                  <c:v>43708</c:v>
                </c:pt>
                <c:pt idx="18">
                  <c:v>43677</c:v>
                </c:pt>
                <c:pt idx="19">
                  <c:v>43646</c:v>
                </c:pt>
                <c:pt idx="20">
                  <c:v>43616</c:v>
                </c:pt>
                <c:pt idx="21">
                  <c:v>43585</c:v>
                </c:pt>
                <c:pt idx="22">
                  <c:v>43555</c:v>
                </c:pt>
                <c:pt idx="23">
                  <c:v>43524</c:v>
                </c:pt>
                <c:pt idx="24">
                  <c:v>43465</c:v>
                </c:pt>
                <c:pt idx="25">
                  <c:v>43434</c:v>
                </c:pt>
                <c:pt idx="26">
                  <c:v>43404</c:v>
                </c:pt>
                <c:pt idx="27">
                  <c:v>43373</c:v>
                </c:pt>
                <c:pt idx="28">
                  <c:v>43343</c:v>
                </c:pt>
                <c:pt idx="29">
                  <c:v>43312</c:v>
                </c:pt>
                <c:pt idx="30">
                  <c:v>43281</c:v>
                </c:pt>
                <c:pt idx="31">
                  <c:v>43251</c:v>
                </c:pt>
                <c:pt idx="32">
                  <c:v>43220</c:v>
                </c:pt>
                <c:pt idx="33">
                  <c:v>43190</c:v>
                </c:pt>
                <c:pt idx="34">
                  <c:v>43159</c:v>
                </c:pt>
                <c:pt idx="35">
                  <c:v>43100</c:v>
                </c:pt>
                <c:pt idx="36">
                  <c:v>43069</c:v>
                </c:pt>
                <c:pt idx="37">
                  <c:v>43039</c:v>
                </c:pt>
                <c:pt idx="38">
                  <c:v>43008</c:v>
                </c:pt>
                <c:pt idx="39">
                  <c:v>42978</c:v>
                </c:pt>
                <c:pt idx="40">
                  <c:v>42947</c:v>
                </c:pt>
                <c:pt idx="41">
                  <c:v>42916</c:v>
                </c:pt>
                <c:pt idx="42">
                  <c:v>42886</c:v>
                </c:pt>
                <c:pt idx="43">
                  <c:v>42855</c:v>
                </c:pt>
                <c:pt idx="44">
                  <c:v>42825</c:v>
                </c:pt>
                <c:pt idx="45">
                  <c:v>42794</c:v>
                </c:pt>
                <c:pt idx="46">
                  <c:v>42735</c:v>
                </c:pt>
                <c:pt idx="47">
                  <c:v>42704</c:v>
                </c:pt>
                <c:pt idx="48">
                  <c:v>42674</c:v>
                </c:pt>
                <c:pt idx="49">
                  <c:v>42643</c:v>
                </c:pt>
                <c:pt idx="50">
                  <c:v>42613</c:v>
                </c:pt>
                <c:pt idx="51">
                  <c:v>42582</c:v>
                </c:pt>
                <c:pt idx="52">
                  <c:v>42551</c:v>
                </c:pt>
                <c:pt idx="53">
                  <c:v>42521</c:v>
                </c:pt>
                <c:pt idx="54">
                  <c:v>42490</c:v>
                </c:pt>
                <c:pt idx="55">
                  <c:v>42460</c:v>
                </c:pt>
                <c:pt idx="56">
                  <c:v>42429</c:v>
                </c:pt>
                <c:pt idx="57">
                  <c:v>42369</c:v>
                </c:pt>
                <c:pt idx="58">
                  <c:v>42338</c:v>
                </c:pt>
                <c:pt idx="59">
                  <c:v>42308</c:v>
                </c:pt>
                <c:pt idx="60">
                  <c:v>42277</c:v>
                </c:pt>
                <c:pt idx="61">
                  <c:v>42247</c:v>
                </c:pt>
                <c:pt idx="62">
                  <c:v>42216</c:v>
                </c:pt>
                <c:pt idx="63">
                  <c:v>42185</c:v>
                </c:pt>
                <c:pt idx="64">
                  <c:v>42155</c:v>
                </c:pt>
                <c:pt idx="65">
                  <c:v>42124</c:v>
                </c:pt>
                <c:pt idx="66">
                  <c:v>42094</c:v>
                </c:pt>
                <c:pt idx="67">
                  <c:v>42063</c:v>
                </c:pt>
                <c:pt idx="68">
                  <c:v>42004</c:v>
                </c:pt>
              </c:numCache>
            </c:numRef>
          </c:cat>
          <c:val>
            <c:numRef>
              <c:f>Sheet1!$D$4:$D$72</c:f>
              <c:numCache>
                <c:formatCode>###,###,###,###,##0.00</c:formatCode>
                <c:ptCount val="69"/>
                <c:pt idx="0">
                  <c:v>34.200000000000003</c:v>
                </c:pt>
                <c:pt idx="1">
                  <c:v>33.799999999999997</c:v>
                </c:pt>
                <c:pt idx="2">
                  <c:v>4.5999999999999996</c:v>
                </c:pt>
                <c:pt idx="3">
                  <c:v>5</c:v>
                </c:pt>
                <c:pt idx="4">
                  <c:v>4.3</c:v>
                </c:pt>
                <c:pt idx="5">
                  <c:v>3.3</c:v>
                </c:pt>
                <c:pt idx="6">
                  <c:v>0.5</c:v>
                </c:pt>
                <c:pt idx="7">
                  <c:v>-1.1000000000000001</c:v>
                </c:pt>
                <c:pt idx="8">
                  <c:v>-1.8</c:v>
                </c:pt>
                <c:pt idx="9">
                  <c:v>-2.8</c:v>
                </c:pt>
                <c:pt idx="10">
                  <c:v>-7.5</c:v>
                </c:pt>
                <c:pt idx="11">
                  <c:v>-15.8</c:v>
                </c:pt>
                <c:pt idx="12">
                  <c:v>-20.5</c:v>
                </c:pt>
                <c:pt idx="13">
                  <c:v>8</c:v>
                </c:pt>
                <c:pt idx="14">
                  <c:v>8</c:v>
                </c:pt>
                <c:pt idx="15">
                  <c:v>7.2</c:v>
                </c:pt>
                <c:pt idx="16">
                  <c:v>7.8</c:v>
                </c:pt>
                <c:pt idx="17">
                  <c:v>7.5</c:v>
                </c:pt>
                <c:pt idx="18">
                  <c:v>7.6</c:v>
                </c:pt>
                <c:pt idx="19">
                  <c:v>9.8000000000000007</c:v>
                </c:pt>
                <c:pt idx="20">
                  <c:v>8.6</c:v>
                </c:pt>
                <c:pt idx="21">
                  <c:v>7.2</c:v>
                </c:pt>
                <c:pt idx="22">
                  <c:v>8.6999999999999993</c:v>
                </c:pt>
                <c:pt idx="23">
                  <c:v>8.1999999999999993</c:v>
                </c:pt>
                <c:pt idx="24">
                  <c:v>8.1608140000000002</c:v>
                </c:pt>
                <c:pt idx="25">
                  <c:v>8.1</c:v>
                </c:pt>
                <c:pt idx="26">
                  <c:v>8.6</c:v>
                </c:pt>
                <c:pt idx="27">
                  <c:v>9.1999999999999993</c:v>
                </c:pt>
                <c:pt idx="28">
                  <c:v>9</c:v>
                </c:pt>
                <c:pt idx="29">
                  <c:v>8.8000000000000007</c:v>
                </c:pt>
                <c:pt idx="30">
                  <c:v>9</c:v>
                </c:pt>
                <c:pt idx="31">
                  <c:v>8.5</c:v>
                </c:pt>
                <c:pt idx="32">
                  <c:v>9.4</c:v>
                </c:pt>
                <c:pt idx="33">
                  <c:v>10.1</c:v>
                </c:pt>
                <c:pt idx="34">
                  <c:v>9.6999999999999993</c:v>
                </c:pt>
                <c:pt idx="35">
                  <c:v>9.4</c:v>
                </c:pt>
                <c:pt idx="36">
                  <c:v>10.199999999999999</c:v>
                </c:pt>
                <c:pt idx="37">
                  <c:v>10</c:v>
                </c:pt>
                <c:pt idx="38">
                  <c:v>10.3</c:v>
                </c:pt>
                <c:pt idx="39">
                  <c:v>10.1</c:v>
                </c:pt>
                <c:pt idx="40">
                  <c:v>10.4</c:v>
                </c:pt>
                <c:pt idx="41">
                  <c:v>11</c:v>
                </c:pt>
                <c:pt idx="42">
                  <c:v>10.7</c:v>
                </c:pt>
                <c:pt idx="43">
                  <c:v>10.7</c:v>
                </c:pt>
                <c:pt idx="44">
                  <c:v>10.9</c:v>
                </c:pt>
                <c:pt idx="45">
                  <c:v>9.5</c:v>
                </c:pt>
                <c:pt idx="46">
                  <c:v>10.9</c:v>
                </c:pt>
                <c:pt idx="47">
                  <c:v>10.8</c:v>
                </c:pt>
                <c:pt idx="48">
                  <c:v>10</c:v>
                </c:pt>
                <c:pt idx="49">
                  <c:v>10.7</c:v>
                </c:pt>
                <c:pt idx="50">
                  <c:v>10.6</c:v>
                </c:pt>
                <c:pt idx="51">
                  <c:v>10.199999999999999</c:v>
                </c:pt>
                <c:pt idx="52">
                  <c:v>10.6</c:v>
                </c:pt>
                <c:pt idx="53">
                  <c:v>10</c:v>
                </c:pt>
                <c:pt idx="54">
                  <c:v>10.1</c:v>
                </c:pt>
                <c:pt idx="55">
                  <c:v>10.5</c:v>
                </c:pt>
                <c:pt idx="56">
                  <c:v>10.199999999999999</c:v>
                </c:pt>
                <c:pt idx="57">
                  <c:v>11.1</c:v>
                </c:pt>
                <c:pt idx="58">
                  <c:v>11.1722</c:v>
                </c:pt>
                <c:pt idx="59">
                  <c:v>11.023400000000001</c:v>
                </c:pt>
                <c:pt idx="60">
                  <c:v>10.9</c:v>
                </c:pt>
                <c:pt idx="61">
                  <c:v>10.792299999999999</c:v>
                </c:pt>
                <c:pt idx="62">
                  <c:v>10.5123</c:v>
                </c:pt>
                <c:pt idx="63">
                  <c:v>10.632</c:v>
                </c:pt>
                <c:pt idx="64">
                  <c:v>10.1302</c:v>
                </c:pt>
                <c:pt idx="65">
                  <c:v>10.0024</c:v>
                </c:pt>
                <c:pt idx="66">
                  <c:v>10.2445</c:v>
                </c:pt>
                <c:pt idx="67">
                  <c:v>10.7142</c:v>
                </c:pt>
                <c:pt idx="68">
                  <c:v>11.889099999999999</c:v>
                </c:pt>
              </c:numCache>
            </c:numRef>
          </c:val>
          <c:smooth val="0"/>
          <c:extLst xmlns:c16r2="http://schemas.microsoft.com/office/drawing/2015/06/chart">
            <c:ext xmlns:c16="http://schemas.microsoft.com/office/drawing/2014/chart" uri="{C3380CC4-5D6E-409C-BE32-E72D297353CC}">
              <c16:uniqueId val="{00000003-6094-4FBC-9395-3234FA0D52D4}"/>
            </c:ext>
          </c:extLst>
        </c:ser>
        <c:dLbls>
          <c:showLegendKey val="0"/>
          <c:showVal val="0"/>
          <c:showCatName val="0"/>
          <c:showSerName val="0"/>
          <c:showPercent val="0"/>
          <c:showBubbleSize val="0"/>
        </c:dLbls>
        <c:marker val="1"/>
        <c:smooth val="0"/>
        <c:axId val="205107200"/>
        <c:axId val="205108736"/>
      </c:lineChart>
      <c:dateAx>
        <c:axId val="205107200"/>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05108736"/>
        <c:crosses val="autoZero"/>
        <c:auto val="1"/>
        <c:lblOffset val="100"/>
        <c:baseTimeUnit val="months"/>
      </c:dateAx>
      <c:valAx>
        <c:axId val="20510873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zh-CN" altLang="en-US" sz="900">
                    <a:latin typeface="微软雅黑" panose="020B0503020204020204" pitchFamily="34" charset="-122"/>
                    <a:ea typeface="微软雅黑" panose="020B0503020204020204" pitchFamily="34" charset="-122"/>
                  </a:rPr>
                  <a:t>单位：万亿元</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05107200"/>
        <c:crosses val="autoZero"/>
        <c:crossBetween val="between"/>
      </c:valAx>
    </c:plotArea>
    <c:plotVisOnly val="1"/>
    <c:dispBlanksAs val="gap"/>
    <c:showDLblsOverMax val="0"/>
    <c:extLst xmlns:c16r2="http://schemas.microsoft.com/office/drawing/2015/06/chart"/>
  </c:chart>
  <c:spPr>
    <a:solidFill>
      <a:schemeClr val="bg1"/>
    </a:solidFill>
    <a:ln w="9525" cap="flat" cmpd="sng" algn="ctr">
      <a:solidFill>
        <a:schemeClr val="accent6"/>
      </a:solidFill>
      <a:round/>
    </a:ln>
    <a:effectLst/>
  </c:spPr>
  <c:txPr>
    <a:bodyPr/>
    <a:lstStyle/>
    <a:p>
      <a:pPr>
        <a:defRPr/>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20FD49-1E53-4A5C-AA34-ECAA1CFBD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Pages>
  <Words>448</Words>
  <Characters>2557</Characters>
  <Application>Microsoft Office Word</Application>
  <DocSecurity>0</DocSecurity>
  <Lines>21</Lines>
  <Paragraphs>5</Paragraphs>
  <ScaleCrop>false</ScaleCrop>
  <Company>china</Company>
  <LinksUpToDate>false</LinksUpToDate>
  <CharactersWithSpaces>3000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2021-05-10T03:13:00Z</cp:lastPrinted>
  <dcterms:created xsi:type="dcterms:W3CDTF">2021-05-10T03:11:00Z</dcterms:created>
  <dcterms:modified xsi:type="dcterms:W3CDTF">2021-05-10T09:11:00Z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