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0661A82E"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515400">
        <w:rPr>
          <w:rFonts w:ascii="楷体" w:eastAsia="楷体" w:hAnsi="楷体" w:hint="eastAsia"/>
          <w:sz w:val="28"/>
          <w:szCs w:val="28"/>
        </w:rPr>
        <w:t>市场</w:t>
      </w:r>
      <w:proofErr w:type="gramStart"/>
      <w:r w:rsidR="00515400">
        <w:rPr>
          <w:rFonts w:ascii="楷体" w:eastAsia="楷体" w:hAnsi="楷体" w:hint="eastAsia"/>
          <w:sz w:val="28"/>
          <w:szCs w:val="28"/>
        </w:rPr>
        <w:t>通胀担忧</w:t>
      </w:r>
      <w:proofErr w:type="gramEnd"/>
      <w:r w:rsidR="00515400">
        <w:rPr>
          <w:rFonts w:ascii="楷体" w:eastAsia="楷体" w:hAnsi="楷体" w:hint="eastAsia"/>
          <w:sz w:val="28"/>
          <w:szCs w:val="28"/>
        </w:rPr>
        <w:t>持续</w:t>
      </w:r>
      <w:r w:rsidR="00CD02EA">
        <w:rPr>
          <w:rFonts w:ascii="楷体" w:eastAsia="楷体" w:hAnsi="楷体" w:hint="eastAsia"/>
          <w:sz w:val="28"/>
          <w:szCs w:val="28"/>
        </w:rPr>
        <w:t>，</w:t>
      </w:r>
      <w:r w:rsidR="00793F51">
        <w:rPr>
          <w:rFonts w:ascii="楷体" w:eastAsia="楷体" w:hAnsi="楷体" w:hint="eastAsia"/>
          <w:sz w:val="28"/>
          <w:szCs w:val="28"/>
        </w:rPr>
        <w:t>债市</w:t>
      </w:r>
      <w:r w:rsidR="00515400">
        <w:rPr>
          <w:rFonts w:ascii="楷体" w:eastAsia="楷体" w:hAnsi="楷体" w:hint="eastAsia"/>
          <w:sz w:val="28"/>
          <w:szCs w:val="28"/>
        </w:rPr>
        <w:t>关注边际变化</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2184E5F0" w:rsidR="00695DD9" w:rsidRPr="00DF6DF8" w:rsidRDefault="00711EF1" w:rsidP="00695DD9">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近期公布通胀和金融数据情况：根据</w:t>
      </w:r>
      <w:r w:rsidRPr="00711EF1">
        <w:rPr>
          <w:rFonts w:ascii="华文楷体" w:hAnsi="华文楷体" w:hint="eastAsia"/>
          <w:b w:val="0"/>
          <w:color w:val="auto"/>
          <w:sz w:val="24"/>
          <w:szCs w:val="24"/>
        </w:rPr>
        <w:t>统计局公布数据显示，4月CPI同比上升0.9%，预期升1%，环比下降0.3%；PPI同比上涨6.8%，预期涨6.5%，环比上涨0.9%。CPI同比基本符合预期，PPI升幅略超预期。</w:t>
      </w:r>
    </w:p>
    <w:p w14:paraId="090EC56C" w14:textId="7A33D080" w:rsidR="0090508B" w:rsidRDefault="00DF6DF8" w:rsidP="002D0C96">
      <w:pPr>
        <w:pStyle w:val="Header1"/>
        <w:spacing w:before="240"/>
        <w:ind w:firstLine="480"/>
        <w:rPr>
          <w:rFonts w:ascii="华文楷体" w:hAnsi="华文楷体"/>
          <w:b w:val="0"/>
          <w:color w:val="auto"/>
          <w:sz w:val="24"/>
          <w:szCs w:val="24"/>
        </w:rPr>
      </w:pPr>
      <w:r>
        <w:rPr>
          <w:rFonts w:ascii="华文楷体" w:hAnsi="华文楷体" w:hint="eastAsia"/>
          <w:b w:val="0"/>
          <w:smallCaps w:val="0"/>
          <w:color w:val="auto"/>
          <w:sz w:val="24"/>
          <w:szCs w:val="24"/>
        </w:rPr>
        <w:t>从数据来</w:t>
      </w:r>
      <w:r w:rsidRPr="00DF6DF8">
        <w:rPr>
          <w:rFonts w:ascii="华文楷体" w:hAnsi="华文楷体" w:hint="eastAsia"/>
          <w:b w:val="0"/>
          <w:color w:val="auto"/>
          <w:sz w:val="24"/>
          <w:szCs w:val="24"/>
        </w:rPr>
        <w:t>看，</w:t>
      </w:r>
      <w:r w:rsidR="00711EF1" w:rsidRPr="00711EF1">
        <w:rPr>
          <w:rFonts w:ascii="华文楷体" w:hAnsi="华文楷体" w:hint="eastAsia"/>
          <w:b w:val="0"/>
          <w:color w:val="auto"/>
          <w:sz w:val="24"/>
          <w:szCs w:val="24"/>
        </w:rPr>
        <w:t>CPI</w:t>
      </w:r>
      <w:proofErr w:type="gramStart"/>
      <w:r w:rsidR="00711EF1" w:rsidRPr="00711EF1">
        <w:rPr>
          <w:rFonts w:ascii="华文楷体" w:hAnsi="华文楷体" w:hint="eastAsia"/>
          <w:b w:val="0"/>
          <w:color w:val="auto"/>
          <w:sz w:val="24"/>
          <w:szCs w:val="24"/>
        </w:rPr>
        <w:t>食品环</w:t>
      </w:r>
      <w:proofErr w:type="gramEnd"/>
      <w:r w:rsidR="00711EF1" w:rsidRPr="00711EF1">
        <w:rPr>
          <w:rFonts w:ascii="华文楷体" w:hAnsi="华文楷体" w:hint="eastAsia"/>
          <w:b w:val="0"/>
          <w:color w:val="auto"/>
          <w:sz w:val="24"/>
          <w:szCs w:val="24"/>
        </w:rPr>
        <w:t>比下跌2.4%，但跌幅较3月有所收窄，主要受猪价持续下跌、鲜菜价格跌幅收窄、蛋类和水产品价格修复影响。CPI非</w:t>
      </w:r>
      <w:proofErr w:type="gramStart"/>
      <w:r w:rsidR="00711EF1" w:rsidRPr="00711EF1">
        <w:rPr>
          <w:rFonts w:ascii="华文楷体" w:hAnsi="华文楷体" w:hint="eastAsia"/>
          <w:b w:val="0"/>
          <w:color w:val="auto"/>
          <w:sz w:val="24"/>
          <w:szCs w:val="24"/>
        </w:rPr>
        <w:t>食品环</w:t>
      </w:r>
      <w:proofErr w:type="gramEnd"/>
      <w:r w:rsidR="00711EF1" w:rsidRPr="00711EF1">
        <w:rPr>
          <w:rFonts w:ascii="华文楷体" w:hAnsi="华文楷体" w:hint="eastAsia"/>
          <w:b w:val="0"/>
          <w:color w:val="auto"/>
          <w:sz w:val="24"/>
          <w:szCs w:val="24"/>
        </w:rPr>
        <w:t>比维持在0.2%</w:t>
      </w:r>
      <w:r w:rsidR="00711EF1">
        <w:rPr>
          <w:rFonts w:ascii="华文楷体" w:hAnsi="华文楷体" w:hint="eastAsia"/>
          <w:b w:val="0"/>
          <w:color w:val="auto"/>
          <w:sz w:val="24"/>
          <w:szCs w:val="24"/>
        </w:rPr>
        <w:t>，成品油价下行对其产生一定影响</w:t>
      </w:r>
      <w:r w:rsidRPr="0064149E">
        <w:rPr>
          <w:rFonts w:ascii="华文楷体" w:hAnsi="华文楷体" w:hint="eastAsia"/>
          <w:b w:val="0"/>
          <w:color w:val="auto"/>
          <w:sz w:val="24"/>
          <w:szCs w:val="24"/>
        </w:rPr>
        <w:t>。</w:t>
      </w:r>
      <w:r w:rsidR="00711EF1">
        <w:rPr>
          <w:rFonts w:ascii="华文楷体" w:hAnsi="华文楷体" w:hint="eastAsia"/>
          <w:b w:val="0"/>
          <w:color w:val="auto"/>
          <w:sz w:val="24"/>
          <w:szCs w:val="24"/>
        </w:rPr>
        <w:t>核心CPI方面，</w:t>
      </w:r>
      <w:r w:rsidR="00711EF1" w:rsidRPr="00711EF1">
        <w:rPr>
          <w:rFonts w:ascii="华文楷体" w:hAnsi="华文楷体" w:hint="eastAsia"/>
          <w:b w:val="0"/>
          <w:color w:val="auto"/>
          <w:sz w:val="24"/>
          <w:szCs w:val="24"/>
        </w:rPr>
        <w:t>上游涨价的影响有所体现，服务业相关修复仍然偏弱</w:t>
      </w:r>
      <w:r w:rsidR="00711EF1">
        <w:rPr>
          <w:rFonts w:ascii="华文楷体" w:hAnsi="华文楷体" w:hint="eastAsia"/>
          <w:b w:val="0"/>
          <w:color w:val="auto"/>
          <w:sz w:val="24"/>
          <w:szCs w:val="24"/>
        </w:rPr>
        <w:t>。</w:t>
      </w:r>
    </w:p>
    <w:p w14:paraId="30D2A60D" w14:textId="2BF34A80" w:rsidR="00711EF1" w:rsidRPr="0064149E" w:rsidRDefault="00711EF1" w:rsidP="002D0C96">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PPI</w:t>
      </w:r>
      <w:r w:rsidR="001A56D9">
        <w:rPr>
          <w:rFonts w:ascii="华文楷体" w:hAnsi="华文楷体" w:hint="eastAsia"/>
          <w:b w:val="0"/>
          <w:color w:val="auto"/>
          <w:sz w:val="24"/>
          <w:szCs w:val="24"/>
        </w:rPr>
        <w:t>数据</w:t>
      </w:r>
      <w:r>
        <w:rPr>
          <w:rFonts w:ascii="华文楷体" w:hAnsi="华文楷体" w:hint="eastAsia"/>
          <w:b w:val="0"/>
          <w:color w:val="auto"/>
          <w:sz w:val="24"/>
          <w:szCs w:val="24"/>
        </w:rPr>
        <w:t>方面，</w:t>
      </w:r>
      <w:r w:rsidRPr="001A56D9">
        <w:rPr>
          <w:rFonts w:ascii="华文楷体" w:hAnsi="华文楷体" w:hint="eastAsia"/>
          <w:b w:val="0"/>
          <w:color w:val="auto"/>
          <w:sz w:val="24"/>
          <w:szCs w:val="24"/>
        </w:rPr>
        <w:t>4月PPI同比大幅上涨6.8%，环比上行0.9%，</w:t>
      </w:r>
      <w:proofErr w:type="gramStart"/>
      <w:r w:rsidRPr="001A56D9">
        <w:rPr>
          <w:rFonts w:ascii="华文楷体" w:hAnsi="华文楷体" w:hint="eastAsia"/>
          <w:b w:val="0"/>
          <w:color w:val="auto"/>
          <w:sz w:val="24"/>
          <w:szCs w:val="24"/>
        </w:rPr>
        <w:t>主要受低基数</w:t>
      </w:r>
      <w:proofErr w:type="gramEnd"/>
      <w:r w:rsidRPr="001A56D9">
        <w:rPr>
          <w:rFonts w:ascii="华文楷体" w:hAnsi="华文楷体" w:hint="eastAsia"/>
          <w:b w:val="0"/>
          <w:color w:val="auto"/>
          <w:sz w:val="24"/>
          <w:szCs w:val="24"/>
        </w:rPr>
        <w:t>以及部分工业品价格继续上涨影响。</w:t>
      </w:r>
      <w:r w:rsidR="001A56D9" w:rsidRPr="001A56D9">
        <w:rPr>
          <w:rFonts w:ascii="华文楷体" w:hAnsi="华文楷体" w:hint="eastAsia"/>
          <w:b w:val="0"/>
          <w:color w:val="auto"/>
          <w:sz w:val="24"/>
          <w:szCs w:val="24"/>
        </w:rPr>
        <w:t>黑色金属和有色金属产业链上游和中游延续涨价。</w:t>
      </w:r>
      <w:r w:rsidR="001A56D9">
        <w:rPr>
          <w:rFonts w:ascii="华文楷体" w:hAnsi="华文楷体" w:hint="eastAsia"/>
          <w:b w:val="0"/>
          <w:color w:val="auto"/>
          <w:sz w:val="24"/>
          <w:szCs w:val="24"/>
        </w:rPr>
        <w:t>大体上，</w:t>
      </w:r>
      <w:r w:rsidR="001A56D9" w:rsidRPr="001A56D9">
        <w:rPr>
          <w:rFonts w:ascii="华文楷体" w:hAnsi="华文楷体" w:hint="eastAsia"/>
          <w:b w:val="0"/>
          <w:color w:val="auto"/>
          <w:sz w:val="24"/>
          <w:szCs w:val="24"/>
        </w:rPr>
        <w:t>4月PPI环比增速仍大幅上涨主要是黑色、有色金属涨价对于相关采选和制造业的带动，煤炭相关上游行业4月价格也显著修复，但受国际油价下跌和原油产业链涨价放缓的拖累，环比涨幅不及3月</w:t>
      </w:r>
      <w:r w:rsidR="001A56D9">
        <w:rPr>
          <w:rFonts w:ascii="华文楷体" w:hAnsi="华文楷体" w:hint="eastAsia"/>
          <w:b w:val="0"/>
          <w:color w:val="auto"/>
          <w:sz w:val="24"/>
          <w:szCs w:val="24"/>
        </w:rPr>
        <w:t>。</w:t>
      </w:r>
    </w:p>
    <w:p w14:paraId="768A1FCF" w14:textId="7989D5AF" w:rsidR="001A56D9" w:rsidRDefault="001A56D9" w:rsidP="0064149E">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通胀方面数据，CPI目前表现仍相对平稳尤其是食品</w:t>
      </w:r>
      <w:proofErr w:type="gramStart"/>
      <w:r>
        <w:rPr>
          <w:rFonts w:ascii="华文楷体" w:hAnsi="华文楷体" w:hint="eastAsia"/>
          <w:b w:val="0"/>
          <w:color w:val="auto"/>
          <w:sz w:val="24"/>
          <w:szCs w:val="24"/>
        </w:rPr>
        <w:t>项持续</w:t>
      </w:r>
      <w:proofErr w:type="gramEnd"/>
      <w:r>
        <w:rPr>
          <w:rFonts w:ascii="华文楷体" w:hAnsi="华文楷体" w:hint="eastAsia"/>
          <w:b w:val="0"/>
          <w:color w:val="auto"/>
          <w:sz w:val="24"/>
          <w:szCs w:val="24"/>
        </w:rPr>
        <w:t>回落，更多关注核心CPI在二、三季度表现情况。PPI受大宗商品市场波动，尤其是黑色产业链影响，上游行业价格涨幅明显，对中下游企业形成一定成本压制，生产资料价格表现明显好于生活资料价格表现，内需表现仍相对平缓，尽管当前还没有明显迹象表明</w:t>
      </w:r>
      <w:proofErr w:type="spellStart"/>
      <w:r>
        <w:rPr>
          <w:rFonts w:ascii="华文楷体" w:hAnsi="华文楷体" w:hint="eastAsia"/>
          <w:b w:val="0"/>
          <w:color w:val="auto"/>
          <w:sz w:val="24"/>
          <w:szCs w:val="24"/>
        </w:rPr>
        <w:t>PPI</w:t>
      </w:r>
      <w:proofErr w:type="spellEnd"/>
      <w:r>
        <w:rPr>
          <w:rFonts w:ascii="华文楷体" w:hAnsi="华文楷体" w:hint="eastAsia"/>
          <w:b w:val="0"/>
          <w:color w:val="auto"/>
          <w:sz w:val="24"/>
          <w:szCs w:val="24"/>
        </w:rPr>
        <w:t>会进一步向CPI传导，但该情况值得持续关注。</w:t>
      </w:r>
    </w:p>
    <w:p w14:paraId="39CBC3DB" w14:textId="4D2CCA00" w:rsidR="005341AA" w:rsidRDefault="001A56D9" w:rsidP="00221256">
      <w:pPr>
        <w:pStyle w:val="Header1"/>
        <w:spacing w:before="240"/>
        <w:ind w:firstLine="480"/>
        <w:rPr>
          <w:rFonts w:ascii="华文楷体" w:hAnsi="华文楷体"/>
          <w:b w:val="0"/>
          <w:color w:val="auto"/>
          <w:sz w:val="24"/>
          <w:szCs w:val="24"/>
        </w:rPr>
      </w:pPr>
      <w:r>
        <w:rPr>
          <w:rFonts w:ascii="华文楷体" w:hAnsi="华文楷体" w:hint="eastAsia"/>
          <w:b w:val="0"/>
          <w:smallCaps w:val="0"/>
          <w:color w:val="auto"/>
          <w:sz w:val="24"/>
          <w:szCs w:val="24"/>
        </w:rPr>
        <w:t>金融数据方面</w:t>
      </w:r>
      <w:r w:rsidRPr="001A56D9">
        <w:rPr>
          <w:rFonts w:ascii="华文楷体" w:hAnsi="华文楷体" w:hint="eastAsia"/>
          <w:b w:val="0"/>
          <w:color w:val="auto"/>
          <w:sz w:val="24"/>
          <w:szCs w:val="24"/>
        </w:rPr>
        <w:t>，央行5月12号公布2021年4月金融数据，新增人民币贷款1.47</w:t>
      </w:r>
      <w:proofErr w:type="gramStart"/>
      <w:r w:rsidRPr="001A56D9">
        <w:rPr>
          <w:rFonts w:ascii="华文楷体" w:hAnsi="华文楷体" w:hint="eastAsia"/>
          <w:b w:val="0"/>
          <w:color w:val="auto"/>
          <w:sz w:val="24"/>
          <w:szCs w:val="24"/>
        </w:rPr>
        <w:t>万亿</w:t>
      </w:r>
      <w:proofErr w:type="gramEnd"/>
      <w:r w:rsidRPr="001A56D9">
        <w:rPr>
          <w:rFonts w:ascii="华文楷体" w:hAnsi="华文楷体" w:hint="eastAsia"/>
          <w:b w:val="0"/>
          <w:color w:val="auto"/>
          <w:sz w:val="24"/>
          <w:szCs w:val="24"/>
        </w:rPr>
        <w:t>，同比少增2300亿，信贷余额增速小幅回落0.3个百分点至11.7%；新增社会融资规模1.85</w:t>
      </w:r>
      <w:proofErr w:type="gramStart"/>
      <w:r w:rsidRPr="001A56D9">
        <w:rPr>
          <w:rFonts w:ascii="华文楷体" w:hAnsi="华文楷体" w:hint="eastAsia"/>
          <w:b w:val="0"/>
          <w:color w:val="auto"/>
          <w:sz w:val="24"/>
          <w:szCs w:val="24"/>
        </w:rPr>
        <w:t>万亿</w:t>
      </w:r>
      <w:proofErr w:type="gramEnd"/>
      <w:r w:rsidRPr="001A56D9">
        <w:rPr>
          <w:rFonts w:ascii="华文楷体" w:hAnsi="华文楷体" w:hint="eastAsia"/>
          <w:b w:val="0"/>
          <w:color w:val="auto"/>
          <w:sz w:val="24"/>
          <w:szCs w:val="24"/>
        </w:rPr>
        <w:t>，同比少增1.25</w:t>
      </w:r>
      <w:proofErr w:type="gramStart"/>
      <w:r w:rsidRPr="001A56D9">
        <w:rPr>
          <w:rFonts w:ascii="华文楷体" w:hAnsi="华文楷体" w:hint="eastAsia"/>
          <w:b w:val="0"/>
          <w:color w:val="auto"/>
          <w:sz w:val="24"/>
          <w:szCs w:val="24"/>
        </w:rPr>
        <w:t>万亿</w:t>
      </w:r>
      <w:proofErr w:type="gramEnd"/>
      <w:r w:rsidRPr="001A56D9">
        <w:rPr>
          <w:rFonts w:ascii="华文楷体" w:hAnsi="华文楷体" w:hint="eastAsia"/>
          <w:b w:val="0"/>
          <w:color w:val="auto"/>
          <w:sz w:val="24"/>
          <w:szCs w:val="24"/>
        </w:rPr>
        <w:t>，</w:t>
      </w:r>
      <w:proofErr w:type="gramStart"/>
      <w:r w:rsidRPr="001A56D9">
        <w:rPr>
          <w:rFonts w:ascii="华文楷体" w:hAnsi="华文楷体" w:hint="eastAsia"/>
          <w:b w:val="0"/>
          <w:color w:val="auto"/>
          <w:sz w:val="24"/>
          <w:szCs w:val="24"/>
        </w:rPr>
        <w:t>社融存量</w:t>
      </w:r>
      <w:proofErr w:type="gramEnd"/>
      <w:r w:rsidRPr="001A56D9">
        <w:rPr>
          <w:rFonts w:ascii="华文楷体" w:hAnsi="华文楷体" w:hint="eastAsia"/>
          <w:b w:val="0"/>
          <w:color w:val="auto"/>
          <w:sz w:val="24"/>
          <w:szCs w:val="24"/>
        </w:rPr>
        <w:t>增速回落0.6个百分点至12.3%；M2同比增速从2月的9.4%大幅回落1.3个百分点至8.1%。</w:t>
      </w:r>
    </w:p>
    <w:p w14:paraId="4A4E2EA7" w14:textId="675C32E4" w:rsidR="001A56D9" w:rsidRDefault="001A56D9" w:rsidP="00221256">
      <w:pPr>
        <w:pStyle w:val="Header1"/>
        <w:spacing w:before="240"/>
        <w:ind w:firstLine="480"/>
        <w:rPr>
          <w:rFonts w:ascii="华文楷体" w:hAnsi="华文楷体"/>
          <w:b w:val="0"/>
          <w:color w:val="auto"/>
          <w:sz w:val="24"/>
          <w:szCs w:val="24"/>
        </w:rPr>
      </w:pPr>
      <w:r w:rsidRPr="001A56D9">
        <w:rPr>
          <w:rFonts w:ascii="华文楷体" w:hAnsi="华文楷体" w:hint="eastAsia"/>
          <w:b w:val="0"/>
          <w:color w:val="auto"/>
          <w:sz w:val="24"/>
          <w:szCs w:val="24"/>
        </w:rPr>
        <w:t>整体看，4月</w:t>
      </w:r>
      <w:r>
        <w:rPr>
          <w:rFonts w:ascii="华文楷体" w:hAnsi="华文楷体" w:hint="eastAsia"/>
          <w:b w:val="0"/>
          <w:color w:val="auto"/>
          <w:sz w:val="24"/>
          <w:szCs w:val="24"/>
        </w:rPr>
        <w:t>已成为</w:t>
      </w:r>
      <w:r w:rsidRPr="001A56D9">
        <w:rPr>
          <w:rFonts w:ascii="华文楷体" w:hAnsi="华文楷体" w:hint="eastAsia"/>
          <w:b w:val="0"/>
          <w:color w:val="auto"/>
          <w:sz w:val="24"/>
          <w:szCs w:val="24"/>
        </w:rPr>
        <w:t>房地产信贷排查通知落地的重要观察窗口，对于观察政策结构性收紧对融资需求的影响较为重要；房地产调控</w:t>
      </w:r>
      <w:r>
        <w:rPr>
          <w:rFonts w:ascii="华文楷体" w:hAnsi="华文楷体" w:hint="eastAsia"/>
          <w:b w:val="0"/>
          <w:color w:val="auto"/>
          <w:sz w:val="24"/>
          <w:szCs w:val="24"/>
        </w:rPr>
        <w:t>一定程度上</w:t>
      </w:r>
      <w:r w:rsidRPr="001A56D9">
        <w:rPr>
          <w:rFonts w:ascii="华文楷体" w:hAnsi="华文楷体" w:hint="eastAsia"/>
          <w:b w:val="0"/>
          <w:color w:val="auto"/>
          <w:sz w:val="24"/>
          <w:szCs w:val="24"/>
        </w:rPr>
        <w:t>压制了居民短期贷款，带来居民存款增速的明显回落，</w:t>
      </w:r>
      <w:r>
        <w:rPr>
          <w:rFonts w:ascii="华文楷体" w:hAnsi="华文楷体" w:hint="eastAsia"/>
          <w:b w:val="0"/>
          <w:color w:val="auto"/>
          <w:sz w:val="24"/>
          <w:szCs w:val="24"/>
        </w:rPr>
        <w:t>4月存款数据欠佳，对超储消耗降低，一定程度上也部分解释了4月银行间市场资金相对平稳的内因</w:t>
      </w:r>
      <w:r w:rsidRPr="001A56D9">
        <w:rPr>
          <w:rFonts w:ascii="华文楷体" w:hAnsi="华文楷体" w:hint="eastAsia"/>
          <w:b w:val="0"/>
          <w:color w:val="auto"/>
          <w:sz w:val="24"/>
          <w:szCs w:val="24"/>
        </w:rPr>
        <w:t>；</w:t>
      </w:r>
      <w:proofErr w:type="gramStart"/>
      <w:r w:rsidRPr="001A56D9">
        <w:rPr>
          <w:rFonts w:ascii="华文楷体" w:hAnsi="华文楷体" w:hint="eastAsia"/>
          <w:b w:val="0"/>
          <w:color w:val="auto"/>
          <w:sz w:val="24"/>
          <w:szCs w:val="24"/>
        </w:rPr>
        <w:t>社融</w:t>
      </w:r>
      <w:r>
        <w:rPr>
          <w:rFonts w:ascii="华文楷体" w:hAnsi="华文楷体" w:hint="eastAsia"/>
          <w:b w:val="0"/>
          <w:color w:val="auto"/>
          <w:sz w:val="24"/>
          <w:szCs w:val="24"/>
        </w:rPr>
        <w:t>数据</w:t>
      </w:r>
      <w:proofErr w:type="gramEnd"/>
      <w:r>
        <w:rPr>
          <w:rFonts w:ascii="华文楷体" w:hAnsi="华文楷体" w:hint="eastAsia"/>
          <w:b w:val="0"/>
          <w:color w:val="auto"/>
          <w:sz w:val="24"/>
          <w:szCs w:val="24"/>
        </w:rPr>
        <w:t>中，</w:t>
      </w:r>
      <w:proofErr w:type="gramStart"/>
      <w:r w:rsidRPr="001A56D9">
        <w:rPr>
          <w:rFonts w:ascii="华文楷体" w:hAnsi="华文楷体" w:hint="eastAsia"/>
          <w:b w:val="0"/>
          <w:color w:val="auto"/>
          <w:sz w:val="24"/>
          <w:szCs w:val="24"/>
        </w:rPr>
        <w:t>信托</w:t>
      </w:r>
      <w:r>
        <w:rPr>
          <w:rFonts w:ascii="华文楷体" w:hAnsi="华文楷体" w:hint="eastAsia"/>
          <w:b w:val="0"/>
          <w:color w:val="auto"/>
          <w:sz w:val="24"/>
          <w:szCs w:val="24"/>
        </w:rPr>
        <w:t>项</w:t>
      </w:r>
      <w:r w:rsidRPr="001A56D9">
        <w:rPr>
          <w:rFonts w:ascii="华文楷体" w:hAnsi="华文楷体" w:hint="eastAsia"/>
          <w:b w:val="0"/>
          <w:color w:val="auto"/>
          <w:sz w:val="24"/>
          <w:szCs w:val="24"/>
        </w:rPr>
        <w:t>环比</w:t>
      </w:r>
      <w:proofErr w:type="gramEnd"/>
      <w:r>
        <w:rPr>
          <w:rFonts w:ascii="华文楷体" w:hAnsi="华文楷体" w:hint="eastAsia"/>
          <w:b w:val="0"/>
          <w:color w:val="auto"/>
          <w:sz w:val="24"/>
          <w:szCs w:val="24"/>
        </w:rPr>
        <w:t>虽</w:t>
      </w:r>
      <w:r w:rsidRPr="001A56D9">
        <w:rPr>
          <w:rFonts w:ascii="华文楷体" w:hAnsi="华文楷体" w:hint="eastAsia"/>
          <w:b w:val="0"/>
          <w:color w:val="auto"/>
          <w:sz w:val="24"/>
          <w:szCs w:val="24"/>
        </w:rPr>
        <w:t>有改善；</w:t>
      </w:r>
      <w:r>
        <w:rPr>
          <w:rFonts w:ascii="华文楷体" w:hAnsi="华文楷体" w:hint="eastAsia"/>
          <w:b w:val="0"/>
          <w:color w:val="auto"/>
          <w:sz w:val="24"/>
          <w:szCs w:val="24"/>
        </w:rPr>
        <w:t>但</w:t>
      </w:r>
      <w:proofErr w:type="gramStart"/>
      <w:r>
        <w:rPr>
          <w:rFonts w:ascii="华文楷体" w:hAnsi="华文楷体" w:hint="eastAsia"/>
          <w:b w:val="0"/>
          <w:color w:val="auto"/>
          <w:sz w:val="24"/>
          <w:szCs w:val="24"/>
        </w:rPr>
        <w:t>信贷环</w:t>
      </w:r>
      <w:proofErr w:type="gramEnd"/>
      <w:r>
        <w:rPr>
          <w:rFonts w:ascii="华文楷体" w:hAnsi="华文楷体" w:hint="eastAsia"/>
          <w:b w:val="0"/>
          <w:color w:val="auto"/>
          <w:sz w:val="24"/>
          <w:szCs w:val="24"/>
        </w:rPr>
        <w:t>比表现仍略欠佳，信贷需求呈现一定边际弱化可能，后续需持续关注实体企业融资需求变化情况，目前看</w:t>
      </w:r>
      <w:r w:rsidRPr="001A56D9">
        <w:rPr>
          <w:rFonts w:ascii="华文楷体" w:hAnsi="华文楷体" w:hint="eastAsia"/>
          <w:b w:val="0"/>
          <w:color w:val="auto"/>
          <w:sz w:val="24"/>
          <w:szCs w:val="24"/>
        </w:rPr>
        <w:t>紧信用</w:t>
      </w:r>
      <w:r>
        <w:rPr>
          <w:rFonts w:ascii="华文楷体" w:hAnsi="华文楷体" w:hint="eastAsia"/>
          <w:b w:val="0"/>
          <w:color w:val="auto"/>
          <w:sz w:val="24"/>
          <w:szCs w:val="24"/>
        </w:rPr>
        <w:t>仍主要</w:t>
      </w:r>
      <w:r w:rsidRPr="001A56D9">
        <w:rPr>
          <w:rFonts w:ascii="华文楷体" w:hAnsi="华文楷体" w:hint="eastAsia"/>
          <w:b w:val="0"/>
          <w:color w:val="auto"/>
          <w:sz w:val="24"/>
          <w:szCs w:val="24"/>
        </w:rPr>
        <w:t>体现</w:t>
      </w:r>
      <w:r>
        <w:rPr>
          <w:rFonts w:ascii="华文楷体" w:hAnsi="华文楷体" w:hint="eastAsia"/>
          <w:b w:val="0"/>
          <w:color w:val="auto"/>
          <w:sz w:val="24"/>
          <w:szCs w:val="24"/>
        </w:rPr>
        <w:t>在房地产领域</w:t>
      </w:r>
      <w:r w:rsidRPr="001A56D9">
        <w:rPr>
          <w:rFonts w:ascii="华文楷体" w:hAnsi="华文楷体" w:hint="eastAsia"/>
          <w:b w:val="0"/>
          <w:color w:val="auto"/>
          <w:sz w:val="24"/>
          <w:szCs w:val="24"/>
        </w:rPr>
        <w:t>。</w:t>
      </w:r>
    </w:p>
    <w:p w14:paraId="541CEC80" w14:textId="7CBB60CE" w:rsidR="001A56D9" w:rsidRDefault="001A56D9" w:rsidP="00221256">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对债市而言，从基本面上看经济仍处于循序渐进式修复过程中，数据的环比变化显示略有欠佳，但仍暂</w:t>
      </w:r>
      <w:r w:rsidR="00CC012E">
        <w:rPr>
          <w:rFonts w:ascii="华文楷体" w:hAnsi="华文楷体" w:hint="eastAsia"/>
          <w:b w:val="0"/>
          <w:color w:val="auto"/>
          <w:sz w:val="24"/>
          <w:szCs w:val="24"/>
        </w:rPr>
        <w:t>时</w:t>
      </w:r>
      <w:r>
        <w:rPr>
          <w:rFonts w:ascii="华文楷体" w:hAnsi="华文楷体" w:hint="eastAsia"/>
          <w:b w:val="0"/>
          <w:color w:val="auto"/>
          <w:sz w:val="24"/>
          <w:szCs w:val="24"/>
        </w:rPr>
        <w:t>无法形成债市的主要驱动力量，当前市场关注焦点仍在通胀，短期看多空因素交织，</w:t>
      </w:r>
      <w:r w:rsidR="00FF70B1">
        <w:rPr>
          <w:rFonts w:ascii="华文楷体" w:hAnsi="华文楷体" w:hint="eastAsia"/>
          <w:b w:val="0"/>
          <w:color w:val="auto"/>
          <w:sz w:val="24"/>
          <w:szCs w:val="24"/>
        </w:rPr>
        <w:t>即将进入5月底和6月半年末，还要综合</w:t>
      </w:r>
      <w:proofErr w:type="gramStart"/>
      <w:r w:rsidR="00FF70B1">
        <w:rPr>
          <w:rFonts w:ascii="华文楷体" w:hAnsi="华文楷体" w:hint="eastAsia"/>
          <w:b w:val="0"/>
          <w:color w:val="auto"/>
          <w:sz w:val="24"/>
          <w:szCs w:val="24"/>
        </w:rPr>
        <w:t>考量</w:t>
      </w:r>
      <w:proofErr w:type="gramEnd"/>
      <w:r w:rsidR="00FF70B1">
        <w:rPr>
          <w:rFonts w:ascii="华文楷体" w:hAnsi="华文楷体" w:hint="eastAsia"/>
          <w:b w:val="0"/>
          <w:color w:val="auto"/>
          <w:sz w:val="24"/>
          <w:szCs w:val="24"/>
        </w:rPr>
        <w:t>资金面流动性扰动和债市供给的变化情况。</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632AA7F6"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515400">
        <w:rPr>
          <w:rFonts w:ascii="华文楷体" w:hAnsi="华文楷体" w:hint="eastAsia"/>
          <w:sz w:val="24"/>
          <w:szCs w:val="24"/>
          <w:lang w:eastAsia="zh-CN"/>
        </w:rPr>
        <w:t>投放</w:t>
      </w:r>
      <w:r w:rsidR="00C15F3D">
        <w:rPr>
          <w:rFonts w:ascii="华文楷体" w:hAnsi="华文楷体" w:hint="eastAsia"/>
          <w:sz w:val="24"/>
          <w:szCs w:val="24"/>
          <w:lang w:eastAsia="zh-CN"/>
        </w:rPr>
        <w:t>4</w:t>
      </w:r>
      <w:r w:rsidR="00C15F3D">
        <w:rPr>
          <w:rFonts w:ascii="华文楷体" w:hAnsi="华文楷体"/>
          <w:sz w:val="24"/>
          <w:szCs w:val="24"/>
          <w:lang w:eastAsia="zh-CN"/>
        </w:rPr>
        <w:t>00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515400">
        <w:rPr>
          <w:rFonts w:ascii="华文楷体" w:hAnsi="华文楷体" w:hint="eastAsia"/>
          <w:sz w:val="24"/>
          <w:szCs w:val="24"/>
          <w:lang w:eastAsia="zh-CN"/>
        </w:rPr>
        <w:t>资金面临近周末适度上行，整体基本维持相对平稳，</w:t>
      </w:r>
      <w:r w:rsidR="00CC012E">
        <w:rPr>
          <w:rFonts w:ascii="华文楷体" w:hAnsi="华文楷体" w:hint="eastAsia"/>
          <w:sz w:val="24"/>
          <w:szCs w:val="24"/>
          <w:lang w:eastAsia="zh-CN"/>
        </w:rPr>
        <w:t>本</w:t>
      </w:r>
      <w:r w:rsidR="00515400">
        <w:rPr>
          <w:rFonts w:ascii="华文楷体" w:hAnsi="华文楷体" w:hint="eastAsia"/>
          <w:sz w:val="24"/>
          <w:szCs w:val="24"/>
          <w:lang w:eastAsia="zh-CN"/>
        </w:rPr>
        <w:t>周面临缴税，同时关注央行MLF和LPR操作情况</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515400">
        <w:rPr>
          <w:rFonts w:ascii="华文楷体" w:hAnsi="华文楷体" w:hint="eastAsia"/>
          <w:sz w:val="24"/>
          <w:szCs w:val="24"/>
          <w:lang w:eastAsia="zh-CN"/>
        </w:rPr>
        <w:t>上</w:t>
      </w:r>
      <w:r w:rsidR="00C15F3D">
        <w:rPr>
          <w:rFonts w:ascii="华文楷体" w:hAnsi="华文楷体" w:hint="eastAsia"/>
          <w:sz w:val="24"/>
          <w:szCs w:val="24"/>
          <w:lang w:eastAsia="zh-CN"/>
        </w:rPr>
        <w:t>行</w:t>
      </w:r>
      <w:r w:rsidR="00515400">
        <w:rPr>
          <w:rFonts w:ascii="华文楷体" w:hAnsi="华文楷体" w:hint="eastAsia"/>
          <w:sz w:val="24"/>
          <w:szCs w:val="24"/>
          <w:lang w:eastAsia="zh-CN"/>
        </w:rPr>
        <w:t>36</w:t>
      </w:r>
      <w:r w:rsidR="002D361C">
        <w:rPr>
          <w:rFonts w:ascii="华文楷体" w:hAnsi="华文楷体" w:hint="eastAsia"/>
          <w:sz w:val="24"/>
          <w:szCs w:val="24"/>
          <w:lang w:eastAsia="zh-CN"/>
        </w:rPr>
        <w:t>BP至</w:t>
      </w:r>
      <w:r w:rsidR="00C15F3D">
        <w:rPr>
          <w:rFonts w:ascii="华文楷体" w:hAnsi="华文楷体"/>
          <w:sz w:val="24"/>
          <w:szCs w:val="24"/>
          <w:lang w:eastAsia="zh-CN"/>
        </w:rPr>
        <w:t>1.</w:t>
      </w:r>
      <w:r w:rsidR="00515400">
        <w:rPr>
          <w:rFonts w:ascii="华文楷体" w:hAnsi="华文楷体" w:hint="eastAsia"/>
          <w:sz w:val="24"/>
          <w:szCs w:val="24"/>
          <w:lang w:eastAsia="zh-CN"/>
        </w:rPr>
        <w:t>84</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515400">
        <w:rPr>
          <w:rFonts w:ascii="华文楷体" w:hAnsi="华文楷体" w:hint="eastAsia"/>
          <w:sz w:val="24"/>
          <w:szCs w:val="24"/>
          <w:lang w:eastAsia="zh-CN"/>
        </w:rPr>
        <w:t>上行20</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.03</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515400">
        <w:rPr>
          <w:rFonts w:ascii="华文楷体" w:hAnsi="华文楷体" w:hint="eastAsia"/>
          <w:sz w:val="24"/>
          <w:szCs w:val="24"/>
          <w:lang w:eastAsia="zh-CN"/>
        </w:rPr>
        <w:t>小幅收缩</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515400">
        <w:tblPrEx>
          <w:tblCellMar>
            <w:left w:w="108" w:type="dxa"/>
            <w:right w:w="108" w:type="dxa"/>
          </w:tblCellMar>
        </w:tblPrEx>
        <w:trPr>
          <w:jc w:val="center"/>
        </w:trPr>
        <w:tc>
          <w:tcPr>
            <w:tcW w:w="4939" w:type="dxa"/>
            <w:vAlign w:val="center"/>
          </w:tcPr>
          <w:p w14:paraId="60AEAEDC" w14:textId="202C0E86" w:rsidR="00E0626C" w:rsidRPr="003C6AC1" w:rsidRDefault="00515400" w:rsidP="009A2BA0">
            <w:pPr>
              <w:jc w:val="center"/>
              <w:rPr>
                <w:noProof/>
                <w:sz w:val="20"/>
              </w:rPr>
            </w:pPr>
            <w:r>
              <w:rPr>
                <w:noProof/>
              </w:rPr>
              <w:drawing>
                <wp:inline distT="0" distB="0" distL="0" distR="0" wp14:anchorId="5535E293" wp14:editId="25B265E5">
                  <wp:extent cx="2999105" cy="1772134"/>
                  <wp:effectExtent l="0" t="0" r="0" b="0"/>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5826BA62" w:rsidR="00E0626C" w:rsidRPr="00F62F43" w:rsidRDefault="00515400" w:rsidP="009A2BA0">
            <w:pPr>
              <w:jc w:val="center"/>
              <w:rPr>
                <w:noProof/>
                <w:sz w:val="16"/>
                <w:szCs w:val="18"/>
              </w:rPr>
            </w:pPr>
            <w:r>
              <w:rPr>
                <w:noProof/>
              </w:rPr>
              <w:drawing>
                <wp:inline distT="0" distB="0" distL="0" distR="0" wp14:anchorId="60C9282D" wp14:editId="47FBDC1B">
                  <wp:extent cx="2998470" cy="1738431"/>
                  <wp:effectExtent l="0" t="0" r="0" b="0"/>
                  <wp:docPr id="4" name="图表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30F2600A"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F45C6B">
        <w:rPr>
          <w:rFonts w:ascii="华文楷体" w:hAnsi="华文楷体" w:hint="eastAsia"/>
          <w:sz w:val="24"/>
          <w:szCs w:val="24"/>
          <w:lang w:eastAsia="zh-CN"/>
        </w:rPr>
        <w:t>品种</w:t>
      </w:r>
      <w:r w:rsidR="00FB0590">
        <w:rPr>
          <w:rFonts w:ascii="华文楷体" w:hAnsi="华文楷体" w:hint="eastAsia"/>
          <w:sz w:val="24"/>
          <w:szCs w:val="24"/>
          <w:lang w:eastAsia="zh-CN"/>
        </w:rPr>
        <w:t>中长期</w:t>
      </w:r>
      <w:proofErr w:type="gramStart"/>
      <w:r w:rsidR="00FB0590">
        <w:rPr>
          <w:rFonts w:ascii="华文楷体" w:hAnsi="华文楷体" w:hint="eastAsia"/>
          <w:sz w:val="24"/>
          <w:szCs w:val="24"/>
          <w:lang w:eastAsia="zh-CN"/>
        </w:rPr>
        <w:t>限品种</w:t>
      </w:r>
      <w:proofErr w:type="gramEnd"/>
      <w:r w:rsidR="00FB0590">
        <w:rPr>
          <w:rFonts w:ascii="华文楷体" w:hAnsi="华文楷体" w:hint="eastAsia"/>
          <w:sz w:val="24"/>
          <w:szCs w:val="24"/>
          <w:lang w:eastAsia="zh-CN"/>
        </w:rPr>
        <w:t>窄幅震荡，1Y内期限品种</w:t>
      </w:r>
      <w:r w:rsidR="001F098C">
        <w:rPr>
          <w:rFonts w:ascii="华文楷体" w:hAnsi="华文楷体" w:hint="eastAsia"/>
          <w:sz w:val="24"/>
          <w:szCs w:val="24"/>
          <w:lang w:eastAsia="zh-CN"/>
        </w:rPr>
        <w:t>受资金波动影响小幅上行</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C267D1">
        <w:rPr>
          <w:rFonts w:ascii="华文楷体" w:hAnsi="华文楷体"/>
          <w:sz w:val="24"/>
          <w:szCs w:val="24"/>
          <w:lang w:eastAsia="zh-CN"/>
        </w:rPr>
        <w:t>8</w:t>
      </w:r>
      <w:r w:rsidR="001F098C">
        <w:rPr>
          <w:rFonts w:ascii="华文楷体" w:hAnsi="华文楷体" w:hint="eastAsia"/>
          <w:sz w:val="24"/>
          <w:szCs w:val="24"/>
          <w:lang w:eastAsia="zh-CN"/>
        </w:rPr>
        <w:t>1</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FC42DA">
        <w:rPr>
          <w:rFonts w:ascii="华文楷体" w:hAnsi="华文楷体"/>
          <w:sz w:val="24"/>
          <w:szCs w:val="24"/>
          <w:lang w:eastAsia="zh-CN"/>
        </w:rPr>
        <w:t>10</w:t>
      </w:r>
      <w:r w:rsidR="001F098C">
        <w:rPr>
          <w:rFonts w:ascii="华文楷体" w:hAnsi="华文楷体" w:hint="eastAsia"/>
          <w:sz w:val="24"/>
          <w:szCs w:val="24"/>
          <w:lang w:eastAsia="zh-CN"/>
        </w:rPr>
        <w:t>0</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FB0590">
        <w:rPr>
          <w:rFonts w:ascii="华文楷体" w:hAnsi="华文楷体" w:hint="eastAsia"/>
          <w:sz w:val="24"/>
          <w:szCs w:val="24"/>
          <w:lang w:eastAsia="zh-CN"/>
        </w:rPr>
        <w:t>下行</w:t>
      </w:r>
      <w:r w:rsidR="001F098C">
        <w:rPr>
          <w:rFonts w:ascii="华文楷体" w:hAnsi="华文楷体" w:hint="eastAsia"/>
          <w:sz w:val="24"/>
          <w:szCs w:val="24"/>
          <w:lang w:eastAsia="zh-CN"/>
        </w:rPr>
        <w:t>1.6</w:t>
      </w:r>
      <w:r w:rsidR="00087119">
        <w:rPr>
          <w:rFonts w:ascii="华文楷体" w:hAnsi="华文楷体"/>
          <w:sz w:val="24"/>
          <w:szCs w:val="24"/>
          <w:lang w:eastAsia="zh-CN"/>
        </w:rPr>
        <w:t>B</w:t>
      </w:r>
      <w:r w:rsidR="0092340D">
        <w:rPr>
          <w:rFonts w:ascii="华文楷体" w:hAnsi="华文楷体" w:hint="eastAsia"/>
          <w:sz w:val="24"/>
          <w:szCs w:val="24"/>
          <w:lang w:eastAsia="zh-CN"/>
        </w:rPr>
        <w:t>P，10Y</w:t>
      </w:r>
      <w:r w:rsidR="00202D86">
        <w:rPr>
          <w:rFonts w:ascii="华文楷体" w:hAnsi="华文楷体" w:hint="eastAsia"/>
          <w:sz w:val="24"/>
          <w:szCs w:val="24"/>
          <w:lang w:eastAsia="zh-CN"/>
        </w:rPr>
        <w:t>国</w:t>
      </w:r>
      <w:proofErr w:type="gramStart"/>
      <w:r w:rsidR="00202D86">
        <w:rPr>
          <w:rFonts w:ascii="华文楷体" w:hAnsi="华文楷体" w:hint="eastAsia"/>
          <w:sz w:val="24"/>
          <w:szCs w:val="24"/>
          <w:lang w:eastAsia="zh-CN"/>
        </w:rPr>
        <w:t>开</w:t>
      </w:r>
      <w:r w:rsidR="004F02B1">
        <w:rPr>
          <w:rFonts w:ascii="华文楷体" w:hAnsi="华文楷体" w:hint="eastAsia"/>
          <w:sz w:val="24"/>
          <w:szCs w:val="24"/>
          <w:lang w:eastAsia="zh-CN"/>
        </w:rPr>
        <w:t>债</w:t>
      </w:r>
      <w:r w:rsidR="00C267D1">
        <w:rPr>
          <w:rFonts w:ascii="华文楷体" w:hAnsi="华文楷体" w:hint="eastAsia"/>
          <w:sz w:val="24"/>
          <w:szCs w:val="24"/>
          <w:lang w:eastAsia="zh-CN"/>
        </w:rPr>
        <w:t>基本</w:t>
      </w:r>
      <w:proofErr w:type="gramEnd"/>
      <w:r w:rsidR="00C267D1">
        <w:rPr>
          <w:rFonts w:ascii="华文楷体" w:hAnsi="华文楷体" w:hint="eastAsia"/>
          <w:sz w:val="24"/>
          <w:szCs w:val="24"/>
          <w:lang w:eastAsia="zh-CN"/>
        </w:rPr>
        <w:t>持平</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1F098C">
        <w:rPr>
          <w:rFonts w:ascii="华文楷体" w:hAnsi="华文楷体" w:hint="eastAsia"/>
          <w:sz w:val="24"/>
          <w:szCs w:val="24"/>
          <w:lang w:eastAsia="zh-CN"/>
        </w:rPr>
        <w:t>40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6301DC">
        <w:tblPrEx>
          <w:tblCellMar>
            <w:left w:w="108" w:type="dxa"/>
            <w:right w:w="108" w:type="dxa"/>
          </w:tblCellMar>
        </w:tblPrEx>
        <w:trPr>
          <w:jc w:val="center"/>
        </w:trPr>
        <w:tc>
          <w:tcPr>
            <w:tcW w:w="4939" w:type="dxa"/>
            <w:vAlign w:val="center"/>
          </w:tcPr>
          <w:p w14:paraId="678C97B0" w14:textId="623B1FFC" w:rsidR="00E0626C" w:rsidRPr="007E0340" w:rsidRDefault="006301DC" w:rsidP="002104B2">
            <w:pPr>
              <w:rPr>
                <w:noProof/>
              </w:rPr>
            </w:pPr>
            <w:r>
              <w:rPr>
                <w:noProof/>
              </w:rPr>
              <w:drawing>
                <wp:inline distT="0" distB="0" distL="0" distR="0" wp14:anchorId="1146F5AB" wp14:editId="2437D073">
                  <wp:extent cx="2999105" cy="1752060"/>
                  <wp:effectExtent l="0" t="0" r="0" b="635"/>
                  <wp:docPr id="6" name="图表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015532FF" w:rsidR="00E0626C" w:rsidRPr="007E0340" w:rsidRDefault="006301DC" w:rsidP="009A2BA0">
            <w:pPr>
              <w:jc w:val="center"/>
              <w:rPr>
                <w:noProof/>
                <w:szCs w:val="18"/>
              </w:rPr>
            </w:pPr>
            <w:r>
              <w:rPr>
                <w:noProof/>
              </w:rPr>
              <w:drawing>
                <wp:inline distT="0" distB="0" distL="0" distR="0" wp14:anchorId="3C9203C7" wp14:editId="0C44A10D">
                  <wp:extent cx="2998470" cy="1742241"/>
                  <wp:effectExtent l="0" t="0" r="0" b="0"/>
                  <wp:docPr id="7" name="图表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64C726CF"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D350FB" w:rsidRPr="00D350FB">
        <w:rPr>
          <w:rFonts w:ascii="华文楷体" w:hAnsi="华文楷体" w:hint="eastAsia"/>
          <w:sz w:val="24"/>
          <w:szCs w:val="24"/>
          <w:lang w:eastAsia="zh-CN"/>
        </w:rPr>
        <w:t>主要期限品种震荡</w:t>
      </w:r>
      <w:r w:rsidR="00C05BDD">
        <w:rPr>
          <w:rFonts w:ascii="华文楷体" w:hAnsi="华文楷体" w:hint="eastAsia"/>
          <w:sz w:val="24"/>
          <w:szCs w:val="24"/>
          <w:lang w:eastAsia="zh-CN"/>
        </w:rPr>
        <w:t>下行，风险偏好</w:t>
      </w:r>
      <w:r w:rsidR="001F098C">
        <w:rPr>
          <w:rFonts w:ascii="华文楷体" w:hAnsi="华文楷体" w:hint="eastAsia"/>
          <w:sz w:val="24"/>
          <w:szCs w:val="24"/>
          <w:lang w:eastAsia="zh-CN"/>
        </w:rPr>
        <w:t>持续</w:t>
      </w:r>
      <w:r w:rsidR="00C05BDD">
        <w:rPr>
          <w:rFonts w:ascii="华文楷体" w:hAnsi="华文楷体" w:hint="eastAsia"/>
          <w:sz w:val="24"/>
          <w:szCs w:val="24"/>
          <w:lang w:eastAsia="zh-CN"/>
        </w:rPr>
        <w:t>有所回暖</w:t>
      </w:r>
      <w:r w:rsidR="00D350FB" w:rsidRPr="00D350FB">
        <w:rPr>
          <w:rFonts w:ascii="华文楷体" w:hAnsi="华文楷体" w:hint="eastAsia"/>
          <w:sz w:val="24"/>
          <w:szCs w:val="24"/>
          <w:lang w:eastAsia="zh-CN"/>
        </w:rPr>
        <w:t>。</w:t>
      </w:r>
      <w:r w:rsidR="001F098C" w:rsidRPr="001F098C">
        <w:rPr>
          <w:rFonts w:ascii="华文楷体" w:hAnsi="华文楷体" w:hint="eastAsia"/>
          <w:sz w:val="24"/>
          <w:szCs w:val="24"/>
          <w:lang w:eastAsia="zh-CN"/>
        </w:rPr>
        <w:t>1Y</w:t>
      </w:r>
      <w:proofErr w:type="gramStart"/>
      <w:r w:rsidR="001F098C" w:rsidRPr="001F098C">
        <w:rPr>
          <w:rFonts w:ascii="华文楷体" w:hAnsi="华文楷体" w:hint="eastAsia"/>
          <w:sz w:val="24"/>
          <w:szCs w:val="24"/>
          <w:lang w:eastAsia="zh-CN"/>
        </w:rPr>
        <w:t>期限短融下行</w:t>
      </w:r>
      <w:proofErr w:type="gramEnd"/>
      <w:r w:rsidR="001F098C" w:rsidRPr="001F098C">
        <w:rPr>
          <w:rFonts w:ascii="华文楷体" w:hAnsi="华文楷体" w:hint="eastAsia"/>
          <w:sz w:val="24"/>
          <w:szCs w:val="24"/>
          <w:lang w:eastAsia="zh-CN"/>
        </w:rPr>
        <w:t>2-5BP，3年AAA企业债下行5-6BP，5Y企业债下行3-5BP左右，</w:t>
      </w:r>
      <w:proofErr w:type="gramStart"/>
      <w:r w:rsidR="001F098C" w:rsidRPr="001F098C">
        <w:rPr>
          <w:rFonts w:ascii="华文楷体" w:hAnsi="华文楷体" w:hint="eastAsia"/>
          <w:sz w:val="24"/>
          <w:szCs w:val="24"/>
          <w:lang w:eastAsia="zh-CN"/>
        </w:rPr>
        <w:t>城投债</w:t>
      </w:r>
      <w:proofErr w:type="gramEnd"/>
      <w:r w:rsidR="001F098C" w:rsidRPr="001F098C">
        <w:rPr>
          <w:rFonts w:ascii="华文楷体" w:hAnsi="华文楷体" w:hint="eastAsia"/>
          <w:sz w:val="24"/>
          <w:szCs w:val="24"/>
          <w:lang w:eastAsia="zh-CN"/>
        </w:rPr>
        <w:t>3Y期限品种下行4-5BP，5Y品种下行2-4BP，7Y品种下行2-4BP。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w:t>
      </w:r>
      <w:r w:rsidR="00CE0D51">
        <w:rPr>
          <w:rFonts w:ascii="华文楷体" w:hAnsi="华文楷体"/>
          <w:sz w:val="24"/>
          <w:szCs w:val="24"/>
          <w:lang w:eastAsia="zh-CN"/>
        </w:rPr>
        <w:t>0</w:t>
      </w:r>
      <w:r w:rsidR="00A55DFD">
        <w:rPr>
          <w:rFonts w:ascii="华文楷体" w:hAnsi="华文楷体" w:hint="eastAsia"/>
          <w:sz w:val="24"/>
          <w:szCs w:val="24"/>
          <w:lang w:eastAsia="zh-CN"/>
        </w:rPr>
        <w:t>-</w:t>
      </w:r>
      <w:r w:rsidR="00A55DFD">
        <w:rPr>
          <w:rFonts w:ascii="华文楷体" w:hAnsi="华文楷体"/>
          <w:sz w:val="24"/>
          <w:szCs w:val="24"/>
          <w:lang w:eastAsia="zh-CN"/>
        </w:rPr>
        <w:t>2</w:t>
      </w:r>
      <w:r w:rsidR="00C355F2">
        <w:rPr>
          <w:rFonts w:ascii="华文楷体" w:hAnsi="华文楷体"/>
          <w:sz w:val="24"/>
          <w:szCs w:val="24"/>
          <w:lang w:eastAsia="zh-CN"/>
        </w:rPr>
        <w:t>3</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1F098C">
        <w:rPr>
          <w:rFonts w:ascii="华文楷体" w:hAnsi="华文楷体" w:hint="eastAsia"/>
          <w:sz w:val="24"/>
          <w:szCs w:val="24"/>
          <w:lang w:eastAsia="zh-CN"/>
        </w:rPr>
        <w:t>5</w:t>
      </w:r>
      <w:r w:rsidR="00EF3B44">
        <w:rPr>
          <w:rFonts w:ascii="华文楷体" w:hAnsi="华文楷体" w:hint="eastAsia"/>
          <w:sz w:val="24"/>
          <w:szCs w:val="24"/>
          <w:lang w:eastAsia="zh-CN"/>
        </w:rPr>
        <w:t>-</w:t>
      </w:r>
      <w:r w:rsidR="001F098C">
        <w:rPr>
          <w:rFonts w:ascii="华文楷体" w:hAnsi="华文楷体" w:hint="eastAsia"/>
          <w:sz w:val="24"/>
          <w:szCs w:val="24"/>
          <w:lang w:eastAsia="zh-CN"/>
        </w:rPr>
        <w:t>19</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1F098C">
        <w:rPr>
          <w:rFonts w:ascii="华文楷体" w:hAnsi="华文楷体" w:hint="eastAsia"/>
          <w:sz w:val="24"/>
          <w:szCs w:val="24"/>
          <w:lang w:eastAsia="zh-CN"/>
        </w:rPr>
        <w:t>10-13</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1F098C" w:rsidRPr="001F098C" w14:paraId="3174649B" w14:textId="77777777" w:rsidTr="001F098C">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5B67FCF8"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3F609C25"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853206A"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80F6EB5"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316D451"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DDC1AF7"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1003532B"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A9A5F80"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F4EAB42"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80CE32F"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r>
            <w:tr w:rsidR="001F098C" w:rsidRPr="001F098C" w14:paraId="368E7321" w14:textId="77777777" w:rsidTr="001F098C">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94462AD"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F8A74E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2.93 </w:t>
                  </w:r>
                </w:p>
              </w:tc>
              <w:tc>
                <w:tcPr>
                  <w:tcW w:w="921" w:type="dxa"/>
                  <w:tcBorders>
                    <w:top w:val="nil"/>
                    <w:left w:val="nil"/>
                    <w:bottom w:val="single" w:sz="8" w:space="0" w:color="FFFFFF"/>
                    <w:right w:val="single" w:sz="8" w:space="0" w:color="FFFFFF"/>
                  </w:tcBorders>
                  <w:shd w:val="clear" w:color="000000" w:fill="FCD5B4"/>
                  <w:noWrap/>
                  <w:vAlign w:val="center"/>
                  <w:hideMark/>
                </w:tcPr>
                <w:p w14:paraId="6DB42EB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3.04 </w:t>
                  </w:r>
                </w:p>
              </w:tc>
              <w:tc>
                <w:tcPr>
                  <w:tcW w:w="921" w:type="dxa"/>
                  <w:tcBorders>
                    <w:top w:val="nil"/>
                    <w:left w:val="nil"/>
                    <w:bottom w:val="single" w:sz="8" w:space="0" w:color="FFFFFF"/>
                    <w:right w:val="single" w:sz="8" w:space="0" w:color="FFFFFF"/>
                  </w:tcBorders>
                  <w:shd w:val="clear" w:color="000000" w:fill="FCD5B4"/>
                  <w:noWrap/>
                  <w:vAlign w:val="center"/>
                  <w:hideMark/>
                </w:tcPr>
                <w:p w14:paraId="3470158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3.33 </w:t>
                  </w:r>
                </w:p>
              </w:tc>
              <w:tc>
                <w:tcPr>
                  <w:tcW w:w="921" w:type="dxa"/>
                  <w:tcBorders>
                    <w:top w:val="nil"/>
                    <w:left w:val="nil"/>
                    <w:bottom w:val="single" w:sz="8" w:space="0" w:color="FFFFFF"/>
                    <w:right w:val="single" w:sz="8" w:space="0" w:color="FFFFFF"/>
                  </w:tcBorders>
                  <w:shd w:val="clear" w:color="000000" w:fill="FCD5B4"/>
                  <w:noWrap/>
                  <w:vAlign w:val="center"/>
                  <w:hideMark/>
                </w:tcPr>
                <w:p w14:paraId="4AF735D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5.54 </w:t>
                  </w:r>
                </w:p>
              </w:tc>
              <w:tc>
                <w:tcPr>
                  <w:tcW w:w="1157" w:type="dxa"/>
                  <w:tcBorders>
                    <w:top w:val="nil"/>
                    <w:left w:val="nil"/>
                    <w:bottom w:val="single" w:sz="8" w:space="0" w:color="FFFFFF"/>
                    <w:right w:val="single" w:sz="8" w:space="0" w:color="FFFFFF"/>
                  </w:tcBorders>
                  <w:shd w:val="clear" w:color="000000" w:fill="FCD5B4"/>
                  <w:noWrap/>
                  <w:vAlign w:val="center"/>
                  <w:hideMark/>
                </w:tcPr>
                <w:p w14:paraId="08DA13E3"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3139B29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0.60 </w:t>
                  </w:r>
                </w:p>
              </w:tc>
              <w:tc>
                <w:tcPr>
                  <w:tcW w:w="921" w:type="dxa"/>
                  <w:tcBorders>
                    <w:top w:val="nil"/>
                    <w:left w:val="nil"/>
                    <w:bottom w:val="single" w:sz="8" w:space="0" w:color="FFFFFF"/>
                    <w:right w:val="single" w:sz="8" w:space="0" w:color="FFFFFF"/>
                  </w:tcBorders>
                  <w:shd w:val="clear" w:color="000000" w:fill="FCD5B4"/>
                  <w:noWrap/>
                  <w:vAlign w:val="center"/>
                  <w:hideMark/>
                </w:tcPr>
                <w:p w14:paraId="0D84735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0.71 </w:t>
                  </w:r>
                </w:p>
              </w:tc>
              <w:tc>
                <w:tcPr>
                  <w:tcW w:w="921" w:type="dxa"/>
                  <w:tcBorders>
                    <w:top w:val="nil"/>
                    <w:left w:val="nil"/>
                    <w:bottom w:val="single" w:sz="8" w:space="0" w:color="FFFFFF"/>
                    <w:right w:val="single" w:sz="8" w:space="0" w:color="FFFFFF"/>
                  </w:tcBorders>
                  <w:shd w:val="clear" w:color="000000" w:fill="FCD5B4"/>
                  <w:noWrap/>
                  <w:vAlign w:val="center"/>
                  <w:hideMark/>
                </w:tcPr>
                <w:p w14:paraId="2D49A47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1.00 </w:t>
                  </w:r>
                </w:p>
              </w:tc>
              <w:tc>
                <w:tcPr>
                  <w:tcW w:w="921" w:type="dxa"/>
                  <w:tcBorders>
                    <w:top w:val="nil"/>
                    <w:left w:val="nil"/>
                    <w:bottom w:val="single" w:sz="8" w:space="0" w:color="FFFFFF"/>
                    <w:right w:val="single" w:sz="8" w:space="0" w:color="FFFFFF"/>
                  </w:tcBorders>
                  <w:shd w:val="clear" w:color="000000" w:fill="FCD5B4"/>
                  <w:noWrap/>
                  <w:vAlign w:val="center"/>
                  <w:hideMark/>
                </w:tcPr>
                <w:p w14:paraId="7D36B36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3.21 </w:t>
                  </w:r>
                </w:p>
              </w:tc>
            </w:tr>
            <w:tr w:rsidR="001F098C" w:rsidRPr="001F098C" w14:paraId="78F6A5FD"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1E38FAF"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20BE61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3.42 </w:t>
                  </w:r>
                </w:p>
              </w:tc>
              <w:tc>
                <w:tcPr>
                  <w:tcW w:w="921" w:type="dxa"/>
                  <w:tcBorders>
                    <w:top w:val="nil"/>
                    <w:left w:val="nil"/>
                    <w:bottom w:val="single" w:sz="8" w:space="0" w:color="FFFFFF"/>
                    <w:right w:val="single" w:sz="8" w:space="0" w:color="FFFFFF"/>
                  </w:tcBorders>
                  <w:shd w:val="clear" w:color="000000" w:fill="FDE9D9"/>
                  <w:noWrap/>
                  <w:vAlign w:val="center"/>
                  <w:hideMark/>
                </w:tcPr>
                <w:p w14:paraId="7D87F9E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3.65 </w:t>
                  </w:r>
                </w:p>
              </w:tc>
              <w:tc>
                <w:tcPr>
                  <w:tcW w:w="921" w:type="dxa"/>
                  <w:tcBorders>
                    <w:top w:val="nil"/>
                    <w:left w:val="nil"/>
                    <w:bottom w:val="single" w:sz="8" w:space="0" w:color="FFFFFF"/>
                    <w:right w:val="single" w:sz="8" w:space="0" w:color="FFFFFF"/>
                  </w:tcBorders>
                  <w:shd w:val="clear" w:color="000000" w:fill="FDE9D9"/>
                  <w:noWrap/>
                  <w:vAlign w:val="center"/>
                  <w:hideMark/>
                </w:tcPr>
                <w:p w14:paraId="648B913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4.11 </w:t>
                  </w:r>
                </w:p>
              </w:tc>
              <w:tc>
                <w:tcPr>
                  <w:tcW w:w="921" w:type="dxa"/>
                  <w:tcBorders>
                    <w:top w:val="nil"/>
                    <w:left w:val="nil"/>
                    <w:bottom w:val="single" w:sz="8" w:space="0" w:color="FFFFFF"/>
                    <w:right w:val="single" w:sz="8" w:space="0" w:color="FFFFFF"/>
                  </w:tcBorders>
                  <w:shd w:val="clear" w:color="000000" w:fill="FDE9D9"/>
                  <w:noWrap/>
                  <w:vAlign w:val="center"/>
                  <w:hideMark/>
                </w:tcPr>
                <w:p w14:paraId="594F246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6.32 </w:t>
                  </w:r>
                </w:p>
              </w:tc>
              <w:tc>
                <w:tcPr>
                  <w:tcW w:w="1157" w:type="dxa"/>
                  <w:tcBorders>
                    <w:top w:val="nil"/>
                    <w:left w:val="nil"/>
                    <w:bottom w:val="single" w:sz="8" w:space="0" w:color="FFFFFF"/>
                    <w:right w:val="single" w:sz="8" w:space="0" w:color="FFFFFF"/>
                  </w:tcBorders>
                  <w:shd w:val="clear" w:color="000000" w:fill="FDE9D9"/>
                  <w:noWrap/>
                  <w:vAlign w:val="center"/>
                  <w:hideMark/>
                </w:tcPr>
                <w:p w14:paraId="4C3558F1"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35A1EC3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0.68 </w:t>
                  </w:r>
                </w:p>
              </w:tc>
              <w:tc>
                <w:tcPr>
                  <w:tcW w:w="921" w:type="dxa"/>
                  <w:tcBorders>
                    <w:top w:val="nil"/>
                    <w:left w:val="nil"/>
                    <w:bottom w:val="single" w:sz="8" w:space="0" w:color="FFFFFF"/>
                    <w:right w:val="single" w:sz="8" w:space="0" w:color="FFFFFF"/>
                  </w:tcBorders>
                  <w:shd w:val="clear" w:color="000000" w:fill="FDE9D9"/>
                  <w:noWrap/>
                  <w:vAlign w:val="center"/>
                  <w:hideMark/>
                </w:tcPr>
                <w:p w14:paraId="1FF0E66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DE9D9"/>
                  <w:noWrap/>
                  <w:vAlign w:val="center"/>
                  <w:hideMark/>
                </w:tcPr>
                <w:p w14:paraId="77C4F6F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1.37 </w:t>
                  </w:r>
                </w:p>
              </w:tc>
              <w:tc>
                <w:tcPr>
                  <w:tcW w:w="921" w:type="dxa"/>
                  <w:tcBorders>
                    <w:top w:val="nil"/>
                    <w:left w:val="nil"/>
                    <w:bottom w:val="single" w:sz="8" w:space="0" w:color="FFFFFF"/>
                    <w:right w:val="single" w:sz="8" w:space="0" w:color="FFFFFF"/>
                  </w:tcBorders>
                  <w:shd w:val="clear" w:color="000000" w:fill="FDE9D9"/>
                  <w:noWrap/>
                  <w:vAlign w:val="center"/>
                  <w:hideMark/>
                </w:tcPr>
                <w:p w14:paraId="5A43E00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3.58 </w:t>
                  </w:r>
                </w:p>
              </w:tc>
            </w:tr>
            <w:tr w:rsidR="001F098C" w:rsidRPr="001F098C" w14:paraId="02220F61"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94ACA41"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353DF67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3.68 </w:t>
                  </w:r>
                </w:p>
              </w:tc>
              <w:tc>
                <w:tcPr>
                  <w:tcW w:w="921" w:type="dxa"/>
                  <w:tcBorders>
                    <w:top w:val="nil"/>
                    <w:left w:val="nil"/>
                    <w:bottom w:val="single" w:sz="8" w:space="0" w:color="FFFFFF"/>
                    <w:right w:val="single" w:sz="8" w:space="0" w:color="FFFFFF"/>
                  </w:tcBorders>
                  <w:shd w:val="clear" w:color="000000" w:fill="FCD5B4"/>
                  <w:noWrap/>
                  <w:vAlign w:val="center"/>
                  <w:hideMark/>
                </w:tcPr>
                <w:p w14:paraId="2524ADF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3.95 </w:t>
                  </w:r>
                </w:p>
              </w:tc>
              <w:tc>
                <w:tcPr>
                  <w:tcW w:w="921" w:type="dxa"/>
                  <w:tcBorders>
                    <w:top w:val="nil"/>
                    <w:left w:val="nil"/>
                    <w:bottom w:val="single" w:sz="8" w:space="0" w:color="FFFFFF"/>
                    <w:right w:val="single" w:sz="8" w:space="0" w:color="FFFFFF"/>
                  </w:tcBorders>
                  <w:shd w:val="clear" w:color="000000" w:fill="FCD5B4"/>
                  <w:noWrap/>
                  <w:vAlign w:val="center"/>
                  <w:hideMark/>
                </w:tcPr>
                <w:p w14:paraId="0B33815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4.47 </w:t>
                  </w:r>
                </w:p>
              </w:tc>
              <w:tc>
                <w:tcPr>
                  <w:tcW w:w="921" w:type="dxa"/>
                  <w:tcBorders>
                    <w:top w:val="nil"/>
                    <w:left w:val="nil"/>
                    <w:bottom w:val="single" w:sz="8" w:space="0" w:color="FFFFFF"/>
                    <w:right w:val="single" w:sz="8" w:space="0" w:color="FFFFFF"/>
                  </w:tcBorders>
                  <w:shd w:val="clear" w:color="000000" w:fill="FCD5B4"/>
                  <w:noWrap/>
                  <w:vAlign w:val="center"/>
                  <w:hideMark/>
                </w:tcPr>
                <w:p w14:paraId="51F532C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6.68 </w:t>
                  </w:r>
                </w:p>
              </w:tc>
              <w:tc>
                <w:tcPr>
                  <w:tcW w:w="1157" w:type="dxa"/>
                  <w:tcBorders>
                    <w:top w:val="nil"/>
                    <w:left w:val="nil"/>
                    <w:bottom w:val="single" w:sz="8" w:space="0" w:color="FFFFFF"/>
                    <w:right w:val="single" w:sz="8" w:space="0" w:color="FFFFFF"/>
                  </w:tcBorders>
                  <w:shd w:val="clear" w:color="000000" w:fill="FCD5B4"/>
                  <w:noWrap/>
                  <w:vAlign w:val="center"/>
                  <w:hideMark/>
                </w:tcPr>
                <w:p w14:paraId="46A8FBA4"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5BCAA12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CD5B4"/>
                  <w:noWrap/>
                  <w:vAlign w:val="center"/>
                  <w:hideMark/>
                </w:tcPr>
                <w:p w14:paraId="07949E6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1.01 </w:t>
                  </w:r>
                </w:p>
              </w:tc>
              <w:tc>
                <w:tcPr>
                  <w:tcW w:w="921" w:type="dxa"/>
                  <w:tcBorders>
                    <w:top w:val="nil"/>
                    <w:left w:val="nil"/>
                    <w:bottom w:val="single" w:sz="8" w:space="0" w:color="FFFFFF"/>
                    <w:right w:val="single" w:sz="8" w:space="0" w:color="FFFFFF"/>
                  </w:tcBorders>
                  <w:shd w:val="clear" w:color="000000" w:fill="FCD5B4"/>
                  <w:noWrap/>
                  <w:vAlign w:val="center"/>
                  <w:hideMark/>
                </w:tcPr>
                <w:p w14:paraId="6B8D6AF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1.53 </w:t>
                  </w:r>
                </w:p>
              </w:tc>
              <w:tc>
                <w:tcPr>
                  <w:tcW w:w="921" w:type="dxa"/>
                  <w:tcBorders>
                    <w:top w:val="nil"/>
                    <w:left w:val="nil"/>
                    <w:bottom w:val="single" w:sz="8" w:space="0" w:color="FFFFFF"/>
                    <w:right w:val="single" w:sz="8" w:space="0" w:color="FFFFFF"/>
                  </w:tcBorders>
                  <w:shd w:val="clear" w:color="000000" w:fill="FCD5B4"/>
                  <w:noWrap/>
                  <w:vAlign w:val="center"/>
                  <w:hideMark/>
                </w:tcPr>
                <w:p w14:paraId="2B4E9E7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3.74 </w:t>
                  </w:r>
                </w:p>
              </w:tc>
            </w:tr>
            <w:tr w:rsidR="001F098C" w:rsidRPr="001F098C" w14:paraId="3B322271"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FB4AF09"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1ABF25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3.41 </w:t>
                  </w:r>
                </w:p>
              </w:tc>
              <w:tc>
                <w:tcPr>
                  <w:tcW w:w="921" w:type="dxa"/>
                  <w:tcBorders>
                    <w:top w:val="nil"/>
                    <w:left w:val="nil"/>
                    <w:bottom w:val="single" w:sz="8" w:space="0" w:color="FFFFFF"/>
                    <w:right w:val="single" w:sz="8" w:space="0" w:color="FFFFFF"/>
                  </w:tcBorders>
                  <w:shd w:val="clear" w:color="000000" w:fill="FDE9D9"/>
                  <w:noWrap/>
                  <w:vAlign w:val="center"/>
                  <w:hideMark/>
                </w:tcPr>
                <w:p w14:paraId="3C7BFC8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3.62 </w:t>
                  </w:r>
                </w:p>
              </w:tc>
              <w:tc>
                <w:tcPr>
                  <w:tcW w:w="921" w:type="dxa"/>
                  <w:tcBorders>
                    <w:top w:val="nil"/>
                    <w:left w:val="nil"/>
                    <w:bottom w:val="single" w:sz="8" w:space="0" w:color="FFFFFF"/>
                    <w:right w:val="single" w:sz="8" w:space="0" w:color="FFFFFF"/>
                  </w:tcBorders>
                  <w:shd w:val="clear" w:color="000000" w:fill="FDE9D9"/>
                  <w:noWrap/>
                  <w:vAlign w:val="center"/>
                  <w:hideMark/>
                </w:tcPr>
                <w:p w14:paraId="7B9448A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4.09 </w:t>
                  </w:r>
                </w:p>
              </w:tc>
              <w:tc>
                <w:tcPr>
                  <w:tcW w:w="921" w:type="dxa"/>
                  <w:tcBorders>
                    <w:top w:val="nil"/>
                    <w:left w:val="nil"/>
                    <w:bottom w:val="single" w:sz="8" w:space="0" w:color="FFFFFF"/>
                    <w:right w:val="single" w:sz="8" w:space="0" w:color="FFFFFF"/>
                  </w:tcBorders>
                  <w:shd w:val="clear" w:color="000000" w:fill="FDE9D9"/>
                  <w:noWrap/>
                  <w:vAlign w:val="center"/>
                  <w:hideMark/>
                </w:tcPr>
                <w:p w14:paraId="02B3E53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6.29 </w:t>
                  </w:r>
                </w:p>
              </w:tc>
              <w:tc>
                <w:tcPr>
                  <w:tcW w:w="1157" w:type="dxa"/>
                  <w:tcBorders>
                    <w:top w:val="nil"/>
                    <w:left w:val="nil"/>
                    <w:bottom w:val="single" w:sz="8" w:space="0" w:color="FFFFFF"/>
                    <w:right w:val="single" w:sz="8" w:space="0" w:color="FFFFFF"/>
                  </w:tcBorders>
                  <w:shd w:val="clear" w:color="000000" w:fill="FDE9D9"/>
                  <w:noWrap/>
                  <w:vAlign w:val="center"/>
                  <w:hideMark/>
                </w:tcPr>
                <w:p w14:paraId="4A6D51D0"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EE8627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0.66 </w:t>
                  </w:r>
                </w:p>
              </w:tc>
              <w:tc>
                <w:tcPr>
                  <w:tcW w:w="921" w:type="dxa"/>
                  <w:tcBorders>
                    <w:top w:val="nil"/>
                    <w:left w:val="nil"/>
                    <w:bottom w:val="single" w:sz="8" w:space="0" w:color="FFFFFF"/>
                    <w:right w:val="single" w:sz="8" w:space="0" w:color="FFFFFF"/>
                  </w:tcBorders>
                  <w:shd w:val="clear" w:color="000000" w:fill="FDE9D9"/>
                  <w:noWrap/>
                  <w:vAlign w:val="center"/>
                  <w:hideMark/>
                </w:tcPr>
                <w:p w14:paraId="14157DA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DE9D9"/>
                  <w:noWrap/>
                  <w:vAlign w:val="center"/>
                  <w:hideMark/>
                </w:tcPr>
                <w:p w14:paraId="1781C85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1.34 </w:t>
                  </w:r>
                </w:p>
              </w:tc>
              <w:tc>
                <w:tcPr>
                  <w:tcW w:w="921" w:type="dxa"/>
                  <w:tcBorders>
                    <w:top w:val="nil"/>
                    <w:left w:val="nil"/>
                    <w:bottom w:val="single" w:sz="8" w:space="0" w:color="FFFFFF"/>
                    <w:right w:val="single" w:sz="8" w:space="0" w:color="FFFFFF"/>
                  </w:tcBorders>
                  <w:shd w:val="clear" w:color="000000" w:fill="FDE9D9"/>
                  <w:noWrap/>
                  <w:vAlign w:val="center"/>
                  <w:hideMark/>
                </w:tcPr>
                <w:p w14:paraId="68EF30D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3.54 </w:t>
                  </w:r>
                </w:p>
              </w:tc>
            </w:tr>
            <w:tr w:rsidR="001F098C" w:rsidRPr="001F098C" w14:paraId="6E5256FD"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D601D93"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B5B3FA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3.62 </w:t>
                  </w:r>
                </w:p>
              </w:tc>
              <w:tc>
                <w:tcPr>
                  <w:tcW w:w="921" w:type="dxa"/>
                  <w:tcBorders>
                    <w:top w:val="nil"/>
                    <w:left w:val="nil"/>
                    <w:bottom w:val="single" w:sz="8" w:space="0" w:color="FFFFFF"/>
                    <w:right w:val="single" w:sz="8" w:space="0" w:color="FFFFFF"/>
                  </w:tcBorders>
                  <w:shd w:val="clear" w:color="000000" w:fill="FCD5B4"/>
                  <w:noWrap/>
                  <w:vAlign w:val="center"/>
                  <w:hideMark/>
                </w:tcPr>
                <w:p w14:paraId="36A6E7A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3.88 </w:t>
                  </w:r>
                </w:p>
              </w:tc>
              <w:tc>
                <w:tcPr>
                  <w:tcW w:w="921" w:type="dxa"/>
                  <w:tcBorders>
                    <w:top w:val="nil"/>
                    <w:left w:val="nil"/>
                    <w:bottom w:val="single" w:sz="8" w:space="0" w:color="FFFFFF"/>
                    <w:right w:val="single" w:sz="8" w:space="0" w:color="FFFFFF"/>
                  </w:tcBorders>
                  <w:shd w:val="clear" w:color="000000" w:fill="FCD5B4"/>
                  <w:noWrap/>
                  <w:vAlign w:val="center"/>
                  <w:hideMark/>
                </w:tcPr>
                <w:p w14:paraId="3C11CBA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4.41 </w:t>
                  </w:r>
                </w:p>
              </w:tc>
              <w:tc>
                <w:tcPr>
                  <w:tcW w:w="921" w:type="dxa"/>
                  <w:tcBorders>
                    <w:top w:val="nil"/>
                    <w:left w:val="nil"/>
                    <w:bottom w:val="single" w:sz="8" w:space="0" w:color="FFFFFF"/>
                    <w:right w:val="single" w:sz="8" w:space="0" w:color="FFFFFF"/>
                  </w:tcBorders>
                  <w:shd w:val="clear" w:color="000000" w:fill="FCD5B4"/>
                  <w:noWrap/>
                  <w:vAlign w:val="center"/>
                  <w:hideMark/>
                </w:tcPr>
                <w:p w14:paraId="11BECBA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5F9723B9"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4442658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0.69 </w:t>
                  </w:r>
                </w:p>
              </w:tc>
              <w:tc>
                <w:tcPr>
                  <w:tcW w:w="921" w:type="dxa"/>
                  <w:tcBorders>
                    <w:top w:val="nil"/>
                    <w:left w:val="nil"/>
                    <w:bottom w:val="single" w:sz="8" w:space="0" w:color="FFFFFF"/>
                    <w:right w:val="single" w:sz="8" w:space="0" w:color="FFFFFF"/>
                  </w:tcBorders>
                  <w:shd w:val="clear" w:color="000000" w:fill="FCD5B4"/>
                  <w:noWrap/>
                  <w:vAlign w:val="center"/>
                  <w:hideMark/>
                </w:tcPr>
                <w:p w14:paraId="423E709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0.95 </w:t>
                  </w:r>
                </w:p>
              </w:tc>
              <w:tc>
                <w:tcPr>
                  <w:tcW w:w="921" w:type="dxa"/>
                  <w:tcBorders>
                    <w:top w:val="nil"/>
                    <w:left w:val="nil"/>
                    <w:bottom w:val="single" w:sz="8" w:space="0" w:color="FFFFFF"/>
                    <w:right w:val="single" w:sz="8" w:space="0" w:color="FFFFFF"/>
                  </w:tcBorders>
                  <w:shd w:val="clear" w:color="000000" w:fill="FCD5B4"/>
                  <w:noWrap/>
                  <w:vAlign w:val="center"/>
                  <w:hideMark/>
                </w:tcPr>
                <w:p w14:paraId="70715A2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1.48 </w:t>
                  </w:r>
                </w:p>
              </w:tc>
              <w:tc>
                <w:tcPr>
                  <w:tcW w:w="921" w:type="dxa"/>
                  <w:tcBorders>
                    <w:top w:val="nil"/>
                    <w:left w:val="nil"/>
                    <w:bottom w:val="single" w:sz="8" w:space="0" w:color="FFFFFF"/>
                    <w:right w:val="single" w:sz="8" w:space="0" w:color="FFFFFF"/>
                  </w:tcBorders>
                  <w:shd w:val="clear" w:color="000000" w:fill="FCD5B4"/>
                  <w:noWrap/>
                  <w:vAlign w:val="center"/>
                  <w:hideMark/>
                </w:tcPr>
                <w:p w14:paraId="479D084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3.68 </w:t>
                  </w:r>
                </w:p>
              </w:tc>
            </w:tr>
            <w:tr w:rsidR="001F098C" w:rsidRPr="001F098C" w14:paraId="1EFB6CE6"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7E01CA5"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BB7E62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3.94 </w:t>
                  </w:r>
                </w:p>
              </w:tc>
              <w:tc>
                <w:tcPr>
                  <w:tcW w:w="921" w:type="dxa"/>
                  <w:tcBorders>
                    <w:top w:val="nil"/>
                    <w:left w:val="nil"/>
                    <w:bottom w:val="single" w:sz="8" w:space="0" w:color="FFFFFF"/>
                    <w:right w:val="single" w:sz="8" w:space="0" w:color="FFFFFF"/>
                  </w:tcBorders>
                  <w:shd w:val="clear" w:color="000000" w:fill="FDE9D9"/>
                  <w:noWrap/>
                  <w:vAlign w:val="center"/>
                  <w:hideMark/>
                </w:tcPr>
                <w:p w14:paraId="7904EB1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4.20 </w:t>
                  </w:r>
                </w:p>
              </w:tc>
              <w:tc>
                <w:tcPr>
                  <w:tcW w:w="921" w:type="dxa"/>
                  <w:tcBorders>
                    <w:top w:val="nil"/>
                    <w:left w:val="nil"/>
                    <w:bottom w:val="single" w:sz="8" w:space="0" w:color="FFFFFF"/>
                    <w:right w:val="single" w:sz="8" w:space="0" w:color="FFFFFF"/>
                  </w:tcBorders>
                  <w:shd w:val="clear" w:color="000000" w:fill="FDE9D9"/>
                  <w:noWrap/>
                  <w:vAlign w:val="center"/>
                  <w:hideMark/>
                </w:tcPr>
                <w:p w14:paraId="4CBC90E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4.74 </w:t>
                  </w:r>
                </w:p>
              </w:tc>
              <w:tc>
                <w:tcPr>
                  <w:tcW w:w="921" w:type="dxa"/>
                  <w:tcBorders>
                    <w:top w:val="nil"/>
                    <w:left w:val="nil"/>
                    <w:bottom w:val="single" w:sz="8" w:space="0" w:color="FFFFFF"/>
                    <w:right w:val="single" w:sz="8" w:space="0" w:color="FFFFFF"/>
                  </w:tcBorders>
                  <w:shd w:val="clear" w:color="000000" w:fill="FDE9D9"/>
                  <w:noWrap/>
                  <w:vAlign w:val="center"/>
                  <w:hideMark/>
                </w:tcPr>
                <w:p w14:paraId="7910A26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6.94 </w:t>
                  </w:r>
                </w:p>
              </w:tc>
              <w:tc>
                <w:tcPr>
                  <w:tcW w:w="1157" w:type="dxa"/>
                  <w:tcBorders>
                    <w:top w:val="nil"/>
                    <w:left w:val="nil"/>
                    <w:bottom w:val="single" w:sz="8" w:space="0" w:color="FFFFFF"/>
                    <w:right w:val="single" w:sz="8" w:space="0" w:color="FFFFFF"/>
                  </w:tcBorders>
                  <w:shd w:val="clear" w:color="000000" w:fill="FDE9D9"/>
                  <w:noWrap/>
                  <w:vAlign w:val="center"/>
                  <w:hideMark/>
                </w:tcPr>
                <w:p w14:paraId="0E32F5C7"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540B9B2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DE9D9"/>
                  <w:noWrap/>
                  <w:vAlign w:val="center"/>
                  <w:hideMark/>
                </w:tcPr>
                <w:p w14:paraId="5C4BE20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1.11 </w:t>
                  </w:r>
                </w:p>
              </w:tc>
              <w:tc>
                <w:tcPr>
                  <w:tcW w:w="921" w:type="dxa"/>
                  <w:tcBorders>
                    <w:top w:val="nil"/>
                    <w:left w:val="nil"/>
                    <w:bottom w:val="single" w:sz="8" w:space="0" w:color="FFFFFF"/>
                    <w:right w:val="single" w:sz="8" w:space="0" w:color="FFFFFF"/>
                  </w:tcBorders>
                  <w:shd w:val="clear" w:color="000000" w:fill="FDE9D9"/>
                  <w:noWrap/>
                  <w:vAlign w:val="center"/>
                  <w:hideMark/>
                </w:tcPr>
                <w:p w14:paraId="662C50C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1.65 </w:t>
                  </w:r>
                </w:p>
              </w:tc>
              <w:tc>
                <w:tcPr>
                  <w:tcW w:w="921" w:type="dxa"/>
                  <w:tcBorders>
                    <w:top w:val="nil"/>
                    <w:left w:val="nil"/>
                    <w:bottom w:val="single" w:sz="8" w:space="0" w:color="FFFFFF"/>
                    <w:right w:val="single" w:sz="8" w:space="0" w:color="FFFFFF"/>
                  </w:tcBorders>
                  <w:shd w:val="clear" w:color="000000" w:fill="FDE9D9"/>
                  <w:noWrap/>
                  <w:vAlign w:val="center"/>
                  <w:hideMark/>
                </w:tcPr>
                <w:p w14:paraId="4D24FC9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3.85 </w:t>
                  </w:r>
                </w:p>
              </w:tc>
            </w:tr>
            <w:tr w:rsidR="001F098C" w:rsidRPr="001F098C" w14:paraId="463CC5DB"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E8D7BF0"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4D86B8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3.46 </w:t>
                  </w:r>
                </w:p>
              </w:tc>
              <w:tc>
                <w:tcPr>
                  <w:tcW w:w="921" w:type="dxa"/>
                  <w:tcBorders>
                    <w:top w:val="nil"/>
                    <w:left w:val="nil"/>
                    <w:bottom w:val="single" w:sz="8" w:space="0" w:color="FFFFFF"/>
                    <w:right w:val="single" w:sz="8" w:space="0" w:color="FFFFFF"/>
                  </w:tcBorders>
                  <w:shd w:val="clear" w:color="000000" w:fill="FCD5B4"/>
                  <w:noWrap/>
                  <w:vAlign w:val="center"/>
                  <w:hideMark/>
                </w:tcPr>
                <w:p w14:paraId="7DA0C1A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3.63 </w:t>
                  </w:r>
                </w:p>
              </w:tc>
              <w:tc>
                <w:tcPr>
                  <w:tcW w:w="921" w:type="dxa"/>
                  <w:tcBorders>
                    <w:top w:val="nil"/>
                    <w:left w:val="nil"/>
                    <w:bottom w:val="single" w:sz="8" w:space="0" w:color="FFFFFF"/>
                    <w:right w:val="single" w:sz="8" w:space="0" w:color="FFFFFF"/>
                  </w:tcBorders>
                  <w:shd w:val="clear" w:color="000000" w:fill="FCD5B4"/>
                  <w:noWrap/>
                  <w:vAlign w:val="center"/>
                  <w:hideMark/>
                </w:tcPr>
                <w:p w14:paraId="1B31E75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3.80 </w:t>
                  </w:r>
                </w:p>
              </w:tc>
              <w:tc>
                <w:tcPr>
                  <w:tcW w:w="921" w:type="dxa"/>
                  <w:tcBorders>
                    <w:top w:val="nil"/>
                    <w:left w:val="nil"/>
                    <w:bottom w:val="single" w:sz="8" w:space="0" w:color="FFFFFF"/>
                    <w:right w:val="single" w:sz="8" w:space="0" w:color="FFFFFF"/>
                  </w:tcBorders>
                  <w:shd w:val="clear" w:color="000000" w:fill="FCD5B4"/>
                  <w:noWrap/>
                  <w:vAlign w:val="center"/>
                  <w:hideMark/>
                </w:tcPr>
                <w:p w14:paraId="64845C4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6.49 </w:t>
                  </w:r>
                </w:p>
              </w:tc>
              <w:tc>
                <w:tcPr>
                  <w:tcW w:w="1157" w:type="dxa"/>
                  <w:tcBorders>
                    <w:top w:val="nil"/>
                    <w:left w:val="nil"/>
                    <w:bottom w:val="single" w:sz="8" w:space="0" w:color="FFFFFF"/>
                    <w:right w:val="single" w:sz="8" w:space="0" w:color="FFFFFF"/>
                  </w:tcBorders>
                  <w:shd w:val="clear" w:color="000000" w:fill="FCD5B4"/>
                  <w:noWrap/>
                  <w:vAlign w:val="center"/>
                  <w:hideMark/>
                </w:tcPr>
                <w:p w14:paraId="44D4022E"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14646D0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0.71 </w:t>
                  </w:r>
                </w:p>
              </w:tc>
              <w:tc>
                <w:tcPr>
                  <w:tcW w:w="921" w:type="dxa"/>
                  <w:tcBorders>
                    <w:top w:val="nil"/>
                    <w:left w:val="nil"/>
                    <w:bottom w:val="single" w:sz="8" w:space="0" w:color="FFFFFF"/>
                    <w:right w:val="single" w:sz="8" w:space="0" w:color="FFFFFF"/>
                  </w:tcBorders>
                  <w:shd w:val="clear" w:color="000000" w:fill="FCD5B4"/>
                  <w:noWrap/>
                  <w:vAlign w:val="center"/>
                  <w:hideMark/>
                </w:tcPr>
                <w:p w14:paraId="6BB6DEC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0.88 </w:t>
                  </w:r>
                </w:p>
              </w:tc>
              <w:tc>
                <w:tcPr>
                  <w:tcW w:w="921" w:type="dxa"/>
                  <w:tcBorders>
                    <w:top w:val="nil"/>
                    <w:left w:val="nil"/>
                    <w:bottom w:val="single" w:sz="8" w:space="0" w:color="FFFFFF"/>
                    <w:right w:val="single" w:sz="8" w:space="0" w:color="FFFFFF"/>
                  </w:tcBorders>
                  <w:shd w:val="clear" w:color="000000" w:fill="FCD5B4"/>
                  <w:noWrap/>
                  <w:vAlign w:val="center"/>
                  <w:hideMark/>
                </w:tcPr>
                <w:p w14:paraId="618E996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1.06 </w:t>
                  </w:r>
                </w:p>
              </w:tc>
              <w:tc>
                <w:tcPr>
                  <w:tcW w:w="921" w:type="dxa"/>
                  <w:tcBorders>
                    <w:top w:val="nil"/>
                    <w:left w:val="nil"/>
                    <w:bottom w:val="single" w:sz="8" w:space="0" w:color="FFFFFF"/>
                    <w:right w:val="single" w:sz="8" w:space="0" w:color="FFFFFF"/>
                  </w:tcBorders>
                  <w:shd w:val="clear" w:color="000000" w:fill="FCD5B4"/>
                  <w:noWrap/>
                  <w:vAlign w:val="center"/>
                  <w:hideMark/>
                </w:tcPr>
                <w:p w14:paraId="36A07F3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3.75 </w:t>
                  </w:r>
                </w:p>
              </w:tc>
            </w:tr>
            <w:tr w:rsidR="001F098C" w:rsidRPr="001F098C" w14:paraId="2CFDB173"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47F45D7"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41A7166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3.71 </w:t>
                  </w:r>
                </w:p>
              </w:tc>
              <w:tc>
                <w:tcPr>
                  <w:tcW w:w="921" w:type="dxa"/>
                  <w:tcBorders>
                    <w:top w:val="nil"/>
                    <w:left w:val="nil"/>
                    <w:bottom w:val="single" w:sz="8" w:space="0" w:color="FFFFFF"/>
                    <w:right w:val="single" w:sz="8" w:space="0" w:color="FFFFFF"/>
                  </w:tcBorders>
                  <w:shd w:val="clear" w:color="000000" w:fill="FDE9D9"/>
                  <w:noWrap/>
                  <w:vAlign w:val="center"/>
                  <w:hideMark/>
                </w:tcPr>
                <w:p w14:paraId="4214652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3.98 </w:t>
                  </w:r>
                </w:p>
              </w:tc>
              <w:tc>
                <w:tcPr>
                  <w:tcW w:w="921" w:type="dxa"/>
                  <w:tcBorders>
                    <w:top w:val="nil"/>
                    <w:left w:val="nil"/>
                    <w:bottom w:val="single" w:sz="8" w:space="0" w:color="FFFFFF"/>
                    <w:right w:val="single" w:sz="8" w:space="0" w:color="FFFFFF"/>
                  </w:tcBorders>
                  <w:shd w:val="clear" w:color="000000" w:fill="FDE9D9"/>
                  <w:noWrap/>
                  <w:vAlign w:val="center"/>
                  <w:hideMark/>
                </w:tcPr>
                <w:p w14:paraId="237A932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4.47 </w:t>
                  </w:r>
                </w:p>
              </w:tc>
              <w:tc>
                <w:tcPr>
                  <w:tcW w:w="921" w:type="dxa"/>
                  <w:tcBorders>
                    <w:top w:val="nil"/>
                    <w:left w:val="nil"/>
                    <w:bottom w:val="single" w:sz="8" w:space="0" w:color="FFFFFF"/>
                    <w:right w:val="single" w:sz="8" w:space="0" w:color="FFFFFF"/>
                  </w:tcBorders>
                  <w:shd w:val="clear" w:color="000000" w:fill="FDE9D9"/>
                  <w:noWrap/>
                  <w:vAlign w:val="center"/>
                  <w:hideMark/>
                </w:tcPr>
                <w:p w14:paraId="306BA87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7.33 </w:t>
                  </w:r>
                </w:p>
              </w:tc>
              <w:tc>
                <w:tcPr>
                  <w:tcW w:w="1157" w:type="dxa"/>
                  <w:tcBorders>
                    <w:top w:val="nil"/>
                    <w:left w:val="nil"/>
                    <w:bottom w:val="single" w:sz="8" w:space="0" w:color="FFFFFF"/>
                    <w:right w:val="single" w:sz="8" w:space="0" w:color="FFFFFF"/>
                  </w:tcBorders>
                  <w:shd w:val="clear" w:color="000000" w:fill="FDE9D9"/>
                  <w:noWrap/>
                  <w:vAlign w:val="center"/>
                  <w:hideMark/>
                </w:tcPr>
                <w:p w14:paraId="2D2AB5A6"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5A8761A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0.77 </w:t>
                  </w:r>
                </w:p>
              </w:tc>
              <w:tc>
                <w:tcPr>
                  <w:tcW w:w="921" w:type="dxa"/>
                  <w:tcBorders>
                    <w:top w:val="nil"/>
                    <w:left w:val="nil"/>
                    <w:bottom w:val="single" w:sz="8" w:space="0" w:color="FFFFFF"/>
                    <w:right w:val="single" w:sz="8" w:space="0" w:color="FFFFFF"/>
                  </w:tcBorders>
                  <w:shd w:val="clear" w:color="000000" w:fill="FDE9D9"/>
                  <w:noWrap/>
                  <w:vAlign w:val="center"/>
                  <w:hideMark/>
                </w:tcPr>
                <w:p w14:paraId="16BAB81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1.04 </w:t>
                  </w:r>
                </w:p>
              </w:tc>
              <w:tc>
                <w:tcPr>
                  <w:tcW w:w="921" w:type="dxa"/>
                  <w:tcBorders>
                    <w:top w:val="nil"/>
                    <w:left w:val="nil"/>
                    <w:bottom w:val="single" w:sz="8" w:space="0" w:color="FFFFFF"/>
                    <w:right w:val="single" w:sz="8" w:space="0" w:color="FFFFFF"/>
                  </w:tcBorders>
                  <w:shd w:val="clear" w:color="000000" w:fill="FDE9D9"/>
                  <w:noWrap/>
                  <w:vAlign w:val="center"/>
                  <w:hideMark/>
                </w:tcPr>
                <w:p w14:paraId="1434EB1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1.54 </w:t>
                  </w:r>
                </w:p>
              </w:tc>
              <w:tc>
                <w:tcPr>
                  <w:tcW w:w="921" w:type="dxa"/>
                  <w:tcBorders>
                    <w:top w:val="nil"/>
                    <w:left w:val="nil"/>
                    <w:bottom w:val="single" w:sz="8" w:space="0" w:color="FFFFFF"/>
                    <w:right w:val="single" w:sz="8" w:space="0" w:color="FFFFFF"/>
                  </w:tcBorders>
                  <w:shd w:val="clear" w:color="000000" w:fill="FDE9D9"/>
                  <w:noWrap/>
                  <w:vAlign w:val="center"/>
                  <w:hideMark/>
                </w:tcPr>
                <w:p w14:paraId="4D2C066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4.40 </w:t>
                  </w:r>
                </w:p>
              </w:tc>
            </w:tr>
            <w:tr w:rsidR="001F098C" w:rsidRPr="001F098C" w14:paraId="06A1404E" w14:textId="77777777" w:rsidTr="001F098C">
              <w:trPr>
                <w:trHeight w:val="300"/>
              </w:trPr>
              <w:tc>
                <w:tcPr>
                  <w:tcW w:w="1350" w:type="dxa"/>
                  <w:tcBorders>
                    <w:top w:val="nil"/>
                    <w:left w:val="nil"/>
                    <w:bottom w:val="nil"/>
                    <w:right w:val="nil"/>
                  </w:tcBorders>
                  <w:shd w:val="clear" w:color="000000" w:fill="FCD5B4"/>
                  <w:noWrap/>
                  <w:vAlign w:val="center"/>
                  <w:hideMark/>
                </w:tcPr>
                <w:p w14:paraId="1B8D4612"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15C5EA5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3.98 </w:t>
                  </w:r>
                </w:p>
              </w:tc>
              <w:tc>
                <w:tcPr>
                  <w:tcW w:w="921" w:type="dxa"/>
                  <w:tcBorders>
                    <w:top w:val="nil"/>
                    <w:left w:val="nil"/>
                    <w:bottom w:val="single" w:sz="8" w:space="0" w:color="FFFFFF"/>
                    <w:right w:val="single" w:sz="8" w:space="0" w:color="FFFFFF"/>
                  </w:tcBorders>
                  <w:shd w:val="clear" w:color="000000" w:fill="FCD5B4"/>
                  <w:noWrap/>
                  <w:vAlign w:val="center"/>
                  <w:hideMark/>
                </w:tcPr>
                <w:p w14:paraId="64BC089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4.25 </w:t>
                  </w:r>
                </w:p>
              </w:tc>
              <w:tc>
                <w:tcPr>
                  <w:tcW w:w="921" w:type="dxa"/>
                  <w:tcBorders>
                    <w:top w:val="nil"/>
                    <w:left w:val="nil"/>
                    <w:bottom w:val="single" w:sz="8" w:space="0" w:color="FFFFFF"/>
                    <w:right w:val="single" w:sz="8" w:space="0" w:color="FFFFFF"/>
                  </w:tcBorders>
                  <w:shd w:val="clear" w:color="000000" w:fill="FCD5B4"/>
                  <w:noWrap/>
                  <w:vAlign w:val="center"/>
                  <w:hideMark/>
                </w:tcPr>
                <w:p w14:paraId="1CA23B6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4.78 </w:t>
                  </w:r>
                </w:p>
              </w:tc>
              <w:tc>
                <w:tcPr>
                  <w:tcW w:w="921" w:type="dxa"/>
                  <w:tcBorders>
                    <w:top w:val="nil"/>
                    <w:left w:val="nil"/>
                    <w:bottom w:val="single" w:sz="8" w:space="0" w:color="FFFFFF"/>
                    <w:right w:val="single" w:sz="8" w:space="0" w:color="FFFFFF"/>
                  </w:tcBorders>
                  <w:shd w:val="clear" w:color="000000" w:fill="FCD5B4"/>
                  <w:noWrap/>
                  <w:vAlign w:val="center"/>
                  <w:hideMark/>
                </w:tcPr>
                <w:p w14:paraId="16CEDC1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7.64 </w:t>
                  </w:r>
                </w:p>
              </w:tc>
              <w:tc>
                <w:tcPr>
                  <w:tcW w:w="1157" w:type="dxa"/>
                  <w:tcBorders>
                    <w:top w:val="nil"/>
                    <w:left w:val="nil"/>
                    <w:bottom w:val="nil"/>
                    <w:right w:val="nil"/>
                  </w:tcBorders>
                  <w:shd w:val="clear" w:color="000000" w:fill="FCD5B4"/>
                  <w:noWrap/>
                  <w:vAlign w:val="center"/>
                  <w:hideMark/>
                </w:tcPr>
                <w:p w14:paraId="18DEB5ED"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2F60ED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0.89 </w:t>
                  </w:r>
                </w:p>
              </w:tc>
              <w:tc>
                <w:tcPr>
                  <w:tcW w:w="921" w:type="dxa"/>
                  <w:tcBorders>
                    <w:top w:val="nil"/>
                    <w:left w:val="nil"/>
                    <w:bottom w:val="single" w:sz="8" w:space="0" w:color="FFFFFF"/>
                    <w:right w:val="single" w:sz="8" w:space="0" w:color="FFFFFF"/>
                  </w:tcBorders>
                  <w:shd w:val="clear" w:color="000000" w:fill="FCD5B4"/>
                  <w:noWrap/>
                  <w:vAlign w:val="center"/>
                  <w:hideMark/>
                </w:tcPr>
                <w:p w14:paraId="24A3AAA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1.16 </w:t>
                  </w:r>
                </w:p>
              </w:tc>
              <w:tc>
                <w:tcPr>
                  <w:tcW w:w="921" w:type="dxa"/>
                  <w:tcBorders>
                    <w:top w:val="nil"/>
                    <w:left w:val="nil"/>
                    <w:bottom w:val="single" w:sz="8" w:space="0" w:color="FFFFFF"/>
                    <w:right w:val="single" w:sz="8" w:space="0" w:color="FFFFFF"/>
                  </w:tcBorders>
                  <w:shd w:val="clear" w:color="000000" w:fill="FCD5B4"/>
                  <w:noWrap/>
                  <w:vAlign w:val="center"/>
                  <w:hideMark/>
                </w:tcPr>
                <w:p w14:paraId="35D718D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1.69 </w:t>
                  </w:r>
                </w:p>
              </w:tc>
              <w:tc>
                <w:tcPr>
                  <w:tcW w:w="921" w:type="dxa"/>
                  <w:tcBorders>
                    <w:top w:val="nil"/>
                    <w:left w:val="nil"/>
                    <w:bottom w:val="single" w:sz="8" w:space="0" w:color="FFFFFF"/>
                    <w:right w:val="single" w:sz="8" w:space="0" w:color="FFFFFF"/>
                  </w:tcBorders>
                  <w:shd w:val="clear" w:color="000000" w:fill="FCD5B4"/>
                  <w:noWrap/>
                  <w:vAlign w:val="center"/>
                  <w:hideMark/>
                </w:tcPr>
                <w:p w14:paraId="17DFFAB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4.55 </w:t>
                  </w:r>
                </w:p>
              </w:tc>
            </w:tr>
            <w:tr w:rsidR="001F098C" w:rsidRPr="001F098C" w14:paraId="37EAB3ED" w14:textId="77777777" w:rsidTr="001F098C">
              <w:trPr>
                <w:trHeight w:val="150"/>
              </w:trPr>
              <w:tc>
                <w:tcPr>
                  <w:tcW w:w="1350" w:type="dxa"/>
                  <w:tcBorders>
                    <w:top w:val="nil"/>
                    <w:left w:val="nil"/>
                    <w:bottom w:val="nil"/>
                    <w:right w:val="nil"/>
                  </w:tcBorders>
                  <w:shd w:val="clear" w:color="auto" w:fill="auto"/>
                  <w:noWrap/>
                  <w:vAlign w:val="center"/>
                  <w:hideMark/>
                </w:tcPr>
                <w:p w14:paraId="732CA84E" w14:textId="77777777" w:rsidR="001F098C" w:rsidRPr="001F098C" w:rsidRDefault="001F098C" w:rsidP="001F098C">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1341AC7A"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9828CC6"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05F7A93"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9EE096E" w14:textId="77777777" w:rsidR="001F098C" w:rsidRPr="001F098C" w:rsidRDefault="001F098C" w:rsidP="001F098C">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6BECAB5C"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176CDF2"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5C7C1E9"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B66F15F"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7468861" w14:textId="77777777" w:rsidR="001F098C" w:rsidRPr="001F098C" w:rsidRDefault="001F098C" w:rsidP="001F098C">
                  <w:pPr>
                    <w:widowControl/>
                    <w:jc w:val="center"/>
                    <w:rPr>
                      <w:rFonts w:ascii="Times New Roman" w:eastAsia="Times New Roman" w:hAnsi="Times New Roman"/>
                      <w:kern w:val="0"/>
                      <w:sz w:val="20"/>
                      <w:szCs w:val="20"/>
                    </w:rPr>
                  </w:pPr>
                </w:p>
              </w:tc>
            </w:tr>
            <w:tr w:rsidR="001F098C" w:rsidRPr="001F098C" w14:paraId="69430234" w14:textId="77777777" w:rsidTr="001F098C">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420557E6" w14:textId="77777777" w:rsidR="001F098C" w:rsidRPr="001F098C" w:rsidRDefault="001F098C" w:rsidP="001F098C">
                  <w:pPr>
                    <w:widowControl/>
                    <w:jc w:val="center"/>
                    <w:rPr>
                      <w:rFonts w:ascii="楷体" w:eastAsia="楷体" w:hAnsi="楷体" w:cs="宋体"/>
                      <w:b/>
                      <w:bCs/>
                      <w:color w:val="FFFFFF"/>
                      <w:kern w:val="0"/>
                      <w:sz w:val="20"/>
                      <w:szCs w:val="20"/>
                    </w:rPr>
                  </w:pPr>
                  <w:proofErr w:type="gramStart"/>
                  <w:r w:rsidRPr="001F098C">
                    <w:rPr>
                      <w:rFonts w:ascii="楷体" w:eastAsia="楷体" w:hAnsi="楷体" w:cs="宋体" w:hint="eastAsia"/>
                      <w:b/>
                      <w:bCs/>
                      <w:color w:val="FFFFFF"/>
                      <w:kern w:val="0"/>
                      <w:sz w:val="20"/>
                      <w:szCs w:val="20"/>
                    </w:rPr>
                    <w:t>周变化</w:t>
                  </w:r>
                  <w:proofErr w:type="gramEnd"/>
                  <w:r w:rsidRPr="001F098C">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6209F35C"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2CA0456"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B153103"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705E46E"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8192D79"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08F248D0"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1DFFC79"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8E58E8B"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99A2325"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r>
            <w:tr w:rsidR="001F098C" w:rsidRPr="001F098C" w14:paraId="2D2DBD29" w14:textId="77777777" w:rsidTr="001F098C">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4AB874D5"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166F77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-2.5 </w:t>
                  </w:r>
                </w:p>
              </w:tc>
              <w:tc>
                <w:tcPr>
                  <w:tcW w:w="921" w:type="dxa"/>
                  <w:tcBorders>
                    <w:top w:val="nil"/>
                    <w:left w:val="nil"/>
                    <w:bottom w:val="single" w:sz="8" w:space="0" w:color="FFFFFF"/>
                    <w:right w:val="single" w:sz="8" w:space="0" w:color="FFFFFF"/>
                  </w:tcBorders>
                  <w:shd w:val="clear" w:color="000000" w:fill="FCD5B4"/>
                  <w:noWrap/>
                  <w:vAlign w:val="center"/>
                  <w:hideMark/>
                </w:tcPr>
                <w:p w14:paraId="0630027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-4.6 </w:t>
                  </w:r>
                </w:p>
              </w:tc>
              <w:tc>
                <w:tcPr>
                  <w:tcW w:w="921" w:type="dxa"/>
                  <w:tcBorders>
                    <w:top w:val="nil"/>
                    <w:left w:val="nil"/>
                    <w:bottom w:val="single" w:sz="8" w:space="0" w:color="FFFFFF"/>
                    <w:right w:val="single" w:sz="8" w:space="0" w:color="FFFFFF"/>
                  </w:tcBorders>
                  <w:shd w:val="clear" w:color="000000" w:fill="FCD5B4"/>
                  <w:noWrap/>
                  <w:vAlign w:val="center"/>
                  <w:hideMark/>
                </w:tcPr>
                <w:p w14:paraId="7ADA991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-5.6 </w:t>
                  </w:r>
                </w:p>
              </w:tc>
              <w:tc>
                <w:tcPr>
                  <w:tcW w:w="921" w:type="dxa"/>
                  <w:tcBorders>
                    <w:top w:val="nil"/>
                    <w:left w:val="nil"/>
                    <w:bottom w:val="single" w:sz="8" w:space="0" w:color="FFFFFF"/>
                    <w:right w:val="single" w:sz="8" w:space="0" w:color="FFFFFF"/>
                  </w:tcBorders>
                  <w:shd w:val="clear" w:color="000000" w:fill="FCD5B4"/>
                  <w:noWrap/>
                  <w:vAlign w:val="center"/>
                  <w:hideMark/>
                </w:tcPr>
                <w:p w14:paraId="2F2F103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-5.6 </w:t>
                  </w:r>
                </w:p>
              </w:tc>
              <w:tc>
                <w:tcPr>
                  <w:tcW w:w="1157" w:type="dxa"/>
                  <w:tcBorders>
                    <w:top w:val="nil"/>
                    <w:left w:val="nil"/>
                    <w:bottom w:val="single" w:sz="8" w:space="0" w:color="FFFFFF"/>
                    <w:right w:val="single" w:sz="8" w:space="0" w:color="FFFFFF"/>
                  </w:tcBorders>
                  <w:shd w:val="clear" w:color="000000" w:fill="FCD5B4"/>
                  <w:noWrap/>
                  <w:vAlign w:val="center"/>
                  <w:hideMark/>
                </w:tcPr>
                <w:p w14:paraId="3B8E15AD"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54E265D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-3.6 </w:t>
                  </w:r>
                </w:p>
              </w:tc>
              <w:tc>
                <w:tcPr>
                  <w:tcW w:w="921" w:type="dxa"/>
                  <w:tcBorders>
                    <w:top w:val="nil"/>
                    <w:left w:val="nil"/>
                    <w:bottom w:val="single" w:sz="8" w:space="0" w:color="FFFFFF"/>
                    <w:right w:val="single" w:sz="8" w:space="0" w:color="FFFFFF"/>
                  </w:tcBorders>
                  <w:shd w:val="clear" w:color="000000" w:fill="FCD5B4"/>
                  <w:noWrap/>
                  <w:vAlign w:val="center"/>
                  <w:hideMark/>
                </w:tcPr>
                <w:p w14:paraId="0C68BFD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-5.6 </w:t>
                  </w:r>
                </w:p>
              </w:tc>
              <w:tc>
                <w:tcPr>
                  <w:tcW w:w="921" w:type="dxa"/>
                  <w:tcBorders>
                    <w:top w:val="nil"/>
                    <w:left w:val="nil"/>
                    <w:bottom w:val="single" w:sz="8" w:space="0" w:color="FFFFFF"/>
                    <w:right w:val="single" w:sz="8" w:space="0" w:color="FFFFFF"/>
                  </w:tcBorders>
                  <w:shd w:val="clear" w:color="000000" w:fill="FCD5B4"/>
                  <w:noWrap/>
                  <w:vAlign w:val="center"/>
                  <w:hideMark/>
                </w:tcPr>
                <w:p w14:paraId="29948EC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-6.6 </w:t>
                  </w:r>
                </w:p>
              </w:tc>
              <w:tc>
                <w:tcPr>
                  <w:tcW w:w="921" w:type="dxa"/>
                  <w:tcBorders>
                    <w:top w:val="nil"/>
                    <w:left w:val="nil"/>
                    <w:bottom w:val="single" w:sz="8" w:space="0" w:color="FFFFFF"/>
                    <w:right w:val="single" w:sz="8" w:space="0" w:color="FFFFFF"/>
                  </w:tcBorders>
                  <w:shd w:val="clear" w:color="000000" w:fill="FCD5B4"/>
                  <w:noWrap/>
                  <w:vAlign w:val="center"/>
                  <w:hideMark/>
                </w:tcPr>
                <w:p w14:paraId="4336ECF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-6.6 </w:t>
                  </w:r>
                </w:p>
              </w:tc>
            </w:tr>
            <w:tr w:rsidR="001F098C" w:rsidRPr="001F098C" w14:paraId="527F5D27"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EBEAA48"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0397649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-6.8 </w:t>
                  </w:r>
                </w:p>
              </w:tc>
              <w:tc>
                <w:tcPr>
                  <w:tcW w:w="921" w:type="dxa"/>
                  <w:tcBorders>
                    <w:top w:val="nil"/>
                    <w:left w:val="nil"/>
                    <w:bottom w:val="single" w:sz="8" w:space="0" w:color="FFFFFF"/>
                    <w:right w:val="single" w:sz="8" w:space="0" w:color="FFFFFF"/>
                  </w:tcBorders>
                  <w:shd w:val="clear" w:color="000000" w:fill="FDE9D9"/>
                  <w:noWrap/>
                  <w:vAlign w:val="center"/>
                  <w:hideMark/>
                </w:tcPr>
                <w:p w14:paraId="61FA1BC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-8.8 </w:t>
                  </w:r>
                </w:p>
              </w:tc>
              <w:tc>
                <w:tcPr>
                  <w:tcW w:w="921" w:type="dxa"/>
                  <w:tcBorders>
                    <w:top w:val="nil"/>
                    <w:left w:val="nil"/>
                    <w:bottom w:val="single" w:sz="8" w:space="0" w:color="FFFFFF"/>
                    <w:right w:val="single" w:sz="8" w:space="0" w:color="FFFFFF"/>
                  </w:tcBorders>
                  <w:shd w:val="clear" w:color="000000" w:fill="FDE9D9"/>
                  <w:noWrap/>
                  <w:vAlign w:val="center"/>
                  <w:hideMark/>
                </w:tcPr>
                <w:p w14:paraId="5308092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DE9D9"/>
                  <w:noWrap/>
                  <w:vAlign w:val="center"/>
                  <w:hideMark/>
                </w:tcPr>
                <w:p w14:paraId="76547DB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-5.8 </w:t>
                  </w:r>
                </w:p>
              </w:tc>
              <w:tc>
                <w:tcPr>
                  <w:tcW w:w="1157" w:type="dxa"/>
                  <w:tcBorders>
                    <w:top w:val="nil"/>
                    <w:left w:val="nil"/>
                    <w:bottom w:val="single" w:sz="8" w:space="0" w:color="FFFFFF"/>
                    <w:right w:val="single" w:sz="8" w:space="0" w:color="FFFFFF"/>
                  </w:tcBorders>
                  <w:shd w:val="clear" w:color="000000" w:fill="FDE9D9"/>
                  <w:noWrap/>
                  <w:vAlign w:val="center"/>
                  <w:hideMark/>
                </w:tcPr>
                <w:p w14:paraId="226830DF"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1227AED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-8.1 </w:t>
                  </w:r>
                </w:p>
              </w:tc>
              <w:tc>
                <w:tcPr>
                  <w:tcW w:w="921" w:type="dxa"/>
                  <w:tcBorders>
                    <w:top w:val="nil"/>
                    <w:left w:val="nil"/>
                    <w:bottom w:val="single" w:sz="8" w:space="0" w:color="FFFFFF"/>
                    <w:right w:val="single" w:sz="8" w:space="0" w:color="FFFFFF"/>
                  </w:tcBorders>
                  <w:shd w:val="clear" w:color="000000" w:fill="FDE9D9"/>
                  <w:noWrap/>
                  <w:vAlign w:val="center"/>
                  <w:hideMark/>
                </w:tcPr>
                <w:p w14:paraId="176BEB3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-10.1 </w:t>
                  </w:r>
                </w:p>
              </w:tc>
              <w:tc>
                <w:tcPr>
                  <w:tcW w:w="921" w:type="dxa"/>
                  <w:tcBorders>
                    <w:top w:val="nil"/>
                    <w:left w:val="nil"/>
                    <w:bottom w:val="single" w:sz="8" w:space="0" w:color="FFFFFF"/>
                    <w:right w:val="single" w:sz="8" w:space="0" w:color="FFFFFF"/>
                  </w:tcBorders>
                  <w:shd w:val="clear" w:color="000000" w:fill="FDE9D9"/>
                  <w:noWrap/>
                  <w:vAlign w:val="center"/>
                  <w:hideMark/>
                </w:tcPr>
                <w:p w14:paraId="222B66C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DE9D9"/>
                  <w:noWrap/>
                  <w:vAlign w:val="center"/>
                  <w:hideMark/>
                </w:tcPr>
                <w:p w14:paraId="761303A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-7.1 </w:t>
                  </w:r>
                </w:p>
              </w:tc>
            </w:tr>
            <w:tr w:rsidR="001F098C" w:rsidRPr="001F098C" w14:paraId="2C53972B"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B259262"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B6DA50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-3.6 </w:t>
                  </w:r>
                </w:p>
              </w:tc>
              <w:tc>
                <w:tcPr>
                  <w:tcW w:w="921" w:type="dxa"/>
                  <w:tcBorders>
                    <w:top w:val="nil"/>
                    <w:left w:val="nil"/>
                    <w:bottom w:val="single" w:sz="8" w:space="0" w:color="FFFFFF"/>
                    <w:right w:val="single" w:sz="8" w:space="0" w:color="FFFFFF"/>
                  </w:tcBorders>
                  <w:shd w:val="clear" w:color="000000" w:fill="FCD5B4"/>
                  <w:noWrap/>
                  <w:vAlign w:val="center"/>
                  <w:hideMark/>
                </w:tcPr>
                <w:p w14:paraId="6861A97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-4.7 </w:t>
                  </w:r>
                </w:p>
              </w:tc>
              <w:tc>
                <w:tcPr>
                  <w:tcW w:w="921" w:type="dxa"/>
                  <w:tcBorders>
                    <w:top w:val="nil"/>
                    <w:left w:val="nil"/>
                    <w:bottom w:val="single" w:sz="8" w:space="0" w:color="FFFFFF"/>
                    <w:right w:val="single" w:sz="8" w:space="0" w:color="FFFFFF"/>
                  </w:tcBorders>
                  <w:shd w:val="clear" w:color="000000" w:fill="FCD5B4"/>
                  <w:noWrap/>
                  <w:vAlign w:val="center"/>
                  <w:hideMark/>
                </w:tcPr>
                <w:p w14:paraId="05AFB1B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-3.7 </w:t>
                  </w:r>
                </w:p>
              </w:tc>
              <w:tc>
                <w:tcPr>
                  <w:tcW w:w="921" w:type="dxa"/>
                  <w:tcBorders>
                    <w:top w:val="nil"/>
                    <w:left w:val="nil"/>
                    <w:bottom w:val="single" w:sz="8" w:space="0" w:color="FFFFFF"/>
                    <w:right w:val="single" w:sz="8" w:space="0" w:color="FFFFFF"/>
                  </w:tcBorders>
                  <w:shd w:val="clear" w:color="000000" w:fill="FCD5B4"/>
                  <w:noWrap/>
                  <w:vAlign w:val="center"/>
                  <w:hideMark/>
                </w:tcPr>
                <w:p w14:paraId="4041B81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-3.7 </w:t>
                  </w:r>
                </w:p>
              </w:tc>
              <w:tc>
                <w:tcPr>
                  <w:tcW w:w="1157" w:type="dxa"/>
                  <w:tcBorders>
                    <w:top w:val="nil"/>
                    <w:left w:val="nil"/>
                    <w:bottom w:val="single" w:sz="8" w:space="0" w:color="FFFFFF"/>
                    <w:right w:val="single" w:sz="8" w:space="0" w:color="FFFFFF"/>
                  </w:tcBorders>
                  <w:shd w:val="clear" w:color="000000" w:fill="FCD5B4"/>
                  <w:noWrap/>
                  <w:vAlign w:val="center"/>
                  <w:hideMark/>
                </w:tcPr>
                <w:p w14:paraId="3440E2F7"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84FDA9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-3.6 </w:t>
                  </w:r>
                </w:p>
              </w:tc>
              <w:tc>
                <w:tcPr>
                  <w:tcW w:w="921" w:type="dxa"/>
                  <w:tcBorders>
                    <w:top w:val="nil"/>
                    <w:left w:val="nil"/>
                    <w:bottom w:val="single" w:sz="8" w:space="0" w:color="FFFFFF"/>
                    <w:right w:val="single" w:sz="8" w:space="0" w:color="FFFFFF"/>
                  </w:tcBorders>
                  <w:shd w:val="clear" w:color="000000" w:fill="FCD5B4"/>
                  <w:noWrap/>
                  <w:vAlign w:val="center"/>
                  <w:hideMark/>
                </w:tcPr>
                <w:p w14:paraId="6A80FFC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-4.6 </w:t>
                  </w:r>
                </w:p>
              </w:tc>
              <w:tc>
                <w:tcPr>
                  <w:tcW w:w="921" w:type="dxa"/>
                  <w:tcBorders>
                    <w:top w:val="nil"/>
                    <w:left w:val="nil"/>
                    <w:bottom w:val="single" w:sz="8" w:space="0" w:color="FFFFFF"/>
                    <w:right w:val="single" w:sz="8" w:space="0" w:color="FFFFFF"/>
                  </w:tcBorders>
                  <w:shd w:val="clear" w:color="000000" w:fill="FCD5B4"/>
                  <w:noWrap/>
                  <w:vAlign w:val="center"/>
                  <w:hideMark/>
                </w:tcPr>
                <w:p w14:paraId="71E0A4D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-3.6 </w:t>
                  </w:r>
                </w:p>
              </w:tc>
              <w:tc>
                <w:tcPr>
                  <w:tcW w:w="921" w:type="dxa"/>
                  <w:tcBorders>
                    <w:top w:val="nil"/>
                    <w:left w:val="nil"/>
                    <w:bottom w:val="single" w:sz="8" w:space="0" w:color="FFFFFF"/>
                    <w:right w:val="single" w:sz="8" w:space="0" w:color="FFFFFF"/>
                  </w:tcBorders>
                  <w:shd w:val="clear" w:color="000000" w:fill="FCD5B4"/>
                  <w:noWrap/>
                  <w:vAlign w:val="center"/>
                  <w:hideMark/>
                </w:tcPr>
                <w:p w14:paraId="521FE2F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-3.6 </w:t>
                  </w:r>
                </w:p>
              </w:tc>
            </w:tr>
            <w:tr w:rsidR="001F098C" w:rsidRPr="001F098C" w14:paraId="7185C114"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DDB1A40"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98AC39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5B7F715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DE9D9"/>
                  <w:noWrap/>
                  <w:vAlign w:val="center"/>
                  <w:hideMark/>
                </w:tcPr>
                <w:p w14:paraId="432C1B0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-6.8 </w:t>
                  </w:r>
                </w:p>
              </w:tc>
              <w:tc>
                <w:tcPr>
                  <w:tcW w:w="921" w:type="dxa"/>
                  <w:tcBorders>
                    <w:top w:val="nil"/>
                    <w:left w:val="nil"/>
                    <w:bottom w:val="single" w:sz="8" w:space="0" w:color="FFFFFF"/>
                    <w:right w:val="single" w:sz="8" w:space="0" w:color="FFFFFF"/>
                  </w:tcBorders>
                  <w:shd w:val="clear" w:color="000000" w:fill="FDE9D9"/>
                  <w:noWrap/>
                  <w:vAlign w:val="center"/>
                  <w:hideMark/>
                </w:tcPr>
                <w:p w14:paraId="0E14CDA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-6.8 </w:t>
                  </w:r>
                </w:p>
              </w:tc>
              <w:tc>
                <w:tcPr>
                  <w:tcW w:w="1157" w:type="dxa"/>
                  <w:tcBorders>
                    <w:top w:val="nil"/>
                    <w:left w:val="nil"/>
                    <w:bottom w:val="single" w:sz="8" w:space="0" w:color="FFFFFF"/>
                    <w:right w:val="single" w:sz="8" w:space="0" w:color="FFFFFF"/>
                  </w:tcBorders>
                  <w:shd w:val="clear" w:color="000000" w:fill="FDE9D9"/>
                  <w:noWrap/>
                  <w:vAlign w:val="center"/>
                  <w:hideMark/>
                </w:tcPr>
                <w:p w14:paraId="4F217247"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129F0F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-6.1 </w:t>
                  </w:r>
                </w:p>
              </w:tc>
              <w:tc>
                <w:tcPr>
                  <w:tcW w:w="921" w:type="dxa"/>
                  <w:tcBorders>
                    <w:top w:val="nil"/>
                    <w:left w:val="nil"/>
                    <w:bottom w:val="single" w:sz="8" w:space="0" w:color="FFFFFF"/>
                    <w:right w:val="single" w:sz="8" w:space="0" w:color="FFFFFF"/>
                  </w:tcBorders>
                  <w:shd w:val="clear" w:color="000000" w:fill="FDE9D9"/>
                  <w:noWrap/>
                  <w:vAlign w:val="center"/>
                  <w:hideMark/>
                </w:tcPr>
                <w:p w14:paraId="510F535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DE9D9"/>
                  <w:noWrap/>
                  <w:vAlign w:val="center"/>
                  <w:hideMark/>
                </w:tcPr>
                <w:p w14:paraId="53FDB96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-8.1 </w:t>
                  </w:r>
                </w:p>
              </w:tc>
              <w:tc>
                <w:tcPr>
                  <w:tcW w:w="921" w:type="dxa"/>
                  <w:tcBorders>
                    <w:top w:val="nil"/>
                    <w:left w:val="nil"/>
                    <w:bottom w:val="single" w:sz="8" w:space="0" w:color="FFFFFF"/>
                    <w:right w:val="single" w:sz="8" w:space="0" w:color="FFFFFF"/>
                  </w:tcBorders>
                  <w:shd w:val="clear" w:color="000000" w:fill="FDE9D9"/>
                  <w:noWrap/>
                  <w:vAlign w:val="center"/>
                  <w:hideMark/>
                </w:tcPr>
                <w:p w14:paraId="47BE7B1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-8.1 </w:t>
                  </w:r>
                </w:p>
              </w:tc>
            </w:tr>
            <w:tr w:rsidR="001F098C" w:rsidRPr="001F098C" w14:paraId="31403C6C"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34D094A"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D6A1A7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CD5B4"/>
                  <w:noWrap/>
                  <w:vAlign w:val="center"/>
                  <w:hideMark/>
                </w:tcPr>
                <w:p w14:paraId="5A857AF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CD5B4"/>
                  <w:noWrap/>
                  <w:vAlign w:val="center"/>
                  <w:hideMark/>
                </w:tcPr>
                <w:p w14:paraId="4DCABFE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CD5B4"/>
                  <w:noWrap/>
                  <w:vAlign w:val="center"/>
                  <w:hideMark/>
                </w:tcPr>
                <w:p w14:paraId="7631C66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-0.8 </w:t>
                  </w:r>
                </w:p>
              </w:tc>
              <w:tc>
                <w:tcPr>
                  <w:tcW w:w="1157" w:type="dxa"/>
                  <w:tcBorders>
                    <w:top w:val="nil"/>
                    <w:left w:val="nil"/>
                    <w:bottom w:val="single" w:sz="8" w:space="0" w:color="FFFFFF"/>
                    <w:right w:val="single" w:sz="8" w:space="0" w:color="FFFFFF"/>
                  </w:tcBorders>
                  <w:shd w:val="clear" w:color="000000" w:fill="FCD5B4"/>
                  <w:noWrap/>
                  <w:vAlign w:val="center"/>
                  <w:hideMark/>
                </w:tcPr>
                <w:p w14:paraId="6E955F6B"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737A6B6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CD5B4"/>
                  <w:noWrap/>
                  <w:vAlign w:val="center"/>
                  <w:hideMark/>
                </w:tcPr>
                <w:p w14:paraId="3A773F0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CD5B4"/>
                  <w:noWrap/>
                  <w:vAlign w:val="center"/>
                  <w:hideMark/>
                </w:tcPr>
                <w:p w14:paraId="0BBA166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CD5B4"/>
                  <w:noWrap/>
                  <w:vAlign w:val="center"/>
                  <w:hideMark/>
                </w:tcPr>
                <w:p w14:paraId="7CFA815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-0.8 </w:t>
                  </w:r>
                </w:p>
              </w:tc>
            </w:tr>
            <w:tr w:rsidR="001F098C" w:rsidRPr="001F098C" w14:paraId="158D21CF"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85ACB09"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E2BDCE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1.1 </w:t>
                  </w:r>
                </w:p>
              </w:tc>
              <w:tc>
                <w:tcPr>
                  <w:tcW w:w="921" w:type="dxa"/>
                  <w:tcBorders>
                    <w:top w:val="nil"/>
                    <w:left w:val="nil"/>
                    <w:bottom w:val="single" w:sz="8" w:space="0" w:color="FFFFFF"/>
                    <w:right w:val="single" w:sz="8" w:space="0" w:color="FFFFFF"/>
                  </w:tcBorders>
                  <w:shd w:val="clear" w:color="000000" w:fill="FDE9D9"/>
                  <w:noWrap/>
                  <w:vAlign w:val="center"/>
                  <w:hideMark/>
                </w:tcPr>
                <w:p w14:paraId="13C6727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-0.9 </w:t>
                  </w:r>
                </w:p>
              </w:tc>
              <w:tc>
                <w:tcPr>
                  <w:tcW w:w="921" w:type="dxa"/>
                  <w:tcBorders>
                    <w:top w:val="nil"/>
                    <w:left w:val="nil"/>
                    <w:bottom w:val="single" w:sz="8" w:space="0" w:color="FFFFFF"/>
                    <w:right w:val="single" w:sz="8" w:space="0" w:color="FFFFFF"/>
                  </w:tcBorders>
                  <w:shd w:val="clear" w:color="000000" w:fill="FDE9D9"/>
                  <w:noWrap/>
                  <w:vAlign w:val="center"/>
                  <w:hideMark/>
                </w:tcPr>
                <w:p w14:paraId="3F2141C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1.1 </w:t>
                  </w:r>
                </w:p>
              </w:tc>
              <w:tc>
                <w:tcPr>
                  <w:tcW w:w="921" w:type="dxa"/>
                  <w:tcBorders>
                    <w:top w:val="nil"/>
                    <w:left w:val="nil"/>
                    <w:bottom w:val="single" w:sz="8" w:space="0" w:color="FFFFFF"/>
                    <w:right w:val="single" w:sz="8" w:space="0" w:color="FFFFFF"/>
                  </w:tcBorders>
                  <w:shd w:val="clear" w:color="000000" w:fill="FDE9D9"/>
                  <w:noWrap/>
                  <w:vAlign w:val="center"/>
                  <w:hideMark/>
                </w:tcPr>
                <w:p w14:paraId="79E62CC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1.1 </w:t>
                  </w:r>
                </w:p>
              </w:tc>
              <w:tc>
                <w:tcPr>
                  <w:tcW w:w="1157" w:type="dxa"/>
                  <w:tcBorders>
                    <w:top w:val="nil"/>
                    <w:left w:val="nil"/>
                    <w:bottom w:val="single" w:sz="8" w:space="0" w:color="FFFFFF"/>
                    <w:right w:val="single" w:sz="8" w:space="0" w:color="FFFFFF"/>
                  </w:tcBorders>
                  <w:shd w:val="clear" w:color="000000" w:fill="FDE9D9"/>
                  <w:noWrap/>
                  <w:vAlign w:val="center"/>
                  <w:hideMark/>
                </w:tcPr>
                <w:p w14:paraId="0E502623"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3D3B26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5.4 </w:t>
                  </w:r>
                </w:p>
              </w:tc>
              <w:tc>
                <w:tcPr>
                  <w:tcW w:w="921" w:type="dxa"/>
                  <w:tcBorders>
                    <w:top w:val="nil"/>
                    <w:left w:val="nil"/>
                    <w:bottom w:val="single" w:sz="8" w:space="0" w:color="FFFFFF"/>
                    <w:right w:val="single" w:sz="8" w:space="0" w:color="FFFFFF"/>
                  </w:tcBorders>
                  <w:shd w:val="clear" w:color="000000" w:fill="FDE9D9"/>
                  <w:noWrap/>
                  <w:vAlign w:val="center"/>
                  <w:hideMark/>
                </w:tcPr>
                <w:p w14:paraId="5B70014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3.4 </w:t>
                  </w:r>
                </w:p>
              </w:tc>
              <w:tc>
                <w:tcPr>
                  <w:tcW w:w="921" w:type="dxa"/>
                  <w:tcBorders>
                    <w:top w:val="nil"/>
                    <w:left w:val="nil"/>
                    <w:bottom w:val="single" w:sz="8" w:space="0" w:color="FFFFFF"/>
                    <w:right w:val="single" w:sz="8" w:space="0" w:color="FFFFFF"/>
                  </w:tcBorders>
                  <w:shd w:val="clear" w:color="000000" w:fill="FDE9D9"/>
                  <w:noWrap/>
                  <w:vAlign w:val="center"/>
                  <w:hideMark/>
                </w:tcPr>
                <w:p w14:paraId="72ED847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5.4 </w:t>
                  </w:r>
                </w:p>
              </w:tc>
              <w:tc>
                <w:tcPr>
                  <w:tcW w:w="921" w:type="dxa"/>
                  <w:tcBorders>
                    <w:top w:val="nil"/>
                    <w:left w:val="nil"/>
                    <w:bottom w:val="single" w:sz="8" w:space="0" w:color="FFFFFF"/>
                    <w:right w:val="single" w:sz="8" w:space="0" w:color="FFFFFF"/>
                  </w:tcBorders>
                  <w:shd w:val="clear" w:color="000000" w:fill="FDE9D9"/>
                  <w:noWrap/>
                  <w:vAlign w:val="center"/>
                  <w:hideMark/>
                </w:tcPr>
                <w:p w14:paraId="1CFF9F4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5.4 </w:t>
                  </w:r>
                </w:p>
              </w:tc>
            </w:tr>
            <w:tr w:rsidR="001F098C" w:rsidRPr="001F098C" w14:paraId="66CA2152"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256C795"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3633809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CD5B4"/>
                  <w:noWrap/>
                  <w:vAlign w:val="center"/>
                  <w:hideMark/>
                </w:tcPr>
                <w:p w14:paraId="70D9C69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CD5B4"/>
                  <w:noWrap/>
                  <w:vAlign w:val="center"/>
                  <w:hideMark/>
                </w:tcPr>
                <w:p w14:paraId="6DA3D07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40804D3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-6.0 </w:t>
                  </w:r>
                </w:p>
              </w:tc>
              <w:tc>
                <w:tcPr>
                  <w:tcW w:w="1157" w:type="dxa"/>
                  <w:tcBorders>
                    <w:top w:val="nil"/>
                    <w:left w:val="nil"/>
                    <w:bottom w:val="single" w:sz="8" w:space="0" w:color="FFFFFF"/>
                    <w:right w:val="single" w:sz="8" w:space="0" w:color="FFFFFF"/>
                  </w:tcBorders>
                  <w:shd w:val="clear" w:color="000000" w:fill="FCD5B4"/>
                  <w:noWrap/>
                  <w:vAlign w:val="center"/>
                  <w:hideMark/>
                </w:tcPr>
                <w:p w14:paraId="151E88C1"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F7104D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3DD2A25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54A9AF7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-7.3 </w:t>
                  </w:r>
                </w:p>
              </w:tc>
              <w:tc>
                <w:tcPr>
                  <w:tcW w:w="921" w:type="dxa"/>
                  <w:tcBorders>
                    <w:top w:val="nil"/>
                    <w:left w:val="nil"/>
                    <w:bottom w:val="single" w:sz="8" w:space="0" w:color="FFFFFF"/>
                    <w:right w:val="single" w:sz="8" w:space="0" w:color="FFFFFF"/>
                  </w:tcBorders>
                  <w:shd w:val="clear" w:color="000000" w:fill="FCD5B4"/>
                  <w:noWrap/>
                  <w:vAlign w:val="center"/>
                  <w:hideMark/>
                </w:tcPr>
                <w:p w14:paraId="0CBDC20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-7.3 </w:t>
                  </w:r>
                </w:p>
              </w:tc>
            </w:tr>
            <w:tr w:rsidR="001F098C" w:rsidRPr="001F098C" w14:paraId="5F83977B"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36D3442"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F7AB04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DE9D9"/>
                  <w:noWrap/>
                  <w:vAlign w:val="center"/>
                  <w:hideMark/>
                </w:tcPr>
                <w:p w14:paraId="60C967A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-3.9 </w:t>
                  </w:r>
                </w:p>
              </w:tc>
              <w:tc>
                <w:tcPr>
                  <w:tcW w:w="921" w:type="dxa"/>
                  <w:tcBorders>
                    <w:top w:val="nil"/>
                    <w:left w:val="nil"/>
                    <w:bottom w:val="single" w:sz="8" w:space="0" w:color="FFFFFF"/>
                    <w:right w:val="single" w:sz="8" w:space="0" w:color="FFFFFF"/>
                  </w:tcBorders>
                  <w:shd w:val="clear" w:color="000000" w:fill="FDE9D9"/>
                  <w:noWrap/>
                  <w:vAlign w:val="center"/>
                  <w:hideMark/>
                </w:tcPr>
                <w:p w14:paraId="2999BBD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DE9D9"/>
                  <w:noWrap/>
                  <w:vAlign w:val="center"/>
                  <w:hideMark/>
                </w:tcPr>
                <w:p w14:paraId="09C923D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2.1 </w:t>
                  </w:r>
                </w:p>
              </w:tc>
              <w:tc>
                <w:tcPr>
                  <w:tcW w:w="1157" w:type="dxa"/>
                  <w:tcBorders>
                    <w:top w:val="nil"/>
                    <w:left w:val="nil"/>
                    <w:bottom w:val="single" w:sz="8" w:space="0" w:color="FFFFFF"/>
                    <w:right w:val="single" w:sz="8" w:space="0" w:color="FFFFFF"/>
                  </w:tcBorders>
                  <w:shd w:val="clear" w:color="000000" w:fill="FDE9D9"/>
                  <w:noWrap/>
                  <w:vAlign w:val="center"/>
                  <w:hideMark/>
                </w:tcPr>
                <w:p w14:paraId="046FDF8C"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52DFB06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DE9D9"/>
                  <w:noWrap/>
                  <w:vAlign w:val="center"/>
                  <w:hideMark/>
                </w:tcPr>
                <w:p w14:paraId="6A80837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-3.9 </w:t>
                  </w:r>
                </w:p>
              </w:tc>
              <w:tc>
                <w:tcPr>
                  <w:tcW w:w="921" w:type="dxa"/>
                  <w:tcBorders>
                    <w:top w:val="nil"/>
                    <w:left w:val="nil"/>
                    <w:bottom w:val="single" w:sz="8" w:space="0" w:color="FFFFFF"/>
                    <w:right w:val="single" w:sz="8" w:space="0" w:color="FFFFFF"/>
                  </w:tcBorders>
                  <w:shd w:val="clear" w:color="000000" w:fill="FDE9D9"/>
                  <w:noWrap/>
                  <w:vAlign w:val="center"/>
                  <w:hideMark/>
                </w:tcPr>
                <w:p w14:paraId="5F4050B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DE9D9"/>
                  <w:noWrap/>
                  <w:vAlign w:val="center"/>
                  <w:hideMark/>
                </w:tcPr>
                <w:p w14:paraId="41651FD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2.1 </w:t>
                  </w:r>
                </w:p>
              </w:tc>
            </w:tr>
            <w:tr w:rsidR="001F098C" w:rsidRPr="001F098C" w14:paraId="74490222" w14:textId="77777777" w:rsidTr="001F098C">
              <w:trPr>
                <w:trHeight w:val="300"/>
              </w:trPr>
              <w:tc>
                <w:tcPr>
                  <w:tcW w:w="1350" w:type="dxa"/>
                  <w:tcBorders>
                    <w:top w:val="nil"/>
                    <w:left w:val="nil"/>
                    <w:bottom w:val="nil"/>
                    <w:right w:val="nil"/>
                  </w:tcBorders>
                  <w:shd w:val="clear" w:color="000000" w:fill="FCD5B4"/>
                  <w:noWrap/>
                  <w:vAlign w:val="center"/>
                  <w:hideMark/>
                </w:tcPr>
                <w:p w14:paraId="565726BE"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87637C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-2.8 </w:t>
                  </w:r>
                </w:p>
              </w:tc>
              <w:tc>
                <w:tcPr>
                  <w:tcW w:w="921" w:type="dxa"/>
                  <w:tcBorders>
                    <w:top w:val="nil"/>
                    <w:left w:val="nil"/>
                    <w:bottom w:val="single" w:sz="8" w:space="0" w:color="FFFFFF"/>
                    <w:right w:val="single" w:sz="8" w:space="0" w:color="FFFFFF"/>
                  </w:tcBorders>
                  <w:shd w:val="clear" w:color="000000" w:fill="FCD5B4"/>
                  <w:noWrap/>
                  <w:vAlign w:val="center"/>
                  <w:hideMark/>
                </w:tcPr>
                <w:p w14:paraId="1A47286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-3.9 </w:t>
                  </w:r>
                </w:p>
              </w:tc>
              <w:tc>
                <w:tcPr>
                  <w:tcW w:w="921" w:type="dxa"/>
                  <w:tcBorders>
                    <w:top w:val="nil"/>
                    <w:left w:val="nil"/>
                    <w:bottom w:val="single" w:sz="8" w:space="0" w:color="FFFFFF"/>
                    <w:right w:val="single" w:sz="8" w:space="0" w:color="FFFFFF"/>
                  </w:tcBorders>
                  <w:shd w:val="clear" w:color="000000" w:fill="FCD5B4"/>
                  <w:noWrap/>
                  <w:vAlign w:val="center"/>
                  <w:hideMark/>
                </w:tcPr>
                <w:p w14:paraId="36E515F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CD5B4"/>
                  <w:noWrap/>
                  <w:vAlign w:val="center"/>
                  <w:hideMark/>
                </w:tcPr>
                <w:p w14:paraId="0D8765F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2.2 </w:t>
                  </w:r>
                </w:p>
              </w:tc>
              <w:tc>
                <w:tcPr>
                  <w:tcW w:w="1157" w:type="dxa"/>
                  <w:tcBorders>
                    <w:top w:val="nil"/>
                    <w:left w:val="nil"/>
                    <w:bottom w:val="nil"/>
                    <w:right w:val="nil"/>
                  </w:tcBorders>
                  <w:shd w:val="clear" w:color="000000" w:fill="FCD5B4"/>
                  <w:noWrap/>
                  <w:vAlign w:val="center"/>
                  <w:hideMark/>
                </w:tcPr>
                <w:p w14:paraId="1E5F7D0A"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504CA6F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1.5 </w:t>
                  </w:r>
                </w:p>
              </w:tc>
              <w:tc>
                <w:tcPr>
                  <w:tcW w:w="921" w:type="dxa"/>
                  <w:tcBorders>
                    <w:top w:val="nil"/>
                    <w:left w:val="nil"/>
                    <w:bottom w:val="single" w:sz="8" w:space="0" w:color="FFFFFF"/>
                    <w:right w:val="single" w:sz="8" w:space="0" w:color="FFFFFF"/>
                  </w:tcBorders>
                  <w:shd w:val="clear" w:color="000000" w:fill="FCD5B4"/>
                  <w:noWrap/>
                  <w:vAlign w:val="center"/>
                  <w:hideMark/>
                </w:tcPr>
                <w:p w14:paraId="27AE7D1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0.5 </w:t>
                  </w:r>
                </w:p>
              </w:tc>
              <w:tc>
                <w:tcPr>
                  <w:tcW w:w="921" w:type="dxa"/>
                  <w:tcBorders>
                    <w:top w:val="nil"/>
                    <w:left w:val="nil"/>
                    <w:bottom w:val="single" w:sz="8" w:space="0" w:color="FFFFFF"/>
                    <w:right w:val="single" w:sz="8" w:space="0" w:color="FFFFFF"/>
                  </w:tcBorders>
                  <w:shd w:val="clear" w:color="000000" w:fill="FCD5B4"/>
                  <w:noWrap/>
                  <w:vAlign w:val="center"/>
                  <w:hideMark/>
                </w:tcPr>
                <w:p w14:paraId="6C01C50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2.5 </w:t>
                  </w:r>
                </w:p>
              </w:tc>
              <w:tc>
                <w:tcPr>
                  <w:tcW w:w="921" w:type="dxa"/>
                  <w:tcBorders>
                    <w:top w:val="nil"/>
                    <w:left w:val="nil"/>
                    <w:bottom w:val="single" w:sz="8" w:space="0" w:color="FFFFFF"/>
                    <w:right w:val="single" w:sz="8" w:space="0" w:color="FFFFFF"/>
                  </w:tcBorders>
                  <w:shd w:val="clear" w:color="000000" w:fill="FCD5B4"/>
                  <w:noWrap/>
                  <w:vAlign w:val="center"/>
                  <w:hideMark/>
                </w:tcPr>
                <w:p w14:paraId="1AEF958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 xml:space="preserve">6.5 </w:t>
                  </w:r>
                </w:p>
              </w:tc>
            </w:tr>
            <w:tr w:rsidR="001F098C" w:rsidRPr="001F098C" w14:paraId="0FAA8143" w14:textId="77777777" w:rsidTr="001F098C">
              <w:trPr>
                <w:trHeight w:val="150"/>
              </w:trPr>
              <w:tc>
                <w:tcPr>
                  <w:tcW w:w="1350" w:type="dxa"/>
                  <w:tcBorders>
                    <w:top w:val="nil"/>
                    <w:left w:val="nil"/>
                    <w:bottom w:val="nil"/>
                    <w:right w:val="nil"/>
                  </w:tcBorders>
                  <w:shd w:val="clear" w:color="auto" w:fill="auto"/>
                  <w:noWrap/>
                  <w:vAlign w:val="center"/>
                  <w:hideMark/>
                </w:tcPr>
                <w:p w14:paraId="2FE3D03B" w14:textId="77777777" w:rsidR="001F098C" w:rsidRPr="001F098C" w:rsidRDefault="001F098C" w:rsidP="001F098C">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51B84744"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592E1C2"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EEB9217"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E50422F" w14:textId="77777777" w:rsidR="001F098C" w:rsidRPr="001F098C" w:rsidRDefault="001F098C" w:rsidP="001F098C">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6808105D"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868B367"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3B73450"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65E95E4" w14:textId="77777777" w:rsidR="001F098C" w:rsidRPr="001F098C" w:rsidRDefault="001F098C" w:rsidP="001F098C">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5A9017B" w14:textId="77777777" w:rsidR="001F098C" w:rsidRPr="001F098C" w:rsidRDefault="001F098C" w:rsidP="001F098C">
                  <w:pPr>
                    <w:widowControl/>
                    <w:jc w:val="center"/>
                    <w:rPr>
                      <w:rFonts w:ascii="Times New Roman" w:eastAsia="Times New Roman" w:hAnsi="Times New Roman"/>
                      <w:kern w:val="0"/>
                      <w:sz w:val="20"/>
                      <w:szCs w:val="20"/>
                    </w:rPr>
                  </w:pPr>
                </w:p>
              </w:tc>
            </w:tr>
            <w:tr w:rsidR="001F098C" w:rsidRPr="001F098C" w14:paraId="29BBA498" w14:textId="77777777" w:rsidTr="001F098C">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1B2D95F3"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3EDE3E01"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EFD8513"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EE72C81"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5A31B6A"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6D5FA771"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09A79683"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D45C7D3"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90FD83E"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FE7C69F" w14:textId="77777777" w:rsidR="001F098C" w:rsidRPr="001F098C" w:rsidRDefault="001F098C" w:rsidP="001F098C">
                  <w:pPr>
                    <w:widowControl/>
                    <w:jc w:val="center"/>
                    <w:rPr>
                      <w:rFonts w:ascii="楷体" w:eastAsia="楷体" w:hAnsi="楷体" w:cs="宋体"/>
                      <w:b/>
                      <w:bCs/>
                      <w:color w:val="FFFFFF"/>
                      <w:kern w:val="0"/>
                      <w:sz w:val="20"/>
                      <w:szCs w:val="20"/>
                    </w:rPr>
                  </w:pPr>
                  <w:r w:rsidRPr="001F098C">
                    <w:rPr>
                      <w:rFonts w:ascii="楷体" w:eastAsia="楷体" w:hAnsi="楷体" w:cs="宋体" w:hint="eastAsia"/>
                      <w:b/>
                      <w:bCs/>
                      <w:color w:val="FFFFFF"/>
                      <w:kern w:val="0"/>
                      <w:sz w:val="20"/>
                      <w:szCs w:val="20"/>
                    </w:rPr>
                    <w:t>AA-</w:t>
                  </w:r>
                </w:p>
              </w:tc>
            </w:tr>
            <w:tr w:rsidR="001F098C" w:rsidRPr="001F098C" w14:paraId="3EF4D898" w14:textId="77777777" w:rsidTr="001F098C">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EA6252D"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66ECED8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2A6197D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7D0A91E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198C4EB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54%</w:t>
                  </w:r>
                </w:p>
              </w:tc>
              <w:tc>
                <w:tcPr>
                  <w:tcW w:w="1157" w:type="dxa"/>
                  <w:tcBorders>
                    <w:top w:val="nil"/>
                    <w:left w:val="nil"/>
                    <w:bottom w:val="single" w:sz="8" w:space="0" w:color="FFFFFF"/>
                    <w:right w:val="single" w:sz="8" w:space="0" w:color="FFFFFF"/>
                  </w:tcBorders>
                  <w:shd w:val="clear" w:color="000000" w:fill="FCD5B4"/>
                  <w:noWrap/>
                  <w:vAlign w:val="center"/>
                  <w:hideMark/>
                </w:tcPr>
                <w:p w14:paraId="36B4AFCD"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4CC925D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5BBD5ED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0AEBCDE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347A79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73%</w:t>
                  </w:r>
                </w:p>
              </w:tc>
            </w:tr>
            <w:tr w:rsidR="001F098C" w:rsidRPr="001F098C" w14:paraId="5385409B"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2261469"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9E9EE2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3E61A76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4361045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DE9D9"/>
                  <w:noWrap/>
                  <w:vAlign w:val="center"/>
                  <w:hideMark/>
                </w:tcPr>
                <w:p w14:paraId="7BEFA41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62%</w:t>
                  </w:r>
                </w:p>
              </w:tc>
              <w:tc>
                <w:tcPr>
                  <w:tcW w:w="1157" w:type="dxa"/>
                  <w:tcBorders>
                    <w:top w:val="nil"/>
                    <w:left w:val="nil"/>
                    <w:bottom w:val="single" w:sz="8" w:space="0" w:color="FFFFFF"/>
                    <w:right w:val="single" w:sz="8" w:space="0" w:color="FFFFFF"/>
                  </w:tcBorders>
                  <w:shd w:val="clear" w:color="000000" w:fill="FDE9D9"/>
                  <w:noWrap/>
                  <w:vAlign w:val="center"/>
                  <w:hideMark/>
                </w:tcPr>
                <w:p w14:paraId="3375F7B1"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FAC212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197FFB6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5DDC876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7042F38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78%</w:t>
                  </w:r>
                </w:p>
              </w:tc>
            </w:tr>
            <w:tr w:rsidR="001F098C" w:rsidRPr="001F098C" w14:paraId="2D245A7B"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A0C6DEC"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9E1DAF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389AF71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2C06561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0A21B2A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53%</w:t>
                  </w:r>
                </w:p>
              </w:tc>
              <w:tc>
                <w:tcPr>
                  <w:tcW w:w="1157" w:type="dxa"/>
                  <w:tcBorders>
                    <w:top w:val="nil"/>
                    <w:left w:val="nil"/>
                    <w:bottom w:val="single" w:sz="8" w:space="0" w:color="FFFFFF"/>
                    <w:right w:val="single" w:sz="8" w:space="0" w:color="FFFFFF"/>
                  </w:tcBorders>
                  <w:shd w:val="clear" w:color="000000" w:fill="FCD5B4"/>
                  <w:noWrap/>
                  <w:vAlign w:val="center"/>
                  <w:hideMark/>
                </w:tcPr>
                <w:p w14:paraId="49CFAC00"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F06551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70FB2C1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6ED68AC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3796BED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66%</w:t>
                  </w:r>
                </w:p>
              </w:tc>
            </w:tr>
            <w:tr w:rsidR="001F098C" w:rsidRPr="001F098C" w14:paraId="1FE5D12A"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6AFFDBE"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8A652C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6FC2F76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259948F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DE9D9"/>
                  <w:noWrap/>
                  <w:vAlign w:val="center"/>
                  <w:hideMark/>
                </w:tcPr>
                <w:p w14:paraId="048FED0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59%</w:t>
                  </w:r>
                </w:p>
              </w:tc>
              <w:tc>
                <w:tcPr>
                  <w:tcW w:w="1157" w:type="dxa"/>
                  <w:tcBorders>
                    <w:top w:val="nil"/>
                    <w:left w:val="nil"/>
                    <w:bottom w:val="single" w:sz="8" w:space="0" w:color="FFFFFF"/>
                    <w:right w:val="single" w:sz="8" w:space="0" w:color="FFFFFF"/>
                  </w:tcBorders>
                  <w:shd w:val="clear" w:color="000000" w:fill="FDE9D9"/>
                  <w:noWrap/>
                  <w:vAlign w:val="center"/>
                  <w:hideMark/>
                </w:tcPr>
                <w:p w14:paraId="208567E9"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38F00FD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6C9D704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6EE9D35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1B5ED38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73%</w:t>
                  </w:r>
                </w:p>
              </w:tc>
            </w:tr>
            <w:tr w:rsidR="001F098C" w:rsidRPr="001F098C" w14:paraId="7658055E"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4E95FA0B"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AA6644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C61709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11298D0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21316A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47%</w:t>
                  </w:r>
                </w:p>
              </w:tc>
              <w:tc>
                <w:tcPr>
                  <w:tcW w:w="1157" w:type="dxa"/>
                  <w:tcBorders>
                    <w:top w:val="nil"/>
                    <w:left w:val="nil"/>
                    <w:bottom w:val="single" w:sz="8" w:space="0" w:color="FFFFFF"/>
                    <w:right w:val="single" w:sz="8" w:space="0" w:color="FFFFFF"/>
                  </w:tcBorders>
                  <w:shd w:val="clear" w:color="000000" w:fill="FCD5B4"/>
                  <w:noWrap/>
                  <w:vAlign w:val="center"/>
                  <w:hideMark/>
                </w:tcPr>
                <w:p w14:paraId="31592D2F"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45272B1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0AADA326"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42589157"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5ACC9AB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59%</w:t>
                  </w:r>
                </w:p>
              </w:tc>
            </w:tr>
            <w:tr w:rsidR="001F098C" w:rsidRPr="001F098C" w14:paraId="1315866A"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9D2CB67"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6D209C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12CD1B1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6194088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071738F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45%</w:t>
                  </w:r>
                </w:p>
              </w:tc>
              <w:tc>
                <w:tcPr>
                  <w:tcW w:w="1157" w:type="dxa"/>
                  <w:tcBorders>
                    <w:top w:val="nil"/>
                    <w:left w:val="nil"/>
                    <w:bottom w:val="single" w:sz="8" w:space="0" w:color="FFFFFF"/>
                    <w:right w:val="single" w:sz="8" w:space="0" w:color="FFFFFF"/>
                  </w:tcBorders>
                  <w:shd w:val="clear" w:color="000000" w:fill="FDE9D9"/>
                  <w:noWrap/>
                  <w:vAlign w:val="center"/>
                  <w:hideMark/>
                </w:tcPr>
                <w:p w14:paraId="20F06DF6" w14:textId="77777777" w:rsidR="001F098C" w:rsidRPr="001F098C" w:rsidRDefault="001F098C" w:rsidP="001F098C">
                  <w:pPr>
                    <w:widowControl/>
                    <w:jc w:val="center"/>
                    <w:rPr>
                      <w:rFonts w:ascii="楷体" w:eastAsia="楷体" w:hAnsi="楷体" w:cs="宋体"/>
                      <w:color w:val="000000"/>
                      <w:kern w:val="0"/>
                      <w:sz w:val="20"/>
                      <w:szCs w:val="20"/>
                    </w:rPr>
                  </w:pPr>
                  <w:r w:rsidRPr="001F098C">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42B74C3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0CF479C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19F0BB4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434D99E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59%</w:t>
                  </w:r>
                </w:p>
              </w:tc>
            </w:tr>
            <w:tr w:rsidR="001F098C" w:rsidRPr="001F098C" w14:paraId="3907A7D6" w14:textId="77777777" w:rsidTr="001F098C">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BD24808"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D22253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71FB4FD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51325A7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3C5A18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71%</w:t>
                  </w:r>
                </w:p>
              </w:tc>
              <w:tc>
                <w:tcPr>
                  <w:tcW w:w="1157" w:type="dxa"/>
                  <w:tcBorders>
                    <w:top w:val="nil"/>
                    <w:left w:val="nil"/>
                    <w:bottom w:val="single" w:sz="8" w:space="0" w:color="FFFFFF"/>
                    <w:right w:val="single" w:sz="8" w:space="0" w:color="FFFFFF"/>
                  </w:tcBorders>
                  <w:shd w:val="clear" w:color="000000" w:fill="FCD5B4"/>
                  <w:noWrap/>
                  <w:vAlign w:val="center"/>
                  <w:hideMark/>
                </w:tcPr>
                <w:p w14:paraId="1FD1D1FE"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F71C7FA"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5B119F5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4E1A4DBB"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FC7CE"/>
                  <w:noWrap/>
                  <w:vAlign w:val="center"/>
                  <w:hideMark/>
                </w:tcPr>
                <w:p w14:paraId="6224CE35" w14:textId="77777777" w:rsidR="001F098C" w:rsidRPr="001F098C" w:rsidRDefault="001F098C" w:rsidP="001F098C">
                  <w:pPr>
                    <w:widowControl/>
                    <w:jc w:val="center"/>
                    <w:rPr>
                      <w:rFonts w:eastAsia="等线" w:cs="Calibri"/>
                      <w:color w:val="9C0006"/>
                      <w:kern w:val="0"/>
                      <w:szCs w:val="21"/>
                    </w:rPr>
                  </w:pPr>
                  <w:r w:rsidRPr="001F098C">
                    <w:rPr>
                      <w:rFonts w:eastAsia="等线" w:cs="Calibri"/>
                      <w:color w:val="9C0006"/>
                      <w:kern w:val="0"/>
                      <w:szCs w:val="21"/>
                    </w:rPr>
                    <w:t>85%</w:t>
                  </w:r>
                </w:p>
              </w:tc>
            </w:tr>
            <w:tr w:rsidR="001F098C" w:rsidRPr="001F098C" w14:paraId="1B93E07C" w14:textId="77777777" w:rsidTr="001F098C">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5BE9BC0"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2C69FAE1"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78CA5364"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04EE1260"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DE9D9"/>
                  <w:noWrap/>
                  <w:vAlign w:val="center"/>
                  <w:hideMark/>
                </w:tcPr>
                <w:p w14:paraId="3C43A7D8"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82%</w:t>
                  </w:r>
                </w:p>
              </w:tc>
              <w:tc>
                <w:tcPr>
                  <w:tcW w:w="1157" w:type="dxa"/>
                  <w:tcBorders>
                    <w:top w:val="nil"/>
                    <w:left w:val="nil"/>
                    <w:bottom w:val="single" w:sz="8" w:space="0" w:color="FFFFFF"/>
                    <w:right w:val="single" w:sz="8" w:space="0" w:color="FFFFFF"/>
                  </w:tcBorders>
                  <w:shd w:val="clear" w:color="000000" w:fill="FDE9D9"/>
                  <w:noWrap/>
                  <w:vAlign w:val="center"/>
                  <w:hideMark/>
                </w:tcPr>
                <w:p w14:paraId="0A8AE170"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CF7429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04C301A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48228F13"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FC7CE"/>
                  <w:noWrap/>
                  <w:vAlign w:val="center"/>
                  <w:hideMark/>
                </w:tcPr>
                <w:p w14:paraId="70D7A2F7" w14:textId="77777777" w:rsidR="001F098C" w:rsidRPr="001F098C" w:rsidRDefault="001F098C" w:rsidP="001F098C">
                  <w:pPr>
                    <w:widowControl/>
                    <w:jc w:val="center"/>
                    <w:rPr>
                      <w:rFonts w:eastAsia="等线" w:cs="Calibri"/>
                      <w:color w:val="9C0006"/>
                      <w:kern w:val="0"/>
                      <w:szCs w:val="21"/>
                    </w:rPr>
                  </w:pPr>
                  <w:r w:rsidRPr="001F098C">
                    <w:rPr>
                      <w:rFonts w:eastAsia="等线" w:cs="Calibri"/>
                      <w:color w:val="9C0006"/>
                      <w:kern w:val="0"/>
                      <w:szCs w:val="21"/>
                    </w:rPr>
                    <w:t>93%</w:t>
                  </w:r>
                </w:p>
              </w:tc>
            </w:tr>
            <w:tr w:rsidR="001F098C" w:rsidRPr="001F098C" w14:paraId="1ACF2D79" w14:textId="77777777" w:rsidTr="001F098C">
              <w:trPr>
                <w:trHeight w:val="300"/>
              </w:trPr>
              <w:tc>
                <w:tcPr>
                  <w:tcW w:w="1350" w:type="dxa"/>
                  <w:tcBorders>
                    <w:top w:val="nil"/>
                    <w:left w:val="nil"/>
                    <w:bottom w:val="nil"/>
                    <w:right w:val="nil"/>
                  </w:tcBorders>
                  <w:shd w:val="clear" w:color="000000" w:fill="FCD5B4"/>
                  <w:noWrap/>
                  <w:vAlign w:val="center"/>
                  <w:hideMark/>
                </w:tcPr>
                <w:p w14:paraId="1317A72D"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0D7530AF"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63D95A0D"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24609292"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27E3A975"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78%</w:t>
                  </w:r>
                </w:p>
              </w:tc>
              <w:tc>
                <w:tcPr>
                  <w:tcW w:w="1157" w:type="dxa"/>
                  <w:tcBorders>
                    <w:top w:val="nil"/>
                    <w:left w:val="nil"/>
                    <w:bottom w:val="nil"/>
                    <w:right w:val="nil"/>
                  </w:tcBorders>
                  <w:shd w:val="clear" w:color="000000" w:fill="FCD5B4"/>
                  <w:noWrap/>
                  <w:vAlign w:val="center"/>
                  <w:hideMark/>
                </w:tcPr>
                <w:p w14:paraId="63E8ACBE" w14:textId="77777777" w:rsidR="001F098C" w:rsidRPr="001F098C" w:rsidRDefault="001F098C" w:rsidP="001F098C">
                  <w:pPr>
                    <w:widowControl/>
                    <w:jc w:val="center"/>
                    <w:rPr>
                      <w:rFonts w:ascii="楷体" w:eastAsia="楷体" w:hAnsi="楷体" w:cs="宋体"/>
                      <w:color w:val="000000"/>
                      <w:kern w:val="0"/>
                      <w:sz w:val="20"/>
                      <w:szCs w:val="20"/>
                    </w:rPr>
                  </w:pPr>
                  <w:proofErr w:type="gramStart"/>
                  <w:r w:rsidRPr="001F098C">
                    <w:rPr>
                      <w:rFonts w:ascii="楷体" w:eastAsia="楷体" w:hAnsi="楷体" w:cs="宋体" w:hint="eastAsia"/>
                      <w:color w:val="000000"/>
                      <w:kern w:val="0"/>
                      <w:sz w:val="20"/>
                      <w:szCs w:val="20"/>
                    </w:rPr>
                    <w:t>城投债</w:t>
                  </w:r>
                  <w:proofErr w:type="gramEnd"/>
                  <w:r w:rsidRPr="001F098C">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7037DA8C"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29C831C9"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02AA87E" w14:textId="77777777" w:rsidR="001F098C" w:rsidRPr="001F098C" w:rsidRDefault="001F098C" w:rsidP="001F098C">
                  <w:pPr>
                    <w:widowControl/>
                    <w:jc w:val="center"/>
                    <w:rPr>
                      <w:rFonts w:eastAsia="等线" w:cs="Calibri"/>
                      <w:color w:val="000000"/>
                      <w:kern w:val="0"/>
                      <w:szCs w:val="21"/>
                    </w:rPr>
                  </w:pPr>
                  <w:r w:rsidRPr="001F098C">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FC7CE"/>
                  <w:noWrap/>
                  <w:vAlign w:val="center"/>
                  <w:hideMark/>
                </w:tcPr>
                <w:p w14:paraId="7F8E8D49" w14:textId="77777777" w:rsidR="001F098C" w:rsidRPr="001F098C" w:rsidRDefault="001F098C" w:rsidP="001F098C">
                  <w:pPr>
                    <w:widowControl/>
                    <w:jc w:val="center"/>
                    <w:rPr>
                      <w:rFonts w:eastAsia="等线" w:cs="Calibri"/>
                      <w:color w:val="9C0006"/>
                      <w:kern w:val="0"/>
                      <w:szCs w:val="21"/>
                    </w:rPr>
                  </w:pPr>
                  <w:r w:rsidRPr="001F098C">
                    <w:rPr>
                      <w:rFonts w:eastAsia="等线" w:cs="Calibri"/>
                      <w:color w:val="9C0006"/>
                      <w:kern w:val="0"/>
                      <w:szCs w:val="21"/>
                    </w:rPr>
                    <w:t>90%</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2342A2A"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1F098C" w:rsidRPr="001F098C">
        <w:rPr>
          <w:rFonts w:ascii="华文楷体" w:hAnsi="华文楷体" w:hint="eastAsia"/>
          <w:sz w:val="24"/>
          <w:szCs w:val="24"/>
          <w:lang w:eastAsia="zh-CN"/>
        </w:rPr>
        <w:t>各主要板块指数明显上行，多数板块成交量萎缩。</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1F098C">
        <w:rPr>
          <w:rFonts w:ascii="华文楷体" w:hAnsi="华文楷体" w:hint="eastAsia"/>
          <w:sz w:val="24"/>
          <w:szCs w:val="24"/>
          <w:lang w:eastAsia="zh-CN"/>
        </w:rPr>
        <w:t>+2.1</w:t>
      </w:r>
      <w:r w:rsidR="00AC28BB">
        <w:rPr>
          <w:rFonts w:ascii="华文楷体" w:hAnsi="华文楷体"/>
          <w:sz w:val="24"/>
          <w:szCs w:val="24"/>
          <w:lang w:eastAsia="zh-CN"/>
        </w:rPr>
        <w:t>%、</w:t>
      </w:r>
      <w:r w:rsidR="001F098C">
        <w:rPr>
          <w:rFonts w:ascii="华文楷体" w:hAnsi="华文楷体" w:hint="eastAsia"/>
          <w:sz w:val="24"/>
          <w:szCs w:val="24"/>
          <w:lang w:eastAsia="zh-CN"/>
        </w:rPr>
        <w:t>+4.2</w:t>
      </w:r>
      <w:r w:rsidR="00AC28BB">
        <w:rPr>
          <w:rFonts w:ascii="华文楷体" w:hAnsi="华文楷体"/>
          <w:sz w:val="24"/>
          <w:szCs w:val="24"/>
          <w:lang w:eastAsia="zh-CN"/>
        </w:rPr>
        <w:t>%、</w:t>
      </w:r>
      <w:r w:rsidR="001F098C">
        <w:rPr>
          <w:rFonts w:ascii="华文楷体" w:hAnsi="华文楷体" w:hint="eastAsia"/>
          <w:sz w:val="24"/>
          <w:szCs w:val="24"/>
          <w:lang w:eastAsia="zh-CN"/>
        </w:rPr>
        <w:t>+2.8</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1F098C">
        <w:rPr>
          <w:rFonts w:ascii="华文楷体" w:hAnsi="华文楷体" w:hint="eastAsia"/>
          <w:sz w:val="24"/>
          <w:szCs w:val="24"/>
          <w:lang w:eastAsia="zh-CN"/>
        </w:rPr>
        <w:t>+2.3</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w:t>
      </w:r>
      <w:r w:rsidR="001F098C">
        <w:rPr>
          <w:rFonts w:ascii="华文楷体" w:hAnsi="华文楷体" w:hint="eastAsia"/>
          <w:sz w:val="24"/>
          <w:szCs w:val="24"/>
          <w:lang w:eastAsia="zh-CN"/>
        </w:rPr>
        <w:t>伴随权益市场适度上涨</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976757">
        <w:rPr>
          <w:rFonts w:ascii="华文楷体" w:hAnsi="华文楷体" w:hint="eastAsia"/>
          <w:sz w:val="24"/>
          <w:szCs w:val="24"/>
          <w:lang w:eastAsia="zh-CN"/>
        </w:rPr>
        <w:t>微</w:t>
      </w:r>
      <w:proofErr w:type="gramEnd"/>
      <w:r w:rsidR="00976757">
        <w:rPr>
          <w:rFonts w:ascii="华文楷体" w:hAnsi="华文楷体" w:hint="eastAsia"/>
          <w:sz w:val="24"/>
          <w:szCs w:val="24"/>
          <w:lang w:eastAsia="zh-CN"/>
        </w:rPr>
        <w:t>涨0</w:t>
      </w:r>
      <w:r w:rsidR="00976757">
        <w:rPr>
          <w:rFonts w:ascii="华文楷体" w:hAnsi="华文楷体"/>
          <w:sz w:val="24"/>
          <w:szCs w:val="24"/>
          <w:lang w:eastAsia="zh-CN"/>
        </w:rPr>
        <w:t>.</w:t>
      </w:r>
      <w:r w:rsidR="001F098C">
        <w:rPr>
          <w:rFonts w:ascii="华文楷体" w:hAnsi="华文楷体" w:hint="eastAsia"/>
          <w:sz w:val="24"/>
          <w:szCs w:val="24"/>
          <w:lang w:eastAsia="zh-CN"/>
        </w:rPr>
        <w:t>9</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1F098C">
        <w:tblPrEx>
          <w:tblCellMar>
            <w:left w:w="108" w:type="dxa"/>
            <w:right w:w="108" w:type="dxa"/>
          </w:tblCellMar>
        </w:tblPrEx>
        <w:trPr>
          <w:trHeight w:val="2921"/>
          <w:jc w:val="center"/>
        </w:trPr>
        <w:tc>
          <w:tcPr>
            <w:tcW w:w="4939" w:type="dxa"/>
            <w:vAlign w:val="center"/>
          </w:tcPr>
          <w:p w14:paraId="5C83721A" w14:textId="297FB32E" w:rsidR="00E0626C" w:rsidRPr="00345C30" w:rsidRDefault="001F098C" w:rsidP="00345C30">
            <w:pPr>
              <w:widowControl/>
              <w:jc w:val="left"/>
              <w:rPr>
                <w:rFonts w:ascii="宋体" w:hAnsi="宋体" w:cs="宋体"/>
                <w:kern w:val="0"/>
                <w:sz w:val="24"/>
                <w:szCs w:val="24"/>
              </w:rPr>
            </w:pPr>
            <w:r w:rsidRPr="001F098C">
              <w:rPr>
                <w:rFonts w:ascii="宋体" w:hAnsi="宋体" w:cs="宋体"/>
                <w:noProof/>
                <w:kern w:val="0"/>
                <w:sz w:val="24"/>
                <w:szCs w:val="24"/>
              </w:rPr>
              <w:drawing>
                <wp:inline distT="0" distB="0" distL="0" distR="0" wp14:anchorId="4261DBC6" wp14:editId="4E53BA2A">
                  <wp:extent cx="3111500" cy="1937413"/>
                  <wp:effectExtent l="0" t="0" r="0" b="5715"/>
                  <wp:docPr id="8" name="图片 8" descr="C:\Users\Tang\AppData\Local\Temp\16212281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21228103(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4566" cy="1995362"/>
                          </a:xfrm>
                          <a:prstGeom prst="rect">
                            <a:avLst/>
                          </a:prstGeom>
                          <a:noFill/>
                          <a:ln>
                            <a:noFill/>
                          </a:ln>
                        </pic:spPr>
                      </pic:pic>
                    </a:graphicData>
                  </a:graphic>
                </wp:inline>
              </w:drawing>
            </w:r>
          </w:p>
        </w:tc>
        <w:tc>
          <w:tcPr>
            <w:tcW w:w="4938" w:type="dxa"/>
            <w:vAlign w:val="center"/>
          </w:tcPr>
          <w:p w14:paraId="39BD4383" w14:textId="0D13368D" w:rsidR="00E0626C" w:rsidRPr="007E0340" w:rsidRDefault="001F098C" w:rsidP="009A2BA0">
            <w:pPr>
              <w:jc w:val="center"/>
              <w:rPr>
                <w:noProof/>
                <w:szCs w:val="18"/>
              </w:rPr>
            </w:pPr>
            <w:r>
              <w:rPr>
                <w:noProof/>
              </w:rPr>
              <w:drawing>
                <wp:inline distT="0" distB="0" distL="0" distR="0" wp14:anchorId="35206FED" wp14:editId="7683DA0F">
                  <wp:extent cx="2998470" cy="1922506"/>
                  <wp:effectExtent l="0" t="0" r="0" b="1905"/>
                  <wp:docPr id="11" name="图表 1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8D9F785"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CC012E">
        <w:rPr>
          <w:rFonts w:ascii="华文楷体" w:hAnsi="华文楷体" w:hint="eastAsia"/>
          <w:sz w:val="24"/>
          <w:szCs w:val="24"/>
          <w:lang w:eastAsia="zh-CN"/>
        </w:rPr>
        <w:t>上</w:t>
      </w:r>
      <w:r w:rsidR="001F098C" w:rsidRPr="001F098C">
        <w:rPr>
          <w:rFonts w:ascii="华文楷体" w:hAnsi="华文楷体" w:hint="eastAsia"/>
          <w:sz w:val="24"/>
          <w:szCs w:val="24"/>
          <w:lang w:eastAsia="zh-CN"/>
        </w:rPr>
        <w:t>周主要港口动力煤平均价环比上涨12.32%，PTA产业链负荷率下降1.64%。中国玻璃综合指数上行2.5%，录得春节之后单周最高涨幅。</w:t>
      </w:r>
      <w:proofErr w:type="spellStart"/>
      <w:r w:rsidR="001F098C" w:rsidRPr="001F098C">
        <w:rPr>
          <w:rFonts w:ascii="华文楷体" w:hAnsi="华文楷体" w:hint="eastAsia"/>
          <w:sz w:val="24"/>
          <w:szCs w:val="24"/>
          <w:lang w:eastAsia="zh-CN"/>
        </w:rPr>
        <w:t>Myspic</w:t>
      </w:r>
      <w:proofErr w:type="spellEnd"/>
      <w:r w:rsidR="001F098C" w:rsidRPr="001F098C">
        <w:rPr>
          <w:rFonts w:ascii="华文楷体" w:hAnsi="华文楷体" w:hint="eastAsia"/>
          <w:sz w:val="24"/>
          <w:szCs w:val="24"/>
          <w:lang w:eastAsia="zh-CN"/>
        </w:rPr>
        <w:t>综合全国钢铁价格指数上行11.24%当周涨幅系2017年以来新高。按品种看，螺纹钢、热卷、高线价格</w:t>
      </w:r>
      <w:r w:rsidR="00CC012E">
        <w:rPr>
          <w:rFonts w:ascii="华文楷体" w:hAnsi="华文楷体" w:hint="eastAsia"/>
          <w:sz w:val="24"/>
          <w:szCs w:val="24"/>
          <w:lang w:eastAsia="zh-CN"/>
        </w:rPr>
        <w:t>上</w:t>
      </w:r>
      <w:r w:rsidR="001F098C" w:rsidRPr="001F098C">
        <w:rPr>
          <w:rFonts w:ascii="华文楷体" w:hAnsi="华文楷体" w:hint="eastAsia"/>
          <w:sz w:val="24"/>
          <w:szCs w:val="24"/>
          <w:lang w:eastAsia="zh-CN"/>
        </w:rPr>
        <w:t>周分别上涨11.82%、9.54%、11.49%，涨幅进一步走扩。库存方面，各</w:t>
      </w:r>
      <w:proofErr w:type="gramStart"/>
      <w:r w:rsidR="001F098C" w:rsidRPr="001F098C">
        <w:rPr>
          <w:rFonts w:ascii="华文楷体" w:hAnsi="华文楷体" w:hint="eastAsia"/>
          <w:sz w:val="24"/>
          <w:szCs w:val="24"/>
          <w:lang w:eastAsia="zh-CN"/>
        </w:rPr>
        <w:t>品种环</w:t>
      </w:r>
      <w:proofErr w:type="gramEnd"/>
      <w:r w:rsidR="001F098C" w:rsidRPr="001F098C">
        <w:rPr>
          <w:rFonts w:ascii="华文楷体" w:hAnsi="华文楷体" w:hint="eastAsia"/>
          <w:sz w:val="24"/>
          <w:szCs w:val="24"/>
          <w:lang w:eastAsia="zh-CN"/>
        </w:rPr>
        <w:t>比降幅均较大：螺纹钢、热卷、线材库存分别减少5.59%、2.23%、9.25%。</w:t>
      </w:r>
    </w:p>
    <w:p w14:paraId="21425444" w14:textId="31513089"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30大中城市商品房平均成交</w:t>
      </w:r>
      <w:proofErr w:type="gramStart"/>
      <w:r w:rsidR="001F098C" w:rsidRPr="001F098C">
        <w:rPr>
          <w:rFonts w:ascii="华文楷体" w:hAnsi="华文楷体" w:hint="eastAsia"/>
          <w:sz w:val="24"/>
          <w:szCs w:val="24"/>
          <w:lang w:eastAsia="zh-CN"/>
        </w:rPr>
        <w:t>面积环</w:t>
      </w:r>
      <w:proofErr w:type="gramEnd"/>
      <w:r w:rsidR="001F098C" w:rsidRPr="001F098C">
        <w:rPr>
          <w:rFonts w:ascii="华文楷体" w:hAnsi="华文楷体" w:hint="eastAsia"/>
          <w:sz w:val="24"/>
          <w:szCs w:val="24"/>
          <w:lang w:eastAsia="zh-CN"/>
        </w:rPr>
        <w:t>比回落22.06%，其中，一、二、三线城市分别下降41.16%、16.41%、15.69%，销售表现明显转弱；拿地方面，假期因素扰动之下，当</w:t>
      </w:r>
      <w:proofErr w:type="gramStart"/>
      <w:r w:rsidR="001F098C" w:rsidRPr="001F098C">
        <w:rPr>
          <w:rFonts w:ascii="华文楷体" w:hAnsi="华文楷体" w:hint="eastAsia"/>
          <w:sz w:val="24"/>
          <w:szCs w:val="24"/>
          <w:lang w:eastAsia="zh-CN"/>
        </w:rPr>
        <w:t>周土地挂牌量环</w:t>
      </w:r>
      <w:proofErr w:type="gramEnd"/>
      <w:r w:rsidR="001F098C" w:rsidRPr="001F098C">
        <w:rPr>
          <w:rFonts w:ascii="华文楷体" w:hAnsi="华文楷体" w:hint="eastAsia"/>
          <w:sz w:val="24"/>
          <w:szCs w:val="24"/>
          <w:lang w:eastAsia="zh-CN"/>
        </w:rPr>
        <w:t>比明显回落，100大中城市土地成交</w:t>
      </w:r>
      <w:proofErr w:type="gramStart"/>
      <w:r w:rsidR="001F098C" w:rsidRPr="001F098C">
        <w:rPr>
          <w:rFonts w:ascii="华文楷体" w:hAnsi="华文楷体" w:hint="eastAsia"/>
          <w:sz w:val="24"/>
          <w:szCs w:val="24"/>
          <w:lang w:eastAsia="zh-CN"/>
        </w:rPr>
        <w:t>面积环</w:t>
      </w:r>
      <w:proofErr w:type="gramEnd"/>
      <w:r w:rsidR="001F098C" w:rsidRPr="001F098C">
        <w:rPr>
          <w:rFonts w:ascii="华文楷体" w:hAnsi="华文楷体" w:hint="eastAsia"/>
          <w:sz w:val="24"/>
          <w:szCs w:val="24"/>
          <w:lang w:eastAsia="zh-CN"/>
        </w:rPr>
        <w:t>比下降76.37%，各线城市均大幅回落</w:t>
      </w:r>
      <w:r w:rsidR="003B19EF">
        <w:rPr>
          <w:rFonts w:ascii="华文楷体" w:hAnsi="华文楷体" w:hint="eastAsia"/>
          <w:sz w:val="24"/>
          <w:szCs w:val="24"/>
          <w:lang w:eastAsia="zh-CN"/>
        </w:rPr>
        <w:t>。</w:t>
      </w:r>
    </w:p>
    <w:p w14:paraId="77CCCEDF" w14:textId="31C94252"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1F098C" w:rsidRPr="001F098C">
        <w:rPr>
          <w:rFonts w:ascii="华文楷体" w:hAnsi="华文楷体" w:hint="eastAsia"/>
          <w:bCs/>
          <w:sz w:val="24"/>
          <w:szCs w:val="24"/>
          <w:lang w:eastAsia="zh-CN"/>
        </w:rPr>
        <w:t>上海出口集装箱指数（SCFI）</w:t>
      </w:r>
      <w:r w:rsidR="00CC012E">
        <w:rPr>
          <w:rFonts w:ascii="华文楷体" w:hAnsi="华文楷体" w:hint="eastAsia"/>
          <w:bCs/>
          <w:sz w:val="24"/>
          <w:szCs w:val="24"/>
          <w:lang w:eastAsia="zh-CN"/>
        </w:rPr>
        <w:t>上</w:t>
      </w:r>
      <w:r w:rsidR="001F098C" w:rsidRPr="001F098C">
        <w:rPr>
          <w:rFonts w:ascii="华文楷体" w:hAnsi="华文楷体" w:hint="eastAsia"/>
          <w:bCs/>
          <w:sz w:val="24"/>
          <w:szCs w:val="24"/>
          <w:lang w:eastAsia="zh-CN"/>
        </w:rPr>
        <w:t>周环比回升8.02%，中国出口集装箱运价指数（CCFI）上行2.89%，出口运价</w:t>
      </w:r>
      <w:proofErr w:type="gramStart"/>
      <w:r w:rsidR="001F098C" w:rsidRPr="001F098C">
        <w:rPr>
          <w:rFonts w:ascii="华文楷体" w:hAnsi="华文楷体" w:hint="eastAsia"/>
          <w:bCs/>
          <w:sz w:val="24"/>
          <w:szCs w:val="24"/>
          <w:lang w:eastAsia="zh-CN"/>
        </w:rPr>
        <w:t>指数环</w:t>
      </w:r>
      <w:proofErr w:type="gramEnd"/>
      <w:r w:rsidR="001F098C" w:rsidRPr="001F098C">
        <w:rPr>
          <w:rFonts w:ascii="华文楷体" w:hAnsi="华文楷体" w:hint="eastAsia"/>
          <w:bCs/>
          <w:sz w:val="24"/>
          <w:szCs w:val="24"/>
          <w:lang w:eastAsia="zh-CN"/>
        </w:rPr>
        <w:t>比齐涨</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1F098C" w:rsidRPr="001F098C">
        <w:rPr>
          <w:rFonts w:ascii="华文楷体" w:hAnsi="华文楷体" w:hint="eastAsia"/>
          <w:bCs/>
          <w:sz w:val="24"/>
          <w:szCs w:val="24"/>
          <w:lang w:eastAsia="zh-CN"/>
        </w:rPr>
        <w:t>波罗的海干散货指数较上</w:t>
      </w:r>
      <w:r w:rsidR="00275FB0">
        <w:rPr>
          <w:rFonts w:ascii="华文楷体" w:hAnsi="华文楷体" w:hint="eastAsia"/>
          <w:bCs/>
          <w:sz w:val="24"/>
          <w:szCs w:val="24"/>
          <w:lang w:eastAsia="zh-CN"/>
        </w:rPr>
        <w:t>一</w:t>
      </w:r>
      <w:r w:rsidR="001F098C" w:rsidRPr="001F098C">
        <w:rPr>
          <w:rFonts w:ascii="华文楷体" w:hAnsi="华文楷体" w:hint="eastAsia"/>
          <w:bCs/>
          <w:sz w:val="24"/>
          <w:szCs w:val="24"/>
          <w:lang w:eastAsia="zh-CN"/>
        </w:rPr>
        <w:t>周下行2.33%，中国进口干散货运价</w:t>
      </w:r>
      <w:proofErr w:type="gramStart"/>
      <w:r w:rsidR="001F098C" w:rsidRPr="001F098C">
        <w:rPr>
          <w:rFonts w:ascii="华文楷体" w:hAnsi="华文楷体" w:hint="eastAsia"/>
          <w:bCs/>
          <w:sz w:val="24"/>
          <w:szCs w:val="24"/>
          <w:lang w:eastAsia="zh-CN"/>
        </w:rPr>
        <w:t>指数环</w:t>
      </w:r>
      <w:proofErr w:type="gramEnd"/>
      <w:r w:rsidR="001F098C" w:rsidRPr="001F098C">
        <w:rPr>
          <w:rFonts w:ascii="华文楷体" w:hAnsi="华文楷体" w:hint="eastAsia"/>
          <w:bCs/>
          <w:sz w:val="24"/>
          <w:szCs w:val="24"/>
          <w:lang w:eastAsia="zh-CN"/>
        </w:rPr>
        <w:t>比下行0.7%。</w:t>
      </w:r>
    </w:p>
    <w:p w14:paraId="0542DAC4" w14:textId="59DA5866"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1F098C" w:rsidRPr="001F098C">
        <w:rPr>
          <w:rFonts w:ascii="华文楷体" w:hAnsi="华文楷体" w:hint="eastAsia"/>
          <w:bCs/>
          <w:sz w:val="24"/>
          <w:szCs w:val="24"/>
          <w:lang w:eastAsia="zh-CN"/>
        </w:rPr>
        <w:t>猪价方面，</w:t>
      </w:r>
      <w:r w:rsidR="00275FB0">
        <w:rPr>
          <w:rFonts w:ascii="华文楷体" w:hAnsi="华文楷体" w:hint="eastAsia"/>
          <w:bCs/>
          <w:sz w:val="24"/>
          <w:szCs w:val="24"/>
          <w:lang w:eastAsia="zh-CN"/>
        </w:rPr>
        <w:t>上</w:t>
      </w:r>
      <w:r w:rsidR="001F098C" w:rsidRPr="001F098C">
        <w:rPr>
          <w:rFonts w:ascii="华文楷体" w:hAnsi="华文楷体" w:hint="eastAsia"/>
          <w:bCs/>
          <w:sz w:val="24"/>
          <w:szCs w:val="24"/>
          <w:lang w:eastAsia="zh-CN"/>
        </w:rPr>
        <w:t>周农业部公布的全国平均批发价下降至28.54元/公斤，环比跌幅扩大至5.41%</w:t>
      </w:r>
      <w:bookmarkStart w:id="1" w:name="_GoBack"/>
      <w:bookmarkEnd w:id="1"/>
      <w:r w:rsidR="001F098C">
        <w:rPr>
          <w:rFonts w:ascii="华文楷体" w:hAnsi="华文楷体" w:hint="eastAsia"/>
          <w:bCs/>
          <w:sz w:val="24"/>
          <w:szCs w:val="24"/>
          <w:lang w:eastAsia="zh-CN"/>
        </w:rPr>
        <w:t>。</w:t>
      </w:r>
      <w:r w:rsidR="001F098C" w:rsidRPr="001F098C">
        <w:rPr>
          <w:rFonts w:ascii="华文楷体" w:hAnsi="华文楷体" w:hint="eastAsia"/>
          <w:bCs/>
          <w:sz w:val="24"/>
          <w:szCs w:val="24"/>
          <w:lang w:eastAsia="zh-CN"/>
        </w:rPr>
        <w:t>蔬菜、牛肉、羊肉价格</w:t>
      </w:r>
      <w:proofErr w:type="gramStart"/>
      <w:r w:rsidR="001F098C" w:rsidRPr="001F098C">
        <w:rPr>
          <w:rFonts w:ascii="华文楷体" w:hAnsi="华文楷体" w:hint="eastAsia"/>
          <w:bCs/>
          <w:sz w:val="24"/>
          <w:szCs w:val="24"/>
          <w:lang w:eastAsia="zh-CN"/>
        </w:rPr>
        <w:t>由涨转跌</w:t>
      </w:r>
      <w:proofErr w:type="gramEnd"/>
      <w:r w:rsidR="001F098C" w:rsidRPr="001F098C">
        <w:rPr>
          <w:rFonts w:ascii="华文楷体" w:hAnsi="华文楷体" w:hint="eastAsia"/>
          <w:bCs/>
          <w:sz w:val="24"/>
          <w:szCs w:val="24"/>
          <w:lang w:eastAsia="zh-CN"/>
        </w:rPr>
        <w:t>，生鲜乳制品价格缓幅下跌，水果、水产品价格环比延续上涨态势，但涨幅有所收窄。</w:t>
      </w:r>
      <w:r w:rsidR="003B19EF" w:rsidRPr="003B19EF">
        <w:rPr>
          <w:rFonts w:ascii="华文楷体" w:hAnsi="华文楷体" w:hint="eastAsia"/>
          <w:bCs/>
          <w:sz w:val="24"/>
          <w:szCs w:val="24"/>
          <w:lang w:eastAsia="zh-CN"/>
        </w:rPr>
        <w:t>工业品价格方面，</w:t>
      </w:r>
      <w:r w:rsidR="001F098C" w:rsidRPr="001F098C">
        <w:rPr>
          <w:rFonts w:ascii="华文楷体" w:hAnsi="华文楷体" w:hint="eastAsia"/>
          <w:bCs/>
          <w:sz w:val="24"/>
          <w:szCs w:val="24"/>
          <w:lang w:eastAsia="zh-CN"/>
        </w:rPr>
        <w:t>长江有色市场现货价格铜、铝、铅、锌价分别变化3.20%、2.33%、-0.29%、1.71%；海外方面，LME铜、铝、铅、</w:t>
      </w:r>
      <w:proofErr w:type="gramStart"/>
      <w:r w:rsidR="001F098C" w:rsidRPr="001F098C">
        <w:rPr>
          <w:rFonts w:ascii="华文楷体" w:hAnsi="华文楷体" w:hint="eastAsia"/>
          <w:bCs/>
          <w:sz w:val="24"/>
          <w:szCs w:val="24"/>
          <w:lang w:eastAsia="zh-CN"/>
        </w:rPr>
        <w:t>锌较上</w:t>
      </w:r>
      <w:proofErr w:type="gramEnd"/>
      <w:r w:rsidR="001F098C" w:rsidRPr="001F098C">
        <w:rPr>
          <w:rFonts w:ascii="华文楷体" w:hAnsi="华文楷体" w:hint="eastAsia"/>
          <w:bCs/>
          <w:sz w:val="24"/>
          <w:szCs w:val="24"/>
          <w:lang w:eastAsia="zh-CN"/>
        </w:rPr>
        <w:t>周环比分别上涨4.28%、2.06%、0.37%、1.14%。</w:t>
      </w:r>
    </w:p>
    <w:p w14:paraId="3425BC76" w14:textId="6C5F7B45"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1F098C" w:rsidRPr="001F098C">
        <w:rPr>
          <w:rFonts w:ascii="华文楷体" w:hAnsi="华文楷体" w:hint="eastAsia"/>
          <w:bCs/>
          <w:sz w:val="24"/>
          <w:szCs w:val="24"/>
          <w:lang w:eastAsia="zh-CN"/>
        </w:rPr>
        <w:t>乘联会最新数据显示，5月第一周日均零售在3.43万辆左右，同比增长5%，环比4月首周增长13%</w:t>
      </w:r>
      <w:r w:rsidR="003B19EF" w:rsidRPr="003B19EF">
        <w:rPr>
          <w:rFonts w:ascii="华文楷体" w:hAnsi="华文楷体" w:hint="eastAsia"/>
          <w:bCs/>
          <w:sz w:val="24"/>
          <w:szCs w:val="24"/>
          <w:lang w:eastAsia="zh-CN"/>
        </w:rPr>
        <w:t>。</w:t>
      </w:r>
    </w:p>
    <w:p w14:paraId="6C0621FD" w14:textId="1F593C5B"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2B1C30" w:rsidRPr="002B1C30">
        <w:rPr>
          <w:rFonts w:ascii="华文楷体" w:hAnsi="华文楷体" w:hint="eastAsia"/>
          <w:bCs/>
          <w:sz w:val="24"/>
          <w:szCs w:val="24"/>
          <w:lang w:eastAsia="zh-CN"/>
        </w:rPr>
        <w:t>布伦</w:t>
      </w:r>
      <w:proofErr w:type="gramStart"/>
      <w:r w:rsidR="002B1C30" w:rsidRPr="002B1C30">
        <w:rPr>
          <w:rFonts w:ascii="华文楷体" w:hAnsi="华文楷体" w:hint="eastAsia"/>
          <w:bCs/>
          <w:sz w:val="24"/>
          <w:szCs w:val="24"/>
          <w:lang w:eastAsia="zh-CN"/>
        </w:rPr>
        <w:t>特</w:t>
      </w:r>
      <w:proofErr w:type="gramEnd"/>
      <w:r w:rsidR="002B1C30" w:rsidRPr="002B1C30">
        <w:rPr>
          <w:rFonts w:ascii="华文楷体" w:hAnsi="华文楷体" w:hint="eastAsia"/>
          <w:bCs/>
          <w:sz w:val="24"/>
          <w:szCs w:val="24"/>
          <w:lang w:eastAsia="zh-CN"/>
        </w:rPr>
        <w:t>原油环比上</w:t>
      </w:r>
      <w:r w:rsidR="00275FB0">
        <w:rPr>
          <w:rFonts w:ascii="华文楷体" w:hAnsi="华文楷体" w:hint="eastAsia"/>
          <w:bCs/>
          <w:sz w:val="24"/>
          <w:szCs w:val="24"/>
          <w:lang w:eastAsia="zh-CN"/>
        </w:rPr>
        <w:t>一</w:t>
      </w:r>
      <w:r w:rsidR="002B1C30" w:rsidRPr="002B1C30">
        <w:rPr>
          <w:rFonts w:ascii="华文楷体" w:hAnsi="华文楷体" w:hint="eastAsia"/>
          <w:bCs/>
          <w:sz w:val="24"/>
          <w:szCs w:val="24"/>
          <w:lang w:eastAsia="zh-CN"/>
        </w:rPr>
        <w:t>周五涨0.63%至68.71美元/桶；WTI原油价格涨0.72%至65.37美元/桶。</w:t>
      </w:r>
    </w:p>
    <w:p w14:paraId="35D3E229" w14:textId="20FA9A9D" w:rsidR="00DA6262" w:rsidRDefault="00275FB0"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2B1C30" w:rsidRPr="002B1C30">
        <w:rPr>
          <w:rFonts w:ascii="华文楷体" w:hAnsi="华文楷体" w:hint="eastAsia"/>
          <w:bCs/>
          <w:sz w:val="24"/>
          <w:szCs w:val="24"/>
          <w:lang w:eastAsia="zh-CN"/>
        </w:rPr>
        <w:t>国内工业增加值、固定资产投资及消费数据、央行MLF和LPR操作</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20FCFFBD"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lastRenderedPageBreak/>
        <w:t>利率债：</w:t>
      </w:r>
      <w:r w:rsidR="002424E7" w:rsidRPr="002424E7">
        <w:rPr>
          <w:rFonts w:ascii="华文楷体" w:hAnsi="华文楷体" w:hint="eastAsia"/>
          <w:sz w:val="24"/>
          <w:szCs w:val="24"/>
          <w:lang w:eastAsia="zh-CN"/>
        </w:rPr>
        <w:t>从近期数据来看，金融数据稍显边际走弱，地产板块政策仍趋严，尤其是部分敏感城市地产管控热度仍较高。国常会和央行一季度货币政策执行报告同时提到有关通胀的相关问题，表示要跟踪分析国内外形势和市场变化，有效应对大宗商品价格过快上涨及其连带影响。加强货币政策与其他政策配合，保持经济平稳运行，给市场适度降温。但考虑到海外市场的表现情况，包括美国通胀和原油等近期表现，预计市场将仍对通胀持续保持一定担忧和警惕性。国内市场，关注本轮大宗商品价格持续走高对中下游企业可能带来的成本压力。债市方面，近期信用债品种风险偏好有所修复，信用</w:t>
      </w:r>
      <w:proofErr w:type="gramStart"/>
      <w:r w:rsidR="002424E7" w:rsidRPr="002424E7">
        <w:rPr>
          <w:rFonts w:ascii="华文楷体" w:hAnsi="华文楷体" w:hint="eastAsia"/>
          <w:sz w:val="24"/>
          <w:szCs w:val="24"/>
          <w:lang w:eastAsia="zh-CN"/>
        </w:rPr>
        <w:t>债成交</w:t>
      </w:r>
      <w:proofErr w:type="gramEnd"/>
      <w:r w:rsidR="002424E7" w:rsidRPr="002424E7">
        <w:rPr>
          <w:rFonts w:ascii="华文楷体" w:hAnsi="华文楷体" w:hint="eastAsia"/>
          <w:sz w:val="24"/>
          <w:szCs w:val="24"/>
          <w:lang w:eastAsia="zh-CN"/>
        </w:rPr>
        <w:t>较前期有一定好转，高等级品种利差快速压缩下，市场对票面的需求边际增加。流动性上，仍处于相对平稳状态，目前隔夜仍大体维持在1.5-2.0%的平稳区间，且多数情况围绕政策利率波动为主，当前债市对资金面的预期相对平稳。</w:t>
      </w:r>
    </w:p>
    <w:p w14:paraId="2C3F4BD1" w14:textId="7EF17D26"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9D1B63">
        <w:rPr>
          <w:rFonts w:ascii="华文楷体" w:hAnsi="华文楷体" w:hint="eastAsia"/>
          <w:sz w:val="24"/>
          <w:szCs w:val="24"/>
          <w:lang w:eastAsia="zh-CN"/>
        </w:rPr>
        <w:t>信用分层</w:t>
      </w:r>
      <w:r w:rsidR="005C1B69">
        <w:rPr>
          <w:rFonts w:ascii="华文楷体" w:hAnsi="华文楷体" w:hint="eastAsia"/>
          <w:sz w:val="24"/>
          <w:szCs w:val="24"/>
          <w:lang w:eastAsia="zh-CN"/>
        </w:rPr>
        <w:t>情况</w:t>
      </w:r>
      <w:r w:rsidR="009D1B63">
        <w:rPr>
          <w:rFonts w:ascii="华文楷体" w:hAnsi="华文楷体" w:hint="eastAsia"/>
          <w:sz w:val="24"/>
          <w:szCs w:val="24"/>
          <w:lang w:eastAsia="zh-CN"/>
        </w:rPr>
        <w:t>仍基本延续</w:t>
      </w:r>
      <w:r w:rsidR="00891D23">
        <w:rPr>
          <w:rFonts w:ascii="华文楷体" w:hAnsi="华文楷体" w:hint="eastAsia"/>
          <w:sz w:val="24"/>
          <w:szCs w:val="24"/>
          <w:lang w:eastAsia="zh-CN"/>
        </w:rPr>
        <w:t>，城</w:t>
      </w:r>
      <w:proofErr w:type="gramStart"/>
      <w:r w:rsidR="00891D23">
        <w:rPr>
          <w:rFonts w:ascii="华文楷体" w:hAnsi="华文楷体" w:hint="eastAsia"/>
          <w:sz w:val="24"/>
          <w:szCs w:val="24"/>
          <w:lang w:eastAsia="zh-CN"/>
        </w:rPr>
        <w:t>投债近期</w:t>
      </w:r>
      <w:proofErr w:type="gramEnd"/>
      <w:r w:rsidR="00891D23">
        <w:rPr>
          <w:rFonts w:ascii="华文楷体" w:hAnsi="华文楷体" w:hint="eastAsia"/>
          <w:sz w:val="24"/>
          <w:szCs w:val="24"/>
          <w:lang w:eastAsia="zh-CN"/>
        </w:rPr>
        <w:t>表现</w:t>
      </w:r>
      <w:r w:rsidR="009D1B63">
        <w:rPr>
          <w:rFonts w:ascii="华文楷体" w:hAnsi="华文楷体" w:hint="eastAsia"/>
          <w:sz w:val="24"/>
          <w:szCs w:val="24"/>
          <w:lang w:eastAsia="zh-CN"/>
        </w:rPr>
        <w:t>稍</w:t>
      </w:r>
      <w:r w:rsidR="00891D23">
        <w:rPr>
          <w:rFonts w:ascii="华文楷体" w:hAnsi="华文楷体" w:hint="eastAsia"/>
          <w:sz w:val="24"/>
          <w:szCs w:val="24"/>
          <w:lang w:eastAsia="zh-CN"/>
        </w:rPr>
        <w:t>好</w:t>
      </w:r>
      <w:r w:rsidR="009D1B63">
        <w:rPr>
          <w:rFonts w:ascii="华文楷体" w:hAnsi="华文楷体" w:hint="eastAsia"/>
          <w:sz w:val="24"/>
          <w:szCs w:val="24"/>
          <w:lang w:eastAsia="zh-CN"/>
        </w:rPr>
        <w:t>，</w:t>
      </w:r>
      <w:r w:rsidR="005437B0">
        <w:rPr>
          <w:rFonts w:ascii="华文楷体" w:hAnsi="华文楷体" w:hint="eastAsia"/>
          <w:sz w:val="24"/>
          <w:szCs w:val="24"/>
          <w:lang w:eastAsia="zh-CN"/>
        </w:rPr>
        <w:t>分位数仍维持相对低位</w:t>
      </w:r>
      <w:r w:rsidR="009D1B63">
        <w:rPr>
          <w:rFonts w:ascii="华文楷体" w:hAnsi="华文楷体" w:hint="eastAsia"/>
          <w:sz w:val="24"/>
          <w:szCs w:val="24"/>
          <w:lang w:eastAsia="zh-CN"/>
        </w:rPr>
        <w:t>，机构控杠杆前提下会开始寻找票息保护，与此同时</w:t>
      </w:r>
      <w:proofErr w:type="gramStart"/>
      <w:r w:rsidR="009D1B63">
        <w:rPr>
          <w:rFonts w:ascii="华文楷体" w:hAnsi="华文楷体" w:hint="eastAsia"/>
          <w:sz w:val="24"/>
          <w:szCs w:val="24"/>
          <w:lang w:eastAsia="zh-CN"/>
        </w:rPr>
        <w:t>个券</w:t>
      </w:r>
      <w:proofErr w:type="gramEnd"/>
      <w:r w:rsidR="009D1B63">
        <w:rPr>
          <w:rFonts w:ascii="华文楷体" w:hAnsi="华文楷体" w:hint="eastAsia"/>
          <w:sz w:val="24"/>
          <w:szCs w:val="24"/>
          <w:lang w:eastAsia="zh-CN"/>
        </w:rPr>
        <w:t>的风险排查仍在持续</w:t>
      </w:r>
      <w:r w:rsidR="005437B0">
        <w:rPr>
          <w:rFonts w:ascii="华文楷体" w:hAnsi="华文楷体" w:hint="eastAsia"/>
          <w:sz w:val="24"/>
          <w:szCs w:val="24"/>
          <w:lang w:eastAsia="zh-CN"/>
        </w:rPr>
        <w:t>，成交活跃度上边际上</w:t>
      </w:r>
      <w:r w:rsidR="002424E7">
        <w:rPr>
          <w:rFonts w:ascii="华文楷体" w:hAnsi="华文楷体" w:hint="eastAsia"/>
          <w:sz w:val="24"/>
          <w:szCs w:val="24"/>
          <w:lang w:eastAsia="zh-CN"/>
        </w:rPr>
        <w:t>持续</w:t>
      </w:r>
      <w:r w:rsidR="005437B0">
        <w:rPr>
          <w:rFonts w:ascii="华文楷体" w:hAnsi="华文楷体" w:hint="eastAsia"/>
          <w:sz w:val="24"/>
          <w:szCs w:val="24"/>
          <w:lang w:eastAsia="zh-CN"/>
        </w:rPr>
        <w:t>加强。</w:t>
      </w:r>
    </w:p>
    <w:p w14:paraId="4C893BAE" w14:textId="7E71FDD3"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2424E7" w:rsidRPr="002424E7">
        <w:rPr>
          <w:rFonts w:ascii="华文楷体" w:hAnsi="华文楷体" w:hint="eastAsia"/>
          <w:sz w:val="24"/>
          <w:szCs w:val="24"/>
          <w:lang w:eastAsia="zh-CN"/>
        </w:rPr>
        <w:t>上周权益市场表现相对较好，中</w:t>
      </w:r>
      <w:proofErr w:type="gramStart"/>
      <w:r w:rsidR="002424E7" w:rsidRPr="002424E7">
        <w:rPr>
          <w:rFonts w:ascii="华文楷体" w:hAnsi="华文楷体" w:hint="eastAsia"/>
          <w:sz w:val="24"/>
          <w:szCs w:val="24"/>
          <w:lang w:eastAsia="zh-CN"/>
        </w:rPr>
        <w:t>证转债指数</w:t>
      </w:r>
      <w:proofErr w:type="gramEnd"/>
      <w:r w:rsidR="002424E7" w:rsidRPr="002424E7">
        <w:rPr>
          <w:rFonts w:ascii="华文楷体" w:hAnsi="华文楷体" w:hint="eastAsia"/>
          <w:sz w:val="24"/>
          <w:szCs w:val="24"/>
          <w:lang w:eastAsia="zh-CN"/>
        </w:rPr>
        <w:t>成交突破1000亿，适度放量。板块表现上，计算机、医药等板块表现靠前，采掘、钢铁及有色表现靠后。后续可适度关注股性较强</w:t>
      </w:r>
      <w:proofErr w:type="gramStart"/>
      <w:r w:rsidR="002424E7" w:rsidRPr="002424E7">
        <w:rPr>
          <w:rFonts w:ascii="华文楷体" w:hAnsi="华文楷体" w:hint="eastAsia"/>
          <w:sz w:val="24"/>
          <w:szCs w:val="24"/>
          <w:lang w:eastAsia="zh-CN"/>
        </w:rPr>
        <w:t>个券</w:t>
      </w:r>
      <w:proofErr w:type="gramEnd"/>
      <w:r w:rsidR="002424E7" w:rsidRPr="002424E7">
        <w:rPr>
          <w:rFonts w:ascii="华文楷体" w:hAnsi="华文楷体" w:hint="eastAsia"/>
          <w:sz w:val="24"/>
          <w:szCs w:val="24"/>
          <w:lang w:eastAsia="zh-CN"/>
        </w:rPr>
        <w:t>在此轮反弹中表现情况。</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E8D60F8"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1858A9">
              <w:rPr>
                <w:rFonts w:hint="eastAsia"/>
              </w:rPr>
              <w:t>出现适度</w:t>
            </w:r>
            <w:r w:rsidR="00993D03">
              <w:rPr>
                <w:rFonts w:hint="eastAsia"/>
              </w:rPr>
              <w:t>震荡</w:t>
            </w:r>
          </w:p>
        </w:tc>
        <w:tc>
          <w:tcPr>
            <w:tcW w:w="4938" w:type="dxa"/>
            <w:vAlign w:val="center"/>
          </w:tcPr>
          <w:p w14:paraId="02A10F26" w14:textId="7A679A1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993D03">
              <w:rPr>
                <w:rFonts w:hint="eastAsia"/>
              </w:rPr>
              <w:t>上行</w:t>
            </w:r>
            <w:r w:rsidR="006D72C8">
              <w:rPr>
                <w:rFonts w:hint="eastAsia"/>
              </w:rPr>
              <w:t>回调</w:t>
            </w:r>
          </w:p>
        </w:tc>
      </w:tr>
      <w:tr w:rsidR="001D35B3" w:rsidRPr="006A5F34" w14:paraId="205667F1" w14:textId="77777777" w:rsidTr="001858A9">
        <w:tblPrEx>
          <w:tblCellMar>
            <w:left w:w="108" w:type="dxa"/>
            <w:right w:w="108" w:type="dxa"/>
          </w:tblCellMar>
        </w:tblPrEx>
        <w:trPr>
          <w:jc w:val="center"/>
        </w:trPr>
        <w:tc>
          <w:tcPr>
            <w:tcW w:w="4939" w:type="dxa"/>
            <w:vAlign w:val="center"/>
          </w:tcPr>
          <w:p w14:paraId="56C782C2" w14:textId="6559721D" w:rsidR="001D35B3" w:rsidRPr="007E0340" w:rsidRDefault="001858A9" w:rsidP="009A2BA0">
            <w:pPr>
              <w:jc w:val="center"/>
              <w:rPr>
                <w:noProof/>
              </w:rPr>
            </w:pPr>
            <w:r>
              <w:rPr>
                <w:noProof/>
              </w:rPr>
              <w:drawing>
                <wp:inline distT="0" distB="0" distL="0" distR="0" wp14:anchorId="337BA2F8" wp14:editId="79C725B4">
                  <wp:extent cx="2999105" cy="1918837"/>
                  <wp:effectExtent l="0" t="0" r="0" b="5715"/>
                  <wp:docPr id="16" name="图表 1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3750BA71" w:rsidR="001D35B3" w:rsidRPr="007E0340" w:rsidRDefault="001858A9" w:rsidP="009A2BA0">
            <w:pPr>
              <w:jc w:val="center"/>
              <w:rPr>
                <w:noProof/>
                <w:szCs w:val="18"/>
              </w:rPr>
            </w:pPr>
            <w:r>
              <w:rPr>
                <w:noProof/>
              </w:rPr>
              <w:drawing>
                <wp:inline distT="0" distB="0" distL="0" distR="0" wp14:anchorId="2F0D40E4" wp14:editId="74454FBE">
                  <wp:extent cx="2998470" cy="1921870"/>
                  <wp:effectExtent l="0" t="0" r="0" b="2540"/>
                  <wp:docPr id="17" name="图表 1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6D3EDA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小幅下行</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1858A9">
        <w:tblPrEx>
          <w:tblCellMar>
            <w:left w:w="108" w:type="dxa"/>
            <w:right w:w="108" w:type="dxa"/>
          </w:tblCellMar>
        </w:tblPrEx>
        <w:trPr>
          <w:trHeight w:val="2987"/>
          <w:jc w:val="center"/>
        </w:trPr>
        <w:tc>
          <w:tcPr>
            <w:tcW w:w="4939" w:type="dxa"/>
            <w:vAlign w:val="center"/>
          </w:tcPr>
          <w:p w14:paraId="0BAC1731" w14:textId="59D6C678" w:rsidR="001D35B3" w:rsidRPr="007E0340" w:rsidRDefault="001858A9" w:rsidP="009A2BA0">
            <w:pPr>
              <w:jc w:val="center"/>
              <w:rPr>
                <w:noProof/>
              </w:rPr>
            </w:pPr>
            <w:r>
              <w:rPr>
                <w:noProof/>
              </w:rPr>
              <w:drawing>
                <wp:inline distT="0" distB="0" distL="0" distR="0" wp14:anchorId="1F88E288" wp14:editId="5AFF2A4F">
                  <wp:extent cx="2999105" cy="1962159"/>
                  <wp:effectExtent l="0" t="0" r="10795" b="0"/>
                  <wp:docPr id="21" name="图表 2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53D7A4DE" w:rsidR="001D35B3" w:rsidRPr="007E0340" w:rsidRDefault="001858A9" w:rsidP="009A2BA0">
            <w:pPr>
              <w:jc w:val="center"/>
              <w:rPr>
                <w:noProof/>
                <w:szCs w:val="18"/>
              </w:rPr>
            </w:pPr>
            <w:r>
              <w:rPr>
                <w:noProof/>
              </w:rPr>
              <w:drawing>
                <wp:inline distT="0" distB="0" distL="0" distR="0" wp14:anchorId="12DCC5D2" wp14:editId="20DC64B6">
                  <wp:extent cx="2998470" cy="1969296"/>
                  <wp:effectExtent l="0" t="0" r="0" b="0"/>
                  <wp:docPr id="22" name="图表 2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F91B7DF" w14:textId="77777777" w:rsidR="00275FB0" w:rsidRDefault="00275FB0" w:rsidP="009A2BA0">
      <w:pPr>
        <w:pStyle w:val="Body-text"/>
        <w:spacing w:after="0"/>
        <w:rPr>
          <w:rFonts w:ascii="华文楷体" w:hAnsi="华文楷体"/>
          <w:sz w:val="24"/>
          <w:szCs w:val="24"/>
          <w:lang w:eastAsia="zh-CN"/>
        </w:rPr>
      </w:pPr>
    </w:p>
    <w:p w14:paraId="669439AD" w14:textId="2FAC4EBE" w:rsidR="00594303" w:rsidRDefault="00275FB0" w:rsidP="00275FB0">
      <w:pPr>
        <w:pStyle w:val="Body-text"/>
        <w:spacing w:after="0"/>
        <w:rPr>
          <w:rFonts w:ascii="华文楷体" w:hAnsi="华文楷体"/>
          <w:sz w:val="24"/>
          <w:szCs w:val="24"/>
        </w:rPr>
      </w:pPr>
      <w:r w:rsidRPr="009529FE">
        <w:rPr>
          <w:rFonts w:ascii="微软雅黑" w:eastAsia="微软雅黑" w:hAnsi="微软雅黑" w:hint="eastAsia"/>
          <w:color w:val="474747"/>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236E8CBA" w14:textId="77777777" w:rsidR="00EA1966" w:rsidRDefault="00EA1966" w:rsidP="009A2BA0">
      <w:pPr>
        <w:pStyle w:val="Body-text"/>
        <w:spacing w:after="0"/>
        <w:rPr>
          <w:rFonts w:ascii="华文楷体" w:hAnsi="华文楷体"/>
          <w:sz w:val="24"/>
          <w:szCs w:val="24"/>
          <w:lang w:eastAsia="zh-CN"/>
        </w:rPr>
      </w:pPr>
    </w:p>
    <w:p w14:paraId="1EF1A1F1" w14:textId="15942665" w:rsidR="0028459A" w:rsidRPr="001A1299" w:rsidRDefault="0028459A" w:rsidP="009A2BA0">
      <w:pPr>
        <w:pStyle w:val="Body-text"/>
        <w:ind w:firstLineChars="200" w:firstLine="480"/>
        <w:rPr>
          <w:rFonts w:ascii="华文楷体" w:hAnsi="华文楷体"/>
          <w:sz w:val="24"/>
          <w:szCs w:val="24"/>
          <w:lang w:eastAsia="zh-CN"/>
        </w:rPr>
      </w:pP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723EDB" w14:textId="77777777" w:rsidR="000308CC" w:rsidRDefault="000308CC">
      <w:r>
        <w:separator/>
      </w:r>
    </w:p>
  </w:endnote>
  <w:endnote w:type="continuationSeparator" w:id="0">
    <w:p w14:paraId="3F73B1DF" w14:textId="77777777" w:rsidR="000308CC" w:rsidRDefault="00030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711EF1" w:rsidRDefault="00711EF1">
        <w:pPr>
          <w:pStyle w:val="a4"/>
          <w:jc w:val="right"/>
        </w:pPr>
        <w:r>
          <w:fldChar w:fldCharType="begin"/>
        </w:r>
        <w:r>
          <w:instrText>PAGE   \* MERGEFORMAT</w:instrText>
        </w:r>
        <w:r>
          <w:fldChar w:fldCharType="separate"/>
        </w:r>
        <w:r w:rsidR="00BD40AF" w:rsidRPr="00BD40AF">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E2EACB" w14:textId="77777777" w:rsidR="000308CC" w:rsidRDefault="000308CC">
      <w:r>
        <w:separator/>
      </w:r>
    </w:p>
  </w:footnote>
  <w:footnote w:type="continuationSeparator" w:id="0">
    <w:p w14:paraId="1B198D48" w14:textId="77777777" w:rsidR="000308CC" w:rsidRDefault="000308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711EF1" w:rsidRDefault="00711EF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8CC"/>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7DC"/>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5FB0"/>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2C44"/>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0AF"/>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12E"/>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B48"/>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44176</c:v>
                </c:pt>
                <c:pt idx="1">
                  <c:v>44183</c:v>
                </c:pt>
                <c:pt idx="2">
                  <c:v>44190</c:v>
                </c:pt>
                <c:pt idx="3">
                  <c:v>44197</c:v>
                </c:pt>
                <c:pt idx="4">
                  <c:v>44204</c:v>
                </c:pt>
                <c:pt idx="5">
                  <c:v>44211</c:v>
                </c:pt>
                <c:pt idx="6">
                  <c:v>44218</c:v>
                </c:pt>
                <c:pt idx="7">
                  <c:v>44225</c:v>
                </c:pt>
                <c:pt idx="8">
                  <c:v>44232</c:v>
                </c:pt>
                <c:pt idx="9">
                  <c:v>44239</c:v>
                </c:pt>
                <c:pt idx="10">
                  <c:v>44246</c:v>
                </c:pt>
                <c:pt idx="11">
                  <c:v>44253</c:v>
                </c:pt>
                <c:pt idx="12">
                  <c:v>44260</c:v>
                </c:pt>
                <c:pt idx="13">
                  <c:v>44267</c:v>
                </c:pt>
                <c:pt idx="14">
                  <c:v>44274</c:v>
                </c:pt>
                <c:pt idx="15">
                  <c:v>44281</c:v>
                </c:pt>
                <c:pt idx="16">
                  <c:v>44288</c:v>
                </c:pt>
                <c:pt idx="17">
                  <c:v>44295</c:v>
                </c:pt>
                <c:pt idx="18">
                  <c:v>44302</c:v>
                </c:pt>
                <c:pt idx="19">
                  <c:v>44309</c:v>
                </c:pt>
                <c:pt idx="20">
                  <c:v>44316</c:v>
                </c:pt>
                <c:pt idx="21">
                  <c:v>44323</c:v>
                </c:pt>
                <c:pt idx="22">
                  <c:v>44330</c:v>
                </c:pt>
              </c:numCache>
            </c:numRef>
          </c:cat>
          <c:val>
            <c:numRef>
              <c:f>央行!$B$5:$B$27</c:f>
              <c:numCache>
                <c:formatCode>###,###,###,###,##0.00</c:formatCode>
                <c:ptCount val="23"/>
                <c:pt idx="0">
                  <c:v>1500</c:v>
                </c:pt>
                <c:pt idx="1">
                  <c:v>600</c:v>
                </c:pt>
                <c:pt idx="2">
                  <c:v>4300</c:v>
                </c:pt>
                <c:pt idx="3">
                  <c:v>1750</c:v>
                </c:pt>
                <c:pt idx="4">
                  <c:v>550</c:v>
                </c:pt>
                <c:pt idx="5">
                  <c:v>160</c:v>
                </c:pt>
                <c:pt idx="6">
                  <c:v>6140</c:v>
                </c:pt>
                <c:pt idx="7">
                  <c:v>3890</c:v>
                </c:pt>
                <c:pt idx="8">
                  <c:v>4800</c:v>
                </c:pt>
                <c:pt idx="9">
                  <c:v>2300</c:v>
                </c:pt>
                <c:pt idx="10">
                  <c:v>400</c:v>
                </c:pt>
                <c:pt idx="11">
                  <c:v>800</c:v>
                </c:pt>
                <c:pt idx="12">
                  <c:v>550</c:v>
                </c:pt>
                <c:pt idx="13">
                  <c:v>500</c:v>
                </c:pt>
                <c:pt idx="14">
                  <c:v>500</c:v>
                </c:pt>
                <c:pt idx="15">
                  <c:v>550</c:v>
                </c:pt>
                <c:pt idx="16">
                  <c:v>500</c:v>
                </c:pt>
                <c:pt idx="17">
                  <c:v>400</c:v>
                </c:pt>
                <c:pt idx="18">
                  <c:v>500</c:v>
                </c:pt>
                <c:pt idx="19">
                  <c:v>500</c:v>
                </c:pt>
                <c:pt idx="20">
                  <c:v>650</c:v>
                </c:pt>
                <c:pt idx="21">
                  <c:v>200</c:v>
                </c:pt>
                <c:pt idx="22">
                  <c:v>600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44176</c:v>
                </c:pt>
                <c:pt idx="1">
                  <c:v>44183</c:v>
                </c:pt>
                <c:pt idx="2">
                  <c:v>44190</c:v>
                </c:pt>
                <c:pt idx="3">
                  <c:v>44197</c:v>
                </c:pt>
                <c:pt idx="4">
                  <c:v>44204</c:v>
                </c:pt>
                <c:pt idx="5">
                  <c:v>44211</c:v>
                </c:pt>
                <c:pt idx="6">
                  <c:v>44218</c:v>
                </c:pt>
                <c:pt idx="7">
                  <c:v>44225</c:v>
                </c:pt>
                <c:pt idx="8">
                  <c:v>44232</c:v>
                </c:pt>
                <c:pt idx="9">
                  <c:v>44239</c:v>
                </c:pt>
                <c:pt idx="10">
                  <c:v>44246</c:v>
                </c:pt>
                <c:pt idx="11">
                  <c:v>44253</c:v>
                </c:pt>
                <c:pt idx="12">
                  <c:v>44260</c:v>
                </c:pt>
                <c:pt idx="13">
                  <c:v>44267</c:v>
                </c:pt>
                <c:pt idx="14">
                  <c:v>44274</c:v>
                </c:pt>
                <c:pt idx="15">
                  <c:v>44281</c:v>
                </c:pt>
                <c:pt idx="16">
                  <c:v>44288</c:v>
                </c:pt>
                <c:pt idx="17">
                  <c:v>44295</c:v>
                </c:pt>
                <c:pt idx="18">
                  <c:v>44302</c:v>
                </c:pt>
                <c:pt idx="19">
                  <c:v>44309</c:v>
                </c:pt>
                <c:pt idx="20">
                  <c:v>44316</c:v>
                </c:pt>
                <c:pt idx="21">
                  <c:v>44323</c:v>
                </c:pt>
                <c:pt idx="22">
                  <c:v>44330</c:v>
                </c:pt>
              </c:numCache>
            </c:numRef>
          </c:cat>
          <c:val>
            <c:numRef>
              <c:f>央行!$C$5:$C$27</c:f>
              <c:numCache>
                <c:formatCode>###,###,###,###,##0.00</c:formatCode>
                <c:ptCount val="23"/>
                <c:pt idx="0">
                  <c:v>-2000</c:v>
                </c:pt>
                <c:pt idx="1">
                  <c:v>-1500</c:v>
                </c:pt>
                <c:pt idx="2">
                  <c:v>-650</c:v>
                </c:pt>
                <c:pt idx="3">
                  <c:v>-800</c:v>
                </c:pt>
                <c:pt idx="4">
                  <c:v>-5200</c:v>
                </c:pt>
                <c:pt idx="5">
                  <c:v>-550</c:v>
                </c:pt>
                <c:pt idx="6">
                  <c:v>-160</c:v>
                </c:pt>
                <c:pt idx="7">
                  <c:v>-6190</c:v>
                </c:pt>
                <c:pt idx="8">
                  <c:v>-3840</c:v>
                </c:pt>
                <c:pt idx="9">
                  <c:v>-2800</c:v>
                </c:pt>
                <c:pt idx="10">
                  <c:v>-3800</c:v>
                </c:pt>
                <c:pt idx="11">
                  <c:v>-950</c:v>
                </c:pt>
                <c:pt idx="12">
                  <c:v>-800</c:v>
                </c:pt>
                <c:pt idx="13">
                  <c:v>-500</c:v>
                </c:pt>
                <c:pt idx="14">
                  <c:v>-500</c:v>
                </c:pt>
                <c:pt idx="15">
                  <c:v>-550</c:v>
                </c:pt>
                <c:pt idx="16">
                  <c:v>-500</c:v>
                </c:pt>
                <c:pt idx="17">
                  <c:v>-500</c:v>
                </c:pt>
                <c:pt idx="18">
                  <c:v>-400</c:v>
                </c:pt>
                <c:pt idx="19">
                  <c:v>-500</c:v>
                </c:pt>
                <c:pt idx="20">
                  <c:v>-550</c:v>
                </c:pt>
                <c:pt idx="21">
                  <c:v>-600</c:v>
                </c:pt>
                <c:pt idx="22">
                  <c:v>-200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480540544"/>
        <c:axId val="480550912"/>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44176</c:v>
                </c:pt>
                <c:pt idx="1">
                  <c:v>44183</c:v>
                </c:pt>
                <c:pt idx="2">
                  <c:v>44190</c:v>
                </c:pt>
                <c:pt idx="3">
                  <c:v>44197</c:v>
                </c:pt>
                <c:pt idx="4">
                  <c:v>44204</c:v>
                </c:pt>
                <c:pt idx="5">
                  <c:v>44211</c:v>
                </c:pt>
                <c:pt idx="6">
                  <c:v>44218</c:v>
                </c:pt>
                <c:pt idx="7">
                  <c:v>44225</c:v>
                </c:pt>
                <c:pt idx="8">
                  <c:v>44232</c:v>
                </c:pt>
                <c:pt idx="9">
                  <c:v>44239</c:v>
                </c:pt>
                <c:pt idx="10">
                  <c:v>44246</c:v>
                </c:pt>
                <c:pt idx="11">
                  <c:v>44253</c:v>
                </c:pt>
                <c:pt idx="12">
                  <c:v>44260</c:v>
                </c:pt>
                <c:pt idx="13">
                  <c:v>44267</c:v>
                </c:pt>
                <c:pt idx="14">
                  <c:v>44274</c:v>
                </c:pt>
                <c:pt idx="15">
                  <c:v>44281</c:v>
                </c:pt>
                <c:pt idx="16">
                  <c:v>44288</c:v>
                </c:pt>
                <c:pt idx="17">
                  <c:v>44295</c:v>
                </c:pt>
                <c:pt idx="18">
                  <c:v>44302</c:v>
                </c:pt>
                <c:pt idx="19">
                  <c:v>44309</c:v>
                </c:pt>
                <c:pt idx="20">
                  <c:v>44316</c:v>
                </c:pt>
                <c:pt idx="21">
                  <c:v>44323</c:v>
                </c:pt>
                <c:pt idx="22">
                  <c:v>44330</c:v>
                </c:pt>
              </c:numCache>
            </c:numRef>
          </c:cat>
          <c:val>
            <c:numRef>
              <c:f>央行!$D$5:$D$27</c:f>
              <c:numCache>
                <c:formatCode>###,###,###,###,##0.00</c:formatCode>
                <c:ptCount val="23"/>
                <c:pt idx="0">
                  <c:v>-500</c:v>
                </c:pt>
                <c:pt idx="1">
                  <c:v>-900</c:v>
                </c:pt>
                <c:pt idx="2">
                  <c:v>3650</c:v>
                </c:pt>
                <c:pt idx="3">
                  <c:v>950</c:v>
                </c:pt>
                <c:pt idx="4">
                  <c:v>-4650</c:v>
                </c:pt>
                <c:pt idx="5">
                  <c:v>-390</c:v>
                </c:pt>
                <c:pt idx="6">
                  <c:v>5980</c:v>
                </c:pt>
                <c:pt idx="7">
                  <c:v>-2300</c:v>
                </c:pt>
                <c:pt idx="8">
                  <c:v>960</c:v>
                </c:pt>
                <c:pt idx="9">
                  <c:v>-500</c:v>
                </c:pt>
                <c:pt idx="10">
                  <c:v>-3400</c:v>
                </c:pt>
                <c:pt idx="11">
                  <c:v>-150</c:v>
                </c:pt>
                <c:pt idx="12">
                  <c:v>-250</c:v>
                </c:pt>
                <c:pt idx="13">
                  <c:v>0</c:v>
                </c:pt>
                <c:pt idx="14">
                  <c:v>0</c:v>
                </c:pt>
                <c:pt idx="15">
                  <c:v>0</c:v>
                </c:pt>
                <c:pt idx="16">
                  <c:v>0</c:v>
                </c:pt>
                <c:pt idx="17">
                  <c:v>-100</c:v>
                </c:pt>
                <c:pt idx="18">
                  <c:v>100</c:v>
                </c:pt>
                <c:pt idx="19">
                  <c:v>0</c:v>
                </c:pt>
                <c:pt idx="20">
                  <c:v>100</c:v>
                </c:pt>
                <c:pt idx="21">
                  <c:v>-400</c:v>
                </c:pt>
                <c:pt idx="22">
                  <c:v>400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480540544"/>
        <c:axId val="480550912"/>
      </c:lineChart>
      <c:catAx>
        <c:axId val="4805405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0550912"/>
        <c:crosses val="autoZero"/>
        <c:auto val="0"/>
        <c:lblAlgn val="ctr"/>
        <c:lblOffset val="0"/>
        <c:tickMarkSkip val="2"/>
        <c:noMultiLvlLbl val="0"/>
      </c:catAx>
      <c:valAx>
        <c:axId val="48055091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054054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44330</c:v>
                </c:pt>
                <c:pt idx="1">
                  <c:v>44329</c:v>
                </c:pt>
                <c:pt idx="2">
                  <c:v>44328</c:v>
                </c:pt>
                <c:pt idx="3">
                  <c:v>44327</c:v>
                </c:pt>
                <c:pt idx="4">
                  <c:v>44326</c:v>
                </c:pt>
                <c:pt idx="5">
                  <c:v>44324</c:v>
                </c:pt>
                <c:pt idx="6">
                  <c:v>44323</c:v>
                </c:pt>
                <c:pt idx="7">
                  <c:v>44322</c:v>
                </c:pt>
                <c:pt idx="8">
                  <c:v>44316</c:v>
                </c:pt>
                <c:pt idx="9">
                  <c:v>44315</c:v>
                </c:pt>
                <c:pt idx="10">
                  <c:v>44314</c:v>
                </c:pt>
                <c:pt idx="11">
                  <c:v>44313</c:v>
                </c:pt>
                <c:pt idx="12">
                  <c:v>44312</c:v>
                </c:pt>
                <c:pt idx="13">
                  <c:v>44311</c:v>
                </c:pt>
                <c:pt idx="14">
                  <c:v>44309</c:v>
                </c:pt>
                <c:pt idx="15">
                  <c:v>44308</c:v>
                </c:pt>
                <c:pt idx="16">
                  <c:v>44307</c:v>
                </c:pt>
                <c:pt idx="17">
                  <c:v>44306</c:v>
                </c:pt>
                <c:pt idx="18">
                  <c:v>44305</c:v>
                </c:pt>
                <c:pt idx="19">
                  <c:v>44302</c:v>
                </c:pt>
                <c:pt idx="20">
                  <c:v>44301</c:v>
                </c:pt>
                <c:pt idx="21">
                  <c:v>44300</c:v>
                </c:pt>
                <c:pt idx="22">
                  <c:v>44299</c:v>
                </c:pt>
                <c:pt idx="23">
                  <c:v>44298</c:v>
                </c:pt>
                <c:pt idx="24">
                  <c:v>44295</c:v>
                </c:pt>
                <c:pt idx="25">
                  <c:v>44294</c:v>
                </c:pt>
                <c:pt idx="26">
                  <c:v>44293</c:v>
                </c:pt>
                <c:pt idx="27">
                  <c:v>44292</c:v>
                </c:pt>
                <c:pt idx="28">
                  <c:v>44288</c:v>
                </c:pt>
                <c:pt idx="29">
                  <c:v>44287</c:v>
                </c:pt>
                <c:pt idx="30">
                  <c:v>44286</c:v>
                </c:pt>
                <c:pt idx="31">
                  <c:v>44285</c:v>
                </c:pt>
                <c:pt idx="32">
                  <c:v>44284</c:v>
                </c:pt>
                <c:pt idx="33">
                  <c:v>44281</c:v>
                </c:pt>
                <c:pt idx="34">
                  <c:v>44280</c:v>
                </c:pt>
                <c:pt idx="35">
                  <c:v>44279</c:v>
                </c:pt>
                <c:pt idx="36">
                  <c:v>44278</c:v>
                </c:pt>
                <c:pt idx="37">
                  <c:v>44277</c:v>
                </c:pt>
                <c:pt idx="38">
                  <c:v>44274</c:v>
                </c:pt>
                <c:pt idx="39">
                  <c:v>44273</c:v>
                </c:pt>
                <c:pt idx="40">
                  <c:v>44272</c:v>
                </c:pt>
                <c:pt idx="41">
                  <c:v>44271</c:v>
                </c:pt>
                <c:pt idx="42">
                  <c:v>44270</c:v>
                </c:pt>
                <c:pt idx="43">
                  <c:v>44267</c:v>
                </c:pt>
                <c:pt idx="44">
                  <c:v>44266</c:v>
                </c:pt>
                <c:pt idx="45">
                  <c:v>44265</c:v>
                </c:pt>
                <c:pt idx="46">
                  <c:v>44264</c:v>
                </c:pt>
                <c:pt idx="47">
                  <c:v>44263</c:v>
                </c:pt>
                <c:pt idx="48">
                  <c:v>44260</c:v>
                </c:pt>
                <c:pt idx="49">
                  <c:v>44259</c:v>
                </c:pt>
                <c:pt idx="50">
                  <c:v>44258</c:v>
                </c:pt>
                <c:pt idx="51">
                  <c:v>44257</c:v>
                </c:pt>
                <c:pt idx="52">
                  <c:v>44256</c:v>
                </c:pt>
                <c:pt idx="53">
                  <c:v>44253</c:v>
                </c:pt>
                <c:pt idx="54">
                  <c:v>44252</c:v>
                </c:pt>
                <c:pt idx="55">
                  <c:v>44251</c:v>
                </c:pt>
                <c:pt idx="56">
                  <c:v>44250</c:v>
                </c:pt>
                <c:pt idx="57">
                  <c:v>44249</c:v>
                </c:pt>
                <c:pt idx="58">
                  <c:v>44247</c:v>
                </c:pt>
              </c:numCache>
            </c:numRef>
          </c:cat>
          <c:val>
            <c:numRef>
              <c:f>资金!$B$3:$B$61</c:f>
              <c:numCache>
                <c:formatCode>###,###,###,###,##0.0000</c:formatCode>
                <c:ptCount val="59"/>
                <c:pt idx="0">
                  <c:v>1.8376999999999999</c:v>
                </c:pt>
                <c:pt idx="1">
                  <c:v>1.9856</c:v>
                </c:pt>
                <c:pt idx="2">
                  <c:v>1.9772000000000001</c:v>
                </c:pt>
                <c:pt idx="3">
                  <c:v>1.9589000000000001</c:v>
                </c:pt>
                <c:pt idx="4">
                  <c:v>1.6997</c:v>
                </c:pt>
                <c:pt idx="5">
                  <c:v>1.4749000000000001</c:v>
                </c:pt>
                <c:pt idx="6">
                  <c:v>1.7567999999999999</c:v>
                </c:pt>
                <c:pt idx="7">
                  <c:v>2.1004999999999998</c:v>
                </c:pt>
                <c:pt idx="8">
                  <c:v>2.3130000000000002</c:v>
                </c:pt>
                <c:pt idx="9">
                  <c:v>1.8532</c:v>
                </c:pt>
                <c:pt idx="10">
                  <c:v>1.8116000000000001</c:v>
                </c:pt>
                <c:pt idx="11">
                  <c:v>1.8314999999999999</c:v>
                </c:pt>
                <c:pt idx="12">
                  <c:v>2.0872999999999999</c:v>
                </c:pt>
                <c:pt idx="13">
                  <c:v>2.0192000000000001</c:v>
                </c:pt>
                <c:pt idx="14">
                  <c:v>1.9596</c:v>
                </c:pt>
                <c:pt idx="15">
                  <c:v>2.1551999999999998</c:v>
                </c:pt>
                <c:pt idx="16">
                  <c:v>1.9048</c:v>
                </c:pt>
                <c:pt idx="17">
                  <c:v>1.873</c:v>
                </c:pt>
                <c:pt idx="18">
                  <c:v>2.1116999999999999</c:v>
                </c:pt>
                <c:pt idx="19">
                  <c:v>1.9665999999999999</c:v>
                </c:pt>
                <c:pt idx="20">
                  <c:v>1.8460000000000001</c:v>
                </c:pt>
                <c:pt idx="21">
                  <c:v>1.8394999999999999</c:v>
                </c:pt>
                <c:pt idx="22">
                  <c:v>1.8163</c:v>
                </c:pt>
                <c:pt idx="23">
                  <c:v>1.8184</c:v>
                </c:pt>
                <c:pt idx="24">
                  <c:v>1.8128</c:v>
                </c:pt>
                <c:pt idx="25">
                  <c:v>1.7882</c:v>
                </c:pt>
                <c:pt idx="26">
                  <c:v>1.8531</c:v>
                </c:pt>
                <c:pt idx="27">
                  <c:v>1.8081</c:v>
                </c:pt>
                <c:pt idx="28">
                  <c:v>1.7512000000000001</c:v>
                </c:pt>
                <c:pt idx="29">
                  <c:v>2.1960000000000002</c:v>
                </c:pt>
                <c:pt idx="30">
                  <c:v>2.3929</c:v>
                </c:pt>
                <c:pt idx="31">
                  <c:v>1.8808</c:v>
                </c:pt>
                <c:pt idx="32">
                  <c:v>1.8393999999999999</c:v>
                </c:pt>
                <c:pt idx="33">
                  <c:v>1.8057000000000001</c:v>
                </c:pt>
                <c:pt idx="34">
                  <c:v>2.0571999999999999</c:v>
                </c:pt>
                <c:pt idx="35">
                  <c:v>1.8817999999999999</c:v>
                </c:pt>
                <c:pt idx="36">
                  <c:v>2.0042</c:v>
                </c:pt>
                <c:pt idx="37">
                  <c:v>2.0869</c:v>
                </c:pt>
                <c:pt idx="38">
                  <c:v>2.1583999999999999</c:v>
                </c:pt>
                <c:pt idx="39">
                  <c:v>2.2496999999999998</c:v>
                </c:pt>
                <c:pt idx="40">
                  <c:v>2.024</c:v>
                </c:pt>
                <c:pt idx="41">
                  <c:v>2.1652</c:v>
                </c:pt>
                <c:pt idx="42">
                  <c:v>2.2884000000000002</c:v>
                </c:pt>
                <c:pt idx="43">
                  <c:v>1.8247</c:v>
                </c:pt>
                <c:pt idx="44">
                  <c:v>1.8349</c:v>
                </c:pt>
                <c:pt idx="45">
                  <c:v>1.7825</c:v>
                </c:pt>
                <c:pt idx="46">
                  <c:v>2.0304000000000002</c:v>
                </c:pt>
                <c:pt idx="47">
                  <c:v>1.7479</c:v>
                </c:pt>
                <c:pt idx="48">
                  <c:v>1.6113999999999999</c:v>
                </c:pt>
                <c:pt idx="49">
                  <c:v>1.9486000000000001</c:v>
                </c:pt>
                <c:pt idx="50">
                  <c:v>1.532</c:v>
                </c:pt>
                <c:pt idx="51">
                  <c:v>1.8036000000000001</c:v>
                </c:pt>
                <c:pt idx="52">
                  <c:v>2.1819999999999999</c:v>
                </c:pt>
                <c:pt idx="53">
                  <c:v>2.2122000000000002</c:v>
                </c:pt>
                <c:pt idx="54">
                  <c:v>1.7466999999999999</c:v>
                </c:pt>
                <c:pt idx="55">
                  <c:v>1.5522</c:v>
                </c:pt>
                <c:pt idx="56">
                  <c:v>1.9908999999999999</c:v>
                </c:pt>
                <c:pt idx="57">
                  <c:v>1.5585</c:v>
                </c:pt>
                <c:pt idx="58">
                  <c:v>1.4419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44330</c:v>
                </c:pt>
                <c:pt idx="1">
                  <c:v>44329</c:v>
                </c:pt>
                <c:pt idx="2">
                  <c:v>44328</c:v>
                </c:pt>
                <c:pt idx="3">
                  <c:v>44327</c:v>
                </c:pt>
                <c:pt idx="4">
                  <c:v>44326</c:v>
                </c:pt>
                <c:pt idx="5">
                  <c:v>44324</c:v>
                </c:pt>
                <c:pt idx="6">
                  <c:v>44323</c:v>
                </c:pt>
                <c:pt idx="7">
                  <c:v>44322</c:v>
                </c:pt>
                <c:pt idx="8">
                  <c:v>44316</c:v>
                </c:pt>
                <c:pt idx="9">
                  <c:v>44315</c:v>
                </c:pt>
                <c:pt idx="10">
                  <c:v>44314</c:v>
                </c:pt>
                <c:pt idx="11">
                  <c:v>44313</c:v>
                </c:pt>
                <c:pt idx="12">
                  <c:v>44312</c:v>
                </c:pt>
                <c:pt idx="13">
                  <c:v>44311</c:v>
                </c:pt>
                <c:pt idx="14">
                  <c:v>44309</c:v>
                </c:pt>
                <c:pt idx="15">
                  <c:v>44308</c:v>
                </c:pt>
                <c:pt idx="16">
                  <c:v>44307</c:v>
                </c:pt>
                <c:pt idx="17">
                  <c:v>44306</c:v>
                </c:pt>
                <c:pt idx="18">
                  <c:v>44305</c:v>
                </c:pt>
                <c:pt idx="19">
                  <c:v>44302</c:v>
                </c:pt>
                <c:pt idx="20">
                  <c:v>44301</c:v>
                </c:pt>
                <c:pt idx="21">
                  <c:v>44300</c:v>
                </c:pt>
                <c:pt idx="22">
                  <c:v>44299</c:v>
                </c:pt>
                <c:pt idx="23">
                  <c:v>44298</c:v>
                </c:pt>
                <c:pt idx="24">
                  <c:v>44295</c:v>
                </c:pt>
                <c:pt idx="25">
                  <c:v>44294</c:v>
                </c:pt>
                <c:pt idx="26">
                  <c:v>44293</c:v>
                </c:pt>
                <c:pt idx="27">
                  <c:v>44292</c:v>
                </c:pt>
                <c:pt idx="28">
                  <c:v>44288</c:v>
                </c:pt>
                <c:pt idx="29">
                  <c:v>44287</c:v>
                </c:pt>
                <c:pt idx="30">
                  <c:v>44286</c:v>
                </c:pt>
                <c:pt idx="31">
                  <c:v>44285</c:v>
                </c:pt>
                <c:pt idx="32">
                  <c:v>44284</c:v>
                </c:pt>
                <c:pt idx="33">
                  <c:v>44281</c:v>
                </c:pt>
                <c:pt idx="34">
                  <c:v>44280</c:v>
                </c:pt>
                <c:pt idx="35">
                  <c:v>44279</c:v>
                </c:pt>
                <c:pt idx="36">
                  <c:v>44278</c:v>
                </c:pt>
                <c:pt idx="37">
                  <c:v>44277</c:v>
                </c:pt>
                <c:pt idx="38">
                  <c:v>44274</c:v>
                </c:pt>
                <c:pt idx="39">
                  <c:v>44273</c:v>
                </c:pt>
                <c:pt idx="40">
                  <c:v>44272</c:v>
                </c:pt>
                <c:pt idx="41">
                  <c:v>44271</c:v>
                </c:pt>
                <c:pt idx="42">
                  <c:v>44270</c:v>
                </c:pt>
                <c:pt idx="43">
                  <c:v>44267</c:v>
                </c:pt>
                <c:pt idx="44">
                  <c:v>44266</c:v>
                </c:pt>
                <c:pt idx="45">
                  <c:v>44265</c:v>
                </c:pt>
                <c:pt idx="46">
                  <c:v>44264</c:v>
                </c:pt>
                <c:pt idx="47">
                  <c:v>44263</c:v>
                </c:pt>
                <c:pt idx="48">
                  <c:v>44260</c:v>
                </c:pt>
                <c:pt idx="49">
                  <c:v>44259</c:v>
                </c:pt>
                <c:pt idx="50">
                  <c:v>44258</c:v>
                </c:pt>
                <c:pt idx="51">
                  <c:v>44257</c:v>
                </c:pt>
                <c:pt idx="52">
                  <c:v>44256</c:v>
                </c:pt>
                <c:pt idx="53">
                  <c:v>44253</c:v>
                </c:pt>
                <c:pt idx="54">
                  <c:v>44252</c:v>
                </c:pt>
                <c:pt idx="55">
                  <c:v>44251</c:v>
                </c:pt>
                <c:pt idx="56">
                  <c:v>44250</c:v>
                </c:pt>
                <c:pt idx="57">
                  <c:v>44249</c:v>
                </c:pt>
                <c:pt idx="58">
                  <c:v>44247</c:v>
                </c:pt>
              </c:numCache>
            </c:numRef>
          </c:cat>
          <c:val>
            <c:numRef>
              <c:f>资金!$C$3:$C$61</c:f>
              <c:numCache>
                <c:formatCode>###,###,###,###,##0.0000</c:formatCode>
                <c:ptCount val="59"/>
                <c:pt idx="0">
                  <c:v>2.0255000000000001</c:v>
                </c:pt>
                <c:pt idx="1">
                  <c:v>2.0687000000000002</c:v>
                </c:pt>
                <c:pt idx="2">
                  <c:v>1.9994000000000001</c:v>
                </c:pt>
                <c:pt idx="3">
                  <c:v>1.9733000000000001</c:v>
                </c:pt>
                <c:pt idx="4">
                  <c:v>1.9528000000000001</c:v>
                </c:pt>
                <c:pt idx="5">
                  <c:v>1.821</c:v>
                </c:pt>
                <c:pt idx="6">
                  <c:v>1.9728000000000001</c:v>
                </c:pt>
                <c:pt idx="7">
                  <c:v>2.1395</c:v>
                </c:pt>
                <c:pt idx="8">
                  <c:v>2.3769</c:v>
                </c:pt>
                <c:pt idx="9">
                  <c:v>2.3264999999999998</c:v>
                </c:pt>
                <c:pt idx="10">
                  <c:v>2.2690000000000001</c:v>
                </c:pt>
                <c:pt idx="11">
                  <c:v>2.2949999999999999</c:v>
                </c:pt>
                <c:pt idx="12">
                  <c:v>2.3549000000000002</c:v>
                </c:pt>
                <c:pt idx="13">
                  <c:v>2.2372000000000001</c:v>
                </c:pt>
                <c:pt idx="14">
                  <c:v>2.1141000000000001</c:v>
                </c:pt>
                <c:pt idx="15">
                  <c:v>2.1456</c:v>
                </c:pt>
                <c:pt idx="16">
                  <c:v>2.0910000000000002</c:v>
                </c:pt>
                <c:pt idx="17">
                  <c:v>2.2360000000000002</c:v>
                </c:pt>
                <c:pt idx="18">
                  <c:v>2.3254000000000001</c:v>
                </c:pt>
                <c:pt idx="19">
                  <c:v>2.1677</c:v>
                </c:pt>
                <c:pt idx="20">
                  <c:v>2.0480999999999998</c:v>
                </c:pt>
                <c:pt idx="21">
                  <c:v>1.9805999999999999</c:v>
                </c:pt>
                <c:pt idx="22">
                  <c:v>1.9778</c:v>
                </c:pt>
                <c:pt idx="23">
                  <c:v>1.982</c:v>
                </c:pt>
                <c:pt idx="24">
                  <c:v>1.9272</c:v>
                </c:pt>
                <c:pt idx="25">
                  <c:v>1.9629000000000001</c:v>
                </c:pt>
                <c:pt idx="26">
                  <c:v>1.9476</c:v>
                </c:pt>
                <c:pt idx="27">
                  <c:v>1.9693000000000001</c:v>
                </c:pt>
                <c:pt idx="28">
                  <c:v>2.0823999999999998</c:v>
                </c:pt>
                <c:pt idx="29">
                  <c:v>2.2355999999999998</c:v>
                </c:pt>
                <c:pt idx="30">
                  <c:v>2.6713</c:v>
                </c:pt>
                <c:pt idx="31">
                  <c:v>2.4952000000000001</c:v>
                </c:pt>
                <c:pt idx="32">
                  <c:v>2.4664000000000001</c:v>
                </c:pt>
                <c:pt idx="33">
                  <c:v>2.4746000000000001</c:v>
                </c:pt>
                <c:pt idx="34">
                  <c:v>2.4559000000000002</c:v>
                </c:pt>
                <c:pt idx="35">
                  <c:v>1.9964</c:v>
                </c:pt>
                <c:pt idx="36">
                  <c:v>2.1162000000000001</c:v>
                </c:pt>
                <c:pt idx="37">
                  <c:v>2.1791</c:v>
                </c:pt>
                <c:pt idx="38">
                  <c:v>2.1913999999999998</c:v>
                </c:pt>
                <c:pt idx="39">
                  <c:v>2.1907999999999999</c:v>
                </c:pt>
                <c:pt idx="40">
                  <c:v>2.1332</c:v>
                </c:pt>
                <c:pt idx="41">
                  <c:v>2.302</c:v>
                </c:pt>
                <c:pt idx="42">
                  <c:v>2.3008000000000002</c:v>
                </c:pt>
                <c:pt idx="43">
                  <c:v>2.0649999999999999</c:v>
                </c:pt>
                <c:pt idx="44">
                  <c:v>2.0508999999999999</c:v>
                </c:pt>
                <c:pt idx="45">
                  <c:v>2.0379</c:v>
                </c:pt>
                <c:pt idx="46">
                  <c:v>2.0366</c:v>
                </c:pt>
                <c:pt idx="47">
                  <c:v>2.0465</c:v>
                </c:pt>
                <c:pt idx="48">
                  <c:v>1.9971000000000001</c:v>
                </c:pt>
                <c:pt idx="49">
                  <c:v>2.0945999999999998</c:v>
                </c:pt>
                <c:pt idx="50">
                  <c:v>1.9888999999999999</c:v>
                </c:pt>
                <c:pt idx="51">
                  <c:v>2.1551999999999998</c:v>
                </c:pt>
                <c:pt idx="52">
                  <c:v>2.2427000000000001</c:v>
                </c:pt>
                <c:pt idx="53">
                  <c:v>2.3666999999999998</c:v>
                </c:pt>
                <c:pt idx="54">
                  <c:v>2.2989999999999999</c:v>
                </c:pt>
                <c:pt idx="55">
                  <c:v>2.3325999999999998</c:v>
                </c:pt>
                <c:pt idx="56">
                  <c:v>2.4706999999999999</c:v>
                </c:pt>
                <c:pt idx="57">
                  <c:v>2.4460999999999999</c:v>
                </c:pt>
                <c:pt idx="58">
                  <c:v>2.0444</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519908352"/>
        <c:axId val="519910144"/>
      </c:lineChart>
      <c:dateAx>
        <c:axId val="51990835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19910144"/>
        <c:crosses val="autoZero"/>
        <c:auto val="0"/>
        <c:lblOffset val="0"/>
        <c:baseTimeUnit val="days"/>
        <c:majorUnit val="14"/>
        <c:majorTimeUnit val="days"/>
        <c:minorUnit val="7"/>
        <c:minorTimeUnit val="days"/>
      </c:dateAx>
      <c:valAx>
        <c:axId val="51991014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1990835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1.0099999999999998</c:v>
                </c:pt>
                <c:pt idx="1">
                  <c:v>2.6900000000000146</c:v>
                </c:pt>
                <c:pt idx="2">
                  <c:v>1.0699999999999932</c:v>
                </c:pt>
                <c:pt idx="3">
                  <c:v>1.2900000000000134</c:v>
                </c:pt>
                <c:pt idx="4">
                  <c:v>-1.9999999999997797E-2</c:v>
                </c:pt>
                <c:pt idx="5">
                  <c:v>-4.3200000000000127</c:v>
                </c:pt>
                <c:pt idx="6">
                  <c:v>-1.6000000000000014</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519954816"/>
        <c:axId val="51995673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1.6428</c:v>
                </c:pt>
                <c:pt idx="1">
                  <c:v>1.8842000000000001</c:v>
                </c:pt>
                <c:pt idx="2">
                  <c:v>2.33</c:v>
                </c:pt>
                <c:pt idx="3">
                  <c:v>2.7475000000000001</c:v>
                </c:pt>
                <c:pt idx="4">
                  <c:v>2.9367000000000001</c:v>
                </c:pt>
                <c:pt idx="5">
                  <c:v>3.0901000000000001</c:v>
                </c:pt>
                <c:pt idx="6">
                  <c:v>3.1421999999999999</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1.6327</c:v>
                </c:pt>
                <c:pt idx="1">
                  <c:v>1.8573</c:v>
                </c:pt>
                <c:pt idx="2">
                  <c:v>2.3193000000000001</c:v>
                </c:pt>
                <c:pt idx="3">
                  <c:v>2.7345999999999999</c:v>
                </c:pt>
                <c:pt idx="4">
                  <c:v>2.9369000000000001</c:v>
                </c:pt>
                <c:pt idx="5">
                  <c:v>3.1333000000000002</c:v>
                </c:pt>
                <c:pt idx="6">
                  <c:v>3.1581999999999999</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517289472"/>
        <c:axId val="517287936"/>
      </c:lineChart>
      <c:dateAx>
        <c:axId val="51995481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19956736"/>
        <c:crosses val="autoZero"/>
        <c:auto val="0"/>
        <c:lblOffset val="0"/>
        <c:baseTimeUnit val="days"/>
      </c:dateAx>
      <c:valAx>
        <c:axId val="51995673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19954816"/>
        <c:crosses val="autoZero"/>
        <c:crossBetween val="between"/>
      </c:valAx>
      <c:valAx>
        <c:axId val="517287936"/>
        <c:scaling>
          <c:orientation val="minMax"/>
        </c:scaling>
        <c:delete val="0"/>
        <c:axPos val="r"/>
        <c:numFmt formatCode="#,##0.0_);[Red]\(#,##0.0\)" sourceLinked="0"/>
        <c:majorTickMark val="out"/>
        <c:minorTickMark val="none"/>
        <c:tickLblPos val="nextTo"/>
        <c:spPr>
          <a:ln w="3175">
            <a:solidFill>
              <a:sysClr val="windowText" lastClr="000000"/>
            </a:solidFill>
          </a:ln>
        </c:spPr>
        <c:crossAx val="517289472"/>
        <c:crosses val="max"/>
        <c:crossBetween val="between"/>
      </c:valAx>
      <c:dateAx>
        <c:axId val="517289472"/>
        <c:scaling>
          <c:orientation val="minMax"/>
        </c:scaling>
        <c:delete val="1"/>
        <c:axPos val="b"/>
        <c:numFmt formatCode="General" sourceLinked="1"/>
        <c:majorTickMark val="out"/>
        <c:minorTickMark val="none"/>
        <c:tickLblPos val="nextTo"/>
        <c:crossAx val="517287936"/>
        <c:crosses val="autoZero"/>
        <c:auto val="0"/>
        <c:lblOffset val="100"/>
        <c:baseTimeUnit val="years"/>
      </c:dateAx>
    </c:plotArea>
    <c:legend>
      <c:legendPos val="r"/>
      <c:layout>
        <c:manualLayout>
          <c:xMode val="edge"/>
          <c:yMode val="edge"/>
          <c:x val="0.11413871805088516"/>
          <c:y val="2.3339507353172008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5.909999999999993</c:v>
                </c:pt>
                <c:pt idx="1">
                  <c:v>1.1399999999999855</c:v>
                </c:pt>
                <c:pt idx="2">
                  <c:v>3.6699999999999733</c:v>
                </c:pt>
                <c:pt idx="3">
                  <c:v>-0.66999999999999282</c:v>
                </c:pt>
                <c:pt idx="4">
                  <c:v>-1.5299999999999869</c:v>
                </c:pt>
                <c:pt idx="5">
                  <c:v>-0.26999999999999247</c:v>
                </c:pt>
                <c:pt idx="6">
                  <c:v>1.0000000000021103E-2</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519706112"/>
        <c:axId val="51970803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1.6973</c:v>
                </c:pt>
                <c:pt idx="1">
                  <c:v>1.9263999999999999</c:v>
                </c:pt>
                <c:pt idx="2">
                  <c:v>2.5400999999999998</c:v>
                </c:pt>
                <c:pt idx="3">
                  <c:v>3.0918000000000001</c:v>
                </c:pt>
                <c:pt idx="4">
                  <c:v>3.2707000000000002</c:v>
                </c:pt>
                <c:pt idx="5">
                  <c:v>3.4302999999999999</c:v>
                </c:pt>
                <c:pt idx="6">
                  <c:v>3.5409000000000002</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1.6382000000000001</c:v>
                </c:pt>
                <c:pt idx="1">
                  <c:v>1.915</c:v>
                </c:pt>
                <c:pt idx="2">
                  <c:v>2.5034000000000001</c:v>
                </c:pt>
                <c:pt idx="3">
                  <c:v>3.0985</c:v>
                </c:pt>
                <c:pt idx="4">
                  <c:v>3.286</c:v>
                </c:pt>
                <c:pt idx="5">
                  <c:v>3.4329999999999998</c:v>
                </c:pt>
                <c:pt idx="6">
                  <c:v>3.5407999999999999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519727744"/>
        <c:axId val="519726208"/>
      </c:lineChart>
      <c:dateAx>
        <c:axId val="51970611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19708032"/>
        <c:crosses val="autoZero"/>
        <c:auto val="0"/>
        <c:lblOffset val="0"/>
        <c:baseTimeUnit val="days"/>
      </c:dateAx>
      <c:valAx>
        <c:axId val="51970803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19706112"/>
        <c:crosses val="autoZero"/>
        <c:crossBetween val="between"/>
      </c:valAx>
      <c:valAx>
        <c:axId val="519726208"/>
        <c:scaling>
          <c:orientation val="minMax"/>
        </c:scaling>
        <c:delete val="0"/>
        <c:axPos val="r"/>
        <c:numFmt formatCode="#,##0.0_);[Red]\(#,##0.0\)" sourceLinked="0"/>
        <c:majorTickMark val="out"/>
        <c:minorTickMark val="none"/>
        <c:tickLblPos val="nextTo"/>
        <c:spPr>
          <a:ln w="3175">
            <a:solidFill>
              <a:sysClr val="windowText" lastClr="000000"/>
            </a:solidFill>
          </a:ln>
        </c:spPr>
        <c:crossAx val="519727744"/>
        <c:crosses val="max"/>
        <c:crossBetween val="between"/>
      </c:valAx>
      <c:dateAx>
        <c:axId val="519727744"/>
        <c:scaling>
          <c:orientation val="minMax"/>
        </c:scaling>
        <c:delete val="1"/>
        <c:axPos val="b"/>
        <c:numFmt formatCode="General" sourceLinked="1"/>
        <c:majorTickMark val="out"/>
        <c:minorTickMark val="none"/>
        <c:tickLblPos val="nextTo"/>
        <c:crossAx val="519726208"/>
        <c:crosses val="autoZero"/>
        <c:auto val="0"/>
        <c:lblOffset val="100"/>
        <c:baseTimeUnit val="years"/>
      </c:dateAx>
    </c:plotArea>
    <c:legend>
      <c:legendPos val="r"/>
      <c:layout>
        <c:manualLayout>
          <c:xMode val="edge"/>
          <c:yMode val="edge"/>
          <c:x val="0.13530800708361262"/>
          <c:y val="2.333785928964494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44330</c:v>
                </c:pt>
                <c:pt idx="1">
                  <c:v>44323</c:v>
                </c:pt>
                <c:pt idx="2">
                  <c:v>44316</c:v>
                </c:pt>
                <c:pt idx="3">
                  <c:v>44309</c:v>
                </c:pt>
                <c:pt idx="4">
                  <c:v>44302</c:v>
                </c:pt>
                <c:pt idx="5">
                  <c:v>44295</c:v>
                </c:pt>
                <c:pt idx="6">
                  <c:v>44288</c:v>
                </c:pt>
                <c:pt idx="7">
                  <c:v>44281</c:v>
                </c:pt>
                <c:pt idx="8">
                  <c:v>44274</c:v>
                </c:pt>
                <c:pt idx="9">
                  <c:v>44267</c:v>
                </c:pt>
                <c:pt idx="10">
                  <c:v>44260</c:v>
                </c:pt>
                <c:pt idx="11">
                  <c:v>44253</c:v>
                </c:pt>
                <c:pt idx="12">
                  <c:v>44246</c:v>
                </c:pt>
                <c:pt idx="13">
                  <c:v>44237</c:v>
                </c:pt>
                <c:pt idx="14">
                  <c:v>44232</c:v>
                </c:pt>
                <c:pt idx="15">
                  <c:v>44225</c:v>
                </c:pt>
                <c:pt idx="16">
                  <c:v>44218</c:v>
                </c:pt>
                <c:pt idx="17">
                  <c:v>44211</c:v>
                </c:pt>
                <c:pt idx="18">
                  <c:v>44204</c:v>
                </c:pt>
                <c:pt idx="19">
                  <c:v>44196</c:v>
                </c:pt>
                <c:pt idx="20">
                  <c:v>44190</c:v>
                </c:pt>
                <c:pt idx="21">
                  <c:v>44183</c:v>
                </c:pt>
                <c:pt idx="22">
                  <c:v>44176</c:v>
                </c:pt>
                <c:pt idx="23">
                  <c:v>44169</c:v>
                </c:pt>
              </c:numCache>
            </c:numRef>
          </c:cat>
          <c:val>
            <c:numRef>
              <c:f>转债!$H$5:$H$28</c:f>
              <c:numCache>
                <c:formatCode>General</c:formatCode>
                <c:ptCount val="24"/>
                <c:pt idx="0">
                  <c:v>1.8327528039798091</c:v>
                </c:pt>
                <c:pt idx="1">
                  <c:v>0.941078145041363</c:v>
                </c:pt>
                <c:pt idx="2">
                  <c:v>0.65617477181036943</c:v>
                </c:pt>
                <c:pt idx="3">
                  <c:v>0.6580717789564039</c:v>
                </c:pt>
                <c:pt idx="4">
                  <c:v>-6.2736736329283005E-2</c:v>
                </c:pt>
                <c:pt idx="5">
                  <c:v>0.22100133251201637</c:v>
                </c:pt>
                <c:pt idx="6">
                  <c:v>-0.15246517433630258</c:v>
                </c:pt>
                <c:pt idx="7">
                  <c:v>-0.73414176551203081</c:v>
                </c:pt>
                <c:pt idx="8">
                  <c:v>-0.1643892192541907</c:v>
                </c:pt>
                <c:pt idx="9">
                  <c:v>-0.17972787703491866</c:v>
                </c:pt>
                <c:pt idx="10">
                  <c:v>-0.49663647082959228</c:v>
                </c:pt>
                <c:pt idx="11">
                  <c:v>-0.96457393355000587</c:v>
                </c:pt>
                <c:pt idx="12">
                  <c:v>0.54143293957789052</c:v>
                </c:pt>
                <c:pt idx="13">
                  <c:v>-1.1086109761375473</c:v>
                </c:pt>
                <c:pt idx="14">
                  <c:v>-3.860111441039793</c:v>
                </c:pt>
                <c:pt idx="15">
                  <c:v>-1.6335670536470892</c:v>
                </c:pt>
                <c:pt idx="16">
                  <c:v>2.2525604853953496</c:v>
                </c:pt>
                <c:pt idx="17">
                  <c:v>1.3221597805759044</c:v>
                </c:pt>
                <c:pt idx="18">
                  <c:v>1.3650321420760836</c:v>
                </c:pt>
                <c:pt idx="19">
                  <c:v>-0.18989041531719542</c:v>
                </c:pt>
                <c:pt idx="20">
                  <c:v>-1.3663600470782966</c:v>
                </c:pt>
                <c:pt idx="21">
                  <c:v>-1.5398007004292391</c:v>
                </c:pt>
                <c:pt idx="22">
                  <c:v>-1.6961411893638645</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44330</c:v>
                </c:pt>
                <c:pt idx="1">
                  <c:v>44323</c:v>
                </c:pt>
                <c:pt idx="2">
                  <c:v>44316</c:v>
                </c:pt>
                <c:pt idx="3">
                  <c:v>44309</c:v>
                </c:pt>
                <c:pt idx="4">
                  <c:v>44302</c:v>
                </c:pt>
                <c:pt idx="5">
                  <c:v>44295</c:v>
                </c:pt>
                <c:pt idx="6">
                  <c:v>44288</c:v>
                </c:pt>
                <c:pt idx="7">
                  <c:v>44281</c:v>
                </c:pt>
                <c:pt idx="8">
                  <c:v>44274</c:v>
                </c:pt>
                <c:pt idx="9">
                  <c:v>44267</c:v>
                </c:pt>
                <c:pt idx="10">
                  <c:v>44260</c:v>
                </c:pt>
                <c:pt idx="11">
                  <c:v>44253</c:v>
                </c:pt>
                <c:pt idx="12">
                  <c:v>44246</c:v>
                </c:pt>
                <c:pt idx="13">
                  <c:v>44237</c:v>
                </c:pt>
                <c:pt idx="14">
                  <c:v>44232</c:v>
                </c:pt>
                <c:pt idx="15">
                  <c:v>44225</c:v>
                </c:pt>
                <c:pt idx="16">
                  <c:v>44218</c:v>
                </c:pt>
                <c:pt idx="17">
                  <c:v>44211</c:v>
                </c:pt>
                <c:pt idx="18">
                  <c:v>44204</c:v>
                </c:pt>
                <c:pt idx="19">
                  <c:v>44196</c:v>
                </c:pt>
                <c:pt idx="20">
                  <c:v>44190</c:v>
                </c:pt>
                <c:pt idx="21">
                  <c:v>44183</c:v>
                </c:pt>
                <c:pt idx="22">
                  <c:v>44176</c:v>
                </c:pt>
                <c:pt idx="23">
                  <c:v>44169</c:v>
                </c:pt>
              </c:numCache>
            </c:numRef>
          </c:cat>
          <c:val>
            <c:numRef>
              <c:f>转债!$I$5:$I$28</c:f>
              <c:numCache>
                <c:formatCode>General</c:formatCode>
                <c:ptCount val="24"/>
                <c:pt idx="0">
                  <c:v>1.1161529546105831</c:v>
                </c:pt>
                <c:pt idx="1">
                  <c:v>1.0257419136861179</c:v>
                </c:pt>
                <c:pt idx="2">
                  <c:v>0.96800544005883893</c:v>
                </c:pt>
                <c:pt idx="3">
                  <c:v>1.0077794552243002</c:v>
                </c:pt>
                <c:pt idx="4">
                  <c:v>0.87947618049704079</c:v>
                </c:pt>
                <c:pt idx="5">
                  <c:v>0.58343775794305053</c:v>
                </c:pt>
                <c:pt idx="6">
                  <c:v>0.61157894286656411</c:v>
                </c:pt>
                <c:pt idx="7">
                  <c:v>0.58446418414086487</c:v>
                </c:pt>
                <c:pt idx="8">
                  <c:v>0.4151038615008984</c:v>
                </c:pt>
                <c:pt idx="9">
                  <c:v>0.32879852536769061</c:v>
                </c:pt>
                <c:pt idx="10">
                  <c:v>0.31861979890599468</c:v>
                </c:pt>
                <c:pt idx="11">
                  <c:v>0.1688471095410593</c:v>
                </c:pt>
                <c:pt idx="12">
                  <c:v>0.19579079723377468</c:v>
                </c:pt>
                <c:pt idx="13">
                  <c:v>0.2708909807074722</c:v>
                </c:pt>
                <c:pt idx="14">
                  <c:v>0.28680058677363895</c:v>
                </c:pt>
                <c:pt idx="15">
                  <c:v>0.48147942229312957</c:v>
                </c:pt>
                <c:pt idx="16">
                  <c:v>0.86313889684843659</c:v>
                </c:pt>
                <c:pt idx="17">
                  <c:v>0.78786764234177742</c:v>
                </c:pt>
                <c:pt idx="18">
                  <c:v>0.79855958190240273</c:v>
                </c:pt>
                <c:pt idx="19">
                  <c:v>0.77349767557235438</c:v>
                </c:pt>
                <c:pt idx="20">
                  <c:v>0.49559278251312122</c:v>
                </c:pt>
                <c:pt idx="21">
                  <c:v>0.17397924053015323</c:v>
                </c:pt>
                <c:pt idx="22">
                  <c:v>4.3623113407265102E-2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44330</c:v>
                </c:pt>
                <c:pt idx="1">
                  <c:v>44323</c:v>
                </c:pt>
                <c:pt idx="2">
                  <c:v>44316</c:v>
                </c:pt>
                <c:pt idx="3">
                  <c:v>44309</c:v>
                </c:pt>
                <c:pt idx="4">
                  <c:v>44302</c:v>
                </c:pt>
                <c:pt idx="5">
                  <c:v>44295</c:v>
                </c:pt>
                <c:pt idx="6">
                  <c:v>44288</c:v>
                </c:pt>
                <c:pt idx="7">
                  <c:v>44281</c:v>
                </c:pt>
                <c:pt idx="8">
                  <c:v>44274</c:v>
                </c:pt>
                <c:pt idx="9">
                  <c:v>44267</c:v>
                </c:pt>
                <c:pt idx="10">
                  <c:v>44260</c:v>
                </c:pt>
                <c:pt idx="11">
                  <c:v>44253</c:v>
                </c:pt>
                <c:pt idx="12">
                  <c:v>44246</c:v>
                </c:pt>
                <c:pt idx="13">
                  <c:v>44237</c:v>
                </c:pt>
                <c:pt idx="14">
                  <c:v>44232</c:v>
                </c:pt>
                <c:pt idx="15">
                  <c:v>44225</c:v>
                </c:pt>
                <c:pt idx="16">
                  <c:v>44218</c:v>
                </c:pt>
                <c:pt idx="17">
                  <c:v>44211</c:v>
                </c:pt>
                <c:pt idx="18">
                  <c:v>44204</c:v>
                </c:pt>
                <c:pt idx="19">
                  <c:v>44196</c:v>
                </c:pt>
                <c:pt idx="20">
                  <c:v>44190</c:v>
                </c:pt>
                <c:pt idx="21">
                  <c:v>44183</c:v>
                </c:pt>
                <c:pt idx="22">
                  <c:v>44176</c:v>
                </c:pt>
                <c:pt idx="23">
                  <c:v>44169</c:v>
                </c:pt>
              </c:numCache>
            </c:numRef>
          </c:cat>
          <c:val>
            <c:numRef>
              <c:f>转债!$J$5:$J$28</c:f>
              <c:numCache>
                <c:formatCode>General</c:formatCode>
                <c:ptCount val="24"/>
                <c:pt idx="0">
                  <c:v>0.88185033771679411</c:v>
                </c:pt>
                <c:pt idx="1">
                  <c:v>-1.3790910836801618</c:v>
                </c:pt>
                <c:pt idx="2">
                  <c:v>1.1364715994222063</c:v>
                </c:pt>
                <c:pt idx="3">
                  <c:v>1.3726460502318405</c:v>
                </c:pt>
                <c:pt idx="4">
                  <c:v>-1.9687494639419989</c:v>
                </c:pt>
                <c:pt idx="5">
                  <c:v>-0.60362031642724467</c:v>
                </c:pt>
                <c:pt idx="6">
                  <c:v>1.8879230199677632</c:v>
                </c:pt>
                <c:pt idx="7">
                  <c:v>-0.55126058833621094</c:v>
                </c:pt>
                <c:pt idx="8">
                  <c:v>-1.1612035516654684</c:v>
                </c:pt>
                <c:pt idx="9">
                  <c:v>1.5883069366937619</c:v>
                </c:pt>
                <c:pt idx="10">
                  <c:v>3.8863551693501197</c:v>
                </c:pt>
                <c:pt idx="11">
                  <c:v>5.3464089013867122</c:v>
                </c:pt>
                <c:pt idx="12">
                  <c:v>14.072986164418078</c:v>
                </c:pt>
                <c:pt idx="13">
                  <c:v>14.643013347851808</c:v>
                </c:pt>
                <c:pt idx="14">
                  <c:v>8.2413067108905835</c:v>
                </c:pt>
                <c:pt idx="15">
                  <c:v>5.6465263747054184</c:v>
                </c:pt>
                <c:pt idx="16">
                  <c:v>9.9460723423322239</c:v>
                </c:pt>
                <c:pt idx="17">
                  <c:v>7.7412431784551927</c:v>
                </c:pt>
                <c:pt idx="18">
                  <c:v>8.4785115774613118</c:v>
                </c:pt>
                <c:pt idx="19">
                  <c:v>2.8696131438255224</c:v>
                </c:pt>
                <c:pt idx="20">
                  <c:v>-0.47183171976211691</c:v>
                </c:pt>
                <c:pt idx="21">
                  <c:v>-1.3018079276201133</c:v>
                </c:pt>
                <c:pt idx="22">
                  <c:v>-3.479866021473732</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520106368"/>
        <c:axId val="520107904"/>
      </c:lineChart>
      <c:dateAx>
        <c:axId val="5201063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520107904"/>
        <c:crosses val="autoZero"/>
        <c:auto val="0"/>
        <c:lblOffset val="0"/>
        <c:baseTimeUnit val="days"/>
        <c:majorUnit val="14"/>
        <c:majorTimeUnit val="days"/>
      </c:dateAx>
      <c:valAx>
        <c:axId val="52010790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010636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520145152"/>
        <c:axId val="520151040"/>
      </c:lineChart>
      <c:dateAx>
        <c:axId val="52014515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20151040"/>
        <c:crosses val="autoZero"/>
        <c:auto val="0"/>
        <c:lblOffset val="0"/>
        <c:baseTimeUnit val="days"/>
        <c:majorUnit val="1"/>
        <c:majorTimeUnit val="months"/>
      </c:dateAx>
      <c:valAx>
        <c:axId val="52015104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014515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519985408"/>
        <c:axId val="519987200"/>
      </c:lineChart>
      <c:dateAx>
        <c:axId val="5199854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19987200"/>
        <c:crosses val="autoZero"/>
        <c:auto val="0"/>
        <c:lblOffset val="0"/>
        <c:baseTimeUnit val="days"/>
        <c:majorUnit val="1"/>
        <c:majorTimeUnit val="months"/>
      </c:dateAx>
      <c:valAx>
        <c:axId val="51998720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199854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44331</c:v>
                </c:pt>
                <c:pt idx="1">
                  <c:v>44324</c:v>
                </c:pt>
                <c:pt idx="2">
                  <c:v>44317</c:v>
                </c:pt>
                <c:pt idx="3">
                  <c:v>44310</c:v>
                </c:pt>
                <c:pt idx="4">
                  <c:v>44303</c:v>
                </c:pt>
                <c:pt idx="5">
                  <c:v>44296</c:v>
                </c:pt>
                <c:pt idx="6">
                  <c:v>44289</c:v>
                </c:pt>
                <c:pt idx="7">
                  <c:v>44282</c:v>
                </c:pt>
                <c:pt idx="8">
                  <c:v>44275</c:v>
                </c:pt>
                <c:pt idx="9">
                  <c:v>44268</c:v>
                </c:pt>
                <c:pt idx="10">
                  <c:v>44261</c:v>
                </c:pt>
                <c:pt idx="11">
                  <c:v>44254</c:v>
                </c:pt>
                <c:pt idx="12">
                  <c:v>44247</c:v>
                </c:pt>
                <c:pt idx="13">
                  <c:v>44240</c:v>
                </c:pt>
                <c:pt idx="14">
                  <c:v>44233</c:v>
                </c:pt>
                <c:pt idx="15">
                  <c:v>44226</c:v>
                </c:pt>
                <c:pt idx="16">
                  <c:v>44219</c:v>
                </c:pt>
                <c:pt idx="17">
                  <c:v>44212</c:v>
                </c:pt>
                <c:pt idx="18">
                  <c:v>44205</c:v>
                </c:pt>
                <c:pt idx="19">
                  <c:v>44198</c:v>
                </c:pt>
                <c:pt idx="20">
                  <c:v>44191</c:v>
                </c:pt>
                <c:pt idx="21">
                  <c:v>44184</c:v>
                </c:pt>
                <c:pt idx="22">
                  <c:v>44177</c:v>
                </c:pt>
                <c:pt idx="23">
                  <c:v>44170</c:v>
                </c:pt>
                <c:pt idx="24">
                  <c:v>44163</c:v>
                </c:pt>
                <c:pt idx="25">
                  <c:v>44156</c:v>
                </c:pt>
              </c:numCache>
            </c:numRef>
          </c:cat>
          <c:val>
            <c:numRef>
              <c:f>汇率!$B$3:$B$28</c:f>
              <c:numCache>
                <c:formatCode>###,###,###,###,##0.00</c:formatCode>
                <c:ptCount val="26"/>
                <c:pt idx="0">
                  <c:v>6.4347000000000003</c:v>
                </c:pt>
                <c:pt idx="1">
                  <c:v>6.4588999999999999</c:v>
                </c:pt>
                <c:pt idx="2">
                  <c:v>6.4715999999999996</c:v>
                </c:pt>
                <c:pt idx="3">
                  <c:v>6.4935999999999998</c:v>
                </c:pt>
                <c:pt idx="4">
                  <c:v>6.5228000000000002</c:v>
                </c:pt>
                <c:pt idx="5">
                  <c:v>6.5589000000000004</c:v>
                </c:pt>
                <c:pt idx="6">
                  <c:v>6.5612000000000004</c:v>
                </c:pt>
                <c:pt idx="7">
                  <c:v>6.5407000000000002</c:v>
                </c:pt>
                <c:pt idx="8">
                  <c:v>6.5045000000000002</c:v>
                </c:pt>
                <c:pt idx="9">
                  <c:v>6.5035999999999996</c:v>
                </c:pt>
                <c:pt idx="10">
                  <c:v>6.4767999999999999</c:v>
                </c:pt>
                <c:pt idx="11">
                  <c:v>6.4589999999999996</c:v>
                </c:pt>
                <c:pt idx="12">
                  <c:v>6.4574999999999996</c:v>
                </c:pt>
                <c:pt idx="13">
                  <c:v>6.4379999999999997</c:v>
                </c:pt>
                <c:pt idx="14">
                  <c:v>6.4809999999999999</c:v>
                </c:pt>
                <c:pt idx="15">
                  <c:v>6.4611999999999998</c:v>
                </c:pt>
                <c:pt idx="16">
                  <c:v>6.4776999999999996</c:v>
                </c:pt>
                <c:pt idx="17">
                  <c:v>6.4752000000000001</c:v>
                </c:pt>
                <c:pt idx="18">
                  <c:v>6.4718999999999998</c:v>
                </c:pt>
                <c:pt idx="19">
                  <c:v>6.5397999999999996</c:v>
                </c:pt>
                <c:pt idx="20">
                  <c:v>6.5240999999999998</c:v>
                </c:pt>
                <c:pt idx="21">
                  <c:v>6.5415000000000001</c:v>
                </c:pt>
                <c:pt idx="22">
                  <c:v>6.5411000000000001</c:v>
                </c:pt>
                <c:pt idx="23">
                  <c:v>6.5301999999999998</c:v>
                </c:pt>
                <c:pt idx="24">
                  <c:v>6.5823</c:v>
                </c:pt>
                <c:pt idx="25">
                  <c:v>6.5713999999999997</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519768320"/>
        <c:axId val="519782400"/>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44331</c:v>
                </c:pt>
                <c:pt idx="1">
                  <c:v>44324</c:v>
                </c:pt>
                <c:pt idx="2">
                  <c:v>44317</c:v>
                </c:pt>
                <c:pt idx="3">
                  <c:v>44310</c:v>
                </c:pt>
                <c:pt idx="4">
                  <c:v>44303</c:v>
                </c:pt>
                <c:pt idx="5">
                  <c:v>44296</c:v>
                </c:pt>
                <c:pt idx="6">
                  <c:v>44289</c:v>
                </c:pt>
                <c:pt idx="7">
                  <c:v>44282</c:v>
                </c:pt>
                <c:pt idx="8">
                  <c:v>44275</c:v>
                </c:pt>
                <c:pt idx="9">
                  <c:v>44268</c:v>
                </c:pt>
                <c:pt idx="10">
                  <c:v>44261</c:v>
                </c:pt>
                <c:pt idx="11">
                  <c:v>44254</c:v>
                </c:pt>
                <c:pt idx="12">
                  <c:v>44247</c:v>
                </c:pt>
                <c:pt idx="13">
                  <c:v>44240</c:v>
                </c:pt>
                <c:pt idx="14">
                  <c:v>44233</c:v>
                </c:pt>
                <c:pt idx="15">
                  <c:v>44226</c:v>
                </c:pt>
                <c:pt idx="16">
                  <c:v>44219</c:v>
                </c:pt>
                <c:pt idx="17">
                  <c:v>44212</c:v>
                </c:pt>
                <c:pt idx="18">
                  <c:v>44205</c:v>
                </c:pt>
                <c:pt idx="19">
                  <c:v>44198</c:v>
                </c:pt>
                <c:pt idx="20">
                  <c:v>44191</c:v>
                </c:pt>
                <c:pt idx="21">
                  <c:v>44184</c:v>
                </c:pt>
                <c:pt idx="22">
                  <c:v>44177</c:v>
                </c:pt>
                <c:pt idx="23">
                  <c:v>44170</c:v>
                </c:pt>
                <c:pt idx="24">
                  <c:v>44163</c:v>
                </c:pt>
                <c:pt idx="25">
                  <c:v>44156</c:v>
                </c:pt>
              </c:numCache>
            </c:numRef>
          </c:cat>
          <c:val>
            <c:numRef>
              <c:f>汇率!$C$3:$C$28</c:f>
              <c:numCache>
                <c:formatCode>###,###,###,###,##0.00</c:formatCode>
                <c:ptCount val="26"/>
                <c:pt idx="0">
                  <c:v>151.22</c:v>
                </c:pt>
                <c:pt idx="1">
                  <c:v>155.88999999999999</c:v>
                </c:pt>
                <c:pt idx="2">
                  <c:v>151.40000000000003</c:v>
                </c:pt>
                <c:pt idx="3">
                  <c:v>159.19</c:v>
                </c:pt>
                <c:pt idx="4">
                  <c:v>157.31</c:v>
                </c:pt>
                <c:pt idx="5">
                  <c:v>154.21</c:v>
                </c:pt>
                <c:pt idx="6">
                  <c:v>148.13</c:v>
                </c:pt>
                <c:pt idx="7">
                  <c:v>152.85000000000002</c:v>
                </c:pt>
                <c:pt idx="8">
                  <c:v>149.64000000000001</c:v>
                </c:pt>
                <c:pt idx="9">
                  <c:v>162.13</c:v>
                </c:pt>
                <c:pt idx="10">
                  <c:v>168.56999999999996</c:v>
                </c:pt>
                <c:pt idx="11">
                  <c:v>183.98</c:v>
                </c:pt>
                <c:pt idx="12">
                  <c:v>191.78</c:v>
                </c:pt>
                <c:pt idx="13">
                  <c:v>209.49</c:v>
                </c:pt>
                <c:pt idx="14">
                  <c:v>202.64000000000001</c:v>
                </c:pt>
                <c:pt idx="15">
                  <c:v>206.86</c:v>
                </c:pt>
                <c:pt idx="16">
                  <c:v>201.85</c:v>
                </c:pt>
                <c:pt idx="17">
                  <c:v>204.07999999999998</c:v>
                </c:pt>
                <c:pt idx="18">
                  <c:v>201.56</c:v>
                </c:pt>
                <c:pt idx="19">
                  <c:v>221.29</c:v>
                </c:pt>
                <c:pt idx="20">
                  <c:v>229.03000000000003</c:v>
                </c:pt>
                <c:pt idx="21">
                  <c:v>234.02000000000004</c:v>
                </c:pt>
                <c:pt idx="22">
                  <c:v>239.51000000000002</c:v>
                </c:pt>
                <c:pt idx="23">
                  <c:v>229.50999999999996</c:v>
                </c:pt>
                <c:pt idx="24">
                  <c:v>246</c:v>
                </c:pt>
                <c:pt idx="25">
                  <c:v>248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519785472"/>
        <c:axId val="519783936"/>
      </c:lineChart>
      <c:dateAx>
        <c:axId val="51976832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19782400"/>
        <c:crosses val="autoZero"/>
        <c:auto val="0"/>
        <c:lblOffset val="0"/>
        <c:baseTimeUnit val="days"/>
      </c:dateAx>
      <c:valAx>
        <c:axId val="519782400"/>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19768320"/>
        <c:crosses val="autoZero"/>
        <c:crossBetween val="between"/>
      </c:valAx>
      <c:valAx>
        <c:axId val="519783936"/>
        <c:scaling>
          <c:orientation val="minMax"/>
        </c:scaling>
        <c:delete val="0"/>
        <c:axPos val="r"/>
        <c:numFmt formatCode="#,##0_);[Red]\(#,##0\)" sourceLinked="0"/>
        <c:majorTickMark val="out"/>
        <c:minorTickMark val="none"/>
        <c:tickLblPos val="nextTo"/>
        <c:spPr>
          <a:ln w="3175">
            <a:solidFill>
              <a:sysClr val="windowText" lastClr="000000"/>
            </a:solidFill>
          </a:ln>
        </c:spPr>
        <c:crossAx val="519785472"/>
        <c:crosses val="max"/>
        <c:crossBetween val="between"/>
      </c:valAx>
      <c:dateAx>
        <c:axId val="519785472"/>
        <c:scaling>
          <c:orientation val="minMax"/>
        </c:scaling>
        <c:delete val="1"/>
        <c:axPos val="b"/>
        <c:numFmt formatCode="yyyy\-mm\-dd;@" sourceLinked="1"/>
        <c:majorTickMark val="out"/>
        <c:minorTickMark val="none"/>
        <c:tickLblPos val="nextTo"/>
        <c:crossAx val="519783936"/>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519820800"/>
        <c:axId val="519822336"/>
      </c:lineChart>
      <c:dateAx>
        <c:axId val="519820800"/>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519822336"/>
        <c:crosses val="autoZero"/>
        <c:auto val="0"/>
        <c:lblOffset val="0"/>
        <c:baseTimeUnit val="days"/>
        <c:majorUnit val="1"/>
        <c:majorTimeUnit val="months"/>
      </c:dateAx>
      <c:valAx>
        <c:axId val="519822336"/>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519820800"/>
        <c:crosses val="autoZero"/>
        <c:crossBetween val="between"/>
      </c:valAx>
      <c:spPr>
        <a:solidFill>
          <a:schemeClr val="bg1"/>
        </a:solidFill>
        <a:ln>
          <a:noFill/>
        </a:ln>
        <a:effectLst/>
      </c:spPr>
    </c:plotArea>
    <c:legend>
      <c:legendPos val="r"/>
      <c:layout>
        <c:manualLayout>
          <c:xMode val="edge"/>
          <c:yMode val="edge"/>
          <c:x val="0.19460491517340506"/>
          <c:y val="2.3340197599453568E-3"/>
          <c:w val="0.72577014277281415"/>
          <c:h val="8.2845005548121381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0.0104</cdr:y>
    </cdr:from>
    <cdr:to>
      <cdr:x>0.12744</cdr:x>
      <cdr:y>0.08664</cdr:y>
    </cdr:to>
    <cdr:sp macro="" textlink="">
      <cdr:nvSpPr>
        <cdr:cNvPr id="5" name="Text Box 1"/>
        <cdr:cNvSpPr txBox="1">
          <a:spLocks xmlns:a="http://schemas.openxmlformats.org/drawingml/2006/main" noChangeArrowheads="1"/>
        </cdr:cNvSpPr>
      </cdr:nvSpPr>
      <cdr:spPr bwMode="auto">
        <a:xfrm xmlns:a="http://schemas.openxmlformats.org/drawingml/2006/main">
          <a:off x="0" y="20473"/>
          <a:ext cx="382137" cy="15012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46054-332D-4BC6-90C9-02E22EFCF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787</Words>
  <Characters>4490</Characters>
  <Application>Microsoft Office Word</Application>
  <DocSecurity>0</DocSecurity>
  <Lines>37</Lines>
  <Paragraphs>10</Paragraphs>
  <ScaleCrop>false</ScaleCrop>
  <Company>Microsoft</Company>
  <LinksUpToDate>false</LinksUpToDate>
  <CharactersWithSpaces>5267</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2021-05-17T05:37:00Z</dcterms:created>
  <dcterms:modified xsi:type="dcterms:W3CDTF">2021-05-17T08:20:00Z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