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charts/chart3.xml" ContentType="application/vnd.openxmlformats-officedocument.drawingml.chart+xml"/>
  <Override PartName="/word/theme/themeOverride3.xml" ContentType="application/vnd.openxmlformats-officedocument.themeOverride+xml"/>
  <Override PartName="/word/drawings/drawing3.xml" ContentType="application/vnd.openxmlformats-officedocument.drawingml.chartshapes+xml"/>
  <Override PartName="/word/charts/chart4.xml" ContentType="application/vnd.openxmlformats-officedocument.drawingml.chart+xml"/>
  <Override PartName="/word/theme/themeOverride4.xml" ContentType="application/vnd.openxmlformats-officedocument.themeOverride+xml"/>
  <Override PartName="/word/drawings/drawing4.xml" ContentType="application/vnd.openxmlformats-officedocument.drawingml.chartshapes+xml"/>
  <Override PartName="/word/charts/chart5.xml" ContentType="application/vnd.openxmlformats-officedocument.drawingml.chart+xml"/>
  <Override PartName="/word/theme/themeOverride5.xml" ContentType="application/vnd.openxmlformats-officedocument.themeOverride+xml"/>
  <Override PartName="/word/drawings/drawing5.xml" ContentType="application/vnd.openxmlformats-officedocument.drawingml.chartshapes+xml"/>
  <Override PartName="/word/charts/chart6.xml" ContentType="application/vnd.openxmlformats-officedocument.drawingml.chart+xml"/>
  <Override PartName="/word/theme/themeOverride6.xml" ContentType="application/vnd.openxmlformats-officedocument.themeOverride+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drawings/drawing6.xml" ContentType="application/vnd.openxmlformats-officedocument.drawingml.chartshapes+xml"/>
  <Override PartName="/word/charts/chart9.xml" ContentType="application/vnd.openxmlformats-officedocument.drawingml.chart+xml"/>
  <Override PartName="/word/drawings/drawing7.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7AE04533" w14:textId="77777777" w:rsidR="00960960" w:rsidRDefault="001357FD" w:rsidP="009A2BA0">
      <w:pPr>
        <w:spacing w:beforeLines="100" w:before="312"/>
        <w:jc w:val="center"/>
        <w:rPr>
          <w:rFonts w:ascii="楷体" w:eastAsia="楷体" w:hAnsi="楷体"/>
          <w:b/>
          <w:sz w:val="44"/>
          <w:szCs w:val="44"/>
        </w:rPr>
      </w:pPr>
      <w:r w:rsidRPr="00BB4A92">
        <w:rPr>
          <w:rFonts w:ascii="楷体" w:eastAsia="楷体" w:hAnsi="楷体" w:hint="eastAsia"/>
          <w:b/>
          <w:sz w:val="44"/>
          <w:szCs w:val="44"/>
        </w:rPr>
        <w:t>富</w:t>
      </w:r>
      <w:proofErr w:type="gramStart"/>
      <w:r w:rsidRPr="00BB4A92">
        <w:rPr>
          <w:rFonts w:ascii="楷体" w:eastAsia="楷体" w:hAnsi="楷体" w:hint="eastAsia"/>
          <w:b/>
          <w:sz w:val="44"/>
          <w:szCs w:val="44"/>
        </w:rPr>
        <w:t>荣基金</w:t>
      </w:r>
      <w:proofErr w:type="gramEnd"/>
      <w:r w:rsidR="00960960" w:rsidRPr="00BB4A92">
        <w:rPr>
          <w:rFonts w:ascii="楷体" w:eastAsia="楷体" w:hAnsi="楷体" w:hint="eastAsia"/>
          <w:b/>
          <w:sz w:val="44"/>
          <w:szCs w:val="44"/>
        </w:rPr>
        <w:t>固定收益</w:t>
      </w:r>
      <w:r w:rsidR="00F24889" w:rsidRPr="00BB4A92">
        <w:rPr>
          <w:rFonts w:ascii="楷体" w:eastAsia="楷体" w:hAnsi="楷体" w:hint="eastAsia"/>
          <w:b/>
          <w:sz w:val="44"/>
          <w:szCs w:val="44"/>
        </w:rPr>
        <w:t>周报</w:t>
      </w:r>
    </w:p>
    <w:p w14:paraId="08CBB8BB" w14:textId="0F88AB69" w:rsidR="00832986" w:rsidRPr="00541553" w:rsidRDefault="00832986" w:rsidP="00E543BE">
      <w:pPr>
        <w:widowControl/>
        <w:jc w:val="center"/>
        <w:rPr>
          <w:rFonts w:ascii="楷体" w:eastAsia="楷体" w:hAnsi="楷体"/>
          <w:sz w:val="28"/>
          <w:szCs w:val="28"/>
        </w:rPr>
      </w:pPr>
      <w:r w:rsidRPr="00541553">
        <w:rPr>
          <w:rFonts w:ascii="楷体" w:eastAsia="楷体" w:hAnsi="楷体" w:hint="eastAsia"/>
          <w:sz w:val="28"/>
          <w:szCs w:val="28"/>
        </w:rPr>
        <w:t>——</w:t>
      </w:r>
      <w:r w:rsidR="00026E14">
        <w:rPr>
          <w:rFonts w:ascii="楷体" w:eastAsia="楷体" w:hAnsi="楷体" w:hint="eastAsia"/>
          <w:sz w:val="28"/>
          <w:szCs w:val="28"/>
        </w:rPr>
        <w:t>债市情绪持续加强</w:t>
      </w:r>
      <w:r w:rsidR="00CD02EA">
        <w:rPr>
          <w:rFonts w:ascii="楷体" w:eastAsia="楷体" w:hAnsi="楷体" w:hint="eastAsia"/>
          <w:sz w:val="28"/>
          <w:szCs w:val="28"/>
        </w:rPr>
        <w:t>，</w:t>
      </w:r>
      <w:r w:rsidR="00026E14">
        <w:rPr>
          <w:rFonts w:ascii="楷体" w:eastAsia="楷体" w:hAnsi="楷体" w:hint="eastAsia"/>
          <w:sz w:val="28"/>
          <w:szCs w:val="28"/>
        </w:rPr>
        <w:t>关注月末季末流动性扰动</w:t>
      </w:r>
    </w:p>
    <w:p w14:paraId="1B2C4A22" w14:textId="0BA85F85" w:rsidR="005E5CB1" w:rsidRPr="00711EF1" w:rsidRDefault="005E5CB1" w:rsidP="005E5CB1">
      <w:pPr>
        <w:pStyle w:val="Header1"/>
        <w:spacing w:before="240"/>
        <w:rPr>
          <w:rFonts w:ascii="华文楷体" w:hAnsi="华文楷体"/>
          <w:b w:val="0"/>
          <w:color w:val="auto"/>
          <w:sz w:val="24"/>
          <w:szCs w:val="24"/>
        </w:rPr>
      </w:pPr>
      <w:r>
        <w:rPr>
          <w:rFonts w:hint="eastAsia"/>
          <w:color w:val="C45911" w:themeColor="accent2" w:themeShade="BF"/>
        </w:rPr>
        <w:t>一</w:t>
      </w:r>
      <w:r w:rsidRPr="004C5268">
        <w:rPr>
          <w:rFonts w:hint="eastAsia"/>
          <w:color w:val="C45911" w:themeColor="accent2" w:themeShade="BF"/>
        </w:rPr>
        <w:t>、</w:t>
      </w:r>
      <w:r w:rsidR="008F4A92">
        <w:rPr>
          <w:rFonts w:hint="eastAsia"/>
          <w:color w:val="C45911" w:themeColor="accent2" w:themeShade="BF"/>
        </w:rPr>
        <w:t>本周关注：</w:t>
      </w:r>
      <w:r w:rsidR="004242D8">
        <w:rPr>
          <w:color w:val="C45911" w:themeColor="accent2" w:themeShade="BF"/>
        </w:rPr>
        <w:t xml:space="preserve"> </w:t>
      </w:r>
    </w:p>
    <w:p w14:paraId="40AF4CA3" w14:textId="5F849301" w:rsidR="00695DD9" w:rsidRPr="00DF6DF8" w:rsidRDefault="00DA1B15" w:rsidP="00695DD9">
      <w:pPr>
        <w:pStyle w:val="Header1"/>
        <w:spacing w:before="240"/>
        <w:ind w:firstLine="480"/>
        <w:rPr>
          <w:rFonts w:ascii="华文楷体" w:hAnsi="华文楷体"/>
          <w:b w:val="0"/>
          <w:color w:val="auto"/>
          <w:sz w:val="24"/>
          <w:szCs w:val="24"/>
        </w:rPr>
      </w:pPr>
      <w:r w:rsidRPr="00DA1B15">
        <w:rPr>
          <w:rFonts w:ascii="华文楷体" w:hAnsi="华文楷体" w:hint="eastAsia"/>
          <w:b w:val="0"/>
          <w:color w:val="auto"/>
          <w:sz w:val="24"/>
          <w:szCs w:val="24"/>
        </w:rPr>
        <w:t>统计局公布数据显示，1-4月固定资产投资同比增19.9%，预期增19.4%，1-3月同比增25.6%；其中1-4月全国房地产开发投资同比增长21.6%，较2019年同期增17.6%；4月社会消费品零售总额同比增17.7%，预期增23.8%，3月增34.2%；4月规模以上工业增加值同比增9.8%，预期增11%，3月增14.1%。</w:t>
      </w:r>
    </w:p>
    <w:p w14:paraId="090EC56C" w14:textId="14E165DF" w:rsidR="0090508B" w:rsidRDefault="00DA1B15" w:rsidP="002D0C96">
      <w:pPr>
        <w:pStyle w:val="Header1"/>
        <w:spacing w:before="240"/>
        <w:ind w:firstLine="480"/>
        <w:rPr>
          <w:rFonts w:ascii="华文楷体" w:hAnsi="华文楷体"/>
          <w:b w:val="0"/>
          <w:color w:val="auto"/>
          <w:sz w:val="24"/>
          <w:szCs w:val="24"/>
        </w:rPr>
      </w:pPr>
      <w:r w:rsidRPr="00DA1B15">
        <w:rPr>
          <w:rFonts w:ascii="华文楷体" w:hAnsi="华文楷体" w:hint="eastAsia"/>
          <w:b w:val="0"/>
          <w:color w:val="auto"/>
          <w:sz w:val="24"/>
          <w:szCs w:val="24"/>
        </w:rPr>
        <w:t>基建投资1-4月累计增速18.4%，当月同比2.6%，单月较2019年4月增速为4.9%，较上月明显回落，显示基建修复速度有所放慢。1-4月地产投资累计增速在21.6%，当月同比13.6%，单月同比2019年4月增21.6%，较3月进一步回升，反映地产投资韧性依旧。销售方面，单月销售面积较2019年增16.7%，与3月相比有所回落；投资方面，房屋施工表现相对较弱，施工面积较2019年4月下滑13</w:t>
      </w:r>
      <w:r>
        <w:rPr>
          <w:rFonts w:ascii="华文楷体" w:hAnsi="华文楷体" w:hint="eastAsia"/>
          <w:b w:val="0"/>
          <w:color w:val="auto"/>
          <w:sz w:val="24"/>
          <w:szCs w:val="24"/>
        </w:rPr>
        <w:t>%</w:t>
      </w:r>
      <w:r w:rsidR="00711EF1">
        <w:rPr>
          <w:rFonts w:ascii="华文楷体" w:hAnsi="华文楷体" w:hint="eastAsia"/>
          <w:b w:val="0"/>
          <w:color w:val="auto"/>
          <w:sz w:val="24"/>
          <w:szCs w:val="24"/>
        </w:rPr>
        <w:t>。</w:t>
      </w:r>
      <w:r w:rsidRPr="00DA1B15">
        <w:rPr>
          <w:rFonts w:ascii="华文楷体" w:hAnsi="华文楷体" w:hint="eastAsia"/>
          <w:b w:val="0"/>
          <w:color w:val="auto"/>
          <w:sz w:val="24"/>
          <w:szCs w:val="24"/>
        </w:rPr>
        <w:t>1-4月制造业投资累计同比增速23.8%，当月同比增速14.7%，单月较2019年4月增长7%，系年初以来首次回正，反映4月制造业投资环比明显修复。</w:t>
      </w:r>
    </w:p>
    <w:p w14:paraId="3D48969D" w14:textId="77777777" w:rsidR="00551C03" w:rsidRDefault="00DA1B15" w:rsidP="00551C03">
      <w:pPr>
        <w:pStyle w:val="Header1"/>
        <w:spacing w:before="240"/>
        <w:ind w:firstLine="480"/>
        <w:rPr>
          <w:rFonts w:ascii="华文楷体" w:hAnsi="华文楷体"/>
          <w:b w:val="0"/>
          <w:color w:val="auto"/>
          <w:sz w:val="24"/>
          <w:szCs w:val="24"/>
        </w:rPr>
      </w:pPr>
      <w:proofErr w:type="gramStart"/>
      <w:r w:rsidRPr="00DA1B15">
        <w:rPr>
          <w:rFonts w:ascii="华文楷体" w:hAnsi="华文楷体" w:hint="eastAsia"/>
          <w:b w:val="0"/>
          <w:color w:val="auto"/>
          <w:sz w:val="24"/>
          <w:szCs w:val="24"/>
        </w:rPr>
        <w:t>4月社零增速</w:t>
      </w:r>
      <w:proofErr w:type="gramEnd"/>
      <w:r w:rsidRPr="00DA1B15">
        <w:rPr>
          <w:rFonts w:ascii="华文楷体" w:hAnsi="华文楷体" w:hint="eastAsia"/>
          <w:b w:val="0"/>
          <w:color w:val="auto"/>
          <w:sz w:val="24"/>
          <w:szCs w:val="24"/>
        </w:rPr>
        <w:t>17.7%，明显低于市场预期，两年复合增速4.1%，较3月有所下降，显示消费修复的动能边际转弱。</w:t>
      </w:r>
      <w:r w:rsidR="00ED2816" w:rsidRPr="00ED2816">
        <w:rPr>
          <w:rFonts w:ascii="华文楷体" w:hAnsi="华文楷体" w:hint="eastAsia"/>
          <w:b w:val="0"/>
          <w:color w:val="auto"/>
          <w:sz w:val="24"/>
          <w:szCs w:val="24"/>
        </w:rPr>
        <w:t>4月工业增加</w:t>
      </w:r>
      <w:proofErr w:type="gramStart"/>
      <w:r w:rsidR="00ED2816" w:rsidRPr="00ED2816">
        <w:rPr>
          <w:rFonts w:ascii="华文楷体" w:hAnsi="华文楷体" w:hint="eastAsia"/>
          <w:b w:val="0"/>
          <w:color w:val="auto"/>
          <w:sz w:val="24"/>
          <w:szCs w:val="24"/>
        </w:rPr>
        <w:t>值当月增速</w:t>
      </w:r>
      <w:proofErr w:type="gramEnd"/>
      <w:r w:rsidR="00ED2816" w:rsidRPr="00ED2816">
        <w:rPr>
          <w:rFonts w:ascii="华文楷体" w:hAnsi="华文楷体" w:hint="eastAsia"/>
          <w:b w:val="0"/>
          <w:color w:val="auto"/>
          <w:sz w:val="24"/>
          <w:szCs w:val="24"/>
        </w:rPr>
        <w:t>为9.8%，低于市场预期，但两年复合增速6.8%，环比3月提高0.6个百分点，工业增速仍维持在相对较高的水平，工业扩张处于强势区间。</w:t>
      </w:r>
    </w:p>
    <w:p w14:paraId="744C8F55" w14:textId="0A618420" w:rsidR="00551C03" w:rsidRDefault="00551C03" w:rsidP="00551C03">
      <w:pPr>
        <w:pStyle w:val="Header1"/>
        <w:spacing w:before="240"/>
        <w:ind w:firstLine="480"/>
        <w:rPr>
          <w:rFonts w:ascii="华文楷体" w:hAnsi="华文楷体"/>
          <w:b w:val="0"/>
          <w:color w:val="auto"/>
          <w:sz w:val="24"/>
          <w:szCs w:val="24"/>
        </w:rPr>
      </w:pPr>
      <w:r w:rsidRPr="00551C03">
        <w:rPr>
          <w:rFonts w:ascii="华文楷体" w:hAnsi="华文楷体" w:hint="eastAsia"/>
          <w:b w:val="0"/>
          <w:color w:val="auto"/>
          <w:sz w:val="24"/>
          <w:szCs w:val="24"/>
        </w:rPr>
        <w:t>4月全国城镇调查失业率5.1%，31个大城市城镇调查失业率5.2%，就业状况进一步改善</w:t>
      </w:r>
      <w:r>
        <w:rPr>
          <w:rFonts w:ascii="华文楷体" w:hAnsi="华文楷体" w:hint="eastAsia"/>
          <w:b w:val="0"/>
          <w:color w:val="auto"/>
          <w:sz w:val="24"/>
          <w:szCs w:val="24"/>
        </w:rPr>
        <w:t>。</w:t>
      </w:r>
    </w:p>
    <w:p w14:paraId="6D307476" w14:textId="748DE765" w:rsidR="00551C03" w:rsidRDefault="00ED2816" w:rsidP="00551C03">
      <w:pPr>
        <w:pStyle w:val="Header1"/>
        <w:spacing w:before="240"/>
        <w:ind w:firstLine="480"/>
        <w:rPr>
          <w:rFonts w:ascii="华文楷体" w:hAnsi="华文楷体"/>
          <w:b w:val="0"/>
          <w:color w:val="auto"/>
          <w:sz w:val="24"/>
          <w:szCs w:val="24"/>
        </w:rPr>
      </w:pPr>
      <w:r w:rsidRPr="00551C03">
        <w:rPr>
          <w:rFonts w:ascii="华文楷体" w:hAnsi="华文楷体" w:hint="eastAsia"/>
          <w:b w:val="0"/>
          <w:color w:val="auto"/>
          <w:sz w:val="24"/>
          <w:szCs w:val="24"/>
        </w:rPr>
        <w:t>整体看4月的高频数据</w:t>
      </w:r>
      <w:r w:rsidR="00B61DC1">
        <w:rPr>
          <w:rFonts w:ascii="华文楷体" w:hAnsi="华文楷体" w:hint="eastAsia"/>
          <w:b w:val="0"/>
          <w:color w:val="auto"/>
          <w:sz w:val="24"/>
          <w:szCs w:val="24"/>
        </w:rPr>
        <w:t>，</w:t>
      </w:r>
      <w:r w:rsidR="00551C03" w:rsidRPr="00551C03">
        <w:rPr>
          <w:rFonts w:ascii="华文楷体" w:hAnsi="华文楷体" w:hint="eastAsia"/>
          <w:b w:val="0"/>
          <w:color w:val="auto"/>
          <w:sz w:val="24"/>
          <w:szCs w:val="24"/>
        </w:rPr>
        <w:t>工业增加值方面</w:t>
      </w:r>
      <w:r w:rsidR="00551C03">
        <w:rPr>
          <w:rFonts w:ascii="华文楷体" w:hAnsi="华文楷体" w:hint="eastAsia"/>
          <w:b w:val="0"/>
          <w:color w:val="auto"/>
          <w:sz w:val="24"/>
          <w:szCs w:val="24"/>
        </w:rPr>
        <w:t>，</w:t>
      </w:r>
      <w:r w:rsidR="00551C03" w:rsidRPr="00551C03">
        <w:rPr>
          <w:rFonts w:ascii="华文楷体" w:hAnsi="华文楷体" w:hint="eastAsia"/>
          <w:b w:val="0"/>
          <w:color w:val="auto"/>
          <w:sz w:val="24"/>
          <w:szCs w:val="24"/>
        </w:rPr>
        <w:t>该数据有一定基数效应影响，环比增速来看4月工业生产还是有所回落，但也基本处于疫情前的平均水平。基建增速略有回落</w:t>
      </w:r>
      <w:r w:rsidR="00551C03">
        <w:rPr>
          <w:rFonts w:ascii="华文楷体" w:hAnsi="华文楷体" w:hint="eastAsia"/>
          <w:b w:val="0"/>
          <w:color w:val="auto"/>
          <w:sz w:val="24"/>
          <w:szCs w:val="24"/>
        </w:rPr>
        <w:t>，</w:t>
      </w:r>
      <w:r w:rsidR="00551C03" w:rsidRPr="00551C03">
        <w:rPr>
          <w:rFonts w:ascii="华文楷体" w:hAnsi="华文楷体" w:hint="eastAsia"/>
          <w:b w:val="0"/>
          <w:color w:val="auto"/>
          <w:sz w:val="24"/>
          <w:szCs w:val="24"/>
        </w:rPr>
        <w:t>房地产继续保持高景气度，两年平均增速进一步提升</w:t>
      </w:r>
      <w:r w:rsidR="00551C03">
        <w:rPr>
          <w:rFonts w:ascii="华文楷体" w:hAnsi="华文楷体" w:hint="eastAsia"/>
          <w:b w:val="0"/>
          <w:color w:val="auto"/>
          <w:sz w:val="24"/>
          <w:szCs w:val="24"/>
        </w:rPr>
        <w:t>。</w:t>
      </w:r>
      <w:r w:rsidR="00551C03" w:rsidRPr="00551C03">
        <w:rPr>
          <w:rFonts w:ascii="华文楷体" w:hAnsi="华文楷体" w:hint="eastAsia"/>
          <w:b w:val="0"/>
          <w:color w:val="auto"/>
          <w:sz w:val="24"/>
          <w:szCs w:val="24"/>
        </w:rPr>
        <w:t>制造业投资亦有明显回升，当月同比两年平均增速再次回正。去年同期降幅较大、基数较低的汽车制造业投资仍为负增长，持续拖累制造业投资表现</w:t>
      </w:r>
      <w:r w:rsidR="00551C03">
        <w:rPr>
          <w:rFonts w:ascii="华文楷体" w:hAnsi="华文楷体" w:hint="eastAsia"/>
          <w:b w:val="0"/>
          <w:color w:val="auto"/>
          <w:sz w:val="24"/>
          <w:szCs w:val="24"/>
        </w:rPr>
        <w:t>。行业层面，</w:t>
      </w:r>
      <w:r w:rsidR="00551C03" w:rsidRPr="00551C03">
        <w:rPr>
          <w:rFonts w:ascii="华文楷体" w:hAnsi="华文楷体" w:hint="eastAsia"/>
          <w:b w:val="0"/>
          <w:color w:val="auto"/>
          <w:sz w:val="24"/>
          <w:szCs w:val="24"/>
        </w:rPr>
        <w:t>化学制品、医药制造业、专用设备制造、运输设备制造业投资增速仍维持在30%以上的高位，是制造业投资修复的主要带动项。</w:t>
      </w:r>
    </w:p>
    <w:p w14:paraId="402551E1" w14:textId="77777777" w:rsidR="00551C03" w:rsidRDefault="00551C03" w:rsidP="00551C03">
      <w:pPr>
        <w:pStyle w:val="Header1"/>
        <w:spacing w:before="240"/>
        <w:ind w:firstLine="480"/>
        <w:rPr>
          <w:rFonts w:ascii="华文楷体" w:hAnsi="华文楷体"/>
          <w:b w:val="0"/>
          <w:color w:val="auto"/>
          <w:sz w:val="24"/>
          <w:szCs w:val="24"/>
        </w:rPr>
      </w:pPr>
      <w:r>
        <w:rPr>
          <w:rFonts w:ascii="华文楷体" w:hAnsi="华文楷体" w:hint="eastAsia"/>
          <w:b w:val="0"/>
          <w:color w:val="auto"/>
          <w:sz w:val="24"/>
          <w:szCs w:val="24"/>
        </w:rPr>
        <w:t>地产数据上，</w:t>
      </w:r>
      <w:r w:rsidRPr="00551C03">
        <w:rPr>
          <w:rFonts w:ascii="华文楷体" w:hAnsi="华文楷体" w:hint="eastAsia"/>
          <w:b w:val="0"/>
          <w:color w:val="auto"/>
          <w:sz w:val="24"/>
          <w:szCs w:val="24"/>
        </w:rPr>
        <w:t>销售、新开工、施工、竣工环比来看明显略弱于往年平均水平。房地产施工已有下行的苗头，但依然处于高位，4月地产投资可能主要来自前期土地购置费支撑。</w:t>
      </w:r>
    </w:p>
    <w:p w14:paraId="0987FE90" w14:textId="13CA2F74" w:rsidR="00551C03" w:rsidRPr="00551C03" w:rsidRDefault="00551C03" w:rsidP="00551C03">
      <w:pPr>
        <w:pStyle w:val="Header1"/>
        <w:spacing w:before="240"/>
        <w:ind w:firstLine="480"/>
        <w:rPr>
          <w:rFonts w:ascii="华文楷体" w:hAnsi="华文楷体"/>
          <w:b w:val="0"/>
          <w:color w:val="auto"/>
          <w:sz w:val="24"/>
          <w:szCs w:val="24"/>
        </w:rPr>
      </w:pPr>
      <w:r>
        <w:rPr>
          <w:rFonts w:ascii="华文楷体" w:hAnsi="华文楷体" w:hint="eastAsia"/>
          <w:b w:val="0"/>
          <w:color w:val="auto"/>
          <w:sz w:val="24"/>
          <w:szCs w:val="24"/>
        </w:rPr>
        <w:t>就业数据上，</w:t>
      </w:r>
      <w:r w:rsidRPr="00551C03">
        <w:rPr>
          <w:rFonts w:ascii="华文楷体" w:hAnsi="华文楷体" w:hint="eastAsia"/>
          <w:b w:val="0"/>
          <w:color w:val="auto"/>
          <w:sz w:val="24"/>
          <w:szCs w:val="24"/>
        </w:rPr>
        <w:t>4月全国城镇调查失业率5.1%，就业状况进一步改善；当然结构性矛盾依然存在，16-24岁人口调查失业率13.6%</w:t>
      </w:r>
      <w:r w:rsidR="00DF1B2E">
        <w:rPr>
          <w:rFonts w:ascii="华文楷体" w:hAnsi="华文楷体" w:hint="eastAsia"/>
          <w:b w:val="0"/>
          <w:color w:val="auto"/>
          <w:sz w:val="24"/>
          <w:szCs w:val="24"/>
        </w:rPr>
        <w:t>，基本与上月持平</w:t>
      </w:r>
      <w:r w:rsidRPr="00551C03">
        <w:rPr>
          <w:rFonts w:ascii="华文楷体" w:hAnsi="华文楷体" w:hint="eastAsia"/>
          <w:b w:val="0"/>
          <w:color w:val="auto"/>
          <w:sz w:val="24"/>
          <w:szCs w:val="24"/>
        </w:rPr>
        <w:t>。失业率的下降有</w:t>
      </w:r>
      <w:r w:rsidR="00DF1B2E">
        <w:rPr>
          <w:rFonts w:ascii="华文楷体" w:hAnsi="华文楷体" w:hint="eastAsia"/>
          <w:b w:val="0"/>
          <w:color w:val="auto"/>
          <w:sz w:val="24"/>
          <w:szCs w:val="24"/>
        </w:rPr>
        <w:t>一定</w:t>
      </w:r>
      <w:r w:rsidRPr="00551C03">
        <w:rPr>
          <w:rFonts w:ascii="华文楷体" w:hAnsi="华文楷体" w:hint="eastAsia"/>
          <w:b w:val="0"/>
          <w:color w:val="auto"/>
          <w:sz w:val="24"/>
          <w:szCs w:val="24"/>
        </w:rPr>
        <w:t>季节性因素，但</w:t>
      </w:r>
      <w:r w:rsidR="00DF1B2E">
        <w:rPr>
          <w:rFonts w:ascii="华文楷体" w:hAnsi="华文楷体" w:hint="eastAsia"/>
          <w:b w:val="0"/>
          <w:color w:val="auto"/>
          <w:sz w:val="24"/>
          <w:szCs w:val="24"/>
        </w:rPr>
        <w:t>同时也显示</w:t>
      </w:r>
      <w:r w:rsidRPr="00551C03">
        <w:rPr>
          <w:rFonts w:ascii="华文楷体" w:hAnsi="华文楷体" w:hint="eastAsia"/>
          <w:b w:val="0"/>
          <w:color w:val="auto"/>
          <w:sz w:val="24"/>
          <w:szCs w:val="24"/>
        </w:rPr>
        <w:t>经济恢复趋于</w:t>
      </w:r>
      <w:r w:rsidR="00DF1B2E">
        <w:rPr>
          <w:rFonts w:ascii="华文楷体" w:hAnsi="华文楷体" w:hint="eastAsia"/>
          <w:b w:val="0"/>
          <w:color w:val="auto"/>
          <w:sz w:val="24"/>
          <w:szCs w:val="24"/>
        </w:rPr>
        <w:t>相对</w:t>
      </w:r>
      <w:r w:rsidRPr="00551C03">
        <w:rPr>
          <w:rFonts w:ascii="华文楷体" w:hAnsi="华文楷体" w:hint="eastAsia"/>
          <w:b w:val="0"/>
          <w:color w:val="auto"/>
          <w:sz w:val="24"/>
          <w:szCs w:val="24"/>
        </w:rPr>
        <w:t>正常化。</w:t>
      </w:r>
    </w:p>
    <w:p w14:paraId="541CEC80" w14:textId="319FEA3D" w:rsidR="001A56D9" w:rsidRPr="00551C03" w:rsidRDefault="006C3FA8" w:rsidP="006C3FA8">
      <w:pPr>
        <w:pStyle w:val="Header1"/>
        <w:spacing w:before="240"/>
        <w:rPr>
          <w:rFonts w:ascii="华文楷体" w:hAnsi="华文楷体"/>
          <w:b w:val="0"/>
          <w:color w:val="auto"/>
          <w:sz w:val="24"/>
          <w:szCs w:val="24"/>
        </w:rPr>
      </w:pPr>
      <w:r>
        <w:rPr>
          <w:rFonts w:ascii="华文楷体" w:hAnsi="华文楷体" w:hint="eastAsia"/>
          <w:b w:val="0"/>
          <w:color w:val="auto"/>
          <w:sz w:val="24"/>
          <w:szCs w:val="24"/>
        </w:rPr>
        <w:t xml:space="preserve">     债市策略方面，当前多空分歧持续，负债成本和资产端收益利差持续收窄，市场持续寻找票面配置机会，利率债博弈情绪也较强，关注5月及6月流动性扰动以及大宗商品相关行业领域政策调控情况。</w:t>
      </w:r>
    </w:p>
    <w:p w14:paraId="7EEDEF05" w14:textId="03ED7DEC" w:rsidR="00E0626C" w:rsidRDefault="005E5CB1" w:rsidP="009A2BA0">
      <w:pPr>
        <w:pStyle w:val="Header1"/>
        <w:spacing w:before="240"/>
        <w:rPr>
          <w:color w:val="C45911" w:themeColor="accent2" w:themeShade="BF"/>
        </w:rPr>
      </w:pPr>
      <w:r>
        <w:rPr>
          <w:rFonts w:hint="eastAsia"/>
          <w:color w:val="C45911" w:themeColor="accent2" w:themeShade="BF"/>
        </w:rPr>
        <w:lastRenderedPageBreak/>
        <w:t>二</w:t>
      </w:r>
      <w:r w:rsidR="00E0626C" w:rsidRPr="004C5268">
        <w:rPr>
          <w:rFonts w:hint="eastAsia"/>
          <w:color w:val="C45911" w:themeColor="accent2" w:themeShade="BF"/>
        </w:rPr>
        <w:t>、</w:t>
      </w:r>
      <w:r w:rsidR="00E0626C">
        <w:rPr>
          <w:rFonts w:hint="eastAsia"/>
          <w:color w:val="C45911" w:themeColor="accent2" w:themeShade="BF"/>
        </w:rPr>
        <w:t>上周市场回顾</w:t>
      </w:r>
    </w:p>
    <w:p w14:paraId="08F77D38" w14:textId="58EA1DC1" w:rsidR="00E0626C" w:rsidRPr="00945073" w:rsidRDefault="00E0626C" w:rsidP="009A2BA0">
      <w:pPr>
        <w:pStyle w:val="Header2"/>
        <w:rPr>
          <w:rFonts w:eastAsia="PMingLiU"/>
          <w:sz w:val="28"/>
          <w:szCs w:val="21"/>
          <w:lang w:eastAsia="zh-CN"/>
        </w:rPr>
      </w:pPr>
      <w:r>
        <w:rPr>
          <w:rFonts w:hint="eastAsia"/>
          <w:sz w:val="28"/>
          <w:szCs w:val="21"/>
          <w:lang w:eastAsia="zh-CN"/>
        </w:rPr>
        <w:t>1</w:t>
      </w:r>
      <w:r>
        <w:rPr>
          <w:rFonts w:hint="eastAsia"/>
          <w:sz w:val="28"/>
          <w:szCs w:val="21"/>
          <w:lang w:eastAsia="zh-CN"/>
        </w:rPr>
        <w:t>、</w:t>
      </w:r>
      <w:r>
        <w:rPr>
          <w:rFonts w:hint="eastAsia"/>
          <w:sz w:val="28"/>
          <w:szCs w:val="21"/>
        </w:rPr>
        <w:t>资金面</w:t>
      </w:r>
    </w:p>
    <w:p w14:paraId="5B44DCF6" w14:textId="6B3ACD4D" w:rsidR="00EA1459" w:rsidRPr="00EA1459" w:rsidRDefault="00EC3415" w:rsidP="00EC3415">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央行</w:t>
      </w:r>
      <w:r w:rsidR="00DE5926">
        <w:rPr>
          <w:rFonts w:ascii="华文楷体" w:hAnsi="华文楷体" w:hint="eastAsia"/>
          <w:sz w:val="24"/>
          <w:szCs w:val="24"/>
          <w:lang w:eastAsia="zh-CN"/>
        </w:rPr>
        <w:t>公开市场操作</w:t>
      </w:r>
      <w:r w:rsidR="00A5662C">
        <w:rPr>
          <w:rFonts w:ascii="华文楷体" w:hAnsi="华文楷体" w:hint="eastAsia"/>
          <w:sz w:val="24"/>
          <w:szCs w:val="24"/>
          <w:lang w:eastAsia="zh-CN"/>
        </w:rPr>
        <w:t>净</w:t>
      </w:r>
      <w:r w:rsidR="00026E14">
        <w:rPr>
          <w:rFonts w:ascii="华文楷体" w:hAnsi="华文楷体" w:hint="eastAsia"/>
          <w:sz w:val="24"/>
          <w:szCs w:val="24"/>
          <w:lang w:eastAsia="zh-CN"/>
        </w:rPr>
        <w:t>回笼</w:t>
      </w:r>
      <w:r w:rsidR="00026E14">
        <w:rPr>
          <w:rFonts w:ascii="华文楷体" w:hAnsi="华文楷体"/>
          <w:sz w:val="24"/>
          <w:szCs w:val="24"/>
          <w:lang w:eastAsia="zh-CN"/>
        </w:rPr>
        <w:t>1</w:t>
      </w:r>
      <w:r w:rsidR="00C15F3D">
        <w:rPr>
          <w:rFonts w:ascii="华文楷体" w:hAnsi="华文楷体"/>
          <w:sz w:val="24"/>
          <w:szCs w:val="24"/>
          <w:lang w:eastAsia="zh-CN"/>
        </w:rPr>
        <w:t>00</w:t>
      </w:r>
      <w:r w:rsidR="00C15F3D">
        <w:rPr>
          <w:rFonts w:ascii="华文楷体" w:hAnsi="华文楷体" w:hint="eastAsia"/>
          <w:sz w:val="24"/>
          <w:szCs w:val="24"/>
          <w:lang w:eastAsia="zh-CN"/>
        </w:rPr>
        <w:t>亿</w:t>
      </w:r>
      <w:r w:rsidR="006E4B59">
        <w:rPr>
          <w:rFonts w:ascii="华文楷体" w:hAnsi="华文楷体" w:hint="eastAsia"/>
          <w:sz w:val="24"/>
          <w:szCs w:val="24"/>
          <w:lang w:eastAsia="zh-CN"/>
        </w:rPr>
        <w:t>，</w:t>
      </w:r>
      <w:r w:rsidR="00515400">
        <w:rPr>
          <w:rFonts w:ascii="华文楷体" w:hAnsi="华文楷体" w:hint="eastAsia"/>
          <w:sz w:val="24"/>
          <w:szCs w:val="24"/>
          <w:lang w:eastAsia="zh-CN"/>
        </w:rPr>
        <w:t>资金面基本维持相对平稳，</w:t>
      </w:r>
      <w:r w:rsidR="00026E14">
        <w:rPr>
          <w:rFonts w:ascii="华文楷体" w:hAnsi="华文楷体" w:hint="eastAsia"/>
          <w:sz w:val="24"/>
          <w:szCs w:val="24"/>
          <w:lang w:eastAsia="zh-CN"/>
        </w:rPr>
        <w:t>周中出现一定扰动</w:t>
      </w:r>
      <w:r w:rsidR="00515400">
        <w:rPr>
          <w:rFonts w:ascii="华文楷体" w:hAnsi="华文楷体" w:hint="eastAsia"/>
          <w:sz w:val="24"/>
          <w:szCs w:val="24"/>
          <w:lang w:eastAsia="zh-CN"/>
        </w:rPr>
        <w:t>，央行MLF和LPR</w:t>
      </w:r>
      <w:r w:rsidR="00026E14">
        <w:rPr>
          <w:rFonts w:ascii="华文楷体" w:hAnsi="华文楷体" w:hint="eastAsia"/>
          <w:sz w:val="24"/>
          <w:szCs w:val="24"/>
          <w:lang w:eastAsia="zh-CN"/>
        </w:rPr>
        <w:t>操作基本保持中性</w:t>
      </w:r>
      <w:r w:rsidR="00B81E73">
        <w:rPr>
          <w:rFonts w:ascii="华文楷体" w:hAnsi="华文楷体" w:hint="eastAsia"/>
          <w:sz w:val="24"/>
          <w:szCs w:val="24"/>
          <w:lang w:eastAsia="zh-CN"/>
        </w:rPr>
        <w:t>。</w:t>
      </w:r>
      <w:r w:rsidR="00FF2720">
        <w:rPr>
          <w:rFonts w:ascii="华文楷体" w:hAnsi="华文楷体" w:hint="eastAsia"/>
          <w:sz w:val="24"/>
          <w:szCs w:val="24"/>
          <w:lang w:eastAsia="zh-CN"/>
        </w:rPr>
        <w:t>上周最后一个交易日</w:t>
      </w:r>
      <w:r>
        <w:rPr>
          <w:rFonts w:ascii="华文楷体" w:hAnsi="华文楷体" w:hint="eastAsia"/>
          <w:sz w:val="24"/>
          <w:szCs w:val="24"/>
          <w:lang w:eastAsia="zh-CN"/>
        </w:rPr>
        <w:t>隔夜</w:t>
      </w:r>
      <w:r w:rsidR="00D9413F">
        <w:rPr>
          <w:rFonts w:ascii="华文楷体" w:hAnsi="华文楷体" w:hint="eastAsia"/>
          <w:sz w:val="24"/>
          <w:szCs w:val="24"/>
          <w:lang w:eastAsia="zh-CN"/>
        </w:rPr>
        <w:t>较</w:t>
      </w:r>
      <w:r w:rsidR="00FF2720">
        <w:rPr>
          <w:rFonts w:ascii="华文楷体" w:hAnsi="华文楷体" w:hint="eastAsia"/>
          <w:sz w:val="24"/>
          <w:szCs w:val="24"/>
          <w:lang w:eastAsia="zh-CN"/>
        </w:rPr>
        <w:t>前一</w:t>
      </w:r>
      <w:r w:rsidR="00D9413F">
        <w:rPr>
          <w:rFonts w:ascii="华文楷体" w:hAnsi="华文楷体" w:hint="eastAsia"/>
          <w:sz w:val="24"/>
          <w:szCs w:val="24"/>
          <w:lang w:eastAsia="zh-CN"/>
        </w:rPr>
        <w:t>周</w:t>
      </w:r>
      <w:r w:rsidR="00515400">
        <w:rPr>
          <w:rFonts w:ascii="华文楷体" w:hAnsi="华文楷体" w:hint="eastAsia"/>
          <w:sz w:val="24"/>
          <w:szCs w:val="24"/>
          <w:lang w:eastAsia="zh-CN"/>
        </w:rPr>
        <w:t>上</w:t>
      </w:r>
      <w:r w:rsidR="00C15F3D">
        <w:rPr>
          <w:rFonts w:ascii="华文楷体" w:hAnsi="华文楷体" w:hint="eastAsia"/>
          <w:sz w:val="24"/>
          <w:szCs w:val="24"/>
          <w:lang w:eastAsia="zh-CN"/>
        </w:rPr>
        <w:t>行</w:t>
      </w:r>
      <w:r w:rsidR="00026E14">
        <w:rPr>
          <w:rFonts w:ascii="华文楷体" w:hAnsi="华文楷体" w:hint="eastAsia"/>
          <w:sz w:val="24"/>
          <w:szCs w:val="24"/>
          <w:lang w:eastAsia="zh-CN"/>
        </w:rPr>
        <w:t>16</w:t>
      </w:r>
      <w:r w:rsidR="002D361C">
        <w:rPr>
          <w:rFonts w:ascii="华文楷体" w:hAnsi="华文楷体" w:hint="eastAsia"/>
          <w:sz w:val="24"/>
          <w:szCs w:val="24"/>
          <w:lang w:eastAsia="zh-CN"/>
        </w:rPr>
        <w:t>BP至</w:t>
      </w:r>
      <w:r w:rsidR="00026E14">
        <w:rPr>
          <w:rFonts w:ascii="华文楷体" w:hAnsi="华文楷体" w:hint="eastAsia"/>
          <w:sz w:val="24"/>
          <w:szCs w:val="24"/>
          <w:lang w:eastAsia="zh-CN"/>
        </w:rPr>
        <w:t>2.00</w:t>
      </w:r>
      <w:r w:rsidR="00D9413F">
        <w:rPr>
          <w:rFonts w:ascii="华文楷体" w:hAnsi="华文楷体" w:hint="eastAsia"/>
          <w:sz w:val="24"/>
          <w:szCs w:val="24"/>
          <w:lang w:eastAsia="zh-CN"/>
        </w:rPr>
        <w:t>%，</w:t>
      </w:r>
      <w:r>
        <w:rPr>
          <w:rFonts w:ascii="华文楷体" w:hAnsi="华文楷体" w:hint="eastAsia"/>
          <w:sz w:val="24"/>
          <w:szCs w:val="24"/>
          <w:lang w:eastAsia="zh-CN"/>
        </w:rPr>
        <w:t>7天</w:t>
      </w:r>
      <w:r w:rsidR="00515400">
        <w:rPr>
          <w:rFonts w:ascii="华文楷体" w:hAnsi="华文楷体" w:hint="eastAsia"/>
          <w:sz w:val="24"/>
          <w:szCs w:val="24"/>
          <w:lang w:eastAsia="zh-CN"/>
        </w:rPr>
        <w:t>上行</w:t>
      </w:r>
      <w:r w:rsidR="00026E14">
        <w:rPr>
          <w:rFonts w:ascii="华文楷体" w:hAnsi="华文楷体" w:hint="eastAsia"/>
          <w:sz w:val="24"/>
          <w:szCs w:val="24"/>
          <w:lang w:eastAsia="zh-CN"/>
        </w:rPr>
        <w:t>12</w:t>
      </w:r>
      <w:r w:rsidR="00D9413F">
        <w:rPr>
          <w:rFonts w:ascii="华文楷体" w:hAnsi="华文楷体" w:hint="eastAsia"/>
          <w:sz w:val="24"/>
          <w:szCs w:val="24"/>
          <w:lang w:eastAsia="zh-CN"/>
        </w:rPr>
        <w:t>BP至</w:t>
      </w:r>
      <w:r w:rsidR="00C15F3D">
        <w:rPr>
          <w:rFonts w:ascii="华文楷体" w:hAnsi="华文楷体"/>
          <w:sz w:val="24"/>
          <w:szCs w:val="24"/>
          <w:lang w:eastAsia="zh-CN"/>
        </w:rPr>
        <w:t>2</w:t>
      </w:r>
      <w:r w:rsidR="00515400">
        <w:rPr>
          <w:rFonts w:ascii="华文楷体" w:hAnsi="华文楷体" w:hint="eastAsia"/>
          <w:sz w:val="24"/>
          <w:szCs w:val="24"/>
          <w:lang w:eastAsia="zh-CN"/>
        </w:rPr>
        <w:t>.</w:t>
      </w:r>
      <w:r w:rsidR="00026E14">
        <w:rPr>
          <w:rFonts w:ascii="华文楷体" w:hAnsi="华文楷体" w:hint="eastAsia"/>
          <w:sz w:val="24"/>
          <w:szCs w:val="24"/>
          <w:lang w:eastAsia="zh-CN"/>
        </w:rPr>
        <w:t>14</w:t>
      </w:r>
      <w:r>
        <w:rPr>
          <w:rFonts w:ascii="华文楷体" w:hAnsi="华文楷体" w:hint="eastAsia"/>
          <w:sz w:val="24"/>
          <w:szCs w:val="24"/>
          <w:lang w:eastAsia="zh-CN"/>
        </w:rPr>
        <w:t>%</w:t>
      </w:r>
      <w:r w:rsidR="007F77B5">
        <w:rPr>
          <w:rFonts w:ascii="华文楷体" w:hAnsi="华文楷体" w:hint="eastAsia"/>
          <w:sz w:val="24"/>
          <w:szCs w:val="24"/>
          <w:lang w:eastAsia="zh-CN"/>
        </w:rPr>
        <w:t>，</w:t>
      </w:r>
      <w:r w:rsidR="009C77AF">
        <w:rPr>
          <w:rFonts w:ascii="华文楷体" w:hAnsi="华文楷体" w:hint="eastAsia"/>
          <w:sz w:val="24"/>
          <w:szCs w:val="24"/>
          <w:lang w:eastAsia="zh-CN"/>
        </w:rPr>
        <w:t>开盘利率</w:t>
      </w:r>
      <w:r w:rsidR="00DA0B17">
        <w:rPr>
          <w:rFonts w:ascii="华文楷体" w:hAnsi="华文楷体" w:hint="eastAsia"/>
          <w:sz w:val="24"/>
          <w:szCs w:val="24"/>
          <w:lang w:eastAsia="zh-CN"/>
        </w:rPr>
        <w:t>未变化</w:t>
      </w:r>
      <w:r w:rsidR="00847EB6">
        <w:rPr>
          <w:rFonts w:ascii="华文楷体" w:hAnsi="华文楷体" w:hint="eastAsia"/>
          <w:sz w:val="24"/>
          <w:szCs w:val="24"/>
          <w:lang w:eastAsia="zh-CN"/>
        </w:rPr>
        <w:t>，</w:t>
      </w:r>
      <w:r w:rsidR="00ED7CCC">
        <w:rPr>
          <w:rFonts w:ascii="华文楷体" w:hAnsi="华文楷体" w:hint="eastAsia"/>
          <w:sz w:val="24"/>
          <w:szCs w:val="24"/>
          <w:lang w:eastAsia="zh-CN"/>
        </w:rPr>
        <w:t>隔夜利率和</w:t>
      </w:r>
      <w:r w:rsidR="00B92F0A">
        <w:rPr>
          <w:rFonts w:ascii="华文楷体" w:hAnsi="华文楷体" w:hint="eastAsia"/>
          <w:sz w:val="24"/>
          <w:szCs w:val="24"/>
          <w:lang w:eastAsia="zh-CN"/>
        </w:rPr>
        <w:t>7</w:t>
      </w:r>
      <w:r w:rsidR="00ED7CCC">
        <w:rPr>
          <w:rFonts w:ascii="华文楷体" w:hAnsi="华文楷体" w:hint="eastAsia"/>
          <w:sz w:val="24"/>
          <w:szCs w:val="24"/>
          <w:lang w:eastAsia="zh-CN"/>
        </w:rPr>
        <w:t>天利率</w:t>
      </w:r>
      <w:r w:rsidR="00C15F3D">
        <w:rPr>
          <w:rFonts w:ascii="华文楷体" w:hAnsi="华文楷体" w:hint="eastAsia"/>
          <w:sz w:val="24"/>
          <w:szCs w:val="24"/>
          <w:lang w:eastAsia="zh-CN"/>
        </w:rPr>
        <w:t>利差</w:t>
      </w:r>
      <w:r w:rsidR="00026E14">
        <w:rPr>
          <w:rFonts w:ascii="华文楷体" w:hAnsi="华文楷体" w:hint="eastAsia"/>
          <w:sz w:val="24"/>
          <w:szCs w:val="24"/>
          <w:lang w:eastAsia="zh-CN"/>
        </w:rPr>
        <w:t>持续窄幅震荡</w:t>
      </w:r>
      <w:r w:rsidR="002D361C">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60E58867" w14:textId="77777777" w:rsidTr="005671F6">
        <w:trPr>
          <w:jc w:val="center"/>
        </w:trPr>
        <w:tc>
          <w:tcPr>
            <w:tcW w:w="4939" w:type="dxa"/>
            <w:vAlign w:val="center"/>
          </w:tcPr>
          <w:p w14:paraId="17724E9F" w14:textId="1A5A88F2" w:rsidR="00E0626C" w:rsidRPr="006A5F34" w:rsidRDefault="00E0626C" w:rsidP="009A2BA0">
            <w:pPr>
              <w:pStyle w:val="ChartHeading"/>
              <w:jc w:val="both"/>
            </w:pPr>
            <w:bookmarkStart w:id="0" w:name="_Hlk12804578"/>
            <w:r w:rsidRPr="006A5F34">
              <w:rPr>
                <w:rFonts w:hint="eastAsia"/>
              </w:rPr>
              <w:t>图表</w:t>
            </w:r>
            <w:r w:rsidRPr="006A5F34">
              <w:t xml:space="preserve">. </w:t>
            </w:r>
            <w:r>
              <w:rPr>
                <w:rFonts w:hint="eastAsia"/>
              </w:rPr>
              <w:t>央行公开市场</w:t>
            </w:r>
            <w:r w:rsidR="00065B19">
              <w:rPr>
                <w:rFonts w:hint="eastAsia"/>
              </w:rPr>
              <w:t>逆回购</w:t>
            </w:r>
            <w:r>
              <w:rPr>
                <w:rFonts w:hint="eastAsia"/>
              </w:rPr>
              <w:t>操作</w:t>
            </w:r>
          </w:p>
        </w:tc>
        <w:tc>
          <w:tcPr>
            <w:tcW w:w="4938" w:type="dxa"/>
            <w:vAlign w:val="center"/>
          </w:tcPr>
          <w:p w14:paraId="173ED7B2" w14:textId="65A78209" w:rsidR="00E0626C" w:rsidRPr="006A5F34" w:rsidRDefault="00E0626C" w:rsidP="009A2BA0">
            <w:pPr>
              <w:pStyle w:val="ChartHeading"/>
              <w:jc w:val="both"/>
            </w:pPr>
            <w:r w:rsidRPr="006A5F34">
              <w:rPr>
                <w:rFonts w:hint="eastAsia"/>
              </w:rPr>
              <w:t>图表</w:t>
            </w:r>
            <w:r w:rsidRPr="006A5F34">
              <w:t xml:space="preserve">. </w:t>
            </w:r>
            <w:r>
              <w:rPr>
                <w:rFonts w:hint="eastAsia"/>
              </w:rPr>
              <w:t>DR</w:t>
            </w:r>
            <w:r>
              <w:t>007</w:t>
            </w:r>
            <w:r>
              <w:rPr>
                <w:rFonts w:hint="eastAsia"/>
              </w:rPr>
              <w:t>与</w:t>
            </w:r>
            <w:r>
              <w:rPr>
                <w:rFonts w:hint="eastAsia"/>
              </w:rPr>
              <w:t>R</w:t>
            </w:r>
            <w:r>
              <w:t>007</w:t>
            </w:r>
            <w:r>
              <w:rPr>
                <w:rFonts w:hint="eastAsia"/>
              </w:rPr>
              <w:t>走势</w:t>
            </w:r>
          </w:p>
        </w:tc>
      </w:tr>
      <w:tr w:rsidR="00E0626C" w:rsidRPr="006A5F34" w14:paraId="794C3731" w14:textId="77777777" w:rsidTr="00B17B47">
        <w:tblPrEx>
          <w:tblCellMar>
            <w:left w:w="108" w:type="dxa"/>
            <w:right w:w="108" w:type="dxa"/>
          </w:tblCellMar>
        </w:tblPrEx>
        <w:trPr>
          <w:jc w:val="center"/>
        </w:trPr>
        <w:tc>
          <w:tcPr>
            <w:tcW w:w="4939" w:type="dxa"/>
            <w:vAlign w:val="center"/>
          </w:tcPr>
          <w:p w14:paraId="60AEAEDC" w14:textId="6BE34863" w:rsidR="00E0626C" w:rsidRPr="003C6AC1" w:rsidRDefault="00026E14" w:rsidP="009A2BA0">
            <w:pPr>
              <w:jc w:val="center"/>
              <w:rPr>
                <w:noProof/>
                <w:sz w:val="20"/>
              </w:rPr>
            </w:pPr>
            <w:r>
              <w:rPr>
                <w:noProof/>
              </w:rPr>
              <w:drawing>
                <wp:inline distT="0" distB="0" distL="0" distR="0" wp14:anchorId="095CF70D" wp14:editId="27408522">
                  <wp:extent cx="2999105" cy="1772550"/>
                  <wp:effectExtent l="0" t="0" r="0" b="0"/>
                  <wp:docPr id="1" name="图表 1">
                    <a:extLst xmlns:a="http://schemas.openxmlformats.org/drawingml/2006/main">
                      <a:ext uri="{FF2B5EF4-FFF2-40B4-BE49-F238E27FC236}">
                        <a16:creationId xmlns:lc="http://schemas.openxmlformats.org/drawingml/2006/lockedCanvas" xmlns="" xmlns:a16="http://schemas.microsoft.com/office/drawing/2014/main" xmlns:xdr="http://schemas.openxmlformats.org/drawingml/2006/spreadsheetDrawing" xmlns:w15="http://schemas.microsoft.com/office/word/2012/wordml" xmlns:w="http://schemas.openxmlformats.org/wordprocessingml/2006/main" xmlns:w10="urn:schemas-microsoft-com:office:word" xmlns:v="urn:schemas-microsoft-com:vml" xmlns:o="urn:schemas-microsoft-com:office:office" id="{00000000-0008-0000-00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c>
          <w:tcPr>
            <w:tcW w:w="4938" w:type="dxa"/>
            <w:vAlign w:val="center"/>
          </w:tcPr>
          <w:p w14:paraId="287706CA" w14:textId="0354182C" w:rsidR="00E0626C" w:rsidRPr="00F62F43" w:rsidRDefault="00B17B47" w:rsidP="009A2BA0">
            <w:pPr>
              <w:jc w:val="center"/>
              <w:rPr>
                <w:noProof/>
                <w:sz w:val="16"/>
                <w:szCs w:val="18"/>
              </w:rPr>
            </w:pPr>
            <w:r>
              <w:rPr>
                <w:noProof/>
              </w:rPr>
              <w:drawing>
                <wp:inline distT="0" distB="0" distL="0" distR="0" wp14:anchorId="4C3001BD" wp14:editId="62C0F553">
                  <wp:extent cx="3050218" cy="1742440"/>
                  <wp:effectExtent l="0" t="0" r="0" b="0"/>
                  <wp:docPr id="2" name="图表 2">
                    <a:extLst xmlns:a="http://schemas.openxmlformats.org/drawingml/2006/main">
                      <a:ext uri="{FF2B5EF4-FFF2-40B4-BE49-F238E27FC236}">
                        <a16:creationId xmlns:lc="http://schemas.openxmlformats.org/drawingml/2006/lockedCanvas" xmlns="" xmlns:a16="http://schemas.microsoft.com/office/drawing/2014/main" xmlns:xdr="http://schemas.openxmlformats.org/drawingml/2006/spreadsheetDrawing" xmlns:w15="http://schemas.microsoft.com/office/word/2012/wordml" xmlns:w="http://schemas.openxmlformats.org/wordprocessingml/2006/main" xmlns:w10="urn:schemas-microsoft-com:office:word" xmlns:v="urn:schemas-microsoft-com:vml" xmlns:o="urn:schemas-microsoft-com:office:office" id="{00000000-0008-0000-0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r>
      <w:tr w:rsidR="00E0626C" w:rsidRPr="006A5F34" w14:paraId="59562A2C" w14:textId="77777777" w:rsidTr="005671F6">
        <w:trPr>
          <w:trHeight w:val="64"/>
          <w:jc w:val="center"/>
        </w:trPr>
        <w:tc>
          <w:tcPr>
            <w:tcW w:w="4939" w:type="dxa"/>
            <w:vAlign w:val="center"/>
          </w:tcPr>
          <w:p w14:paraId="7BEE3B66"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7D69A7C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bookmarkEnd w:id="0"/>
    </w:tbl>
    <w:p w14:paraId="599CD2B1" w14:textId="77777777" w:rsidR="00E0626C" w:rsidRPr="004003D2" w:rsidRDefault="00E0626C" w:rsidP="009A2BA0">
      <w:pPr>
        <w:pStyle w:val="Body-text"/>
        <w:spacing w:after="0"/>
        <w:rPr>
          <w:lang w:eastAsia="zh-CN"/>
        </w:rPr>
      </w:pPr>
    </w:p>
    <w:p w14:paraId="704BC20A" w14:textId="65C0D621" w:rsidR="00E0626C" w:rsidRPr="00C73E5D" w:rsidRDefault="00E0626C" w:rsidP="009A2BA0">
      <w:pPr>
        <w:pStyle w:val="Header2"/>
        <w:rPr>
          <w:rFonts w:eastAsia="PMingLiU"/>
          <w:sz w:val="28"/>
          <w:szCs w:val="21"/>
        </w:rPr>
      </w:pPr>
      <w:r>
        <w:rPr>
          <w:sz w:val="28"/>
          <w:szCs w:val="21"/>
          <w:lang w:eastAsia="zh-CN"/>
        </w:rPr>
        <w:t>2</w:t>
      </w:r>
      <w:r>
        <w:rPr>
          <w:rFonts w:hint="eastAsia"/>
          <w:sz w:val="28"/>
          <w:szCs w:val="21"/>
          <w:lang w:eastAsia="zh-CN"/>
        </w:rPr>
        <w:t>、</w:t>
      </w:r>
      <w:r>
        <w:rPr>
          <w:rFonts w:hint="eastAsia"/>
          <w:sz w:val="28"/>
          <w:szCs w:val="21"/>
        </w:rPr>
        <w:t>利率债</w:t>
      </w:r>
    </w:p>
    <w:p w14:paraId="33F356F9" w14:textId="5FD13502" w:rsidR="00A917BC" w:rsidRPr="00A917BC" w:rsidRDefault="0093645F" w:rsidP="00A917BC">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利率债</w:t>
      </w:r>
      <w:r w:rsidR="00B17B47">
        <w:rPr>
          <w:rFonts w:ascii="华文楷体" w:hAnsi="华文楷体" w:hint="eastAsia"/>
          <w:sz w:val="24"/>
          <w:szCs w:val="24"/>
          <w:lang w:eastAsia="zh-CN"/>
        </w:rPr>
        <w:t>：多数</w:t>
      </w:r>
      <w:r w:rsidR="00FB0590">
        <w:rPr>
          <w:rFonts w:ascii="华文楷体" w:hAnsi="华文楷体" w:hint="eastAsia"/>
          <w:sz w:val="24"/>
          <w:szCs w:val="24"/>
          <w:lang w:eastAsia="zh-CN"/>
        </w:rPr>
        <w:t>期限品种</w:t>
      </w:r>
      <w:r w:rsidR="00B17B47">
        <w:rPr>
          <w:rFonts w:ascii="华文楷体" w:hAnsi="华文楷体" w:hint="eastAsia"/>
          <w:sz w:val="24"/>
          <w:szCs w:val="24"/>
          <w:lang w:eastAsia="zh-CN"/>
        </w:rPr>
        <w:t>皆有不同程度下行</w:t>
      </w:r>
      <w:r w:rsidR="00FB0590">
        <w:rPr>
          <w:rFonts w:ascii="华文楷体" w:hAnsi="华文楷体" w:hint="eastAsia"/>
          <w:sz w:val="24"/>
          <w:szCs w:val="24"/>
          <w:lang w:eastAsia="zh-CN"/>
        </w:rPr>
        <w:t>，1Y内期限品种</w:t>
      </w:r>
      <w:r w:rsidR="001F098C">
        <w:rPr>
          <w:rFonts w:ascii="华文楷体" w:hAnsi="华文楷体" w:hint="eastAsia"/>
          <w:sz w:val="24"/>
          <w:szCs w:val="24"/>
          <w:lang w:eastAsia="zh-CN"/>
        </w:rPr>
        <w:t>受资金波动影响</w:t>
      </w:r>
      <w:r w:rsidR="00B17B47">
        <w:rPr>
          <w:rFonts w:ascii="华文楷体" w:hAnsi="华文楷体" w:hint="eastAsia"/>
          <w:sz w:val="24"/>
          <w:szCs w:val="24"/>
          <w:lang w:eastAsia="zh-CN"/>
        </w:rPr>
        <w:t>相对涨跌互现，</w:t>
      </w:r>
      <w:r w:rsidR="00124E5E">
        <w:rPr>
          <w:rFonts w:ascii="华文楷体" w:hAnsi="华文楷体" w:hint="eastAsia"/>
          <w:sz w:val="24"/>
          <w:szCs w:val="24"/>
          <w:lang w:eastAsia="zh-CN"/>
        </w:rPr>
        <w:t>除</w:t>
      </w:r>
      <w:r w:rsidR="00B17B47">
        <w:rPr>
          <w:rFonts w:ascii="华文楷体" w:hAnsi="华文楷体" w:hint="eastAsia"/>
          <w:sz w:val="24"/>
          <w:szCs w:val="24"/>
          <w:lang w:eastAsia="zh-CN"/>
        </w:rPr>
        <w:t>此外3Y及以上期限品种</w:t>
      </w:r>
      <w:r w:rsidR="00124E5E">
        <w:rPr>
          <w:rFonts w:ascii="华文楷体" w:hAnsi="华文楷体" w:hint="eastAsia"/>
          <w:sz w:val="24"/>
          <w:szCs w:val="24"/>
          <w:lang w:eastAsia="zh-CN"/>
        </w:rPr>
        <w:t>上</w:t>
      </w:r>
      <w:r w:rsidR="00B17B47">
        <w:rPr>
          <w:rFonts w:ascii="华文楷体" w:hAnsi="华文楷体" w:hint="eastAsia"/>
          <w:sz w:val="24"/>
          <w:szCs w:val="24"/>
          <w:lang w:eastAsia="zh-CN"/>
        </w:rPr>
        <w:t>周皆有不俗表现。</w:t>
      </w:r>
      <w:r w:rsidR="0016431D">
        <w:rPr>
          <w:rFonts w:ascii="华文楷体" w:hAnsi="华文楷体" w:hint="eastAsia"/>
          <w:sz w:val="24"/>
          <w:szCs w:val="24"/>
          <w:lang w:eastAsia="zh-CN"/>
        </w:rPr>
        <w:t>市场表现情况</w:t>
      </w:r>
      <w:r w:rsidR="00F62F43">
        <w:rPr>
          <w:rFonts w:ascii="华文楷体" w:hAnsi="华文楷体" w:hint="eastAsia"/>
          <w:sz w:val="24"/>
          <w:szCs w:val="24"/>
          <w:lang w:eastAsia="zh-CN"/>
        </w:rPr>
        <w:t>，</w:t>
      </w:r>
      <w:r w:rsidR="00A327C0">
        <w:rPr>
          <w:rFonts w:ascii="华文楷体" w:hAnsi="华文楷体" w:hint="eastAsia"/>
          <w:sz w:val="24"/>
          <w:szCs w:val="24"/>
          <w:lang w:eastAsia="zh-CN"/>
        </w:rPr>
        <w:t>国债10年和1Y期限利差</w:t>
      </w:r>
      <w:r w:rsidR="00F62F43">
        <w:rPr>
          <w:rFonts w:ascii="华文楷体" w:hAnsi="华文楷体" w:hint="eastAsia"/>
          <w:sz w:val="24"/>
          <w:szCs w:val="24"/>
          <w:lang w:eastAsia="zh-CN"/>
        </w:rPr>
        <w:t>在</w:t>
      </w:r>
      <w:r w:rsidR="00B17B47">
        <w:rPr>
          <w:rFonts w:ascii="华文楷体" w:hAnsi="华文楷体" w:hint="eastAsia"/>
          <w:sz w:val="24"/>
          <w:szCs w:val="24"/>
          <w:lang w:eastAsia="zh-CN"/>
        </w:rPr>
        <w:t>76</w:t>
      </w:r>
      <w:r w:rsidR="002F2A1A">
        <w:rPr>
          <w:rFonts w:ascii="华文楷体" w:hAnsi="华文楷体" w:hint="eastAsia"/>
          <w:sz w:val="24"/>
          <w:szCs w:val="24"/>
          <w:lang w:eastAsia="zh-CN"/>
        </w:rPr>
        <w:t>BP</w:t>
      </w:r>
      <w:r w:rsidR="00F62F43">
        <w:rPr>
          <w:rFonts w:ascii="华文楷体" w:hAnsi="华文楷体" w:hint="eastAsia"/>
          <w:sz w:val="24"/>
          <w:szCs w:val="24"/>
          <w:lang w:eastAsia="zh-CN"/>
        </w:rPr>
        <w:t>，</w:t>
      </w:r>
      <w:proofErr w:type="gramStart"/>
      <w:r w:rsidR="00F62F43">
        <w:rPr>
          <w:rFonts w:ascii="华文楷体" w:hAnsi="华文楷体" w:hint="eastAsia"/>
          <w:sz w:val="24"/>
          <w:szCs w:val="24"/>
          <w:lang w:eastAsia="zh-CN"/>
        </w:rPr>
        <w:t>国开债</w:t>
      </w:r>
      <w:proofErr w:type="gramEnd"/>
      <w:r w:rsidR="00F62F43">
        <w:rPr>
          <w:rFonts w:ascii="华文楷体" w:hAnsi="华文楷体" w:hint="eastAsia"/>
          <w:sz w:val="24"/>
          <w:szCs w:val="24"/>
          <w:lang w:eastAsia="zh-CN"/>
        </w:rPr>
        <w:t>10Y与1Y利差在</w:t>
      </w:r>
      <w:r w:rsidR="00B17B47">
        <w:rPr>
          <w:rFonts w:ascii="华文楷体" w:hAnsi="华文楷体" w:hint="eastAsia"/>
          <w:sz w:val="24"/>
          <w:szCs w:val="24"/>
          <w:lang w:eastAsia="zh-CN"/>
        </w:rPr>
        <w:t>96</w:t>
      </w:r>
      <w:r w:rsidR="00F62F43">
        <w:rPr>
          <w:rFonts w:ascii="华文楷体" w:hAnsi="华文楷体" w:hint="eastAsia"/>
          <w:sz w:val="24"/>
          <w:szCs w:val="24"/>
          <w:lang w:eastAsia="zh-CN"/>
        </w:rPr>
        <w:t>BP</w:t>
      </w:r>
      <w:r w:rsidR="006C1830">
        <w:rPr>
          <w:rFonts w:ascii="华文楷体" w:hAnsi="华文楷体"/>
          <w:sz w:val="24"/>
          <w:szCs w:val="24"/>
          <w:lang w:eastAsia="zh-CN"/>
        </w:rPr>
        <w:t>。</w:t>
      </w:r>
      <w:r w:rsidR="0092340D">
        <w:rPr>
          <w:rFonts w:ascii="华文楷体" w:hAnsi="华文楷体" w:hint="eastAsia"/>
          <w:sz w:val="24"/>
          <w:szCs w:val="24"/>
          <w:lang w:eastAsia="zh-CN"/>
        </w:rPr>
        <w:t>最终，</w:t>
      </w:r>
      <w:r w:rsidR="00202D86">
        <w:rPr>
          <w:rFonts w:ascii="华文楷体" w:hAnsi="华文楷体" w:hint="eastAsia"/>
          <w:sz w:val="24"/>
          <w:szCs w:val="24"/>
          <w:lang w:eastAsia="zh-CN"/>
        </w:rPr>
        <w:t>1</w:t>
      </w:r>
      <w:r w:rsidR="00202D86">
        <w:rPr>
          <w:rFonts w:ascii="华文楷体" w:hAnsi="华文楷体"/>
          <w:sz w:val="24"/>
          <w:szCs w:val="24"/>
          <w:lang w:eastAsia="zh-CN"/>
        </w:rPr>
        <w:t>0</w:t>
      </w:r>
      <w:r w:rsidR="00202D86">
        <w:rPr>
          <w:rFonts w:ascii="华文楷体" w:hAnsi="华文楷体" w:hint="eastAsia"/>
          <w:sz w:val="24"/>
          <w:szCs w:val="24"/>
          <w:lang w:eastAsia="zh-CN"/>
        </w:rPr>
        <w:t>Y国债</w:t>
      </w:r>
      <w:r w:rsidR="00FB0590">
        <w:rPr>
          <w:rFonts w:ascii="华文楷体" w:hAnsi="华文楷体" w:hint="eastAsia"/>
          <w:sz w:val="24"/>
          <w:szCs w:val="24"/>
          <w:lang w:eastAsia="zh-CN"/>
        </w:rPr>
        <w:t>下行</w:t>
      </w:r>
      <w:r w:rsidR="00B17B47">
        <w:rPr>
          <w:rFonts w:ascii="华文楷体" w:hAnsi="华文楷体" w:hint="eastAsia"/>
          <w:sz w:val="24"/>
          <w:szCs w:val="24"/>
          <w:lang w:eastAsia="zh-CN"/>
        </w:rPr>
        <w:t>5.5</w:t>
      </w:r>
      <w:r w:rsidR="00087119">
        <w:rPr>
          <w:rFonts w:ascii="华文楷体" w:hAnsi="华文楷体"/>
          <w:sz w:val="24"/>
          <w:szCs w:val="24"/>
          <w:lang w:eastAsia="zh-CN"/>
        </w:rPr>
        <w:t>B</w:t>
      </w:r>
      <w:r w:rsidR="0092340D">
        <w:rPr>
          <w:rFonts w:ascii="华文楷体" w:hAnsi="华文楷体" w:hint="eastAsia"/>
          <w:sz w:val="24"/>
          <w:szCs w:val="24"/>
          <w:lang w:eastAsia="zh-CN"/>
        </w:rPr>
        <w:t>P，10Y</w:t>
      </w:r>
      <w:proofErr w:type="gramStart"/>
      <w:r w:rsidR="00202D86">
        <w:rPr>
          <w:rFonts w:ascii="华文楷体" w:hAnsi="华文楷体" w:hint="eastAsia"/>
          <w:sz w:val="24"/>
          <w:szCs w:val="24"/>
          <w:lang w:eastAsia="zh-CN"/>
        </w:rPr>
        <w:t>国开</w:t>
      </w:r>
      <w:r w:rsidR="004F02B1">
        <w:rPr>
          <w:rFonts w:ascii="华文楷体" w:hAnsi="华文楷体" w:hint="eastAsia"/>
          <w:sz w:val="24"/>
          <w:szCs w:val="24"/>
          <w:lang w:eastAsia="zh-CN"/>
        </w:rPr>
        <w:t>债</w:t>
      </w:r>
      <w:r w:rsidR="00B17B47">
        <w:rPr>
          <w:rFonts w:ascii="华文楷体" w:hAnsi="华文楷体" w:hint="eastAsia"/>
          <w:sz w:val="24"/>
          <w:szCs w:val="24"/>
          <w:lang w:eastAsia="zh-CN"/>
        </w:rPr>
        <w:t>下行</w:t>
      </w:r>
      <w:proofErr w:type="gramEnd"/>
      <w:r w:rsidR="00B17B47">
        <w:rPr>
          <w:rFonts w:ascii="华文楷体" w:hAnsi="华文楷体" w:hint="eastAsia"/>
          <w:sz w:val="24"/>
          <w:szCs w:val="24"/>
          <w:lang w:eastAsia="zh-CN"/>
        </w:rPr>
        <w:t>5.7</w:t>
      </w:r>
      <w:r w:rsidR="0092340D">
        <w:rPr>
          <w:rFonts w:ascii="华文楷体" w:hAnsi="华文楷体" w:hint="eastAsia"/>
          <w:sz w:val="24"/>
          <w:szCs w:val="24"/>
          <w:lang w:eastAsia="zh-CN"/>
        </w:rPr>
        <w:t>，</w:t>
      </w:r>
      <w:r w:rsidR="003848B1">
        <w:rPr>
          <w:rFonts w:ascii="华文楷体" w:hAnsi="华文楷体" w:hint="eastAsia"/>
          <w:sz w:val="24"/>
          <w:szCs w:val="24"/>
          <w:lang w:eastAsia="zh-CN"/>
        </w:rPr>
        <w:t>10Y</w:t>
      </w:r>
      <w:proofErr w:type="gramStart"/>
      <w:r w:rsidR="003848B1">
        <w:rPr>
          <w:rFonts w:ascii="华文楷体" w:hAnsi="华文楷体" w:hint="eastAsia"/>
          <w:sz w:val="24"/>
          <w:szCs w:val="24"/>
          <w:lang w:eastAsia="zh-CN"/>
        </w:rPr>
        <w:t>期限国开债</w:t>
      </w:r>
      <w:proofErr w:type="gramEnd"/>
      <w:r w:rsidR="003848B1">
        <w:rPr>
          <w:rFonts w:ascii="华文楷体" w:hAnsi="华文楷体" w:hint="eastAsia"/>
          <w:sz w:val="24"/>
          <w:szCs w:val="24"/>
          <w:lang w:eastAsia="zh-CN"/>
        </w:rPr>
        <w:t>和国债利</w:t>
      </w:r>
      <w:proofErr w:type="gramStart"/>
      <w:r w:rsidR="003848B1">
        <w:rPr>
          <w:rFonts w:ascii="华文楷体" w:hAnsi="华文楷体" w:hint="eastAsia"/>
          <w:sz w:val="24"/>
          <w:szCs w:val="24"/>
          <w:lang w:eastAsia="zh-CN"/>
        </w:rPr>
        <w:t>差</w:t>
      </w:r>
      <w:r w:rsidR="00B20149">
        <w:rPr>
          <w:rFonts w:ascii="华文楷体" w:hAnsi="华文楷体" w:hint="eastAsia"/>
          <w:sz w:val="24"/>
          <w:szCs w:val="24"/>
          <w:lang w:eastAsia="zh-CN"/>
        </w:rPr>
        <w:t>维持</w:t>
      </w:r>
      <w:proofErr w:type="gramEnd"/>
      <w:r w:rsidR="00B20149">
        <w:rPr>
          <w:rFonts w:ascii="华文楷体" w:hAnsi="华文楷体" w:hint="eastAsia"/>
          <w:sz w:val="24"/>
          <w:szCs w:val="24"/>
          <w:lang w:eastAsia="zh-CN"/>
        </w:rPr>
        <w:t>在</w:t>
      </w:r>
      <w:r w:rsidR="001F098C">
        <w:rPr>
          <w:rFonts w:ascii="华文楷体" w:hAnsi="华文楷体" w:hint="eastAsia"/>
          <w:sz w:val="24"/>
          <w:szCs w:val="24"/>
          <w:lang w:eastAsia="zh-CN"/>
        </w:rPr>
        <w:t>40</w:t>
      </w:r>
      <w:r w:rsidR="00176815">
        <w:rPr>
          <w:rFonts w:ascii="华文楷体" w:hAnsi="华文楷体"/>
          <w:sz w:val="24"/>
          <w:szCs w:val="24"/>
          <w:lang w:eastAsia="zh-CN"/>
        </w:rPr>
        <w:t>B</w:t>
      </w:r>
      <w:r w:rsidR="003848B1">
        <w:rPr>
          <w:rFonts w:ascii="华文楷体" w:hAnsi="华文楷体" w:hint="eastAsia"/>
          <w:sz w:val="24"/>
          <w:szCs w:val="24"/>
          <w:lang w:eastAsia="zh-CN"/>
        </w:rPr>
        <w:t>P</w:t>
      </w:r>
      <w:r w:rsidR="00A917BC">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26C17AB1" w14:textId="77777777" w:rsidTr="00202D86">
        <w:trPr>
          <w:jc w:val="center"/>
        </w:trPr>
        <w:tc>
          <w:tcPr>
            <w:tcW w:w="4939" w:type="dxa"/>
            <w:vAlign w:val="center"/>
          </w:tcPr>
          <w:p w14:paraId="6C73AA55" w14:textId="11937E54" w:rsidR="00E0626C" w:rsidRPr="006A5F34" w:rsidRDefault="00E0626C" w:rsidP="00BA168E">
            <w:pPr>
              <w:pStyle w:val="ChartHeading"/>
              <w:jc w:val="both"/>
            </w:pPr>
            <w:r w:rsidRPr="006A5F34">
              <w:rPr>
                <w:rFonts w:hint="eastAsia"/>
              </w:rPr>
              <w:t>图表</w:t>
            </w:r>
            <w:r w:rsidRPr="006A5F34">
              <w:t xml:space="preserve">. </w:t>
            </w:r>
            <w:r>
              <w:rPr>
                <w:rFonts w:hint="eastAsia"/>
              </w:rPr>
              <w:t>国债收益率曲线和变化</w:t>
            </w:r>
          </w:p>
        </w:tc>
        <w:tc>
          <w:tcPr>
            <w:tcW w:w="4938" w:type="dxa"/>
            <w:vAlign w:val="center"/>
          </w:tcPr>
          <w:p w14:paraId="2C5A7EDC" w14:textId="7D7F9BC1" w:rsidR="00E0626C" w:rsidRPr="006A5F34" w:rsidRDefault="00E0626C" w:rsidP="009A2BA0">
            <w:pPr>
              <w:pStyle w:val="ChartHeading"/>
              <w:jc w:val="both"/>
            </w:pPr>
            <w:r w:rsidRPr="006A5F34">
              <w:rPr>
                <w:rFonts w:hint="eastAsia"/>
              </w:rPr>
              <w:t>图表</w:t>
            </w:r>
            <w:r w:rsidRPr="006A5F34">
              <w:t xml:space="preserve">. </w:t>
            </w:r>
            <w:proofErr w:type="gramStart"/>
            <w:r>
              <w:rPr>
                <w:rFonts w:hint="eastAsia"/>
              </w:rPr>
              <w:t>国开债收益率曲线</w:t>
            </w:r>
            <w:proofErr w:type="gramEnd"/>
            <w:r>
              <w:rPr>
                <w:rFonts w:hint="eastAsia"/>
              </w:rPr>
              <w:t>和变化</w:t>
            </w:r>
          </w:p>
        </w:tc>
      </w:tr>
      <w:tr w:rsidR="00E0626C" w:rsidRPr="006A5F34" w14:paraId="1094FBBD" w14:textId="77777777" w:rsidTr="00B17B47">
        <w:tblPrEx>
          <w:tblCellMar>
            <w:left w:w="108" w:type="dxa"/>
            <w:right w:w="108" w:type="dxa"/>
          </w:tblCellMar>
        </w:tblPrEx>
        <w:trPr>
          <w:jc w:val="center"/>
        </w:trPr>
        <w:tc>
          <w:tcPr>
            <w:tcW w:w="4939" w:type="dxa"/>
            <w:vAlign w:val="center"/>
          </w:tcPr>
          <w:p w14:paraId="678C97B0" w14:textId="5BF12C40" w:rsidR="00E0626C" w:rsidRPr="007E0340" w:rsidRDefault="00B17B47" w:rsidP="002104B2">
            <w:pPr>
              <w:rPr>
                <w:noProof/>
              </w:rPr>
            </w:pPr>
            <w:r>
              <w:rPr>
                <w:noProof/>
              </w:rPr>
              <w:drawing>
                <wp:inline distT="0" distB="0" distL="0" distR="0" wp14:anchorId="4E3B7BC6" wp14:editId="4B826CAE">
                  <wp:extent cx="2999105" cy="1761244"/>
                  <wp:effectExtent l="0" t="0" r="0" b="0"/>
                  <wp:docPr id="3" name="图表 3">
                    <a:extLst xmlns:a="http://schemas.openxmlformats.org/drawingml/2006/main">
                      <a:ext uri="{FF2B5EF4-FFF2-40B4-BE49-F238E27FC236}">
                        <a16:creationId xmlns:lc="http://schemas.openxmlformats.org/drawingml/2006/lockedCanvas" xmlns="" xmlns:a16="http://schemas.microsoft.com/office/drawing/2014/main" xmlns:xdr="http://schemas.openxmlformats.org/drawingml/2006/spreadsheetDrawing" xmlns:w15="http://schemas.microsoft.com/office/word/2012/wordml" xmlns:w="http://schemas.openxmlformats.org/wordprocessingml/2006/main" xmlns:w10="urn:schemas-microsoft-com:office:word" xmlns:v="urn:schemas-microsoft-com:vml" xmlns:o="urn:schemas-microsoft-com:office:office" id="{00000000-0008-0000-0200-000006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c>
        <w:tc>
          <w:tcPr>
            <w:tcW w:w="4938" w:type="dxa"/>
            <w:vAlign w:val="center"/>
          </w:tcPr>
          <w:p w14:paraId="17A42E68" w14:textId="45F8ED6A" w:rsidR="00E0626C" w:rsidRPr="007E0340" w:rsidRDefault="00B17B47" w:rsidP="009A2BA0">
            <w:pPr>
              <w:jc w:val="center"/>
              <w:rPr>
                <w:noProof/>
                <w:szCs w:val="18"/>
              </w:rPr>
            </w:pPr>
            <w:r>
              <w:rPr>
                <w:noProof/>
              </w:rPr>
              <w:drawing>
                <wp:inline distT="0" distB="0" distL="0" distR="0" wp14:anchorId="79B8DC76" wp14:editId="3A009209">
                  <wp:extent cx="2998470" cy="1748487"/>
                  <wp:effectExtent l="0" t="0" r="0" b="4445"/>
                  <wp:docPr id="9" name="图表 9">
                    <a:extLst xmlns:a="http://schemas.openxmlformats.org/drawingml/2006/main">
                      <a:ext uri="{FF2B5EF4-FFF2-40B4-BE49-F238E27FC236}">
                        <a16:creationId xmlns:lc="http://schemas.openxmlformats.org/drawingml/2006/lockedCanvas" xmlns="" xmlns:a16="http://schemas.microsoft.com/office/drawing/2014/main" xmlns:xdr="http://schemas.openxmlformats.org/drawingml/2006/spreadsheetDrawing" xmlns:w15="http://schemas.microsoft.com/office/word/2012/wordml" xmlns:w="http://schemas.openxmlformats.org/wordprocessingml/2006/main" xmlns:w10="urn:schemas-microsoft-com:office:word" xmlns:v="urn:schemas-microsoft-com:vml" xmlns:o="urn:schemas-microsoft-com:office:office" id="{00000000-0008-0000-03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r>
      <w:tr w:rsidR="00E0626C" w:rsidRPr="006A5F34" w14:paraId="70E50E5B" w14:textId="77777777" w:rsidTr="00202D86">
        <w:trPr>
          <w:trHeight w:val="64"/>
          <w:jc w:val="center"/>
        </w:trPr>
        <w:tc>
          <w:tcPr>
            <w:tcW w:w="4939" w:type="dxa"/>
            <w:vAlign w:val="center"/>
          </w:tcPr>
          <w:p w14:paraId="3E8A3EBA"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589540D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1E64B73D" w14:textId="1D9B94CF" w:rsidR="00E0626C" w:rsidRDefault="00E0626C" w:rsidP="009A2BA0">
      <w:pPr>
        <w:pStyle w:val="Body-text"/>
        <w:spacing w:after="0"/>
        <w:rPr>
          <w:lang w:eastAsia="zh-CN"/>
        </w:rPr>
      </w:pPr>
    </w:p>
    <w:p w14:paraId="18D67482" w14:textId="3EDA3EA7" w:rsidR="00E0626C" w:rsidRPr="00C73E5D" w:rsidRDefault="00E0626C" w:rsidP="009A2BA0">
      <w:pPr>
        <w:pStyle w:val="Header2"/>
        <w:rPr>
          <w:rFonts w:eastAsia="PMingLiU"/>
          <w:sz w:val="28"/>
          <w:szCs w:val="21"/>
        </w:rPr>
      </w:pPr>
      <w:r>
        <w:rPr>
          <w:sz w:val="28"/>
          <w:szCs w:val="21"/>
          <w:lang w:eastAsia="zh-CN"/>
        </w:rPr>
        <w:t>3</w:t>
      </w:r>
      <w:r>
        <w:rPr>
          <w:rFonts w:hint="eastAsia"/>
          <w:sz w:val="28"/>
          <w:szCs w:val="21"/>
          <w:lang w:eastAsia="zh-CN"/>
        </w:rPr>
        <w:t>、</w:t>
      </w:r>
      <w:r>
        <w:rPr>
          <w:rFonts w:hint="eastAsia"/>
          <w:sz w:val="28"/>
          <w:szCs w:val="21"/>
        </w:rPr>
        <w:t>信用债</w:t>
      </w:r>
    </w:p>
    <w:p w14:paraId="33FDD8BC" w14:textId="77B81DE0" w:rsidR="00D97370" w:rsidRPr="00D97370" w:rsidRDefault="00305223" w:rsidP="00DA6CA4">
      <w:pPr>
        <w:pStyle w:val="Body-text"/>
        <w:spacing w:after="240"/>
        <w:ind w:firstLineChars="200" w:firstLine="480"/>
        <w:rPr>
          <w:rFonts w:ascii="华文楷体" w:hAnsi="华文楷体"/>
          <w:sz w:val="24"/>
          <w:szCs w:val="24"/>
          <w:lang w:eastAsia="zh-CN"/>
        </w:rPr>
      </w:pPr>
      <w:r w:rsidRPr="00305223">
        <w:rPr>
          <w:rFonts w:ascii="华文楷体" w:hAnsi="华文楷体" w:hint="eastAsia"/>
          <w:sz w:val="24"/>
          <w:szCs w:val="24"/>
          <w:lang w:eastAsia="zh-CN"/>
        </w:rPr>
        <w:t>信用债</w:t>
      </w:r>
      <w:r w:rsidR="003F59A9">
        <w:rPr>
          <w:rFonts w:ascii="华文楷体" w:hAnsi="华文楷体" w:hint="eastAsia"/>
          <w:sz w:val="24"/>
          <w:szCs w:val="24"/>
          <w:lang w:eastAsia="zh-CN"/>
        </w:rPr>
        <w:t>方面，</w:t>
      </w:r>
      <w:r w:rsidR="00254AC8" w:rsidRPr="00254AC8">
        <w:rPr>
          <w:rFonts w:ascii="华文楷体" w:hAnsi="华文楷体" w:hint="eastAsia"/>
          <w:sz w:val="24"/>
          <w:szCs w:val="24"/>
          <w:lang w:eastAsia="zh-CN"/>
        </w:rPr>
        <w:t>主要期限品种震荡下行。1Y</w:t>
      </w:r>
      <w:proofErr w:type="gramStart"/>
      <w:r w:rsidR="00254AC8" w:rsidRPr="00254AC8">
        <w:rPr>
          <w:rFonts w:ascii="华文楷体" w:hAnsi="华文楷体" w:hint="eastAsia"/>
          <w:sz w:val="24"/>
          <w:szCs w:val="24"/>
          <w:lang w:eastAsia="zh-CN"/>
        </w:rPr>
        <w:t>期限短融下行</w:t>
      </w:r>
      <w:proofErr w:type="gramEnd"/>
      <w:r w:rsidR="00254AC8" w:rsidRPr="00254AC8">
        <w:rPr>
          <w:rFonts w:ascii="华文楷体" w:hAnsi="华文楷体" w:hint="eastAsia"/>
          <w:sz w:val="24"/>
          <w:szCs w:val="24"/>
          <w:lang w:eastAsia="zh-CN"/>
        </w:rPr>
        <w:t>3-5BP，3年AAA企业债下行1-7BP，5Y企业债下行0-1BP左右，</w:t>
      </w:r>
      <w:proofErr w:type="gramStart"/>
      <w:r w:rsidR="00254AC8" w:rsidRPr="00254AC8">
        <w:rPr>
          <w:rFonts w:ascii="华文楷体" w:hAnsi="华文楷体" w:hint="eastAsia"/>
          <w:sz w:val="24"/>
          <w:szCs w:val="24"/>
          <w:lang w:eastAsia="zh-CN"/>
        </w:rPr>
        <w:t>城投债</w:t>
      </w:r>
      <w:proofErr w:type="gramEnd"/>
      <w:r w:rsidR="00254AC8" w:rsidRPr="00254AC8">
        <w:rPr>
          <w:rFonts w:ascii="华文楷体" w:hAnsi="华文楷体" w:hint="eastAsia"/>
          <w:sz w:val="24"/>
          <w:szCs w:val="24"/>
          <w:lang w:eastAsia="zh-CN"/>
        </w:rPr>
        <w:t>3Y期限品种下行6-8BP，5Y品种下行2-6BP，7Y品种下行5-8BP。</w:t>
      </w:r>
      <w:r w:rsidR="00DA6CA4">
        <w:rPr>
          <w:rFonts w:ascii="华文楷体" w:hAnsi="华文楷体" w:hint="eastAsia"/>
          <w:sz w:val="24"/>
          <w:szCs w:val="24"/>
          <w:lang w:eastAsia="zh-CN"/>
        </w:rPr>
        <w:t>具体来看</w:t>
      </w:r>
      <w:r w:rsidR="00602D14">
        <w:rPr>
          <w:rFonts w:ascii="华文楷体" w:hAnsi="华文楷体" w:hint="eastAsia"/>
          <w:sz w:val="24"/>
          <w:szCs w:val="24"/>
          <w:lang w:eastAsia="zh-CN"/>
        </w:rPr>
        <w:t>收益率分位数，</w:t>
      </w:r>
      <w:r w:rsidR="00305C7B">
        <w:rPr>
          <w:rFonts w:ascii="华文楷体" w:hAnsi="华文楷体" w:hint="eastAsia"/>
          <w:sz w:val="24"/>
          <w:szCs w:val="24"/>
          <w:lang w:eastAsia="zh-CN"/>
        </w:rPr>
        <w:t>1Y品种</w:t>
      </w:r>
      <w:r w:rsidR="009929B6">
        <w:rPr>
          <w:rFonts w:ascii="华文楷体" w:hAnsi="华文楷体" w:hint="eastAsia"/>
          <w:sz w:val="24"/>
          <w:szCs w:val="24"/>
          <w:lang w:eastAsia="zh-CN"/>
        </w:rPr>
        <w:t>收益率分位数</w:t>
      </w:r>
      <w:r w:rsidR="00DA6CA4">
        <w:rPr>
          <w:rFonts w:ascii="华文楷体" w:hAnsi="华文楷体" w:hint="eastAsia"/>
          <w:sz w:val="24"/>
          <w:szCs w:val="24"/>
          <w:lang w:eastAsia="zh-CN"/>
        </w:rPr>
        <w:t>在</w:t>
      </w:r>
      <w:r w:rsidR="00254AC8">
        <w:rPr>
          <w:rFonts w:ascii="华文楷体" w:hAnsi="华文楷体" w:hint="eastAsia"/>
          <w:sz w:val="24"/>
          <w:szCs w:val="24"/>
          <w:lang w:eastAsia="zh-CN"/>
        </w:rPr>
        <w:t>15-21</w:t>
      </w:r>
      <w:r w:rsidR="00DA6CA4">
        <w:rPr>
          <w:rFonts w:ascii="华文楷体" w:hAnsi="华文楷体" w:hint="eastAsia"/>
          <w:sz w:val="24"/>
          <w:szCs w:val="24"/>
          <w:lang w:eastAsia="zh-CN"/>
        </w:rPr>
        <w:t>%</w:t>
      </w:r>
      <w:r w:rsidR="009111E9">
        <w:rPr>
          <w:rFonts w:ascii="华文楷体" w:hAnsi="华文楷体" w:hint="eastAsia"/>
          <w:sz w:val="24"/>
          <w:szCs w:val="24"/>
          <w:lang w:eastAsia="zh-CN"/>
        </w:rPr>
        <w:t>以内</w:t>
      </w:r>
      <w:r w:rsidR="009929B6">
        <w:rPr>
          <w:rFonts w:ascii="华文楷体" w:hAnsi="华文楷体" w:hint="eastAsia"/>
          <w:sz w:val="24"/>
          <w:szCs w:val="24"/>
          <w:lang w:eastAsia="zh-CN"/>
        </w:rPr>
        <w:t>；</w:t>
      </w:r>
      <w:r w:rsidR="00305C7B">
        <w:rPr>
          <w:rFonts w:ascii="华文楷体" w:hAnsi="华文楷体" w:hint="eastAsia"/>
          <w:sz w:val="24"/>
          <w:szCs w:val="24"/>
          <w:lang w:eastAsia="zh-CN"/>
        </w:rPr>
        <w:t>3Y品种</w:t>
      </w:r>
      <w:r w:rsidR="009929B6">
        <w:rPr>
          <w:rFonts w:ascii="华文楷体" w:hAnsi="华文楷体" w:hint="eastAsia"/>
          <w:sz w:val="24"/>
          <w:szCs w:val="24"/>
          <w:lang w:eastAsia="zh-CN"/>
        </w:rPr>
        <w:t>收益率分位数在</w:t>
      </w:r>
      <w:r w:rsidR="0093645F">
        <w:rPr>
          <w:rFonts w:ascii="华文楷体" w:hAnsi="华文楷体" w:hint="eastAsia"/>
          <w:sz w:val="24"/>
          <w:szCs w:val="24"/>
          <w:lang w:eastAsia="zh-CN"/>
        </w:rPr>
        <w:t>1</w:t>
      </w:r>
      <w:r w:rsidR="00254AC8">
        <w:rPr>
          <w:rFonts w:ascii="华文楷体" w:hAnsi="华文楷体" w:hint="eastAsia"/>
          <w:sz w:val="24"/>
          <w:szCs w:val="24"/>
          <w:lang w:eastAsia="zh-CN"/>
        </w:rPr>
        <w:t>2-18</w:t>
      </w:r>
      <w:r w:rsidR="009929B6">
        <w:rPr>
          <w:rFonts w:ascii="华文楷体" w:hAnsi="华文楷体" w:hint="eastAsia"/>
          <w:sz w:val="24"/>
          <w:szCs w:val="24"/>
          <w:lang w:eastAsia="zh-CN"/>
        </w:rPr>
        <w:t>%</w:t>
      </w:r>
      <w:r w:rsidR="00DA6CA4">
        <w:rPr>
          <w:rFonts w:ascii="华文楷体" w:hAnsi="华文楷体" w:hint="eastAsia"/>
          <w:sz w:val="24"/>
          <w:szCs w:val="24"/>
          <w:lang w:eastAsia="zh-CN"/>
        </w:rPr>
        <w:t>区间</w:t>
      </w:r>
      <w:r w:rsidR="009929B6">
        <w:rPr>
          <w:rFonts w:ascii="华文楷体" w:hAnsi="华文楷体" w:hint="eastAsia"/>
          <w:sz w:val="24"/>
          <w:szCs w:val="24"/>
          <w:lang w:eastAsia="zh-CN"/>
        </w:rPr>
        <w:t>。5</w:t>
      </w:r>
      <w:r w:rsidR="009929B6">
        <w:rPr>
          <w:rFonts w:ascii="华文楷体" w:hAnsi="华文楷体"/>
          <w:sz w:val="24"/>
          <w:szCs w:val="24"/>
          <w:lang w:eastAsia="zh-CN"/>
        </w:rPr>
        <w:t>Y</w:t>
      </w:r>
      <w:r w:rsidR="009929B6">
        <w:rPr>
          <w:rFonts w:ascii="华文楷体" w:hAnsi="华文楷体" w:hint="eastAsia"/>
          <w:sz w:val="24"/>
          <w:szCs w:val="24"/>
          <w:lang w:eastAsia="zh-CN"/>
        </w:rPr>
        <w:t>及7</w:t>
      </w:r>
      <w:r w:rsidR="009929B6">
        <w:rPr>
          <w:rFonts w:ascii="华文楷体" w:hAnsi="华文楷体"/>
          <w:sz w:val="24"/>
          <w:szCs w:val="24"/>
          <w:lang w:eastAsia="zh-CN"/>
        </w:rPr>
        <w:t>Y</w:t>
      </w:r>
      <w:r w:rsidR="009929B6">
        <w:rPr>
          <w:rFonts w:ascii="华文楷体" w:hAnsi="华文楷体" w:hint="eastAsia"/>
          <w:sz w:val="24"/>
          <w:szCs w:val="24"/>
          <w:lang w:eastAsia="zh-CN"/>
        </w:rPr>
        <w:t>等</w:t>
      </w:r>
      <w:r w:rsidR="00B344C0">
        <w:rPr>
          <w:rFonts w:ascii="华文楷体" w:hAnsi="华文楷体" w:hint="eastAsia"/>
          <w:sz w:val="24"/>
          <w:szCs w:val="24"/>
          <w:lang w:eastAsia="zh-CN"/>
        </w:rPr>
        <w:t>中长期</w:t>
      </w:r>
      <w:proofErr w:type="gramStart"/>
      <w:r w:rsidR="00B344C0">
        <w:rPr>
          <w:rFonts w:ascii="华文楷体" w:hAnsi="华文楷体" w:hint="eastAsia"/>
          <w:sz w:val="24"/>
          <w:szCs w:val="24"/>
          <w:lang w:eastAsia="zh-CN"/>
        </w:rPr>
        <w:t>限品种</w:t>
      </w:r>
      <w:proofErr w:type="gramEnd"/>
      <w:r w:rsidR="00B344C0">
        <w:rPr>
          <w:rFonts w:ascii="华文楷体" w:hAnsi="华文楷体" w:hint="eastAsia"/>
          <w:sz w:val="24"/>
          <w:szCs w:val="24"/>
          <w:lang w:eastAsia="zh-CN"/>
        </w:rPr>
        <w:t>处于</w:t>
      </w:r>
      <w:r w:rsidR="00254AC8">
        <w:rPr>
          <w:rFonts w:ascii="华文楷体" w:hAnsi="华文楷体" w:hint="eastAsia"/>
          <w:sz w:val="24"/>
          <w:szCs w:val="24"/>
          <w:lang w:eastAsia="zh-CN"/>
        </w:rPr>
        <w:t>8</w:t>
      </w:r>
      <w:r w:rsidR="001F098C">
        <w:rPr>
          <w:rFonts w:ascii="华文楷体" w:hAnsi="华文楷体" w:hint="eastAsia"/>
          <w:sz w:val="24"/>
          <w:szCs w:val="24"/>
          <w:lang w:eastAsia="zh-CN"/>
        </w:rPr>
        <w:t>-13</w:t>
      </w:r>
      <w:r w:rsidR="00B344C0">
        <w:rPr>
          <w:rFonts w:ascii="华文楷体" w:hAnsi="华文楷体" w:hint="eastAsia"/>
          <w:sz w:val="24"/>
          <w:szCs w:val="24"/>
          <w:lang w:eastAsia="zh-CN"/>
        </w:rPr>
        <w:t>%</w:t>
      </w:r>
      <w:r w:rsidR="004F1AB3">
        <w:rPr>
          <w:rFonts w:ascii="华文楷体" w:hAnsi="华文楷体" w:hint="eastAsia"/>
          <w:sz w:val="24"/>
          <w:szCs w:val="24"/>
          <w:lang w:eastAsia="zh-CN"/>
        </w:rPr>
        <w:t>分位数</w:t>
      </w:r>
      <w:r w:rsidR="00A55DFD">
        <w:rPr>
          <w:rFonts w:ascii="华文楷体" w:hAnsi="华文楷体" w:hint="eastAsia"/>
          <w:sz w:val="24"/>
          <w:szCs w:val="24"/>
          <w:lang w:eastAsia="zh-CN"/>
        </w:rPr>
        <w:t>。</w:t>
      </w:r>
    </w:p>
    <w:tbl>
      <w:tblPr>
        <w:tblW w:w="9713" w:type="dxa"/>
        <w:jc w:val="center"/>
        <w:tblCellMar>
          <w:left w:w="0" w:type="dxa"/>
          <w:right w:w="0" w:type="dxa"/>
        </w:tblCellMar>
        <w:tblLook w:val="01E0" w:firstRow="1" w:lastRow="1" w:firstColumn="1" w:lastColumn="1" w:noHBand="0" w:noVBand="0"/>
      </w:tblPr>
      <w:tblGrid>
        <w:gridCol w:w="9864"/>
      </w:tblGrid>
      <w:tr w:rsidR="00E0626C" w:rsidRPr="00F966B6" w14:paraId="5602CC82" w14:textId="77777777" w:rsidTr="00220902">
        <w:trPr>
          <w:trHeight w:val="360"/>
          <w:jc w:val="center"/>
        </w:trPr>
        <w:tc>
          <w:tcPr>
            <w:tcW w:w="9713" w:type="dxa"/>
            <w:vAlign w:val="center"/>
          </w:tcPr>
          <w:p w14:paraId="1C0DBC70" w14:textId="4A8BBE5E" w:rsidR="00E0626C" w:rsidRPr="006A5F34" w:rsidRDefault="00E0626C" w:rsidP="009A2BA0">
            <w:pPr>
              <w:pStyle w:val="ChartHeading"/>
              <w:jc w:val="both"/>
            </w:pPr>
            <w:r w:rsidRPr="006A5F34">
              <w:rPr>
                <w:rFonts w:hint="eastAsia"/>
              </w:rPr>
              <w:lastRenderedPageBreak/>
              <w:t>图表</w:t>
            </w:r>
            <w:r w:rsidRPr="006A5F34">
              <w:t xml:space="preserve">. </w:t>
            </w:r>
            <w:r w:rsidR="00F966B6">
              <w:rPr>
                <w:rFonts w:hint="eastAsia"/>
              </w:rPr>
              <w:t>信用债收益率、利差变化情况</w:t>
            </w:r>
          </w:p>
        </w:tc>
      </w:tr>
      <w:tr w:rsidR="00E0626C" w:rsidRPr="006A5F34" w14:paraId="1114B583" w14:textId="77777777" w:rsidTr="00220902">
        <w:tblPrEx>
          <w:tblCellMar>
            <w:left w:w="108" w:type="dxa"/>
            <w:right w:w="108" w:type="dxa"/>
          </w:tblCellMar>
        </w:tblPrEx>
        <w:trPr>
          <w:trHeight w:val="4663"/>
          <w:jc w:val="center"/>
        </w:trPr>
        <w:tc>
          <w:tcPr>
            <w:tcW w:w="9713" w:type="dxa"/>
            <w:vAlign w:val="center"/>
          </w:tcPr>
          <w:tbl>
            <w:tblPr>
              <w:tblW w:w="9874" w:type="dxa"/>
              <w:tblLook w:val="04A0" w:firstRow="1" w:lastRow="0" w:firstColumn="1" w:lastColumn="0" w:noHBand="0" w:noVBand="1"/>
            </w:tblPr>
            <w:tblGrid>
              <w:gridCol w:w="1316"/>
              <w:gridCol w:w="899"/>
              <w:gridCol w:w="900"/>
              <w:gridCol w:w="900"/>
              <w:gridCol w:w="899"/>
              <w:gridCol w:w="1128"/>
              <w:gridCol w:w="899"/>
              <w:gridCol w:w="899"/>
              <w:gridCol w:w="899"/>
              <w:gridCol w:w="899"/>
            </w:tblGrid>
            <w:tr w:rsidR="00254AC8" w:rsidRPr="00254AC8" w14:paraId="05F6A23D" w14:textId="77777777" w:rsidTr="00254AC8">
              <w:trPr>
                <w:trHeight w:val="285"/>
              </w:trPr>
              <w:tc>
                <w:tcPr>
                  <w:tcW w:w="1350" w:type="dxa"/>
                  <w:tcBorders>
                    <w:top w:val="nil"/>
                    <w:left w:val="nil"/>
                    <w:bottom w:val="single" w:sz="12" w:space="0" w:color="FFFFFF"/>
                    <w:right w:val="single" w:sz="8" w:space="0" w:color="FFFFFF"/>
                  </w:tcBorders>
                  <w:shd w:val="clear" w:color="000000" w:fill="F79646"/>
                  <w:noWrap/>
                  <w:vAlign w:val="center"/>
                  <w:hideMark/>
                </w:tcPr>
                <w:p w14:paraId="2D69C7AC" w14:textId="77777777" w:rsidR="00254AC8" w:rsidRPr="00254AC8" w:rsidRDefault="00254AC8" w:rsidP="00254AC8">
                  <w:pPr>
                    <w:widowControl/>
                    <w:jc w:val="center"/>
                    <w:rPr>
                      <w:rFonts w:ascii="楷体" w:eastAsia="楷体" w:hAnsi="楷体" w:cs="宋体"/>
                      <w:b/>
                      <w:bCs/>
                      <w:color w:val="FFFFFF"/>
                      <w:kern w:val="0"/>
                      <w:sz w:val="20"/>
                      <w:szCs w:val="20"/>
                    </w:rPr>
                  </w:pPr>
                  <w:r w:rsidRPr="00254AC8">
                    <w:rPr>
                      <w:rFonts w:ascii="楷体" w:eastAsia="楷体" w:hAnsi="楷体" w:cs="宋体" w:hint="eastAsia"/>
                      <w:b/>
                      <w:bCs/>
                      <w:color w:val="FFFFFF"/>
                      <w:kern w:val="0"/>
                      <w:sz w:val="20"/>
                      <w:szCs w:val="20"/>
                    </w:rPr>
                    <w:t>收益率(%)</w:t>
                  </w:r>
                </w:p>
              </w:tc>
              <w:tc>
                <w:tcPr>
                  <w:tcW w:w="920" w:type="dxa"/>
                  <w:tcBorders>
                    <w:top w:val="nil"/>
                    <w:left w:val="nil"/>
                    <w:bottom w:val="single" w:sz="12" w:space="0" w:color="FFFFFF"/>
                    <w:right w:val="single" w:sz="8" w:space="0" w:color="FFFFFF"/>
                  </w:tcBorders>
                  <w:shd w:val="clear" w:color="000000" w:fill="F79646"/>
                  <w:noWrap/>
                  <w:vAlign w:val="center"/>
                  <w:hideMark/>
                </w:tcPr>
                <w:p w14:paraId="4E1DCCC1" w14:textId="77777777" w:rsidR="00254AC8" w:rsidRPr="00254AC8" w:rsidRDefault="00254AC8" w:rsidP="00254AC8">
                  <w:pPr>
                    <w:widowControl/>
                    <w:jc w:val="center"/>
                    <w:rPr>
                      <w:rFonts w:ascii="楷体" w:eastAsia="楷体" w:hAnsi="楷体" w:cs="宋体"/>
                      <w:b/>
                      <w:bCs/>
                      <w:color w:val="FFFFFF"/>
                      <w:kern w:val="0"/>
                      <w:sz w:val="20"/>
                      <w:szCs w:val="20"/>
                    </w:rPr>
                  </w:pPr>
                  <w:r w:rsidRPr="00254AC8">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6844D596" w14:textId="77777777" w:rsidR="00254AC8" w:rsidRPr="00254AC8" w:rsidRDefault="00254AC8" w:rsidP="00254AC8">
                  <w:pPr>
                    <w:widowControl/>
                    <w:jc w:val="center"/>
                    <w:rPr>
                      <w:rFonts w:ascii="楷体" w:eastAsia="楷体" w:hAnsi="楷体" w:cs="宋体"/>
                      <w:b/>
                      <w:bCs/>
                      <w:color w:val="FFFFFF"/>
                      <w:kern w:val="0"/>
                      <w:sz w:val="20"/>
                      <w:szCs w:val="20"/>
                    </w:rPr>
                  </w:pPr>
                  <w:r w:rsidRPr="00254AC8">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33C2D4A7" w14:textId="77777777" w:rsidR="00254AC8" w:rsidRPr="00254AC8" w:rsidRDefault="00254AC8" w:rsidP="00254AC8">
                  <w:pPr>
                    <w:widowControl/>
                    <w:jc w:val="center"/>
                    <w:rPr>
                      <w:rFonts w:ascii="楷体" w:eastAsia="楷体" w:hAnsi="楷体" w:cs="宋体"/>
                      <w:b/>
                      <w:bCs/>
                      <w:color w:val="FFFFFF"/>
                      <w:kern w:val="0"/>
                      <w:sz w:val="20"/>
                      <w:szCs w:val="20"/>
                    </w:rPr>
                  </w:pPr>
                  <w:r w:rsidRPr="00254AC8">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5464D97E" w14:textId="77777777" w:rsidR="00254AC8" w:rsidRPr="00254AC8" w:rsidRDefault="00254AC8" w:rsidP="00254AC8">
                  <w:pPr>
                    <w:widowControl/>
                    <w:jc w:val="center"/>
                    <w:rPr>
                      <w:rFonts w:ascii="楷体" w:eastAsia="楷体" w:hAnsi="楷体" w:cs="宋体"/>
                      <w:b/>
                      <w:bCs/>
                      <w:color w:val="FFFFFF"/>
                      <w:kern w:val="0"/>
                      <w:sz w:val="20"/>
                      <w:szCs w:val="20"/>
                    </w:rPr>
                  </w:pPr>
                  <w:r w:rsidRPr="00254AC8">
                    <w:rPr>
                      <w:rFonts w:ascii="楷体" w:eastAsia="楷体" w:hAnsi="楷体" w:cs="宋体" w:hint="eastAsia"/>
                      <w:b/>
                      <w:bCs/>
                      <w:color w:val="FFFFFF"/>
                      <w:kern w:val="0"/>
                      <w:sz w:val="20"/>
                      <w:szCs w:val="20"/>
                    </w:rPr>
                    <w:t>AA-</w:t>
                  </w:r>
                </w:p>
              </w:tc>
              <w:tc>
                <w:tcPr>
                  <w:tcW w:w="1157" w:type="dxa"/>
                  <w:tcBorders>
                    <w:top w:val="nil"/>
                    <w:left w:val="nil"/>
                    <w:bottom w:val="single" w:sz="12" w:space="0" w:color="FFFFFF"/>
                    <w:right w:val="single" w:sz="8" w:space="0" w:color="FFFFFF"/>
                  </w:tcBorders>
                  <w:shd w:val="clear" w:color="000000" w:fill="F79646"/>
                  <w:noWrap/>
                  <w:vAlign w:val="center"/>
                  <w:hideMark/>
                </w:tcPr>
                <w:p w14:paraId="3BF893E9" w14:textId="77777777" w:rsidR="00254AC8" w:rsidRPr="00254AC8" w:rsidRDefault="00254AC8" w:rsidP="00254AC8">
                  <w:pPr>
                    <w:widowControl/>
                    <w:jc w:val="center"/>
                    <w:rPr>
                      <w:rFonts w:ascii="楷体" w:eastAsia="楷体" w:hAnsi="楷体" w:cs="宋体"/>
                      <w:b/>
                      <w:bCs/>
                      <w:color w:val="FFFFFF"/>
                      <w:kern w:val="0"/>
                      <w:sz w:val="20"/>
                      <w:szCs w:val="20"/>
                    </w:rPr>
                  </w:pPr>
                  <w:r w:rsidRPr="00254AC8">
                    <w:rPr>
                      <w:rFonts w:ascii="楷体" w:eastAsia="楷体" w:hAnsi="楷体" w:cs="宋体" w:hint="eastAsia"/>
                      <w:b/>
                      <w:bCs/>
                      <w:color w:val="FFFFFF"/>
                      <w:kern w:val="0"/>
                      <w:sz w:val="20"/>
                      <w:szCs w:val="20"/>
                    </w:rPr>
                    <w:t>息差</w:t>
                  </w:r>
                </w:p>
              </w:tc>
              <w:tc>
                <w:tcPr>
                  <w:tcW w:w="921" w:type="dxa"/>
                  <w:tcBorders>
                    <w:top w:val="nil"/>
                    <w:left w:val="nil"/>
                    <w:bottom w:val="single" w:sz="12" w:space="0" w:color="FFFFFF"/>
                    <w:right w:val="single" w:sz="8" w:space="0" w:color="FFFFFF"/>
                  </w:tcBorders>
                  <w:shd w:val="clear" w:color="000000" w:fill="F79646"/>
                  <w:noWrap/>
                  <w:vAlign w:val="center"/>
                  <w:hideMark/>
                </w:tcPr>
                <w:p w14:paraId="4A4F2304" w14:textId="77777777" w:rsidR="00254AC8" w:rsidRPr="00254AC8" w:rsidRDefault="00254AC8" w:rsidP="00254AC8">
                  <w:pPr>
                    <w:widowControl/>
                    <w:jc w:val="center"/>
                    <w:rPr>
                      <w:rFonts w:ascii="楷体" w:eastAsia="楷体" w:hAnsi="楷体" w:cs="宋体"/>
                      <w:b/>
                      <w:bCs/>
                      <w:color w:val="FFFFFF"/>
                      <w:kern w:val="0"/>
                      <w:sz w:val="20"/>
                      <w:szCs w:val="20"/>
                    </w:rPr>
                  </w:pPr>
                  <w:r w:rsidRPr="00254AC8">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58FF3455" w14:textId="77777777" w:rsidR="00254AC8" w:rsidRPr="00254AC8" w:rsidRDefault="00254AC8" w:rsidP="00254AC8">
                  <w:pPr>
                    <w:widowControl/>
                    <w:jc w:val="center"/>
                    <w:rPr>
                      <w:rFonts w:ascii="楷体" w:eastAsia="楷体" w:hAnsi="楷体" w:cs="宋体"/>
                      <w:b/>
                      <w:bCs/>
                      <w:color w:val="FFFFFF"/>
                      <w:kern w:val="0"/>
                      <w:sz w:val="20"/>
                      <w:szCs w:val="20"/>
                    </w:rPr>
                  </w:pPr>
                  <w:r w:rsidRPr="00254AC8">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51877F96" w14:textId="77777777" w:rsidR="00254AC8" w:rsidRPr="00254AC8" w:rsidRDefault="00254AC8" w:rsidP="00254AC8">
                  <w:pPr>
                    <w:widowControl/>
                    <w:jc w:val="center"/>
                    <w:rPr>
                      <w:rFonts w:ascii="楷体" w:eastAsia="楷体" w:hAnsi="楷体" w:cs="宋体"/>
                      <w:b/>
                      <w:bCs/>
                      <w:color w:val="FFFFFF"/>
                      <w:kern w:val="0"/>
                      <w:sz w:val="20"/>
                      <w:szCs w:val="20"/>
                    </w:rPr>
                  </w:pPr>
                  <w:r w:rsidRPr="00254AC8">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56368E1C" w14:textId="77777777" w:rsidR="00254AC8" w:rsidRPr="00254AC8" w:rsidRDefault="00254AC8" w:rsidP="00254AC8">
                  <w:pPr>
                    <w:widowControl/>
                    <w:jc w:val="center"/>
                    <w:rPr>
                      <w:rFonts w:ascii="楷体" w:eastAsia="楷体" w:hAnsi="楷体" w:cs="宋体"/>
                      <w:b/>
                      <w:bCs/>
                      <w:color w:val="FFFFFF"/>
                      <w:kern w:val="0"/>
                      <w:sz w:val="20"/>
                      <w:szCs w:val="20"/>
                    </w:rPr>
                  </w:pPr>
                  <w:r w:rsidRPr="00254AC8">
                    <w:rPr>
                      <w:rFonts w:ascii="楷体" w:eastAsia="楷体" w:hAnsi="楷体" w:cs="宋体" w:hint="eastAsia"/>
                      <w:b/>
                      <w:bCs/>
                      <w:color w:val="FFFFFF"/>
                      <w:kern w:val="0"/>
                      <w:sz w:val="20"/>
                      <w:szCs w:val="20"/>
                    </w:rPr>
                    <w:t>AA-</w:t>
                  </w:r>
                </w:p>
              </w:tc>
            </w:tr>
            <w:tr w:rsidR="00254AC8" w:rsidRPr="00254AC8" w14:paraId="2EB4FABD" w14:textId="77777777" w:rsidTr="00254AC8">
              <w:trPr>
                <w:trHeight w:val="315"/>
              </w:trPr>
              <w:tc>
                <w:tcPr>
                  <w:tcW w:w="1350" w:type="dxa"/>
                  <w:tcBorders>
                    <w:top w:val="nil"/>
                    <w:left w:val="nil"/>
                    <w:bottom w:val="single" w:sz="8" w:space="0" w:color="FFFFFF"/>
                    <w:right w:val="single" w:sz="8" w:space="0" w:color="FFFFFF"/>
                  </w:tcBorders>
                  <w:shd w:val="clear" w:color="000000" w:fill="FCD5B4"/>
                  <w:noWrap/>
                  <w:vAlign w:val="center"/>
                  <w:hideMark/>
                </w:tcPr>
                <w:p w14:paraId="61BABE5F" w14:textId="77777777" w:rsidR="00254AC8" w:rsidRPr="00254AC8" w:rsidRDefault="00254AC8" w:rsidP="00254AC8">
                  <w:pPr>
                    <w:widowControl/>
                    <w:jc w:val="center"/>
                    <w:rPr>
                      <w:rFonts w:ascii="楷体" w:eastAsia="楷体" w:hAnsi="楷体" w:cs="宋体"/>
                      <w:color w:val="000000"/>
                      <w:kern w:val="0"/>
                      <w:sz w:val="20"/>
                      <w:szCs w:val="20"/>
                    </w:rPr>
                  </w:pPr>
                  <w:r w:rsidRPr="00254AC8">
                    <w:rPr>
                      <w:rFonts w:ascii="楷体" w:eastAsia="楷体" w:hAnsi="楷体" w:cs="宋体" w:hint="eastAsia"/>
                      <w:color w:val="000000"/>
                      <w:kern w:val="0"/>
                      <w:sz w:val="20"/>
                      <w:szCs w:val="20"/>
                    </w:rPr>
                    <w:t>CP</w:t>
                  </w:r>
                </w:p>
              </w:tc>
              <w:tc>
                <w:tcPr>
                  <w:tcW w:w="920" w:type="dxa"/>
                  <w:tcBorders>
                    <w:top w:val="nil"/>
                    <w:left w:val="nil"/>
                    <w:bottom w:val="single" w:sz="8" w:space="0" w:color="FFFFFF"/>
                    <w:right w:val="single" w:sz="8" w:space="0" w:color="FFFFFF"/>
                  </w:tcBorders>
                  <w:shd w:val="clear" w:color="000000" w:fill="FCD5B4"/>
                  <w:noWrap/>
                  <w:vAlign w:val="center"/>
                  <w:hideMark/>
                </w:tcPr>
                <w:p w14:paraId="542635E6"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2.89 </w:t>
                  </w:r>
                </w:p>
              </w:tc>
              <w:tc>
                <w:tcPr>
                  <w:tcW w:w="921" w:type="dxa"/>
                  <w:tcBorders>
                    <w:top w:val="nil"/>
                    <w:left w:val="nil"/>
                    <w:bottom w:val="single" w:sz="8" w:space="0" w:color="FFFFFF"/>
                    <w:right w:val="single" w:sz="8" w:space="0" w:color="FFFFFF"/>
                  </w:tcBorders>
                  <w:shd w:val="clear" w:color="000000" w:fill="FCD5B4"/>
                  <w:noWrap/>
                  <w:vAlign w:val="center"/>
                  <w:hideMark/>
                </w:tcPr>
                <w:p w14:paraId="58EEAE44"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3.00 </w:t>
                  </w:r>
                </w:p>
              </w:tc>
              <w:tc>
                <w:tcPr>
                  <w:tcW w:w="921" w:type="dxa"/>
                  <w:tcBorders>
                    <w:top w:val="nil"/>
                    <w:left w:val="nil"/>
                    <w:bottom w:val="single" w:sz="8" w:space="0" w:color="FFFFFF"/>
                    <w:right w:val="single" w:sz="8" w:space="0" w:color="FFFFFF"/>
                  </w:tcBorders>
                  <w:shd w:val="clear" w:color="000000" w:fill="FCD5B4"/>
                  <w:noWrap/>
                  <w:vAlign w:val="center"/>
                  <w:hideMark/>
                </w:tcPr>
                <w:p w14:paraId="57A04E41"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3.27 </w:t>
                  </w:r>
                </w:p>
              </w:tc>
              <w:tc>
                <w:tcPr>
                  <w:tcW w:w="921" w:type="dxa"/>
                  <w:tcBorders>
                    <w:top w:val="nil"/>
                    <w:left w:val="nil"/>
                    <w:bottom w:val="single" w:sz="8" w:space="0" w:color="FFFFFF"/>
                    <w:right w:val="single" w:sz="8" w:space="0" w:color="FFFFFF"/>
                  </w:tcBorders>
                  <w:shd w:val="clear" w:color="000000" w:fill="FCD5B4"/>
                  <w:noWrap/>
                  <w:vAlign w:val="center"/>
                  <w:hideMark/>
                </w:tcPr>
                <w:p w14:paraId="3BE6EE80"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5.47 </w:t>
                  </w:r>
                </w:p>
              </w:tc>
              <w:tc>
                <w:tcPr>
                  <w:tcW w:w="1157" w:type="dxa"/>
                  <w:tcBorders>
                    <w:top w:val="nil"/>
                    <w:left w:val="nil"/>
                    <w:bottom w:val="single" w:sz="8" w:space="0" w:color="FFFFFF"/>
                    <w:right w:val="single" w:sz="8" w:space="0" w:color="FFFFFF"/>
                  </w:tcBorders>
                  <w:shd w:val="clear" w:color="000000" w:fill="FCD5B4"/>
                  <w:noWrap/>
                  <w:vAlign w:val="center"/>
                  <w:hideMark/>
                </w:tcPr>
                <w:p w14:paraId="25588B01" w14:textId="77777777" w:rsidR="00254AC8" w:rsidRPr="00254AC8" w:rsidRDefault="00254AC8" w:rsidP="00254AC8">
                  <w:pPr>
                    <w:widowControl/>
                    <w:jc w:val="center"/>
                    <w:rPr>
                      <w:rFonts w:ascii="楷体" w:eastAsia="楷体" w:hAnsi="楷体" w:cs="宋体"/>
                      <w:color w:val="000000"/>
                      <w:kern w:val="0"/>
                      <w:sz w:val="20"/>
                      <w:szCs w:val="20"/>
                    </w:rPr>
                  </w:pPr>
                  <w:r w:rsidRPr="00254AC8">
                    <w:rPr>
                      <w:rFonts w:ascii="楷体" w:eastAsia="楷体" w:hAnsi="楷体" w:cs="宋体" w:hint="eastAsia"/>
                      <w:color w:val="000000"/>
                      <w:kern w:val="0"/>
                      <w:sz w:val="20"/>
                      <w:szCs w:val="20"/>
                    </w:rPr>
                    <w:t>CP</w:t>
                  </w:r>
                </w:p>
              </w:tc>
              <w:tc>
                <w:tcPr>
                  <w:tcW w:w="921" w:type="dxa"/>
                  <w:tcBorders>
                    <w:top w:val="nil"/>
                    <w:left w:val="nil"/>
                    <w:bottom w:val="single" w:sz="8" w:space="0" w:color="FFFFFF"/>
                    <w:right w:val="single" w:sz="8" w:space="0" w:color="FFFFFF"/>
                  </w:tcBorders>
                  <w:shd w:val="clear" w:color="000000" w:fill="FCD5B4"/>
                  <w:noWrap/>
                  <w:vAlign w:val="center"/>
                  <w:hideMark/>
                </w:tcPr>
                <w:p w14:paraId="50D96B6C"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0.56 </w:t>
                  </w:r>
                </w:p>
              </w:tc>
              <w:tc>
                <w:tcPr>
                  <w:tcW w:w="921" w:type="dxa"/>
                  <w:tcBorders>
                    <w:top w:val="nil"/>
                    <w:left w:val="nil"/>
                    <w:bottom w:val="single" w:sz="8" w:space="0" w:color="FFFFFF"/>
                    <w:right w:val="single" w:sz="8" w:space="0" w:color="FFFFFF"/>
                  </w:tcBorders>
                  <w:shd w:val="clear" w:color="000000" w:fill="FCD5B4"/>
                  <w:noWrap/>
                  <w:vAlign w:val="center"/>
                  <w:hideMark/>
                </w:tcPr>
                <w:p w14:paraId="3FFAE1B4"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0.67 </w:t>
                  </w:r>
                </w:p>
              </w:tc>
              <w:tc>
                <w:tcPr>
                  <w:tcW w:w="921" w:type="dxa"/>
                  <w:tcBorders>
                    <w:top w:val="nil"/>
                    <w:left w:val="nil"/>
                    <w:bottom w:val="single" w:sz="8" w:space="0" w:color="FFFFFF"/>
                    <w:right w:val="single" w:sz="8" w:space="0" w:color="FFFFFF"/>
                  </w:tcBorders>
                  <w:shd w:val="clear" w:color="000000" w:fill="FCD5B4"/>
                  <w:noWrap/>
                  <w:vAlign w:val="center"/>
                  <w:hideMark/>
                </w:tcPr>
                <w:p w14:paraId="16B19D92"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0.94 </w:t>
                  </w:r>
                </w:p>
              </w:tc>
              <w:tc>
                <w:tcPr>
                  <w:tcW w:w="921" w:type="dxa"/>
                  <w:tcBorders>
                    <w:top w:val="nil"/>
                    <w:left w:val="nil"/>
                    <w:bottom w:val="single" w:sz="8" w:space="0" w:color="FFFFFF"/>
                    <w:right w:val="single" w:sz="8" w:space="0" w:color="FFFFFF"/>
                  </w:tcBorders>
                  <w:shd w:val="clear" w:color="000000" w:fill="FCD5B4"/>
                  <w:noWrap/>
                  <w:vAlign w:val="center"/>
                  <w:hideMark/>
                </w:tcPr>
                <w:p w14:paraId="36F6A216"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3.14 </w:t>
                  </w:r>
                </w:p>
              </w:tc>
            </w:tr>
            <w:tr w:rsidR="00254AC8" w:rsidRPr="00254AC8" w14:paraId="0C3F985D" w14:textId="77777777" w:rsidTr="00254AC8">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7003E8D8" w14:textId="77777777" w:rsidR="00254AC8" w:rsidRPr="00254AC8" w:rsidRDefault="00254AC8" w:rsidP="00254AC8">
                  <w:pPr>
                    <w:widowControl/>
                    <w:jc w:val="center"/>
                    <w:rPr>
                      <w:rFonts w:ascii="楷体" w:eastAsia="楷体" w:hAnsi="楷体" w:cs="宋体"/>
                      <w:color w:val="000000"/>
                      <w:kern w:val="0"/>
                      <w:sz w:val="20"/>
                      <w:szCs w:val="20"/>
                    </w:rPr>
                  </w:pPr>
                  <w:r w:rsidRPr="00254AC8">
                    <w:rPr>
                      <w:rFonts w:ascii="楷体" w:eastAsia="楷体" w:hAnsi="楷体" w:cs="宋体" w:hint="eastAsia"/>
                      <w:color w:val="000000"/>
                      <w:kern w:val="0"/>
                      <w:sz w:val="20"/>
                      <w:szCs w:val="20"/>
                    </w:rPr>
                    <w:t>MTN3Y</w:t>
                  </w:r>
                </w:p>
              </w:tc>
              <w:tc>
                <w:tcPr>
                  <w:tcW w:w="920" w:type="dxa"/>
                  <w:tcBorders>
                    <w:top w:val="nil"/>
                    <w:left w:val="nil"/>
                    <w:bottom w:val="single" w:sz="8" w:space="0" w:color="FFFFFF"/>
                    <w:right w:val="single" w:sz="8" w:space="0" w:color="FFFFFF"/>
                  </w:tcBorders>
                  <w:shd w:val="clear" w:color="000000" w:fill="FDE9D9"/>
                  <w:noWrap/>
                  <w:vAlign w:val="center"/>
                  <w:hideMark/>
                </w:tcPr>
                <w:p w14:paraId="61088B8C"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3.39 </w:t>
                  </w:r>
                </w:p>
              </w:tc>
              <w:tc>
                <w:tcPr>
                  <w:tcW w:w="921" w:type="dxa"/>
                  <w:tcBorders>
                    <w:top w:val="nil"/>
                    <w:left w:val="nil"/>
                    <w:bottom w:val="single" w:sz="8" w:space="0" w:color="FFFFFF"/>
                    <w:right w:val="single" w:sz="8" w:space="0" w:color="FFFFFF"/>
                  </w:tcBorders>
                  <w:shd w:val="clear" w:color="000000" w:fill="FDE9D9"/>
                  <w:noWrap/>
                  <w:vAlign w:val="center"/>
                  <w:hideMark/>
                </w:tcPr>
                <w:p w14:paraId="1FDE550D"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3.57 </w:t>
                  </w:r>
                </w:p>
              </w:tc>
              <w:tc>
                <w:tcPr>
                  <w:tcW w:w="921" w:type="dxa"/>
                  <w:tcBorders>
                    <w:top w:val="nil"/>
                    <w:left w:val="nil"/>
                    <w:bottom w:val="single" w:sz="8" w:space="0" w:color="FFFFFF"/>
                    <w:right w:val="single" w:sz="8" w:space="0" w:color="FFFFFF"/>
                  </w:tcBorders>
                  <w:shd w:val="clear" w:color="000000" w:fill="FDE9D9"/>
                  <w:noWrap/>
                  <w:vAlign w:val="center"/>
                  <w:hideMark/>
                </w:tcPr>
                <w:p w14:paraId="2F71895F"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4.09 </w:t>
                  </w:r>
                </w:p>
              </w:tc>
              <w:tc>
                <w:tcPr>
                  <w:tcW w:w="921" w:type="dxa"/>
                  <w:tcBorders>
                    <w:top w:val="nil"/>
                    <w:left w:val="nil"/>
                    <w:bottom w:val="single" w:sz="8" w:space="0" w:color="FFFFFF"/>
                    <w:right w:val="single" w:sz="8" w:space="0" w:color="FFFFFF"/>
                  </w:tcBorders>
                  <w:shd w:val="clear" w:color="000000" w:fill="FDE9D9"/>
                  <w:noWrap/>
                  <w:vAlign w:val="center"/>
                  <w:hideMark/>
                </w:tcPr>
                <w:p w14:paraId="31AFDD73"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6.30 </w:t>
                  </w:r>
                </w:p>
              </w:tc>
              <w:tc>
                <w:tcPr>
                  <w:tcW w:w="1157" w:type="dxa"/>
                  <w:tcBorders>
                    <w:top w:val="nil"/>
                    <w:left w:val="nil"/>
                    <w:bottom w:val="single" w:sz="8" w:space="0" w:color="FFFFFF"/>
                    <w:right w:val="single" w:sz="8" w:space="0" w:color="FFFFFF"/>
                  </w:tcBorders>
                  <w:shd w:val="clear" w:color="000000" w:fill="FDE9D9"/>
                  <w:noWrap/>
                  <w:vAlign w:val="center"/>
                  <w:hideMark/>
                </w:tcPr>
                <w:p w14:paraId="42CF59BF" w14:textId="77777777" w:rsidR="00254AC8" w:rsidRPr="00254AC8" w:rsidRDefault="00254AC8" w:rsidP="00254AC8">
                  <w:pPr>
                    <w:widowControl/>
                    <w:jc w:val="center"/>
                    <w:rPr>
                      <w:rFonts w:ascii="楷体" w:eastAsia="楷体" w:hAnsi="楷体" w:cs="宋体"/>
                      <w:color w:val="000000"/>
                      <w:kern w:val="0"/>
                      <w:sz w:val="20"/>
                      <w:szCs w:val="20"/>
                    </w:rPr>
                  </w:pPr>
                  <w:r w:rsidRPr="00254AC8">
                    <w:rPr>
                      <w:rFonts w:ascii="楷体" w:eastAsia="楷体" w:hAnsi="楷体" w:cs="宋体" w:hint="eastAsia"/>
                      <w:color w:val="000000"/>
                      <w:kern w:val="0"/>
                      <w:sz w:val="20"/>
                      <w:szCs w:val="20"/>
                    </w:rPr>
                    <w:t>MTN3Y</w:t>
                  </w:r>
                </w:p>
              </w:tc>
              <w:tc>
                <w:tcPr>
                  <w:tcW w:w="921" w:type="dxa"/>
                  <w:tcBorders>
                    <w:top w:val="nil"/>
                    <w:left w:val="nil"/>
                    <w:bottom w:val="single" w:sz="8" w:space="0" w:color="FFFFFF"/>
                    <w:right w:val="single" w:sz="8" w:space="0" w:color="FFFFFF"/>
                  </w:tcBorders>
                  <w:shd w:val="clear" w:color="000000" w:fill="FDE9D9"/>
                  <w:noWrap/>
                  <w:vAlign w:val="center"/>
                  <w:hideMark/>
                </w:tcPr>
                <w:p w14:paraId="27B2CD7A"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0.67 </w:t>
                  </w:r>
                </w:p>
              </w:tc>
              <w:tc>
                <w:tcPr>
                  <w:tcW w:w="921" w:type="dxa"/>
                  <w:tcBorders>
                    <w:top w:val="nil"/>
                    <w:left w:val="nil"/>
                    <w:bottom w:val="single" w:sz="8" w:space="0" w:color="FFFFFF"/>
                    <w:right w:val="single" w:sz="8" w:space="0" w:color="FFFFFF"/>
                  </w:tcBorders>
                  <w:shd w:val="clear" w:color="000000" w:fill="FDE9D9"/>
                  <w:noWrap/>
                  <w:vAlign w:val="center"/>
                  <w:hideMark/>
                </w:tcPr>
                <w:p w14:paraId="11819A0A"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0.85 </w:t>
                  </w:r>
                </w:p>
              </w:tc>
              <w:tc>
                <w:tcPr>
                  <w:tcW w:w="921" w:type="dxa"/>
                  <w:tcBorders>
                    <w:top w:val="nil"/>
                    <w:left w:val="nil"/>
                    <w:bottom w:val="single" w:sz="8" w:space="0" w:color="FFFFFF"/>
                    <w:right w:val="single" w:sz="8" w:space="0" w:color="FFFFFF"/>
                  </w:tcBorders>
                  <w:shd w:val="clear" w:color="000000" w:fill="FDE9D9"/>
                  <w:noWrap/>
                  <w:vAlign w:val="center"/>
                  <w:hideMark/>
                </w:tcPr>
                <w:p w14:paraId="33FF2782"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1.37 </w:t>
                  </w:r>
                </w:p>
              </w:tc>
              <w:tc>
                <w:tcPr>
                  <w:tcW w:w="921" w:type="dxa"/>
                  <w:tcBorders>
                    <w:top w:val="nil"/>
                    <w:left w:val="nil"/>
                    <w:bottom w:val="single" w:sz="8" w:space="0" w:color="FFFFFF"/>
                    <w:right w:val="single" w:sz="8" w:space="0" w:color="FFFFFF"/>
                  </w:tcBorders>
                  <w:shd w:val="clear" w:color="000000" w:fill="FDE9D9"/>
                  <w:noWrap/>
                  <w:vAlign w:val="center"/>
                  <w:hideMark/>
                </w:tcPr>
                <w:p w14:paraId="5E9B70B4"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3.58 </w:t>
                  </w:r>
                </w:p>
              </w:tc>
            </w:tr>
            <w:tr w:rsidR="00254AC8" w:rsidRPr="00254AC8" w14:paraId="28A77526" w14:textId="77777777" w:rsidTr="00254AC8">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7EC4DBA2" w14:textId="77777777" w:rsidR="00254AC8" w:rsidRPr="00254AC8" w:rsidRDefault="00254AC8" w:rsidP="00254AC8">
                  <w:pPr>
                    <w:widowControl/>
                    <w:jc w:val="center"/>
                    <w:rPr>
                      <w:rFonts w:ascii="楷体" w:eastAsia="楷体" w:hAnsi="楷体" w:cs="宋体"/>
                      <w:color w:val="000000"/>
                      <w:kern w:val="0"/>
                      <w:sz w:val="20"/>
                      <w:szCs w:val="20"/>
                    </w:rPr>
                  </w:pPr>
                  <w:r w:rsidRPr="00254AC8">
                    <w:rPr>
                      <w:rFonts w:ascii="楷体" w:eastAsia="楷体" w:hAnsi="楷体" w:cs="宋体" w:hint="eastAsia"/>
                      <w:color w:val="000000"/>
                      <w:kern w:val="0"/>
                      <w:sz w:val="20"/>
                      <w:szCs w:val="20"/>
                    </w:rPr>
                    <w:t>MTN5Y</w:t>
                  </w:r>
                </w:p>
              </w:tc>
              <w:tc>
                <w:tcPr>
                  <w:tcW w:w="920" w:type="dxa"/>
                  <w:tcBorders>
                    <w:top w:val="nil"/>
                    <w:left w:val="nil"/>
                    <w:bottom w:val="single" w:sz="8" w:space="0" w:color="FFFFFF"/>
                    <w:right w:val="single" w:sz="8" w:space="0" w:color="FFFFFF"/>
                  </w:tcBorders>
                  <w:shd w:val="clear" w:color="000000" w:fill="FCD5B4"/>
                  <w:noWrap/>
                  <w:vAlign w:val="center"/>
                  <w:hideMark/>
                </w:tcPr>
                <w:p w14:paraId="612ACA5D"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3.65 </w:t>
                  </w:r>
                </w:p>
              </w:tc>
              <w:tc>
                <w:tcPr>
                  <w:tcW w:w="921" w:type="dxa"/>
                  <w:tcBorders>
                    <w:top w:val="nil"/>
                    <w:left w:val="nil"/>
                    <w:bottom w:val="single" w:sz="8" w:space="0" w:color="FFFFFF"/>
                    <w:right w:val="single" w:sz="8" w:space="0" w:color="FFFFFF"/>
                  </w:tcBorders>
                  <w:shd w:val="clear" w:color="000000" w:fill="FCD5B4"/>
                  <w:noWrap/>
                  <w:vAlign w:val="center"/>
                  <w:hideMark/>
                </w:tcPr>
                <w:p w14:paraId="41A23D02"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3.93 </w:t>
                  </w:r>
                </w:p>
              </w:tc>
              <w:tc>
                <w:tcPr>
                  <w:tcW w:w="921" w:type="dxa"/>
                  <w:tcBorders>
                    <w:top w:val="nil"/>
                    <w:left w:val="nil"/>
                    <w:bottom w:val="single" w:sz="8" w:space="0" w:color="FFFFFF"/>
                    <w:right w:val="single" w:sz="8" w:space="0" w:color="FFFFFF"/>
                  </w:tcBorders>
                  <w:shd w:val="clear" w:color="000000" w:fill="FCD5B4"/>
                  <w:noWrap/>
                  <w:vAlign w:val="center"/>
                  <w:hideMark/>
                </w:tcPr>
                <w:p w14:paraId="080B4CCC"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4.45 </w:t>
                  </w:r>
                </w:p>
              </w:tc>
              <w:tc>
                <w:tcPr>
                  <w:tcW w:w="921" w:type="dxa"/>
                  <w:tcBorders>
                    <w:top w:val="nil"/>
                    <w:left w:val="nil"/>
                    <w:bottom w:val="single" w:sz="8" w:space="0" w:color="FFFFFF"/>
                    <w:right w:val="single" w:sz="8" w:space="0" w:color="FFFFFF"/>
                  </w:tcBorders>
                  <w:shd w:val="clear" w:color="000000" w:fill="FCD5B4"/>
                  <w:noWrap/>
                  <w:vAlign w:val="center"/>
                  <w:hideMark/>
                </w:tcPr>
                <w:p w14:paraId="348DE422"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6.66 </w:t>
                  </w:r>
                </w:p>
              </w:tc>
              <w:tc>
                <w:tcPr>
                  <w:tcW w:w="1157" w:type="dxa"/>
                  <w:tcBorders>
                    <w:top w:val="nil"/>
                    <w:left w:val="nil"/>
                    <w:bottom w:val="single" w:sz="8" w:space="0" w:color="FFFFFF"/>
                    <w:right w:val="single" w:sz="8" w:space="0" w:color="FFFFFF"/>
                  </w:tcBorders>
                  <w:shd w:val="clear" w:color="000000" w:fill="FCD5B4"/>
                  <w:noWrap/>
                  <w:vAlign w:val="center"/>
                  <w:hideMark/>
                </w:tcPr>
                <w:p w14:paraId="4275C4C4" w14:textId="77777777" w:rsidR="00254AC8" w:rsidRPr="00254AC8" w:rsidRDefault="00254AC8" w:rsidP="00254AC8">
                  <w:pPr>
                    <w:widowControl/>
                    <w:jc w:val="center"/>
                    <w:rPr>
                      <w:rFonts w:ascii="楷体" w:eastAsia="楷体" w:hAnsi="楷体" w:cs="宋体"/>
                      <w:color w:val="000000"/>
                      <w:kern w:val="0"/>
                      <w:sz w:val="20"/>
                      <w:szCs w:val="20"/>
                    </w:rPr>
                  </w:pPr>
                  <w:r w:rsidRPr="00254AC8">
                    <w:rPr>
                      <w:rFonts w:ascii="楷体" w:eastAsia="楷体" w:hAnsi="楷体" w:cs="宋体" w:hint="eastAsia"/>
                      <w:color w:val="000000"/>
                      <w:kern w:val="0"/>
                      <w:sz w:val="20"/>
                      <w:szCs w:val="20"/>
                    </w:rPr>
                    <w:t>MTN5Y</w:t>
                  </w:r>
                </w:p>
              </w:tc>
              <w:tc>
                <w:tcPr>
                  <w:tcW w:w="921" w:type="dxa"/>
                  <w:tcBorders>
                    <w:top w:val="nil"/>
                    <w:left w:val="nil"/>
                    <w:bottom w:val="single" w:sz="8" w:space="0" w:color="FFFFFF"/>
                    <w:right w:val="single" w:sz="8" w:space="0" w:color="FFFFFF"/>
                  </w:tcBorders>
                  <w:shd w:val="clear" w:color="000000" w:fill="FCD5B4"/>
                  <w:noWrap/>
                  <w:vAlign w:val="center"/>
                  <w:hideMark/>
                </w:tcPr>
                <w:p w14:paraId="3B0A79EE"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0.75 </w:t>
                  </w:r>
                </w:p>
              </w:tc>
              <w:tc>
                <w:tcPr>
                  <w:tcW w:w="921" w:type="dxa"/>
                  <w:tcBorders>
                    <w:top w:val="nil"/>
                    <w:left w:val="nil"/>
                    <w:bottom w:val="single" w:sz="8" w:space="0" w:color="FFFFFF"/>
                    <w:right w:val="single" w:sz="8" w:space="0" w:color="FFFFFF"/>
                  </w:tcBorders>
                  <w:shd w:val="clear" w:color="000000" w:fill="FCD5B4"/>
                  <w:noWrap/>
                  <w:vAlign w:val="center"/>
                  <w:hideMark/>
                </w:tcPr>
                <w:p w14:paraId="1BF47A6D"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1.03 </w:t>
                  </w:r>
                </w:p>
              </w:tc>
              <w:tc>
                <w:tcPr>
                  <w:tcW w:w="921" w:type="dxa"/>
                  <w:tcBorders>
                    <w:top w:val="nil"/>
                    <w:left w:val="nil"/>
                    <w:bottom w:val="single" w:sz="8" w:space="0" w:color="FFFFFF"/>
                    <w:right w:val="single" w:sz="8" w:space="0" w:color="FFFFFF"/>
                  </w:tcBorders>
                  <w:shd w:val="clear" w:color="000000" w:fill="FCD5B4"/>
                  <w:noWrap/>
                  <w:vAlign w:val="center"/>
                  <w:hideMark/>
                </w:tcPr>
                <w:p w14:paraId="0D096EB5"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1.55 </w:t>
                  </w:r>
                </w:p>
              </w:tc>
              <w:tc>
                <w:tcPr>
                  <w:tcW w:w="921" w:type="dxa"/>
                  <w:tcBorders>
                    <w:top w:val="nil"/>
                    <w:left w:val="nil"/>
                    <w:bottom w:val="single" w:sz="8" w:space="0" w:color="FFFFFF"/>
                    <w:right w:val="single" w:sz="8" w:space="0" w:color="FFFFFF"/>
                  </w:tcBorders>
                  <w:shd w:val="clear" w:color="000000" w:fill="FCD5B4"/>
                  <w:noWrap/>
                  <w:vAlign w:val="center"/>
                  <w:hideMark/>
                </w:tcPr>
                <w:p w14:paraId="3DE8D7B1"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3.76 </w:t>
                  </w:r>
                </w:p>
              </w:tc>
            </w:tr>
            <w:tr w:rsidR="00254AC8" w:rsidRPr="00254AC8" w14:paraId="5F50C877" w14:textId="77777777" w:rsidTr="00254AC8">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3B45F019" w14:textId="77777777" w:rsidR="00254AC8" w:rsidRPr="00254AC8" w:rsidRDefault="00254AC8" w:rsidP="00254AC8">
                  <w:pPr>
                    <w:widowControl/>
                    <w:jc w:val="center"/>
                    <w:rPr>
                      <w:rFonts w:ascii="楷体" w:eastAsia="楷体" w:hAnsi="楷体" w:cs="宋体"/>
                      <w:color w:val="000000"/>
                      <w:kern w:val="0"/>
                      <w:sz w:val="20"/>
                      <w:szCs w:val="20"/>
                    </w:rPr>
                  </w:pPr>
                  <w:r w:rsidRPr="00254AC8">
                    <w:rPr>
                      <w:rFonts w:ascii="楷体" w:eastAsia="楷体" w:hAnsi="楷体" w:cs="宋体" w:hint="eastAsia"/>
                      <w:color w:val="000000"/>
                      <w:kern w:val="0"/>
                      <w:sz w:val="20"/>
                      <w:szCs w:val="20"/>
                    </w:rPr>
                    <w:t>企业债3Y</w:t>
                  </w:r>
                </w:p>
              </w:tc>
              <w:tc>
                <w:tcPr>
                  <w:tcW w:w="920" w:type="dxa"/>
                  <w:tcBorders>
                    <w:top w:val="nil"/>
                    <w:left w:val="nil"/>
                    <w:bottom w:val="single" w:sz="8" w:space="0" w:color="FFFFFF"/>
                    <w:right w:val="single" w:sz="8" w:space="0" w:color="FFFFFF"/>
                  </w:tcBorders>
                  <w:shd w:val="clear" w:color="000000" w:fill="FDE9D9"/>
                  <w:noWrap/>
                  <w:vAlign w:val="center"/>
                  <w:hideMark/>
                </w:tcPr>
                <w:p w14:paraId="0518B8E4"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3.34 </w:t>
                  </w:r>
                </w:p>
              </w:tc>
              <w:tc>
                <w:tcPr>
                  <w:tcW w:w="921" w:type="dxa"/>
                  <w:tcBorders>
                    <w:top w:val="nil"/>
                    <w:left w:val="nil"/>
                    <w:bottom w:val="single" w:sz="8" w:space="0" w:color="FFFFFF"/>
                    <w:right w:val="single" w:sz="8" w:space="0" w:color="FFFFFF"/>
                  </w:tcBorders>
                  <w:shd w:val="clear" w:color="000000" w:fill="FDE9D9"/>
                  <w:noWrap/>
                  <w:vAlign w:val="center"/>
                  <w:hideMark/>
                </w:tcPr>
                <w:p w14:paraId="2079B316"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3.60 </w:t>
                  </w:r>
                </w:p>
              </w:tc>
              <w:tc>
                <w:tcPr>
                  <w:tcW w:w="921" w:type="dxa"/>
                  <w:tcBorders>
                    <w:top w:val="nil"/>
                    <w:left w:val="nil"/>
                    <w:bottom w:val="single" w:sz="8" w:space="0" w:color="FFFFFF"/>
                    <w:right w:val="single" w:sz="8" w:space="0" w:color="FFFFFF"/>
                  </w:tcBorders>
                  <w:shd w:val="clear" w:color="000000" w:fill="FDE9D9"/>
                  <w:noWrap/>
                  <w:vAlign w:val="center"/>
                  <w:hideMark/>
                </w:tcPr>
                <w:p w14:paraId="77D80591"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4.04 </w:t>
                  </w:r>
                </w:p>
              </w:tc>
              <w:tc>
                <w:tcPr>
                  <w:tcW w:w="921" w:type="dxa"/>
                  <w:tcBorders>
                    <w:top w:val="nil"/>
                    <w:left w:val="nil"/>
                    <w:bottom w:val="single" w:sz="8" w:space="0" w:color="FFFFFF"/>
                    <w:right w:val="single" w:sz="8" w:space="0" w:color="FFFFFF"/>
                  </w:tcBorders>
                  <w:shd w:val="clear" w:color="000000" w:fill="FDE9D9"/>
                  <w:noWrap/>
                  <w:vAlign w:val="center"/>
                  <w:hideMark/>
                </w:tcPr>
                <w:p w14:paraId="355A7CD2"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6.24 </w:t>
                  </w:r>
                </w:p>
              </w:tc>
              <w:tc>
                <w:tcPr>
                  <w:tcW w:w="1157" w:type="dxa"/>
                  <w:tcBorders>
                    <w:top w:val="nil"/>
                    <w:left w:val="nil"/>
                    <w:bottom w:val="single" w:sz="8" w:space="0" w:color="FFFFFF"/>
                    <w:right w:val="single" w:sz="8" w:space="0" w:color="FFFFFF"/>
                  </w:tcBorders>
                  <w:shd w:val="clear" w:color="000000" w:fill="FDE9D9"/>
                  <w:noWrap/>
                  <w:vAlign w:val="center"/>
                  <w:hideMark/>
                </w:tcPr>
                <w:p w14:paraId="6B73428D" w14:textId="77777777" w:rsidR="00254AC8" w:rsidRPr="00254AC8" w:rsidRDefault="00254AC8" w:rsidP="00254AC8">
                  <w:pPr>
                    <w:widowControl/>
                    <w:jc w:val="center"/>
                    <w:rPr>
                      <w:rFonts w:ascii="楷体" w:eastAsia="楷体" w:hAnsi="楷体" w:cs="宋体"/>
                      <w:color w:val="000000"/>
                      <w:kern w:val="0"/>
                      <w:sz w:val="20"/>
                      <w:szCs w:val="20"/>
                    </w:rPr>
                  </w:pPr>
                  <w:r w:rsidRPr="00254AC8">
                    <w:rPr>
                      <w:rFonts w:ascii="楷体" w:eastAsia="楷体" w:hAnsi="楷体" w:cs="宋体" w:hint="eastAsia"/>
                      <w:color w:val="000000"/>
                      <w:kern w:val="0"/>
                      <w:sz w:val="20"/>
                      <w:szCs w:val="20"/>
                    </w:rPr>
                    <w:t>企业债3Y</w:t>
                  </w:r>
                </w:p>
              </w:tc>
              <w:tc>
                <w:tcPr>
                  <w:tcW w:w="921" w:type="dxa"/>
                  <w:tcBorders>
                    <w:top w:val="nil"/>
                    <w:left w:val="nil"/>
                    <w:bottom w:val="single" w:sz="8" w:space="0" w:color="FFFFFF"/>
                    <w:right w:val="single" w:sz="8" w:space="0" w:color="FFFFFF"/>
                  </w:tcBorders>
                  <w:shd w:val="clear" w:color="000000" w:fill="FDE9D9"/>
                  <w:noWrap/>
                  <w:vAlign w:val="center"/>
                  <w:hideMark/>
                </w:tcPr>
                <w:p w14:paraId="3FCD1941"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0.62 </w:t>
                  </w:r>
                </w:p>
              </w:tc>
              <w:tc>
                <w:tcPr>
                  <w:tcW w:w="921" w:type="dxa"/>
                  <w:tcBorders>
                    <w:top w:val="nil"/>
                    <w:left w:val="nil"/>
                    <w:bottom w:val="single" w:sz="8" w:space="0" w:color="FFFFFF"/>
                    <w:right w:val="single" w:sz="8" w:space="0" w:color="FFFFFF"/>
                  </w:tcBorders>
                  <w:shd w:val="clear" w:color="000000" w:fill="FDE9D9"/>
                  <w:noWrap/>
                  <w:vAlign w:val="center"/>
                  <w:hideMark/>
                </w:tcPr>
                <w:p w14:paraId="3A4E9A2C"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0.88 </w:t>
                  </w:r>
                </w:p>
              </w:tc>
              <w:tc>
                <w:tcPr>
                  <w:tcW w:w="921" w:type="dxa"/>
                  <w:tcBorders>
                    <w:top w:val="nil"/>
                    <w:left w:val="nil"/>
                    <w:bottom w:val="single" w:sz="8" w:space="0" w:color="FFFFFF"/>
                    <w:right w:val="single" w:sz="8" w:space="0" w:color="FFFFFF"/>
                  </w:tcBorders>
                  <w:shd w:val="clear" w:color="000000" w:fill="FDE9D9"/>
                  <w:noWrap/>
                  <w:vAlign w:val="center"/>
                  <w:hideMark/>
                </w:tcPr>
                <w:p w14:paraId="747D4F5D"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1.32 </w:t>
                  </w:r>
                </w:p>
              </w:tc>
              <w:tc>
                <w:tcPr>
                  <w:tcW w:w="921" w:type="dxa"/>
                  <w:tcBorders>
                    <w:top w:val="nil"/>
                    <w:left w:val="nil"/>
                    <w:bottom w:val="single" w:sz="8" w:space="0" w:color="FFFFFF"/>
                    <w:right w:val="single" w:sz="8" w:space="0" w:color="FFFFFF"/>
                  </w:tcBorders>
                  <w:shd w:val="clear" w:color="000000" w:fill="FDE9D9"/>
                  <w:noWrap/>
                  <w:vAlign w:val="center"/>
                  <w:hideMark/>
                </w:tcPr>
                <w:p w14:paraId="065AAAA2"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3.52 </w:t>
                  </w:r>
                </w:p>
              </w:tc>
            </w:tr>
            <w:tr w:rsidR="00254AC8" w:rsidRPr="00254AC8" w14:paraId="66F8FCE3" w14:textId="77777777" w:rsidTr="00254AC8">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39275F3D" w14:textId="77777777" w:rsidR="00254AC8" w:rsidRPr="00254AC8" w:rsidRDefault="00254AC8" w:rsidP="00254AC8">
                  <w:pPr>
                    <w:widowControl/>
                    <w:jc w:val="center"/>
                    <w:rPr>
                      <w:rFonts w:ascii="楷体" w:eastAsia="楷体" w:hAnsi="楷体" w:cs="宋体"/>
                      <w:color w:val="000000"/>
                      <w:kern w:val="0"/>
                      <w:sz w:val="20"/>
                      <w:szCs w:val="20"/>
                    </w:rPr>
                  </w:pPr>
                  <w:r w:rsidRPr="00254AC8">
                    <w:rPr>
                      <w:rFonts w:ascii="楷体" w:eastAsia="楷体" w:hAnsi="楷体" w:cs="宋体" w:hint="eastAsia"/>
                      <w:color w:val="000000"/>
                      <w:kern w:val="0"/>
                      <w:sz w:val="20"/>
                      <w:szCs w:val="20"/>
                    </w:rPr>
                    <w:t>企业债5Y</w:t>
                  </w:r>
                </w:p>
              </w:tc>
              <w:tc>
                <w:tcPr>
                  <w:tcW w:w="920" w:type="dxa"/>
                  <w:tcBorders>
                    <w:top w:val="nil"/>
                    <w:left w:val="nil"/>
                    <w:bottom w:val="single" w:sz="8" w:space="0" w:color="FFFFFF"/>
                    <w:right w:val="single" w:sz="8" w:space="0" w:color="FFFFFF"/>
                  </w:tcBorders>
                  <w:shd w:val="clear" w:color="000000" w:fill="FCD5B4"/>
                  <w:noWrap/>
                  <w:vAlign w:val="center"/>
                  <w:hideMark/>
                </w:tcPr>
                <w:p w14:paraId="367D711E"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3.62 </w:t>
                  </w:r>
                </w:p>
              </w:tc>
              <w:tc>
                <w:tcPr>
                  <w:tcW w:w="921" w:type="dxa"/>
                  <w:tcBorders>
                    <w:top w:val="nil"/>
                    <w:left w:val="nil"/>
                    <w:bottom w:val="single" w:sz="8" w:space="0" w:color="FFFFFF"/>
                    <w:right w:val="single" w:sz="8" w:space="0" w:color="FFFFFF"/>
                  </w:tcBorders>
                  <w:shd w:val="clear" w:color="000000" w:fill="FCD5B4"/>
                  <w:noWrap/>
                  <w:vAlign w:val="center"/>
                  <w:hideMark/>
                </w:tcPr>
                <w:p w14:paraId="05694A18"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3.88 </w:t>
                  </w:r>
                </w:p>
              </w:tc>
              <w:tc>
                <w:tcPr>
                  <w:tcW w:w="921" w:type="dxa"/>
                  <w:tcBorders>
                    <w:top w:val="nil"/>
                    <w:left w:val="nil"/>
                    <w:bottom w:val="single" w:sz="8" w:space="0" w:color="FFFFFF"/>
                    <w:right w:val="single" w:sz="8" w:space="0" w:color="FFFFFF"/>
                  </w:tcBorders>
                  <w:shd w:val="clear" w:color="000000" w:fill="FCD5B4"/>
                  <w:noWrap/>
                  <w:vAlign w:val="center"/>
                  <w:hideMark/>
                </w:tcPr>
                <w:p w14:paraId="334C250E"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4.41 </w:t>
                  </w:r>
                </w:p>
              </w:tc>
              <w:tc>
                <w:tcPr>
                  <w:tcW w:w="921" w:type="dxa"/>
                  <w:tcBorders>
                    <w:top w:val="nil"/>
                    <w:left w:val="nil"/>
                    <w:bottom w:val="single" w:sz="8" w:space="0" w:color="FFFFFF"/>
                    <w:right w:val="single" w:sz="8" w:space="0" w:color="FFFFFF"/>
                  </w:tcBorders>
                  <w:shd w:val="clear" w:color="000000" w:fill="FCD5B4"/>
                  <w:noWrap/>
                  <w:vAlign w:val="center"/>
                  <w:hideMark/>
                </w:tcPr>
                <w:p w14:paraId="0B36559E"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6.61 </w:t>
                  </w:r>
                </w:p>
              </w:tc>
              <w:tc>
                <w:tcPr>
                  <w:tcW w:w="1157" w:type="dxa"/>
                  <w:tcBorders>
                    <w:top w:val="nil"/>
                    <w:left w:val="nil"/>
                    <w:bottom w:val="single" w:sz="8" w:space="0" w:color="FFFFFF"/>
                    <w:right w:val="single" w:sz="8" w:space="0" w:color="FFFFFF"/>
                  </w:tcBorders>
                  <w:shd w:val="clear" w:color="000000" w:fill="FCD5B4"/>
                  <w:noWrap/>
                  <w:vAlign w:val="center"/>
                  <w:hideMark/>
                </w:tcPr>
                <w:p w14:paraId="3E7F4579" w14:textId="77777777" w:rsidR="00254AC8" w:rsidRPr="00254AC8" w:rsidRDefault="00254AC8" w:rsidP="00254AC8">
                  <w:pPr>
                    <w:widowControl/>
                    <w:jc w:val="center"/>
                    <w:rPr>
                      <w:rFonts w:ascii="楷体" w:eastAsia="楷体" w:hAnsi="楷体" w:cs="宋体"/>
                      <w:color w:val="000000"/>
                      <w:kern w:val="0"/>
                      <w:sz w:val="20"/>
                      <w:szCs w:val="20"/>
                    </w:rPr>
                  </w:pPr>
                  <w:r w:rsidRPr="00254AC8">
                    <w:rPr>
                      <w:rFonts w:ascii="楷体" w:eastAsia="楷体" w:hAnsi="楷体" w:cs="宋体" w:hint="eastAsia"/>
                      <w:color w:val="000000"/>
                      <w:kern w:val="0"/>
                      <w:sz w:val="20"/>
                      <w:szCs w:val="20"/>
                    </w:rPr>
                    <w:t>企业债5Y</w:t>
                  </w:r>
                </w:p>
              </w:tc>
              <w:tc>
                <w:tcPr>
                  <w:tcW w:w="921" w:type="dxa"/>
                  <w:tcBorders>
                    <w:top w:val="nil"/>
                    <w:left w:val="nil"/>
                    <w:bottom w:val="single" w:sz="8" w:space="0" w:color="FFFFFF"/>
                    <w:right w:val="single" w:sz="8" w:space="0" w:color="FFFFFF"/>
                  </w:tcBorders>
                  <w:shd w:val="clear" w:color="000000" w:fill="FCD5B4"/>
                  <w:noWrap/>
                  <w:vAlign w:val="center"/>
                  <w:hideMark/>
                </w:tcPr>
                <w:p w14:paraId="3398F9D7"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0.73 </w:t>
                  </w:r>
                </w:p>
              </w:tc>
              <w:tc>
                <w:tcPr>
                  <w:tcW w:w="921" w:type="dxa"/>
                  <w:tcBorders>
                    <w:top w:val="nil"/>
                    <w:left w:val="nil"/>
                    <w:bottom w:val="single" w:sz="8" w:space="0" w:color="FFFFFF"/>
                    <w:right w:val="single" w:sz="8" w:space="0" w:color="FFFFFF"/>
                  </w:tcBorders>
                  <w:shd w:val="clear" w:color="000000" w:fill="FCD5B4"/>
                  <w:noWrap/>
                  <w:vAlign w:val="center"/>
                  <w:hideMark/>
                </w:tcPr>
                <w:p w14:paraId="0EB58081"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0.99 </w:t>
                  </w:r>
                </w:p>
              </w:tc>
              <w:tc>
                <w:tcPr>
                  <w:tcW w:w="921" w:type="dxa"/>
                  <w:tcBorders>
                    <w:top w:val="nil"/>
                    <w:left w:val="nil"/>
                    <w:bottom w:val="single" w:sz="8" w:space="0" w:color="FFFFFF"/>
                    <w:right w:val="single" w:sz="8" w:space="0" w:color="FFFFFF"/>
                  </w:tcBorders>
                  <w:shd w:val="clear" w:color="000000" w:fill="FCD5B4"/>
                  <w:noWrap/>
                  <w:vAlign w:val="center"/>
                  <w:hideMark/>
                </w:tcPr>
                <w:p w14:paraId="640F8EB5"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1.52 </w:t>
                  </w:r>
                </w:p>
              </w:tc>
              <w:tc>
                <w:tcPr>
                  <w:tcW w:w="921" w:type="dxa"/>
                  <w:tcBorders>
                    <w:top w:val="nil"/>
                    <w:left w:val="nil"/>
                    <w:bottom w:val="single" w:sz="8" w:space="0" w:color="FFFFFF"/>
                    <w:right w:val="single" w:sz="8" w:space="0" w:color="FFFFFF"/>
                  </w:tcBorders>
                  <w:shd w:val="clear" w:color="000000" w:fill="FCD5B4"/>
                  <w:noWrap/>
                  <w:vAlign w:val="center"/>
                  <w:hideMark/>
                </w:tcPr>
                <w:p w14:paraId="43E29849"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3.72 </w:t>
                  </w:r>
                </w:p>
              </w:tc>
            </w:tr>
            <w:tr w:rsidR="00254AC8" w:rsidRPr="00254AC8" w14:paraId="20951EC4" w14:textId="77777777" w:rsidTr="00254AC8">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790A7E88" w14:textId="77777777" w:rsidR="00254AC8" w:rsidRPr="00254AC8" w:rsidRDefault="00254AC8" w:rsidP="00254AC8">
                  <w:pPr>
                    <w:widowControl/>
                    <w:jc w:val="center"/>
                    <w:rPr>
                      <w:rFonts w:ascii="楷体" w:eastAsia="楷体" w:hAnsi="楷体" w:cs="宋体"/>
                      <w:color w:val="000000"/>
                      <w:kern w:val="0"/>
                      <w:sz w:val="20"/>
                      <w:szCs w:val="20"/>
                    </w:rPr>
                  </w:pPr>
                  <w:r w:rsidRPr="00254AC8">
                    <w:rPr>
                      <w:rFonts w:ascii="楷体" w:eastAsia="楷体" w:hAnsi="楷体" w:cs="宋体" w:hint="eastAsia"/>
                      <w:color w:val="000000"/>
                      <w:kern w:val="0"/>
                      <w:sz w:val="20"/>
                      <w:szCs w:val="20"/>
                    </w:rPr>
                    <w:t>企业债7Y</w:t>
                  </w:r>
                </w:p>
              </w:tc>
              <w:tc>
                <w:tcPr>
                  <w:tcW w:w="920" w:type="dxa"/>
                  <w:tcBorders>
                    <w:top w:val="nil"/>
                    <w:left w:val="nil"/>
                    <w:bottom w:val="single" w:sz="8" w:space="0" w:color="FFFFFF"/>
                    <w:right w:val="single" w:sz="8" w:space="0" w:color="FFFFFF"/>
                  </w:tcBorders>
                  <w:shd w:val="clear" w:color="000000" w:fill="FDE9D9"/>
                  <w:noWrap/>
                  <w:vAlign w:val="center"/>
                  <w:hideMark/>
                </w:tcPr>
                <w:p w14:paraId="22A52118"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3.89 </w:t>
                  </w:r>
                </w:p>
              </w:tc>
              <w:tc>
                <w:tcPr>
                  <w:tcW w:w="921" w:type="dxa"/>
                  <w:tcBorders>
                    <w:top w:val="nil"/>
                    <w:left w:val="nil"/>
                    <w:bottom w:val="single" w:sz="8" w:space="0" w:color="FFFFFF"/>
                    <w:right w:val="single" w:sz="8" w:space="0" w:color="FFFFFF"/>
                  </w:tcBorders>
                  <w:shd w:val="clear" w:color="000000" w:fill="FDE9D9"/>
                  <w:noWrap/>
                  <w:vAlign w:val="center"/>
                  <w:hideMark/>
                </w:tcPr>
                <w:p w14:paraId="33F34899"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4.18 </w:t>
                  </w:r>
                </w:p>
              </w:tc>
              <w:tc>
                <w:tcPr>
                  <w:tcW w:w="921" w:type="dxa"/>
                  <w:tcBorders>
                    <w:top w:val="nil"/>
                    <w:left w:val="nil"/>
                    <w:bottom w:val="single" w:sz="8" w:space="0" w:color="FFFFFF"/>
                    <w:right w:val="single" w:sz="8" w:space="0" w:color="FFFFFF"/>
                  </w:tcBorders>
                  <w:shd w:val="clear" w:color="000000" w:fill="FDE9D9"/>
                  <w:noWrap/>
                  <w:vAlign w:val="center"/>
                  <w:hideMark/>
                </w:tcPr>
                <w:p w14:paraId="1734D5E0"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4.71 </w:t>
                  </w:r>
                </w:p>
              </w:tc>
              <w:tc>
                <w:tcPr>
                  <w:tcW w:w="921" w:type="dxa"/>
                  <w:tcBorders>
                    <w:top w:val="nil"/>
                    <w:left w:val="nil"/>
                    <w:bottom w:val="single" w:sz="8" w:space="0" w:color="FFFFFF"/>
                    <w:right w:val="single" w:sz="8" w:space="0" w:color="FFFFFF"/>
                  </w:tcBorders>
                  <w:shd w:val="clear" w:color="000000" w:fill="FDE9D9"/>
                  <w:noWrap/>
                  <w:vAlign w:val="center"/>
                  <w:hideMark/>
                </w:tcPr>
                <w:p w14:paraId="60FDA001"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6.91 </w:t>
                  </w:r>
                </w:p>
              </w:tc>
              <w:tc>
                <w:tcPr>
                  <w:tcW w:w="1157" w:type="dxa"/>
                  <w:tcBorders>
                    <w:top w:val="nil"/>
                    <w:left w:val="nil"/>
                    <w:bottom w:val="single" w:sz="8" w:space="0" w:color="FFFFFF"/>
                    <w:right w:val="single" w:sz="8" w:space="0" w:color="FFFFFF"/>
                  </w:tcBorders>
                  <w:shd w:val="clear" w:color="000000" w:fill="FDE9D9"/>
                  <w:noWrap/>
                  <w:vAlign w:val="center"/>
                  <w:hideMark/>
                </w:tcPr>
                <w:p w14:paraId="7CF037F4" w14:textId="77777777" w:rsidR="00254AC8" w:rsidRPr="00254AC8" w:rsidRDefault="00254AC8" w:rsidP="00254AC8">
                  <w:pPr>
                    <w:widowControl/>
                    <w:jc w:val="center"/>
                    <w:rPr>
                      <w:rFonts w:ascii="楷体" w:eastAsia="楷体" w:hAnsi="楷体" w:cs="宋体"/>
                      <w:color w:val="000000"/>
                      <w:kern w:val="0"/>
                      <w:sz w:val="20"/>
                      <w:szCs w:val="20"/>
                    </w:rPr>
                  </w:pPr>
                  <w:r w:rsidRPr="00254AC8">
                    <w:rPr>
                      <w:rFonts w:ascii="楷体" w:eastAsia="楷体" w:hAnsi="楷体" w:cs="宋体" w:hint="eastAsia"/>
                      <w:color w:val="000000"/>
                      <w:kern w:val="0"/>
                      <w:sz w:val="20"/>
                      <w:szCs w:val="20"/>
                    </w:rPr>
                    <w:t>企业债7Y</w:t>
                  </w:r>
                </w:p>
              </w:tc>
              <w:tc>
                <w:tcPr>
                  <w:tcW w:w="921" w:type="dxa"/>
                  <w:tcBorders>
                    <w:top w:val="nil"/>
                    <w:left w:val="nil"/>
                    <w:bottom w:val="single" w:sz="8" w:space="0" w:color="FFFFFF"/>
                    <w:right w:val="single" w:sz="8" w:space="0" w:color="FFFFFF"/>
                  </w:tcBorders>
                  <w:shd w:val="clear" w:color="000000" w:fill="FDE9D9"/>
                  <w:noWrap/>
                  <w:vAlign w:val="center"/>
                  <w:hideMark/>
                </w:tcPr>
                <w:p w14:paraId="269F7391"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0.86 </w:t>
                  </w:r>
                </w:p>
              </w:tc>
              <w:tc>
                <w:tcPr>
                  <w:tcW w:w="921" w:type="dxa"/>
                  <w:tcBorders>
                    <w:top w:val="nil"/>
                    <w:left w:val="nil"/>
                    <w:bottom w:val="single" w:sz="8" w:space="0" w:color="FFFFFF"/>
                    <w:right w:val="single" w:sz="8" w:space="0" w:color="FFFFFF"/>
                  </w:tcBorders>
                  <w:shd w:val="clear" w:color="000000" w:fill="FDE9D9"/>
                  <w:noWrap/>
                  <w:vAlign w:val="center"/>
                  <w:hideMark/>
                </w:tcPr>
                <w:p w14:paraId="4E21591E"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1.15 </w:t>
                  </w:r>
                </w:p>
              </w:tc>
              <w:tc>
                <w:tcPr>
                  <w:tcW w:w="921" w:type="dxa"/>
                  <w:tcBorders>
                    <w:top w:val="nil"/>
                    <w:left w:val="nil"/>
                    <w:bottom w:val="single" w:sz="8" w:space="0" w:color="FFFFFF"/>
                    <w:right w:val="single" w:sz="8" w:space="0" w:color="FFFFFF"/>
                  </w:tcBorders>
                  <w:shd w:val="clear" w:color="000000" w:fill="FDE9D9"/>
                  <w:noWrap/>
                  <w:vAlign w:val="center"/>
                  <w:hideMark/>
                </w:tcPr>
                <w:p w14:paraId="7064ACC3"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1.68 </w:t>
                  </w:r>
                </w:p>
              </w:tc>
              <w:tc>
                <w:tcPr>
                  <w:tcW w:w="921" w:type="dxa"/>
                  <w:tcBorders>
                    <w:top w:val="nil"/>
                    <w:left w:val="nil"/>
                    <w:bottom w:val="single" w:sz="8" w:space="0" w:color="FFFFFF"/>
                    <w:right w:val="single" w:sz="8" w:space="0" w:color="FFFFFF"/>
                  </w:tcBorders>
                  <w:shd w:val="clear" w:color="000000" w:fill="FDE9D9"/>
                  <w:noWrap/>
                  <w:vAlign w:val="center"/>
                  <w:hideMark/>
                </w:tcPr>
                <w:p w14:paraId="61449F03"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3.88 </w:t>
                  </w:r>
                </w:p>
              </w:tc>
            </w:tr>
            <w:tr w:rsidR="00254AC8" w:rsidRPr="00254AC8" w14:paraId="2F104FA5" w14:textId="77777777" w:rsidTr="00254AC8">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13CA1587" w14:textId="77777777" w:rsidR="00254AC8" w:rsidRPr="00254AC8" w:rsidRDefault="00254AC8" w:rsidP="00254AC8">
                  <w:pPr>
                    <w:widowControl/>
                    <w:jc w:val="center"/>
                    <w:rPr>
                      <w:rFonts w:ascii="楷体" w:eastAsia="楷体" w:hAnsi="楷体" w:cs="宋体"/>
                      <w:color w:val="000000"/>
                      <w:kern w:val="0"/>
                      <w:sz w:val="20"/>
                      <w:szCs w:val="20"/>
                    </w:rPr>
                  </w:pPr>
                  <w:proofErr w:type="gramStart"/>
                  <w:r w:rsidRPr="00254AC8">
                    <w:rPr>
                      <w:rFonts w:ascii="楷体" w:eastAsia="楷体" w:hAnsi="楷体" w:cs="宋体" w:hint="eastAsia"/>
                      <w:color w:val="000000"/>
                      <w:kern w:val="0"/>
                      <w:sz w:val="20"/>
                      <w:szCs w:val="20"/>
                    </w:rPr>
                    <w:t>城投债</w:t>
                  </w:r>
                  <w:proofErr w:type="gramEnd"/>
                  <w:r w:rsidRPr="00254AC8">
                    <w:rPr>
                      <w:rFonts w:ascii="楷体" w:eastAsia="楷体" w:hAnsi="楷体" w:cs="宋体" w:hint="eastAsia"/>
                      <w:color w:val="000000"/>
                      <w:kern w:val="0"/>
                      <w:sz w:val="20"/>
                      <w:szCs w:val="20"/>
                    </w:rPr>
                    <w:t>3Y</w:t>
                  </w:r>
                </w:p>
              </w:tc>
              <w:tc>
                <w:tcPr>
                  <w:tcW w:w="920" w:type="dxa"/>
                  <w:tcBorders>
                    <w:top w:val="nil"/>
                    <w:left w:val="nil"/>
                    <w:bottom w:val="single" w:sz="8" w:space="0" w:color="FFFFFF"/>
                    <w:right w:val="single" w:sz="8" w:space="0" w:color="FFFFFF"/>
                  </w:tcBorders>
                  <w:shd w:val="clear" w:color="000000" w:fill="FCD5B4"/>
                  <w:noWrap/>
                  <w:vAlign w:val="center"/>
                  <w:hideMark/>
                </w:tcPr>
                <w:p w14:paraId="4AA8AB18"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3.39 </w:t>
                  </w:r>
                </w:p>
              </w:tc>
              <w:tc>
                <w:tcPr>
                  <w:tcW w:w="921" w:type="dxa"/>
                  <w:tcBorders>
                    <w:top w:val="nil"/>
                    <w:left w:val="nil"/>
                    <w:bottom w:val="single" w:sz="8" w:space="0" w:color="FFFFFF"/>
                    <w:right w:val="single" w:sz="8" w:space="0" w:color="FFFFFF"/>
                  </w:tcBorders>
                  <w:shd w:val="clear" w:color="000000" w:fill="FCD5B4"/>
                  <w:noWrap/>
                  <w:vAlign w:val="center"/>
                  <w:hideMark/>
                </w:tcPr>
                <w:p w14:paraId="43B88365"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3.57 </w:t>
                  </w:r>
                </w:p>
              </w:tc>
              <w:tc>
                <w:tcPr>
                  <w:tcW w:w="921" w:type="dxa"/>
                  <w:tcBorders>
                    <w:top w:val="nil"/>
                    <w:left w:val="nil"/>
                    <w:bottom w:val="single" w:sz="8" w:space="0" w:color="FFFFFF"/>
                    <w:right w:val="single" w:sz="8" w:space="0" w:color="FFFFFF"/>
                  </w:tcBorders>
                  <w:shd w:val="clear" w:color="000000" w:fill="FCD5B4"/>
                  <w:noWrap/>
                  <w:vAlign w:val="center"/>
                  <w:hideMark/>
                </w:tcPr>
                <w:p w14:paraId="1895A511"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3.80 </w:t>
                  </w:r>
                </w:p>
              </w:tc>
              <w:tc>
                <w:tcPr>
                  <w:tcW w:w="921" w:type="dxa"/>
                  <w:tcBorders>
                    <w:top w:val="nil"/>
                    <w:left w:val="nil"/>
                    <w:bottom w:val="single" w:sz="8" w:space="0" w:color="FFFFFF"/>
                    <w:right w:val="single" w:sz="8" w:space="0" w:color="FFFFFF"/>
                  </w:tcBorders>
                  <w:shd w:val="clear" w:color="000000" w:fill="FCD5B4"/>
                  <w:noWrap/>
                  <w:vAlign w:val="center"/>
                  <w:hideMark/>
                </w:tcPr>
                <w:p w14:paraId="3FEA3BD1"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6.44 </w:t>
                  </w:r>
                </w:p>
              </w:tc>
              <w:tc>
                <w:tcPr>
                  <w:tcW w:w="1157" w:type="dxa"/>
                  <w:tcBorders>
                    <w:top w:val="nil"/>
                    <w:left w:val="nil"/>
                    <w:bottom w:val="single" w:sz="8" w:space="0" w:color="FFFFFF"/>
                    <w:right w:val="single" w:sz="8" w:space="0" w:color="FFFFFF"/>
                  </w:tcBorders>
                  <w:shd w:val="clear" w:color="000000" w:fill="FCD5B4"/>
                  <w:noWrap/>
                  <w:vAlign w:val="center"/>
                  <w:hideMark/>
                </w:tcPr>
                <w:p w14:paraId="18059513" w14:textId="77777777" w:rsidR="00254AC8" w:rsidRPr="00254AC8" w:rsidRDefault="00254AC8" w:rsidP="00254AC8">
                  <w:pPr>
                    <w:widowControl/>
                    <w:jc w:val="center"/>
                    <w:rPr>
                      <w:rFonts w:ascii="楷体" w:eastAsia="楷体" w:hAnsi="楷体" w:cs="宋体"/>
                      <w:color w:val="000000"/>
                      <w:kern w:val="0"/>
                      <w:sz w:val="20"/>
                      <w:szCs w:val="20"/>
                    </w:rPr>
                  </w:pPr>
                  <w:proofErr w:type="gramStart"/>
                  <w:r w:rsidRPr="00254AC8">
                    <w:rPr>
                      <w:rFonts w:ascii="楷体" w:eastAsia="楷体" w:hAnsi="楷体" w:cs="宋体" w:hint="eastAsia"/>
                      <w:color w:val="000000"/>
                      <w:kern w:val="0"/>
                      <w:sz w:val="20"/>
                      <w:szCs w:val="20"/>
                    </w:rPr>
                    <w:t>城投债</w:t>
                  </w:r>
                  <w:proofErr w:type="gramEnd"/>
                  <w:r w:rsidRPr="00254AC8">
                    <w:rPr>
                      <w:rFonts w:ascii="楷体" w:eastAsia="楷体" w:hAnsi="楷体" w:cs="宋体" w:hint="eastAsia"/>
                      <w:color w:val="000000"/>
                      <w:kern w:val="0"/>
                      <w:sz w:val="20"/>
                      <w:szCs w:val="20"/>
                    </w:rPr>
                    <w:t>3Y</w:t>
                  </w:r>
                </w:p>
              </w:tc>
              <w:tc>
                <w:tcPr>
                  <w:tcW w:w="921" w:type="dxa"/>
                  <w:tcBorders>
                    <w:top w:val="nil"/>
                    <w:left w:val="nil"/>
                    <w:bottom w:val="single" w:sz="8" w:space="0" w:color="FFFFFF"/>
                    <w:right w:val="single" w:sz="8" w:space="0" w:color="FFFFFF"/>
                  </w:tcBorders>
                  <w:shd w:val="clear" w:color="000000" w:fill="FCD5B4"/>
                  <w:noWrap/>
                  <w:vAlign w:val="center"/>
                  <w:hideMark/>
                </w:tcPr>
                <w:p w14:paraId="2934ACB5"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0.66 </w:t>
                  </w:r>
                </w:p>
              </w:tc>
              <w:tc>
                <w:tcPr>
                  <w:tcW w:w="921" w:type="dxa"/>
                  <w:tcBorders>
                    <w:top w:val="nil"/>
                    <w:left w:val="nil"/>
                    <w:bottom w:val="single" w:sz="8" w:space="0" w:color="FFFFFF"/>
                    <w:right w:val="single" w:sz="8" w:space="0" w:color="FFFFFF"/>
                  </w:tcBorders>
                  <w:shd w:val="clear" w:color="000000" w:fill="FCD5B4"/>
                  <w:noWrap/>
                  <w:vAlign w:val="center"/>
                  <w:hideMark/>
                </w:tcPr>
                <w:p w14:paraId="64D25512"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0.84 </w:t>
                  </w:r>
                </w:p>
              </w:tc>
              <w:tc>
                <w:tcPr>
                  <w:tcW w:w="921" w:type="dxa"/>
                  <w:tcBorders>
                    <w:top w:val="nil"/>
                    <w:left w:val="nil"/>
                    <w:bottom w:val="single" w:sz="8" w:space="0" w:color="FFFFFF"/>
                    <w:right w:val="single" w:sz="8" w:space="0" w:color="FFFFFF"/>
                  </w:tcBorders>
                  <w:shd w:val="clear" w:color="000000" w:fill="FCD5B4"/>
                  <w:noWrap/>
                  <w:vAlign w:val="center"/>
                  <w:hideMark/>
                </w:tcPr>
                <w:p w14:paraId="74169204"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1.08 </w:t>
                  </w:r>
                </w:p>
              </w:tc>
              <w:tc>
                <w:tcPr>
                  <w:tcW w:w="921" w:type="dxa"/>
                  <w:tcBorders>
                    <w:top w:val="nil"/>
                    <w:left w:val="nil"/>
                    <w:bottom w:val="single" w:sz="8" w:space="0" w:color="FFFFFF"/>
                    <w:right w:val="single" w:sz="8" w:space="0" w:color="FFFFFF"/>
                  </w:tcBorders>
                  <w:shd w:val="clear" w:color="000000" w:fill="FCD5B4"/>
                  <w:noWrap/>
                  <w:vAlign w:val="center"/>
                  <w:hideMark/>
                </w:tcPr>
                <w:p w14:paraId="20EC94AC"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3.72 </w:t>
                  </w:r>
                </w:p>
              </w:tc>
            </w:tr>
            <w:tr w:rsidR="00254AC8" w:rsidRPr="00254AC8" w14:paraId="43A82698" w14:textId="77777777" w:rsidTr="00254AC8">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1FCC3985" w14:textId="77777777" w:rsidR="00254AC8" w:rsidRPr="00254AC8" w:rsidRDefault="00254AC8" w:rsidP="00254AC8">
                  <w:pPr>
                    <w:widowControl/>
                    <w:jc w:val="center"/>
                    <w:rPr>
                      <w:rFonts w:ascii="楷体" w:eastAsia="楷体" w:hAnsi="楷体" w:cs="宋体"/>
                      <w:color w:val="000000"/>
                      <w:kern w:val="0"/>
                      <w:sz w:val="20"/>
                      <w:szCs w:val="20"/>
                    </w:rPr>
                  </w:pPr>
                  <w:proofErr w:type="gramStart"/>
                  <w:r w:rsidRPr="00254AC8">
                    <w:rPr>
                      <w:rFonts w:ascii="楷体" w:eastAsia="楷体" w:hAnsi="楷体" w:cs="宋体" w:hint="eastAsia"/>
                      <w:color w:val="000000"/>
                      <w:kern w:val="0"/>
                      <w:sz w:val="20"/>
                      <w:szCs w:val="20"/>
                    </w:rPr>
                    <w:t>城投债</w:t>
                  </w:r>
                  <w:proofErr w:type="gramEnd"/>
                  <w:r w:rsidRPr="00254AC8">
                    <w:rPr>
                      <w:rFonts w:ascii="楷体" w:eastAsia="楷体" w:hAnsi="楷体" w:cs="宋体" w:hint="eastAsia"/>
                      <w:color w:val="000000"/>
                      <w:kern w:val="0"/>
                      <w:sz w:val="20"/>
                      <w:szCs w:val="20"/>
                    </w:rPr>
                    <w:t>5Y</w:t>
                  </w:r>
                </w:p>
              </w:tc>
              <w:tc>
                <w:tcPr>
                  <w:tcW w:w="920" w:type="dxa"/>
                  <w:tcBorders>
                    <w:top w:val="nil"/>
                    <w:left w:val="nil"/>
                    <w:bottom w:val="single" w:sz="8" w:space="0" w:color="FFFFFF"/>
                    <w:right w:val="single" w:sz="8" w:space="0" w:color="FFFFFF"/>
                  </w:tcBorders>
                  <w:shd w:val="clear" w:color="000000" w:fill="FDE9D9"/>
                  <w:noWrap/>
                  <w:vAlign w:val="center"/>
                  <w:hideMark/>
                </w:tcPr>
                <w:p w14:paraId="78C76F37"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3.69 </w:t>
                  </w:r>
                </w:p>
              </w:tc>
              <w:tc>
                <w:tcPr>
                  <w:tcW w:w="921" w:type="dxa"/>
                  <w:tcBorders>
                    <w:top w:val="nil"/>
                    <w:left w:val="nil"/>
                    <w:bottom w:val="single" w:sz="8" w:space="0" w:color="FFFFFF"/>
                    <w:right w:val="single" w:sz="8" w:space="0" w:color="FFFFFF"/>
                  </w:tcBorders>
                  <w:shd w:val="clear" w:color="000000" w:fill="FDE9D9"/>
                  <w:noWrap/>
                  <w:vAlign w:val="center"/>
                  <w:hideMark/>
                </w:tcPr>
                <w:p w14:paraId="16029143"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3.93 </w:t>
                  </w:r>
                </w:p>
              </w:tc>
              <w:tc>
                <w:tcPr>
                  <w:tcW w:w="921" w:type="dxa"/>
                  <w:tcBorders>
                    <w:top w:val="nil"/>
                    <w:left w:val="nil"/>
                    <w:bottom w:val="single" w:sz="8" w:space="0" w:color="FFFFFF"/>
                    <w:right w:val="single" w:sz="8" w:space="0" w:color="FFFFFF"/>
                  </w:tcBorders>
                  <w:shd w:val="clear" w:color="000000" w:fill="FDE9D9"/>
                  <w:noWrap/>
                  <w:vAlign w:val="center"/>
                  <w:hideMark/>
                </w:tcPr>
                <w:p w14:paraId="7B8B699D"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4.41 </w:t>
                  </w:r>
                </w:p>
              </w:tc>
              <w:tc>
                <w:tcPr>
                  <w:tcW w:w="921" w:type="dxa"/>
                  <w:tcBorders>
                    <w:top w:val="nil"/>
                    <w:left w:val="nil"/>
                    <w:bottom w:val="single" w:sz="8" w:space="0" w:color="FFFFFF"/>
                    <w:right w:val="single" w:sz="8" w:space="0" w:color="FFFFFF"/>
                  </w:tcBorders>
                  <w:shd w:val="clear" w:color="000000" w:fill="FDE9D9"/>
                  <w:noWrap/>
                  <w:vAlign w:val="center"/>
                  <w:hideMark/>
                </w:tcPr>
                <w:p w14:paraId="2E5FA7AB"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7.36 </w:t>
                  </w:r>
                </w:p>
              </w:tc>
              <w:tc>
                <w:tcPr>
                  <w:tcW w:w="1157" w:type="dxa"/>
                  <w:tcBorders>
                    <w:top w:val="nil"/>
                    <w:left w:val="nil"/>
                    <w:bottom w:val="single" w:sz="8" w:space="0" w:color="FFFFFF"/>
                    <w:right w:val="single" w:sz="8" w:space="0" w:color="FFFFFF"/>
                  </w:tcBorders>
                  <w:shd w:val="clear" w:color="000000" w:fill="FDE9D9"/>
                  <w:noWrap/>
                  <w:vAlign w:val="center"/>
                  <w:hideMark/>
                </w:tcPr>
                <w:p w14:paraId="26B019DF" w14:textId="77777777" w:rsidR="00254AC8" w:rsidRPr="00254AC8" w:rsidRDefault="00254AC8" w:rsidP="00254AC8">
                  <w:pPr>
                    <w:widowControl/>
                    <w:jc w:val="center"/>
                    <w:rPr>
                      <w:rFonts w:ascii="楷体" w:eastAsia="楷体" w:hAnsi="楷体" w:cs="宋体"/>
                      <w:color w:val="000000"/>
                      <w:kern w:val="0"/>
                      <w:sz w:val="20"/>
                      <w:szCs w:val="20"/>
                    </w:rPr>
                  </w:pPr>
                  <w:proofErr w:type="gramStart"/>
                  <w:r w:rsidRPr="00254AC8">
                    <w:rPr>
                      <w:rFonts w:ascii="楷体" w:eastAsia="楷体" w:hAnsi="楷体" w:cs="宋体" w:hint="eastAsia"/>
                      <w:color w:val="000000"/>
                      <w:kern w:val="0"/>
                      <w:sz w:val="20"/>
                      <w:szCs w:val="20"/>
                    </w:rPr>
                    <w:t>城投债</w:t>
                  </w:r>
                  <w:proofErr w:type="gramEnd"/>
                  <w:r w:rsidRPr="00254AC8">
                    <w:rPr>
                      <w:rFonts w:ascii="楷体" w:eastAsia="楷体" w:hAnsi="楷体" w:cs="宋体" w:hint="eastAsia"/>
                      <w:color w:val="000000"/>
                      <w:kern w:val="0"/>
                      <w:sz w:val="20"/>
                      <w:szCs w:val="20"/>
                    </w:rPr>
                    <w:t>5Y</w:t>
                  </w:r>
                </w:p>
              </w:tc>
              <w:tc>
                <w:tcPr>
                  <w:tcW w:w="921" w:type="dxa"/>
                  <w:tcBorders>
                    <w:top w:val="nil"/>
                    <w:left w:val="nil"/>
                    <w:bottom w:val="single" w:sz="8" w:space="0" w:color="FFFFFF"/>
                    <w:right w:val="single" w:sz="8" w:space="0" w:color="FFFFFF"/>
                  </w:tcBorders>
                  <w:shd w:val="clear" w:color="000000" w:fill="FDE9D9"/>
                  <w:noWrap/>
                  <w:vAlign w:val="center"/>
                  <w:hideMark/>
                </w:tcPr>
                <w:p w14:paraId="4CDD562E"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0.79 </w:t>
                  </w:r>
                </w:p>
              </w:tc>
              <w:tc>
                <w:tcPr>
                  <w:tcW w:w="921" w:type="dxa"/>
                  <w:tcBorders>
                    <w:top w:val="nil"/>
                    <w:left w:val="nil"/>
                    <w:bottom w:val="single" w:sz="8" w:space="0" w:color="FFFFFF"/>
                    <w:right w:val="single" w:sz="8" w:space="0" w:color="FFFFFF"/>
                  </w:tcBorders>
                  <w:shd w:val="clear" w:color="000000" w:fill="FDE9D9"/>
                  <w:noWrap/>
                  <w:vAlign w:val="center"/>
                  <w:hideMark/>
                </w:tcPr>
                <w:p w14:paraId="623FF834"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1.03 </w:t>
                  </w:r>
                </w:p>
              </w:tc>
              <w:tc>
                <w:tcPr>
                  <w:tcW w:w="921" w:type="dxa"/>
                  <w:tcBorders>
                    <w:top w:val="nil"/>
                    <w:left w:val="nil"/>
                    <w:bottom w:val="single" w:sz="8" w:space="0" w:color="FFFFFF"/>
                    <w:right w:val="single" w:sz="8" w:space="0" w:color="FFFFFF"/>
                  </w:tcBorders>
                  <w:shd w:val="clear" w:color="000000" w:fill="FDE9D9"/>
                  <w:noWrap/>
                  <w:vAlign w:val="center"/>
                  <w:hideMark/>
                </w:tcPr>
                <w:p w14:paraId="4B21C665"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1.52 </w:t>
                  </w:r>
                </w:p>
              </w:tc>
              <w:tc>
                <w:tcPr>
                  <w:tcW w:w="921" w:type="dxa"/>
                  <w:tcBorders>
                    <w:top w:val="nil"/>
                    <w:left w:val="nil"/>
                    <w:bottom w:val="single" w:sz="8" w:space="0" w:color="FFFFFF"/>
                    <w:right w:val="single" w:sz="8" w:space="0" w:color="FFFFFF"/>
                  </w:tcBorders>
                  <w:shd w:val="clear" w:color="000000" w:fill="FDE9D9"/>
                  <w:noWrap/>
                  <w:vAlign w:val="center"/>
                  <w:hideMark/>
                </w:tcPr>
                <w:p w14:paraId="69C4F2EC"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4.47 </w:t>
                  </w:r>
                </w:p>
              </w:tc>
            </w:tr>
            <w:tr w:rsidR="00254AC8" w:rsidRPr="00254AC8" w14:paraId="606B3571" w14:textId="77777777" w:rsidTr="00254AC8">
              <w:trPr>
                <w:trHeight w:val="300"/>
              </w:trPr>
              <w:tc>
                <w:tcPr>
                  <w:tcW w:w="1350" w:type="dxa"/>
                  <w:tcBorders>
                    <w:top w:val="nil"/>
                    <w:left w:val="nil"/>
                    <w:bottom w:val="nil"/>
                    <w:right w:val="nil"/>
                  </w:tcBorders>
                  <w:shd w:val="clear" w:color="000000" w:fill="FCD5B4"/>
                  <w:noWrap/>
                  <w:vAlign w:val="center"/>
                  <w:hideMark/>
                </w:tcPr>
                <w:p w14:paraId="24DD6D69" w14:textId="77777777" w:rsidR="00254AC8" w:rsidRPr="00254AC8" w:rsidRDefault="00254AC8" w:rsidP="00254AC8">
                  <w:pPr>
                    <w:widowControl/>
                    <w:jc w:val="center"/>
                    <w:rPr>
                      <w:rFonts w:ascii="楷体" w:eastAsia="楷体" w:hAnsi="楷体" w:cs="宋体"/>
                      <w:color w:val="000000"/>
                      <w:kern w:val="0"/>
                      <w:sz w:val="20"/>
                      <w:szCs w:val="20"/>
                    </w:rPr>
                  </w:pPr>
                  <w:proofErr w:type="gramStart"/>
                  <w:r w:rsidRPr="00254AC8">
                    <w:rPr>
                      <w:rFonts w:ascii="楷体" w:eastAsia="楷体" w:hAnsi="楷体" w:cs="宋体" w:hint="eastAsia"/>
                      <w:color w:val="000000"/>
                      <w:kern w:val="0"/>
                      <w:sz w:val="20"/>
                      <w:szCs w:val="20"/>
                    </w:rPr>
                    <w:t>城投债</w:t>
                  </w:r>
                  <w:proofErr w:type="gramEnd"/>
                  <w:r w:rsidRPr="00254AC8">
                    <w:rPr>
                      <w:rFonts w:ascii="楷体" w:eastAsia="楷体" w:hAnsi="楷体" w:cs="宋体" w:hint="eastAsia"/>
                      <w:color w:val="000000"/>
                      <w:kern w:val="0"/>
                      <w:sz w:val="20"/>
                      <w:szCs w:val="20"/>
                    </w:rPr>
                    <w:t>7Y</w:t>
                  </w:r>
                </w:p>
              </w:tc>
              <w:tc>
                <w:tcPr>
                  <w:tcW w:w="920" w:type="dxa"/>
                  <w:tcBorders>
                    <w:top w:val="nil"/>
                    <w:left w:val="nil"/>
                    <w:bottom w:val="single" w:sz="8" w:space="0" w:color="FFFFFF"/>
                    <w:right w:val="single" w:sz="8" w:space="0" w:color="FFFFFF"/>
                  </w:tcBorders>
                  <w:shd w:val="clear" w:color="000000" w:fill="FCD5B4"/>
                  <w:noWrap/>
                  <w:vAlign w:val="center"/>
                  <w:hideMark/>
                </w:tcPr>
                <w:p w14:paraId="5DBB26F7"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3.93 </w:t>
                  </w:r>
                </w:p>
              </w:tc>
              <w:tc>
                <w:tcPr>
                  <w:tcW w:w="921" w:type="dxa"/>
                  <w:tcBorders>
                    <w:top w:val="nil"/>
                    <w:left w:val="nil"/>
                    <w:bottom w:val="single" w:sz="8" w:space="0" w:color="FFFFFF"/>
                    <w:right w:val="single" w:sz="8" w:space="0" w:color="FFFFFF"/>
                  </w:tcBorders>
                  <w:shd w:val="clear" w:color="000000" w:fill="FCD5B4"/>
                  <w:noWrap/>
                  <w:vAlign w:val="center"/>
                  <w:hideMark/>
                </w:tcPr>
                <w:p w14:paraId="6FD2B90E"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4.18 </w:t>
                  </w:r>
                </w:p>
              </w:tc>
              <w:tc>
                <w:tcPr>
                  <w:tcW w:w="921" w:type="dxa"/>
                  <w:tcBorders>
                    <w:top w:val="nil"/>
                    <w:left w:val="nil"/>
                    <w:bottom w:val="single" w:sz="8" w:space="0" w:color="FFFFFF"/>
                    <w:right w:val="single" w:sz="8" w:space="0" w:color="FFFFFF"/>
                  </w:tcBorders>
                  <w:shd w:val="clear" w:color="000000" w:fill="FCD5B4"/>
                  <w:noWrap/>
                  <w:vAlign w:val="center"/>
                  <w:hideMark/>
                </w:tcPr>
                <w:p w14:paraId="02123A70"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4.71 </w:t>
                  </w:r>
                </w:p>
              </w:tc>
              <w:tc>
                <w:tcPr>
                  <w:tcW w:w="921" w:type="dxa"/>
                  <w:tcBorders>
                    <w:top w:val="nil"/>
                    <w:left w:val="nil"/>
                    <w:bottom w:val="single" w:sz="8" w:space="0" w:color="FFFFFF"/>
                    <w:right w:val="single" w:sz="8" w:space="0" w:color="FFFFFF"/>
                  </w:tcBorders>
                  <w:shd w:val="clear" w:color="000000" w:fill="FCD5B4"/>
                  <w:noWrap/>
                  <w:vAlign w:val="center"/>
                  <w:hideMark/>
                </w:tcPr>
                <w:p w14:paraId="105880FB"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7.65 </w:t>
                  </w:r>
                </w:p>
              </w:tc>
              <w:tc>
                <w:tcPr>
                  <w:tcW w:w="1157" w:type="dxa"/>
                  <w:tcBorders>
                    <w:top w:val="nil"/>
                    <w:left w:val="nil"/>
                    <w:bottom w:val="nil"/>
                    <w:right w:val="nil"/>
                  </w:tcBorders>
                  <w:shd w:val="clear" w:color="000000" w:fill="FCD5B4"/>
                  <w:noWrap/>
                  <w:vAlign w:val="center"/>
                  <w:hideMark/>
                </w:tcPr>
                <w:p w14:paraId="2E58C9B2" w14:textId="77777777" w:rsidR="00254AC8" w:rsidRPr="00254AC8" w:rsidRDefault="00254AC8" w:rsidP="00254AC8">
                  <w:pPr>
                    <w:widowControl/>
                    <w:jc w:val="center"/>
                    <w:rPr>
                      <w:rFonts w:ascii="楷体" w:eastAsia="楷体" w:hAnsi="楷体" w:cs="宋体"/>
                      <w:color w:val="000000"/>
                      <w:kern w:val="0"/>
                      <w:sz w:val="20"/>
                      <w:szCs w:val="20"/>
                    </w:rPr>
                  </w:pPr>
                  <w:proofErr w:type="gramStart"/>
                  <w:r w:rsidRPr="00254AC8">
                    <w:rPr>
                      <w:rFonts w:ascii="楷体" w:eastAsia="楷体" w:hAnsi="楷体" w:cs="宋体" w:hint="eastAsia"/>
                      <w:color w:val="000000"/>
                      <w:kern w:val="0"/>
                      <w:sz w:val="20"/>
                      <w:szCs w:val="20"/>
                    </w:rPr>
                    <w:t>城投债</w:t>
                  </w:r>
                  <w:proofErr w:type="gramEnd"/>
                  <w:r w:rsidRPr="00254AC8">
                    <w:rPr>
                      <w:rFonts w:ascii="楷体" w:eastAsia="楷体" w:hAnsi="楷体" w:cs="宋体" w:hint="eastAsia"/>
                      <w:color w:val="000000"/>
                      <w:kern w:val="0"/>
                      <w:sz w:val="20"/>
                      <w:szCs w:val="20"/>
                    </w:rPr>
                    <w:t>7Y</w:t>
                  </w:r>
                </w:p>
              </w:tc>
              <w:tc>
                <w:tcPr>
                  <w:tcW w:w="921" w:type="dxa"/>
                  <w:tcBorders>
                    <w:top w:val="nil"/>
                    <w:left w:val="nil"/>
                    <w:bottom w:val="single" w:sz="8" w:space="0" w:color="FFFFFF"/>
                    <w:right w:val="single" w:sz="8" w:space="0" w:color="FFFFFF"/>
                  </w:tcBorders>
                  <w:shd w:val="clear" w:color="000000" w:fill="FCD5B4"/>
                  <w:noWrap/>
                  <w:vAlign w:val="center"/>
                  <w:hideMark/>
                </w:tcPr>
                <w:p w14:paraId="1F3E7819"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0.91 </w:t>
                  </w:r>
                </w:p>
              </w:tc>
              <w:tc>
                <w:tcPr>
                  <w:tcW w:w="921" w:type="dxa"/>
                  <w:tcBorders>
                    <w:top w:val="nil"/>
                    <w:left w:val="nil"/>
                    <w:bottom w:val="single" w:sz="8" w:space="0" w:color="FFFFFF"/>
                    <w:right w:val="single" w:sz="8" w:space="0" w:color="FFFFFF"/>
                  </w:tcBorders>
                  <w:shd w:val="clear" w:color="000000" w:fill="FCD5B4"/>
                  <w:noWrap/>
                  <w:vAlign w:val="center"/>
                  <w:hideMark/>
                </w:tcPr>
                <w:p w14:paraId="3A922708"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1.16 </w:t>
                  </w:r>
                </w:p>
              </w:tc>
              <w:tc>
                <w:tcPr>
                  <w:tcW w:w="921" w:type="dxa"/>
                  <w:tcBorders>
                    <w:top w:val="nil"/>
                    <w:left w:val="nil"/>
                    <w:bottom w:val="single" w:sz="8" w:space="0" w:color="FFFFFF"/>
                    <w:right w:val="single" w:sz="8" w:space="0" w:color="FFFFFF"/>
                  </w:tcBorders>
                  <w:shd w:val="clear" w:color="000000" w:fill="FCD5B4"/>
                  <w:noWrap/>
                  <w:vAlign w:val="center"/>
                  <w:hideMark/>
                </w:tcPr>
                <w:p w14:paraId="13F0307B"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1.69 </w:t>
                  </w:r>
                </w:p>
              </w:tc>
              <w:tc>
                <w:tcPr>
                  <w:tcW w:w="921" w:type="dxa"/>
                  <w:tcBorders>
                    <w:top w:val="nil"/>
                    <w:left w:val="nil"/>
                    <w:bottom w:val="single" w:sz="8" w:space="0" w:color="FFFFFF"/>
                    <w:right w:val="single" w:sz="8" w:space="0" w:color="FFFFFF"/>
                  </w:tcBorders>
                  <w:shd w:val="clear" w:color="000000" w:fill="FCD5B4"/>
                  <w:noWrap/>
                  <w:vAlign w:val="center"/>
                  <w:hideMark/>
                </w:tcPr>
                <w:p w14:paraId="0080989B"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4.63 </w:t>
                  </w:r>
                </w:p>
              </w:tc>
            </w:tr>
            <w:tr w:rsidR="00254AC8" w:rsidRPr="00254AC8" w14:paraId="39B1E657" w14:textId="77777777" w:rsidTr="00254AC8">
              <w:trPr>
                <w:trHeight w:val="150"/>
              </w:trPr>
              <w:tc>
                <w:tcPr>
                  <w:tcW w:w="1350" w:type="dxa"/>
                  <w:tcBorders>
                    <w:top w:val="nil"/>
                    <w:left w:val="nil"/>
                    <w:bottom w:val="nil"/>
                    <w:right w:val="nil"/>
                  </w:tcBorders>
                  <w:shd w:val="clear" w:color="auto" w:fill="auto"/>
                  <w:noWrap/>
                  <w:vAlign w:val="center"/>
                  <w:hideMark/>
                </w:tcPr>
                <w:p w14:paraId="0BEE26AB" w14:textId="77777777" w:rsidR="00254AC8" w:rsidRPr="00254AC8" w:rsidRDefault="00254AC8" w:rsidP="00254AC8">
                  <w:pPr>
                    <w:widowControl/>
                    <w:jc w:val="center"/>
                    <w:rPr>
                      <w:rFonts w:eastAsia="等线" w:cs="Calibri"/>
                      <w:color w:val="000000"/>
                      <w:kern w:val="0"/>
                      <w:szCs w:val="21"/>
                    </w:rPr>
                  </w:pPr>
                </w:p>
              </w:tc>
              <w:tc>
                <w:tcPr>
                  <w:tcW w:w="920" w:type="dxa"/>
                  <w:tcBorders>
                    <w:top w:val="nil"/>
                    <w:left w:val="nil"/>
                    <w:bottom w:val="nil"/>
                    <w:right w:val="nil"/>
                  </w:tcBorders>
                  <w:shd w:val="clear" w:color="auto" w:fill="auto"/>
                  <w:noWrap/>
                  <w:vAlign w:val="center"/>
                  <w:hideMark/>
                </w:tcPr>
                <w:p w14:paraId="4A4E1B4D" w14:textId="77777777" w:rsidR="00254AC8" w:rsidRPr="00254AC8" w:rsidRDefault="00254AC8" w:rsidP="00254AC8">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317A471E" w14:textId="77777777" w:rsidR="00254AC8" w:rsidRPr="00254AC8" w:rsidRDefault="00254AC8" w:rsidP="00254AC8">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3B072430" w14:textId="77777777" w:rsidR="00254AC8" w:rsidRPr="00254AC8" w:rsidRDefault="00254AC8" w:rsidP="00254AC8">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1C041A8F" w14:textId="77777777" w:rsidR="00254AC8" w:rsidRPr="00254AC8" w:rsidRDefault="00254AC8" w:rsidP="00254AC8">
                  <w:pPr>
                    <w:widowControl/>
                    <w:jc w:val="center"/>
                    <w:rPr>
                      <w:rFonts w:ascii="Times New Roman" w:eastAsia="Times New Roman" w:hAnsi="Times New Roman"/>
                      <w:kern w:val="0"/>
                      <w:sz w:val="20"/>
                      <w:szCs w:val="20"/>
                    </w:rPr>
                  </w:pPr>
                </w:p>
              </w:tc>
              <w:tc>
                <w:tcPr>
                  <w:tcW w:w="1157" w:type="dxa"/>
                  <w:tcBorders>
                    <w:top w:val="nil"/>
                    <w:left w:val="nil"/>
                    <w:bottom w:val="nil"/>
                    <w:right w:val="nil"/>
                  </w:tcBorders>
                  <w:shd w:val="clear" w:color="auto" w:fill="auto"/>
                  <w:noWrap/>
                  <w:vAlign w:val="center"/>
                  <w:hideMark/>
                </w:tcPr>
                <w:p w14:paraId="647BA09C" w14:textId="77777777" w:rsidR="00254AC8" w:rsidRPr="00254AC8" w:rsidRDefault="00254AC8" w:rsidP="00254AC8">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75CD7781" w14:textId="77777777" w:rsidR="00254AC8" w:rsidRPr="00254AC8" w:rsidRDefault="00254AC8" w:rsidP="00254AC8">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666E9336" w14:textId="77777777" w:rsidR="00254AC8" w:rsidRPr="00254AC8" w:rsidRDefault="00254AC8" w:rsidP="00254AC8">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3B12687E" w14:textId="77777777" w:rsidR="00254AC8" w:rsidRPr="00254AC8" w:rsidRDefault="00254AC8" w:rsidP="00254AC8">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4C3F7680" w14:textId="77777777" w:rsidR="00254AC8" w:rsidRPr="00254AC8" w:rsidRDefault="00254AC8" w:rsidP="00254AC8">
                  <w:pPr>
                    <w:widowControl/>
                    <w:jc w:val="center"/>
                    <w:rPr>
                      <w:rFonts w:ascii="Times New Roman" w:eastAsia="Times New Roman" w:hAnsi="Times New Roman"/>
                      <w:kern w:val="0"/>
                      <w:sz w:val="20"/>
                      <w:szCs w:val="20"/>
                    </w:rPr>
                  </w:pPr>
                </w:p>
              </w:tc>
            </w:tr>
            <w:tr w:rsidR="00254AC8" w:rsidRPr="00254AC8" w14:paraId="17C13AA8" w14:textId="77777777" w:rsidTr="00254AC8">
              <w:trPr>
                <w:trHeight w:val="300"/>
              </w:trPr>
              <w:tc>
                <w:tcPr>
                  <w:tcW w:w="1350" w:type="dxa"/>
                  <w:tcBorders>
                    <w:top w:val="nil"/>
                    <w:left w:val="nil"/>
                    <w:bottom w:val="single" w:sz="12" w:space="0" w:color="FFFFFF"/>
                    <w:right w:val="single" w:sz="8" w:space="0" w:color="FFFFFF"/>
                  </w:tcBorders>
                  <w:shd w:val="clear" w:color="000000" w:fill="F79646"/>
                  <w:noWrap/>
                  <w:vAlign w:val="center"/>
                  <w:hideMark/>
                </w:tcPr>
                <w:p w14:paraId="78DE6946" w14:textId="77777777" w:rsidR="00254AC8" w:rsidRPr="00254AC8" w:rsidRDefault="00254AC8" w:rsidP="00254AC8">
                  <w:pPr>
                    <w:widowControl/>
                    <w:jc w:val="center"/>
                    <w:rPr>
                      <w:rFonts w:ascii="楷体" w:eastAsia="楷体" w:hAnsi="楷体" w:cs="宋体"/>
                      <w:b/>
                      <w:bCs/>
                      <w:color w:val="FFFFFF"/>
                      <w:kern w:val="0"/>
                      <w:sz w:val="20"/>
                      <w:szCs w:val="20"/>
                    </w:rPr>
                  </w:pPr>
                  <w:proofErr w:type="gramStart"/>
                  <w:r w:rsidRPr="00254AC8">
                    <w:rPr>
                      <w:rFonts w:ascii="楷体" w:eastAsia="楷体" w:hAnsi="楷体" w:cs="宋体" w:hint="eastAsia"/>
                      <w:b/>
                      <w:bCs/>
                      <w:color w:val="FFFFFF"/>
                      <w:kern w:val="0"/>
                      <w:sz w:val="20"/>
                      <w:szCs w:val="20"/>
                    </w:rPr>
                    <w:t>周变化</w:t>
                  </w:r>
                  <w:proofErr w:type="gramEnd"/>
                  <w:r w:rsidRPr="00254AC8">
                    <w:rPr>
                      <w:rFonts w:ascii="楷体" w:eastAsia="楷体" w:hAnsi="楷体" w:cs="宋体" w:hint="eastAsia"/>
                      <w:b/>
                      <w:bCs/>
                      <w:color w:val="FFFFFF"/>
                      <w:kern w:val="0"/>
                      <w:sz w:val="20"/>
                      <w:szCs w:val="20"/>
                    </w:rPr>
                    <w:t>(BP)</w:t>
                  </w:r>
                </w:p>
              </w:tc>
              <w:tc>
                <w:tcPr>
                  <w:tcW w:w="920" w:type="dxa"/>
                  <w:tcBorders>
                    <w:top w:val="nil"/>
                    <w:left w:val="nil"/>
                    <w:bottom w:val="single" w:sz="12" w:space="0" w:color="FFFFFF"/>
                    <w:right w:val="single" w:sz="8" w:space="0" w:color="FFFFFF"/>
                  </w:tcBorders>
                  <w:shd w:val="clear" w:color="000000" w:fill="F79646"/>
                  <w:noWrap/>
                  <w:vAlign w:val="center"/>
                  <w:hideMark/>
                </w:tcPr>
                <w:p w14:paraId="0779A230" w14:textId="77777777" w:rsidR="00254AC8" w:rsidRPr="00254AC8" w:rsidRDefault="00254AC8" w:rsidP="00254AC8">
                  <w:pPr>
                    <w:widowControl/>
                    <w:jc w:val="center"/>
                    <w:rPr>
                      <w:rFonts w:ascii="楷体" w:eastAsia="楷体" w:hAnsi="楷体" w:cs="宋体"/>
                      <w:b/>
                      <w:bCs/>
                      <w:color w:val="FFFFFF"/>
                      <w:kern w:val="0"/>
                      <w:sz w:val="20"/>
                      <w:szCs w:val="20"/>
                    </w:rPr>
                  </w:pPr>
                  <w:r w:rsidRPr="00254AC8">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604FB35F" w14:textId="77777777" w:rsidR="00254AC8" w:rsidRPr="00254AC8" w:rsidRDefault="00254AC8" w:rsidP="00254AC8">
                  <w:pPr>
                    <w:widowControl/>
                    <w:jc w:val="center"/>
                    <w:rPr>
                      <w:rFonts w:ascii="楷体" w:eastAsia="楷体" w:hAnsi="楷体" w:cs="宋体"/>
                      <w:b/>
                      <w:bCs/>
                      <w:color w:val="FFFFFF"/>
                      <w:kern w:val="0"/>
                      <w:sz w:val="20"/>
                      <w:szCs w:val="20"/>
                    </w:rPr>
                  </w:pPr>
                  <w:r w:rsidRPr="00254AC8">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6CA13C98" w14:textId="77777777" w:rsidR="00254AC8" w:rsidRPr="00254AC8" w:rsidRDefault="00254AC8" w:rsidP="00254AC8">
                  <w:pPr>
                    <w:widowControl/>
                    <w:jc w:val="center"/>
                    <w:rPr>
                      <w:rFonts w:ascii="楷体" w:eastAsia="楷体" w:hAnsi="楷体" w:cs="宋体"/>
                      <w:b/>
                      <w:bCs/>
                      <w:color w:val="FFFFFF"/>
                      <w:kern w:val="0"/>
                      <w:sz w:val="20"/>
                      <w:szCs w:val="20"/>
                    </w:rPr>
                  </w:pPr>
                  <w:r w:rsidRPr="00254AC8">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009E8171" w14:textId="77777777" w:rsidR="00254AC8" w:rsidRPr="00254AC8" w:rsidRDefault="00254AC8" w:rsidP="00254AC8">
                  <w:pPr>
                    <w:widowControl/>
                    <w:jc w:val="center"/>
                    <w:rPr>
                      <w:rFonts w:ascii="楷体" w:eastAsia="楷体" w:hAnsi="楷体" w:cs="宋体"/>
                      <w:b/>
                      <w:bCs/>
                      <w:color w:val="FFFFFF"/>
                      <w:kern w:val="0"/>
                      <w:sz w:val="20"/>
                      <w:szCs w:val="20"/>
                    </w:rPr>
                  </w:pPr>
                  <w:r w:rsidRPr="00254AC8">
                    <w:rPr>
                      <w:rFonts w:ascii="楷体" w:eastAsia="楷体" w:hAnsi="楷体" w:cs="宋体" w:hint="eastAsia"/>
                      <w:b/>
                      <w:bCs/>
                      <w:color w:val="FFFFFF"/>
                      <w:kern w:val="0"/>
                      <w:sz w:val="20"/>
                      <w:szCs w:val="20"/>
                    </w:rPr>
                    <w:t>AA-</w:t>
                  </w:r>
                </w:p>
              </w:tc>
              <w:tc>
                <w:tcPr>
                  <w:tcW w:w="1157" w:type="dxa"/>
                  <w:tcBorders>
                    <w:top w:val="nil"/>
                    <w:left w:val="nil"/>
                    <w:bottom w:val="single" w:sz="12" w:space="0" w:color="FFFFFF"/>
                    <w:right w:val="single" w:sz="8" w:space="0" w:color="FFFFFF"/>
                  </w:tcBorders>
                  <w:shd w:val="clear" w:color="000000" w:fill="F79646"/>
                  <w:noWrap/>
                  <w:vAlign w:val="center"/>
                  <w:hideMark/>
                </w:tcPr>
                <w:p w14:paraId="5BD88705" w14:textId="77777777" w:rsidR="00254AC8" w:rsidRPr="00254AC8" w:rsidRDefault="00254AC8" w:rsidP="00254AC8">
                  <w:pPr>
                    <w:widowControl/>
                    <w:jc w:val="center"/>
                    <w:rPr>
                      <w:rFonts w:ascii="楷体" w:eastAsia="楷体" w:hAnsi="楷体" w:cs="宋体"/>
                      <w:b/>
                      <w:bCs/>
                      <w:color w:val="FFFFFF"/>
                      <w:kern w:val="0"/>
                      <w:sz w:val="20"/>
                      <w:szCs w:val="20"/>
                    </w:rPr>
                  </w:pPr>
                  <w:r w:rsidRPr="00254AC8">
                    <w:rPr>
                      <w:rFonts w:ascii="楷体" w:eastAsia="楷体" w:hAnsi="楷体" w:cs="宋体" w:hint="eastAsia"/>
                      <w:b/>
                      <w:bCs/>
                      <w:color w:val="FFFFFF"/>
                      <w:kern w:val="0"/>
                      <w:sz w:val="20"/>
                      <w:szCs w:val="20"/>
                    </w:rPr>
                    <w:t>息差</w:t>
                  </w:r>
                </w:p>
              </w:tc>
              <w:tc>
                <w:tcPr>
                  <w:tcW w:w="921" w:type="dxa"/>
                  <w:tcBorders>
                    <w:top w:val="nil"/>
                    <w:left w:val="nil"/>
                    <w:bottom w:val="single" w:sz="12" w:space="0" w:color="FFFFFF"/>
                    <w:right w:val="single" w:sz="8" w:space="0" w:color="FFFFFF"/>
                  </w:tcBorders>
                  <w:shd w:val="clear" w:color="000000" w:fill="F79646"/>
                  <w:noWrap/>
                  <w:vAlign w:val="center"/>
                  <w:hideMark/>
                </w:tcPr>
                <w:p w14:paraId="1CC0A2C9" w14:textId="77777777" w:rsidR="00254AC8" w:rsidRPr="00254AC8" w:rsidRDefault="00254AC8" w:rsidP="00254AC8">
                  <w:pPr>
                    <w:widowControl/>
                    <w:jc w:val="center"/>
                    <w:rPr>
                      <w:rFonts w:ascii="楷体" w:eastAsia="楷体" w:hAnsi="楷体" w:cs="宋体"/>
                      <w:b/>
                      <w:bCs/>
                      <w:color w:val="FFFFFF"/>
                      <w:kern w:val="0"/>
                      <w:sz w:val="20"/>
                      <w:szCs w:val="20"/>
                    </w:rPr>
                  </w:pPr>
                  <w:r w:rsidRPr="00254AC8">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2531C167" w14:textId="77777777" w:rsidR="00254AC8" w:rsidRPr="00254AC8" w:rsidRDefault="00254AC8" w:rsidP="00254AC8">
                  <w:pPr>
                    <w:widowControl/>
                    <w:jc w:val="center"/>
                    <w:rPr>
                      <w:rFonts w:ascii="楷体" w:eastAsia="楷体" w:hAnsi="楷体" w:cs="宋体"/>
                      <w:b/>
                      <w:bCs/>
                      <w:color w:val="FFFFFF"/>
                      <w:kern w:val="0"/>
                      <w:sz w:val="20"/>
                      <w:szCs w:val="20"/>
                    </w:rPr>
                  </w:pPr>
                  <w:r w:rsidRPr="00254AC8">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00D551BB" w14:textId="77777777" w:rsidR="00254AC8" w:rsidRPr="00254AC8" w:rsidRDefault="00254AC8" w:rsidP="00254AC8">
                  <w:pPr>
                    <w:widowControl/>
                    <w:jc w:val="center"/>
                    <w:rPr>
                      <w:rFonts w:ascii="楷体" w:eastAsia="楷体" w:hAnsi="楷体" w:cs="宋体"/>
                      <w:b/>
                      <w:bCs/>
                      <w:color w:val="FFFFFF"/>
                      <w:kern w:val="0"/>
                      <w:sz w:val="20"/>
                      <w:szCs w:val="20"/>
                    </w:rPr>
                  </w:pPr>
                  <w:r w:rsidRPr="00254AC8">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12AD2716" w14:textId="77777777" w:rsidR="00254AC8" w:rsidRPr="00254AC8" w:rsidRDefault="00254AC8" w:rsidP="00254AC8">
                  <w:pPr>
                    <w:widowControl/>
                    <w:jc w:val="center"/>
                    <w:rPr>
                      <w:rFonts w:ascii="楷体" w:eastAsia="楷体" w:hAnsi="楷体" w:cs="宋体"/>
                      <w:b/>
                      <w:bCs/>
                      <w:color w:val="FFFFFF"/>
                      <w:kern w:val="0"/>
                      <w:sz w:val="20"/>
                      <w:szCs w:val="20"/>
                    </w:rPr>
                  </w:pPr>
                  <w:r w:rsidRPr="00254AC8">
                    <w:rPr>
                      <w:rFonts w:ascii="楷体" w:eastAsia="楷体" w:hAnsi="楷体" w:cs="宋体" w:hint="eastAsia"/>
                      <w:b/>
                      <w:bCs/>
                      <w:color w:val="FFFFFF"/>
                      <w:kern w:val="0"/>
                      <w:sz w:val="20"/>
                      <w:szCs w:val="20"/>
                    </w:rPr>
                    <w:t>AA-</w:t>
                  </w:r>
                </w:p>
              </w:tc>
            </w:tr>
            <w:tr w:rsidR="00254AC8" w:rsidRPr="00254AC8" w14:paraId="0A1D325E" w14:textId="77777777" w:rsidTr="00254AC8">
              <w:trPr>
                <w:trHeight w:val="315"/>
              </w:trPr>
              <w:tc>
                <w:tcPr>
                  <w:tcW w:w="1350" w:type="dxa"/>
                  <w:tcBorders>
                    <w:top w:val="nil"/>
                    <w:left w:val="nil"/>
                    <w:bottom w:val="single" w:sz="8" w:space="0" w:color="FFFFFF"/>
                    <w:right w:val="single" w:sz="8" w:space="0" w:color="FFFFFF"/>
                  </w:tcBorders>
                  <w:shd w:val="clear" w:color="000000" w:fill="FCD5B4"/>
                  <w:noWrap/>
                  <w:vAlign w:val="center"/>
                  <w:hideMark/>
                </w:tcPr>
                <w:p w14:paraId="6AF3FED5" w14:textId="77777777" w:rsidR="00254AC8" w:rsidRPr="00254AC8" w:rsidRDefault="00254AC8" w:rsidP="00254AC8">
                  <w:pPr>
                    <w:widowControl/>
                    <w:jc w:val="center"/>
                    <w:rPr>
                      <w:rFonts w:ascii="楷体" w:eastAsia="楷体" w:hAnsi="楷体" w:cs="宋体"/>
                      <w:color w:val="000000"/>
                      <w:kern w:val="0"/>
                      <w:sz w:val="20"/>
                      <w:szCs w:val="20"/>
                    </w:rPr>
                  </w:pPr>
                  <w:r w:rsidRPr="00254AC8">
                    <w:rPr>
                      <w:rFonts w:ascii="楷体" w:eastAsia="楷体" w:hAnsi="楷体" w:cs="宋体" w:hint="eastAsia"/>
                      <w:color w:val="000000"/>
                      <w:kern w:val="0"/>
                      <w:sz w:val="20"/>
                      <w:szCs w:val="20"/>
                    </w:rPr>
                    <w:t>CP</w:t>
                  </w:r>
                </w:p>
              </w:tc>
              <w:tc>
                <w:tcPr>
                  <w:tcW w:w="920" w:type="dxa"/>
                  <w:tcBorders>
                    <w:top w:val="nil"/>
                    <w:left w:val="nil"/>
                    <w:bottom w:val="single" w:sz="8" w:space="0" w:color="FFFFFF"/>
                    <w:right w:val="single" w:sz="8" w:space="0" w:color="FFFFFF"/>
                  </w:tcBorders>
                  <w:shd w:val="clear" w:color="000000" w:fill="FCD5B4"/>
                  <w:noWrap/>
                  <w:vAlign w:val="center"/>
                  <w:hideMark/>
                </w:tcPr>
                <w:p w14:paraId="2D8411A0"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FF0000"/>
                      <w:kern w:val="0"/>
                      <w:szCs w:val="21"/>
                    </w:rPr>
                    <w:t xml:space="preserve">-3.8 </w:t>
                  </w:r>
                </w:p>
              </w:tc>
              <w:tc>
                <w:tcPr>
                  <w:tcW w:w="921" w:type="dxa"/>
                  <w:tcBorders>
                    <w:top w:val="nil"/>
                    <w:left w:val="nil"/>
                    <w:bottom w:val="single" w:sz="8" w:space="0" w:color="FFFFFF"/>
                    <w:right w:val="single" w:sz="8" w:space="0" w:color="FFFFFF"/>
                  </w:tcBorders>
                  <w:shd w:val="clear" w:color="000000" w:fill="FCD5B4"/>
                  <w:noWrap/>
                  <w:vAlign w:val="center"/>
                  <w:hideMark/>
                </w:tcPr>
                <w:p w14:paraId="3EA4FA12"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FF0000"/>
                      <w:kern w:val="0"/>
                      <w:szCs w:val="21"/>
                    </w:rPr>
                    <w:t xml:space="preserve">-4.8 </w:t>
                  </w:r>
                </w:p>
              </w:tc>
              <w:tc>
                <w:tcPr>
                  <w:tcW w:w="921" w:type="dxa"/>
                  <w:tcBorders>
                    <w:top w:val="nil"/>
                    <w:left w:val="nil"/>
                    <w:bottom w:val="single" w:sz="8" w:space="0" w:color="FFFFFF"/>
                    <w:right w:val="single" w:sz="8" w:space="0" w:color="FFFFFF"/>
                  </w:tcBorders>
                  <w:shd w:val="clear" w:color="000000" w:fill="FCD5B4"/>
                  <w:noWrap/>
                  <w:vAlign w:val="center"/>
                  <w:hideMark/>
                </w:tcPr>
                <w:p w14:paraId="5A1A614D"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FF0000"/>
                      <w:kern w:val="0"/>
                      <w:szCs w:val="21"/>
                    </w:rPr>
                    <w:t xml:space="preserve">-6.8 </w:t>
                  </w:r>
                </w:p>
              </w:tc>
              <w:tc>
                <w:tcPr>
                  <w:tcW w:w="921" w:type="dxa"/>
                  <w:tcBorders>
                    <w:top w:val="nil"/>
                    <w:left w:val="nil"/>
                    <w:bottom w:val="single" w:sz="8" w:space="0" w:color="FFFFFF"/>
                    <w:right w:val="single" w:sz="8" w:space="0" w:color="FFFFFF"/>
                  </w:tcBorders>
                  <w:shd w:val="clear" w:color="000000" w:fill="FCD5B4"/>
                  <w:noWrap/>
                  <w:vAlign w:val="center"/>
                  <w:hideMark/>
                </w:tcPr>
                <w:p w14:paraId="41139BDE"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FF0000"/>
                      <w:kern w:val="0"/>
                      <w:szCs w:val="21"/>
                    </w:rPr>
                    <w:t xml:space="preserve">-7.8 </w:t>
                  </w:r>
                </w:p>
              </w:tc>
              <w:tc>
                <w:tcPr>
                  <w:tcW w:w="1157" w:type="dxa"/>
                  <w:tcBorders>
                    <w:top w:val="nil"/>
                    <w:left w:val="nil"/>
                    <w:bottom w:val="single" w:sz="8" w:space="0" w:color="FFFFFF"/>
                    <w:right w:val="single" w:sz="8" w:space="0" w:color="FFFFFF"/>
                  </w:tcBorders>
                  <w:shd w:val="clear" w:color="000000" w:fill="FCD5B4"/>
                  <w:noWrap/>
                  <w:vAlign w:val="center"/>
                  <w:hideMark/>
                </w:tcPr>
                <w:p w14:paraId="284F65C6" w14:textId="77777777" w:rsidR="00254AC8" w:rsidRPr="00254AC8" w:rsidRDefault="00254AC8" w:rsidP="00254AC8">
                  <w:pPr>
                    <w:widowControl/>
                    <w:jc w:val="center"/>
                    <w:rPr>
                      <w:rFonts w:ascii="楷体" w:eastAsia="楷体" w:hAnsi="楷体" w:cs="宋体"/>
                      <w:color w:val="000000"/>
                      <w:kern w:val="0"/>
                      <w:sz w:val="20"/>
                      <w:szCs w:val="20"/>
                    </w:rPr>
                  </w:pPr>
                  <w:r w:rsidRPr="00254AC8">
                    <w:rPr>
                      <w:rFonts w:ascii="楷体" w:eastAsia="楷体" w:hAnsi="楷体" w:cs="宋体" w:hint="eastAsia"/>
                      <w:color w:val="000000"/>
                      <w:kern w:val="0"/>
                      <w:sz w:val="20"/>
                      <w:szCs w:val="20"/>
                    </w:rPr>
                    <w:t>CP</w:t>
                  </w:r>
                </w:p>
              </w:tc>
              <w:tc>
                <w:tcPr>
                  <w:tcW w:w="921" w:type="dxa"/>
                  <w:tcBorders>
                    <w:top w:val="nil"/>
                    <w:left w:val="nil"/>
                    <w:bottom w:val="single" w:sz="8" w:space="0" w:color="FFFFFF"/>
                    <w:right w:val="single" w:sz="8" w:space="0" w:color="FFFFFF"/>
                  </w:tcBorders>
                  <w:shd w:val="clear" w:color="000000" w:fill="FCD5B4"/>
                  <w:noWrap/>
                  <w:vAlign w:val="center"/>
                  <w:hideMark/>
                </w:tcPr>
                <w:p w14:paraId="09001368"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FF0000"/>
                      <w:kern w:val="0"/>
                      <w:szCs w:val="21"/>
                    </w:rPr>
                    <w:t xml:space="preserve">-3.5 </w:t>
                  </w:r>
                </w:p>
              </w:tc>
              <w:tc>
                <w:tcPr>
                  <w:tcW w:w="921" w:type="dxa"/>
                  <w:tcBorders>
                    <w:top w:val="nil"/>
                    <w:left w:val="nil"/>
                    <w:bottom w:val="single" w:sz="8" w:space="0" w:color="FFFFFF"/>
                    <w:right w:val="single" w:sz="8" w:space="0" w:color="FFFFFF"/>
                  </w:tcBorders>
                  <w:shd w:val="clear" w:color="000000" w:fill="FCD5B4"/>
                  <w:noWrap/>
                  <w:vAlign w:val="center"/>
                  <w:hideMark/>
                </w:tcPr>
                <w:p w14:paraId="62F53247"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FF0000"/>
                      <w:kern w:val="0"/>
                      <w:szCs w:val="21"/>
                    </w:rPr>
                    <w:t xml:space="preserve">-4.5 </w:t>
                  </w:r>
                </w:p>
              </w:tc>
              <w:tc>
                <w:tcPr>
                  <w:tcW w:w="921" w:type="dxa"/>
                  <w:tcBorders>
                    <w:top w:val="nil"/>
                    <w:left w:val="nil"/>
                    <w:bottom w:val="single" w:sz="8" w:space="0" w:color="FFFFFF"/>
                    <w:right w:val="single" w:sz="8" w:space="0" w:color="FFFFFF"/>
                  </w:tcBorders>
                  <w:shd w:val="clear" w:color="000000" w:fill="FCD5B4"/>
                  <w:noWrap/>
                  <w:vAlign w:val="center"/>
                  <w:hideMark/>
                </w:tcPr>
                <w:p w14:paraId="7396C227"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FF0000"/>
                      <w:kern w:val="0"/>
                      <w:szCs w:val="21"/>
                    </w:rPr>
                    <w:t xml:space="preserve">-6.5 </w:t>
                  </w:r>
                </w:p>
              </w:tc>
              <w:tc>
                <w:tcPr>
                  <w:tcW w:w="921" w:type="dxa"/>
                  <w:tcBorders>
                    <w:top w:val="nil"/>
                    <w:left w:val="nil"/>
                    <w:bottom w:val="single" w:sz="8" w:space="0" w:color="FFFFFF"/>
                    <w:right w:val="single" w:sz="8" w:space="0" w:color="FFFFFF"/>
                  </w:tcBorders>
                  <w:shd w:val="clear" w:color="000000" w:fill="FCD5B4"/>
                  <w:noWrap/>
                  <w:vAlign w:val="center"/>
                  <w:hideMark/>
                </w:tcPr>
                <w:p w14:paraId="79A355BD"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FF0000"/>
                      <w:kern w:val="0"/>
                      <w:szCs w:val="21"/>
                    </w:rPr>
                    <w:t xml:space="preserve">-7.5 </w:t>
                  </w:r>
                </w:p>
              </w:tc>
            </w:tr>
            <w:tr w:rsidR="00254AC8" w:rsidRPr="00254AC8" w14:paraId="50DCE7F4" w14:textId="77777777" w:rsidTr="00254AC8">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1D21F99F" w14:textId="77777777" w:rsidR="00254AC8" w:rsidRPr="00254AC8" w:rsidRDefault="00254AC8" w:rsidP="00254AC8">
                  <w:pPr>
                    <w:widowControl/>
                    <w:jc w:val="center"/>
                    <w:rPr>
                      <w:rFonts w:ascii="楷体" w:eastAsia="楷体" w:hAnsi="楷体" w:cs="宋体"/>
                      <w:color w:val="000000"/>
                      <w:kern w:val="0"/>
                      <w:sz w:val="20"/>
                      <w:szCs w:val="20"/>
                    </w:rPr>
                  </w:pPr>
                  <w:r w:rsidRPr="00254AC8">
                    <w:rPr>
                      <w:rFonts w:ascii="楷体" w:eastAsia="楷体" w:hAnsi="楷体" w:cs="宋体" w:hint="eastAsia"/>
                      <w:color w:val="000000"/>
                      <w:kern w:val="0"/>
                      <w:sz w:val="20"/>
                      <w:szCs w:val="20"/>
                    </w:rPr>
                    <w:t>MTN3Y</w:t>
                  </w:r>
                </w:p>
              </w:tc>
              <w:tc>
                <w:tcPr>
                  <w:tcW w:w="920" w:type="dxa"/>
                  <w:tcBorders>
                    <w:top w:val="nil"/>
                    <w:left w:val="nil"/>
                    <w:bottom w:val="single" w:sz="8" w:space="0" w:color="FFFFFF"/>
                    <w:right w:val="single" w:sz="8" w:space="0" w:color="FFFFFF"/>
                  </w:tcBorders>
                  <w:shd w:val="clear" w:color="000000" w:fill="FDE9D9"/>
                  <w:noWrap/>
                  <w:vAlign w:val="center"/>
                  <w:hideMark/>
                </w:tcPr>
                <w:p w14:paraId="3B720874"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FF0000"/>
                      <w:kern w:val="0"/>
                      <w:szCs w:val="21"/>
                    </w:rPr>
                    <w:t xml:space="preserve">-3.4 </w:t>
                  </w:r>
                </w:p>
              </w:tc>
              <w:tc>
                <w:tcPr>
                  <w:tcW w:w="921" w:type="dxa"/>
                  <w:tcBorders>
                    <w:top w:val="nil"/>
                    <w:left w:val="nil"/>
                    <w:bottom w:val="single" w:sz="8" w:space="0" w:color="FFFFFF"/>
                    <w:right w:val="single" w:sz="8" w:space="0" w:color="FFFFFF"/>
                  </w:tcBorders>
                  <w:shd w:val="clear" w:color="000000" w:fill="FDE9D9"/>
                  <w:noWrap/>
                  <w:vAlign w:val="center"/>
                  <w:hideMark/>
                </w:tcPr>
                <w:p w14:paraId="20BB0CC1"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FF0000"/>
                      <w:kern w:val="0"/>
                      <w:szCs w:val="21"/>
                    </w:rPr>
                    <w:t xml:space="preserve">-8.4 </w:t>
                  </w:r>
                </w:p>
              </w:tc>
              <w:tc>
                <w:tcPr>
                  <w:tcW w:w="921" w:type="dxa"/>
                  <w:tcBorders>
                    <w:top w:val="nil"/>
                    <w:left w:val="nil"/>
                    <w:bottom w:val="single" w:sz="8" w:space="0" w:color="FFFFFF"/>
                    <w:right w:val="single" w:sz="8" w:space="0" w:color="FFFFFF"/>
                  </w:tcBorders>
                  <w:shd w:val="clear" w:color="000000" w:fill="FDE9D9"/>
                  <w:noWrap/>
                  <w:vAlign w:val="center"/>
                  <w:hideMark/>
                </w:tcPr>
                <w:p w14:paraId="42E50DF2"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FF0000"/>
                      <w:kern w:val="0"/>
                      <w:szCs w:val="21"/>
                    </w:rPr>
                    <w:t xml:space="preserve">-2.4 </w:t>
                  </w:r>
                </w:p>
              </w:tc>
              <w:tc>
                <w:tcPr>
                  <w:tcW w:w="921" w:type="dxa"/>
                  <w:tcBorders>
                    <w:top w:val="nil"/>
                    <w:left w:val="nil"/>
                    <w:bottom w:val="single" w:sz="8" w:space="0" w:color="FFFFFF"/>
                    <w:right w:val="single" w:sz="8" w:space="0" w:color="FFFFFF"/>
                  </w:tcBorders>
                  <w:shd w:val="clear" w:color="000000" w:fill="FDE9D9"/>
                  <w:noWrap/>
                  <w:vAlign w:val="center"/>
                  <w:hideMark/>
                </w:tcPr>
                <w:p w14:paraId="6854E1D7"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FF0000"/>
                      <w:kern w:val="0"/>
                      <w:szCs w:val="21"/>
                    </w:rPr>
                    <w:t xml:space="preserve">-2.4 </w:t>
                  </w:r>
                </w:p>
              </w:tc>
              <w:tc>
                <w:tcPr>
                  <w:tcW w:w="1157" w:type="dxa"/>
                  <w:tcBorders>
                    <w:top w:val="nil"/>
                    <w:left w:val="nil"/>
                    <w:bottom w:val="single" w:sz="8" w:space="0" w:color="FFFFFF"/>
                    <w:right w:val="single" w:sz="8" w:space="0" w:color="FFFFFF"/>
                  </w:tcBorders>
                  <w:shd w:val="clear" w:color="000000" w:fill="FDE9D9"/>
                  <w:noWrap/>
                  <w:vAlign w:val="center"/>
                  <w:hideMark/>
                </w:tcPr>
                <w:p w14:paraId="1B68E8A6" w14:textId="77777777" w:rsidR="00254AC8" w:rsidRPr="00254AC8" w:rsidRDefault="00254AC8" w:rsidP="00254AC8">
                  <w:pPr>
                    <w:widowControl/>
                    <w:jc w:val="center"/>
                    <w:rPr>
                      <w:rFonts w:ascii="楷体" w:eastAsia="楷体" w:hAnsi="楷体" w:cs="宋体"/>
                      <w:color w:val="000000"/>
                      <w:kern w:val="0"/>
                      <w:sz w:val="20"/>
                      <w:szCs w:val="20"/>
                    </w:rPr>
                  </w:pPr>
                  <w:r w:rsidRPr="00254AC8">
                    <w:rPr>
                      <w:rFonts w:ascii="楷体" w:eastAsia="楷体" w:hAnsi="楷体" w:cs="宋体" w:hint="eastAsia"/>
                      <w:color w:val="000000"/>
                      <w:kern w:val="0"/>
                      <w:sz w:val="20"/>
                      <w:szCs w:val="20"/>
                    </w:rPr>
                    <w:t>MTN3Y</w:t>
                  </w:r>
                </w:p>
              </w:tc>
              <w:tc>
                <w:tcPr>
                  <w:tcW w:w="921" w:type="dxa"/>
                  <w:tcBorders>
                    <w:top w:val="nil"/>
                    <w:left w:val="nil"/>
                    <w:bottom w:val="single" w:sz="8" w:space="0" w:color="FFFFFF"/>
                    <w:right w:val="single" w:sz="8" w:space="0" w:color="FFFFFF"/>
                  </w:tcBorders>
                  <w:shd w:val="clear" w:color="000000" w:fill="FDE9D9"/>
                  <w:noWrap/>
                  <w:vAlign w:val="center"/>
                  <w:hideMark/>
                </w:tcPr>
                <w:p w14:paraId="22B1DF3B"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FF0000"/>
                      <w:kern w:val="0"/>
                      <w:szCs w:val="21"/>
                    </w:rPr>
                    <w:t xml:space="preserve">-0.8 </w:t>
                  </w:r>
                </w:p>
              </w:tc>
              <w:tc>
                <w:tcPr>
                  <w:tcW w:w="921" w:type="dxa"/>
                  <w:tcBorders>
                    <w:top w:val="nil"/>
                    <w:left w:val="nil"/>
                    <w:bottom w:val="single" w:sz="8" w:space="0" w:color="FFFFFF"/>
                    <w:right w:val="single" w:sz="8" w:space="0" w:color="FFFFFF"/>
                  </w:tcBorders>
                  <w:shd w:val="clear" w:color="000000" w:fill="FDE9D9"/>
                  <w:noWrap/>
                  <w:vAlign w:val="center"/>
                  <w:hideMark/>
                </w:tcPr>
                <w:p w14:paraId="1CCD9362"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FF0000"/>
                      <w:kern w:val="0"/>
                      <w:szCs w:val="21"/>
                    </w:rPr>
                    <w:t xml:space="preserve">-5.8 </w:t>
                  </w:r>
                </w:p>
              </w:tc>
              <w:tc>
                <w:tcPr>
                  <w:tcW w:w="921" w:type="dxa"/>
                  <w:tcBorders>
                    <w:top w:val="nil"/>
                    <w:left w:val="nil"/>
                    <w:bottom w:val="single" w:sz="8" w:space="0" w:color="FFFFFF"/>
                    <w:right w:val="single" w:sz="8" w:space="0" w:color="FFFFFF"/>
                  </w:tcBorders>
                  <w:shd w:val="clear" w:color="000000" w:fill="FDE9D9"/>
                  <w:noWrap/>
                  <w:vAlign w:val="center"/>
                  <w:hideMark/>
                </w:tcPr>
                <w:p w14:paraId="159BCBE1"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0.2 </w:t>
                  </w:r>
                </w:p>
              </w:tc>
              <w:tc>
                <w:tcPr>
                  <w:tcW w:w="921" w:type="dxa"/>
                  <w:tcBorders>
                    <w:top w:val="nil"/>
                    <w:left w:val="nil"/>
                    <w:bottom w:val="single" w:sz="8" w:space="0" w:color="FFFFFF"/>
                    <w:right w:val="single" w:sz="8" w:space="0" w:color="FFFFFF"/>
                  </w:tcBorders>
                  <w:shd w:val="clear" w:color="000000" w:fill="FDE9D9"/>
                  <w:noWrap/>
                  <w:vAlign w:val="center"/>
                  <w:hideMark/>
                </w:tcPr>
                <w:p w14:paraId="14E92FD6"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0.2 </w:t>
                  </w:r>
                </w:p>
              </w:tc>
            </w:tr>
            <w:tr w:rsidR="00254AC8" w:rsidRPr="00254AC8" w14:paraId="1901006E" w14:textId="77777777" w:rsidTr="00254AC8">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45BB52DB" w14:textId="77777777" w:rsidR="00254AC8" w:rsidRPr="00254AC8" w:rsidRDefault="00254AC8" w:rsidP="00254AC8">
                  <w:pPr>
                    <w:widowControl/>
                    <w:jc w:val="center"/>
                    <w:rPr>
                      <w:rFonts w:ascii="楷体" w:eastAsia="楷体" w:hAnsi="楷体" w:cs="宋体"/>
                      <w:color w:val="000000"/>
                      <w:kern w:val="0"/>
                      <w:sz w:val="20"/>
                      <w:szCs w:val="20"/>
                    </w:rPr>
                  </w:pPr>
                  <w:r w:rsidRPr="00254AC8">
                    <w:rPr>
                      <w:rFonts w:ascii="楷体" w:eastAsia="楷体" w:hAnsi="楷体" w:cs="宋体" w:hint="eastAsia"/>
                      <w:color w:val="000000"/>
                      <w:kern w:val="0"/>
                      <w:sz w:val="20"/>
                      <w:szCs w:val="20"/>
                    </w:rPr>
                    <w:t>MTN5Y</w:t>
                  </w:r>
                </w:p>
              </w:tc>
              <w:tc>
                <w:tcPr>
                  <w:tcW w:w="920" w:type="dxa"/>
                  <w:tcBorders>
                    <w:top w:val="nil"/>
                    <w:left w:val="nil"/>
                    <w:bottom w:val="single" w:sz="8" w:space="0" w:color="FFFFFF"/>
                    <w:right w:val="single" w:sz="8" w:space="0" w:color="FFFFFF"/>
                  </w:tcBorders>
                  <w:shd w:val="clear" w:color="000000" w:fill="FCD5B4"/>
                  <w:noWrap/>
                  <w:vAlign w:val="center"/>
                  <w:hideMark/>
                </w:tcPr>
                <w:p w14:paraId="3E6685E2"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FF0000"/>
                      <w:kern w:val="0"/>
                      <w:szCs w:val="21"/>
                    </w:rPr>
                    <w:t xml:space="preserve">-3.4 </w:t>
                  </w:r>
                </w:p>
              </w:tc>
              <w:tc>
                <w:tcPr>
                  <w:tcW w:w="921" w:type="dxa"/>
                  <w:tcBorders>
                    <w:top w:val="nil"/>
                    <w:left w:val="nil"/>
                    <w:bottom w:val="single" w:sz="8" w:space="0" w:color="FFFFFF"/>
                    <w:right w:val="single" w:sz="8" w:space="0" w:color="FFFFFF"/>
                  </w:tcBorders>
                  <w:shd w:val="clear" w:color="000000" w:fill="FCD5B4"/>
                  <w:noWrap/>
                  <w:vAlign w:val="center"/>
                  <w:hideMark/>
                </w:tcPr>
                <w:p w14:paraId="7E2AFF45"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FF0000"/>
                      <w:kern w:val="0"/>
                      <w:szCs w:val="21"/>
                    </w:rPr>
                    <w:t xml:space="preserve">-2.4 </w:t>
                  </w:r>
                </w:p>
              </w:tc>
              <w:tc>
                <w:tcPr>
                  <w:tcW w:w="921" w:type="dxa"/>
                  <w:tcBorders>
                    <w:top w:val="nil"/>
                    <w:left w:val="nil"/>
                    <w:bottom w:val="single" w:sz="8" w:space="0" w:color="FFFFFF"/>
                    <w:right w:val="single" w:sz="8" w:space="0" w:color="FFFFFF"/>
                  </w:tcBorders>
                  <w:shd w:val="clear" w:color="000000" w:fill="FCD5B4"/>
                  <w:noWrap/>
                  <w:vAlign w:val="center"/>
                  <w:hideMark/>
                </w:tcPr>
                <w:p w14:paraId="529007E8"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FF0000"/>
                      <w:kern w:val="0"/>
                      <w:szCs w:val="21"/>
                    </w:rPr>
                    <w:t xml:space="preserve">-2.4 </w:t>
                  </w:r>
                </w:p>
              </w:tc>
              <w:tc>
                <w:tcPr>
                  <w:tcW w:w="921" w:type="dxa"/>
                  <w:tcBorders>
                    <w:top w:val="nil"/>
                    <w:left w:val="nil"/>
                    <w:bottom w:val="single" w:sz="8" w:space="0" w:color="FFFFFF"/>
                    <w:right w:val="single" w:sz="8" w:space="0" w:color="FFFFFF"/>
                  </w:tcBorders>
                  <w:shd w:val="clear" w:color="000000" w:fill="FCD5B4"/>
                  <w:noWrap/>
                  <w:vAlign w:val="center"/>
                  <w:hideMark/>
                </w:tcPr>
                <w:p w14:paraId="7A8C2346"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FF0000"/>
                      <w:kern w:val="0"/>
                      <w:szCs w:val="21"/>
                    </w:rPr>
                    <w:t xml:space="preserve">-2.4 </w:t>
                  </w:r>
                </w:p>
              </w:tc>
              <w:tc>
                <w:tcPr>
                  <w:tcW w:w="1157" w:type="dxa"/>
                  <w:tcBorders>
                    <w:top w:val="nil"/>
                    <w:left w:val="nil"/>
                    <w:bottom w:val="single" w:sz="8" w:space="0" w:color="FFFFFF"/>
                    <w:right w:val="single" w:sz="8" w:space="0" w:color="FFFFFF"/>
                  </w:tcBorders>
                  <w:shd w:val="clear" w:color="000000" w:fill="FCD5B4"/>
                  <w:noWrap/>
                  <w:vAlign w:val="center"/>
                  <w:hideMark/>
                </w:tcPr>
                <w:p w14:paraId="6D322605" w14:textId="77777777" w:rsidR="00254AC8" w:rsidRPr="00254AC8" w:rsidRDefault="00254AC8" w:rsidP="00254AC8">
                  <w:pPr>
                    <w:widowControl/>
                    <w:jc w:val="center"/>
                    <w:rPr>
                      <w:rFonts w:ascii="楷体" w:eastAsia="楷体" w:hAnsi="楷体" w:cs="宋体"/>
                      <w:color w:val="000000"/>
                      <w:kern w:val="0"/>
                      <w:sz w:val="20"/>
                      <w:szCs w:val="20"/>
                    </w:rPr>
                  </w:pPr>
                  <w:r w:rsidRPr="00254AC8">
                    <w:rPr>
                      <w:rFonts w:ascii="楷体" w:eastAsia="楷体" w:hAnsi="楷体" w:cs="宋体" w:hint="eastAsia"/>
                      <w:color w:val="000000"/>
                      <w:kern w:val="0"/>
                      <w:sz w:val="20"/>
                      <w:szCs w:val="20"/>
                    </w:rPr>
                    <w:t>MTN5Y</w:t>
                  </w:r>
                </w:p>
              </w:tc>
              <w:tc>
                <w:tcPr>
                  <w:tcW w:w="921" w:type="dxa"/>
                  <w:tcBorders>
                    <w:top w:val="nil"/>
                    <w:left w:val="nil"/>
                    <w:bottom w:val="single" w:sz="8" w:space="0" w:color="FFFFFF"/>
                    <w:right w:val="single" w:sz="8" w:space="0" w:color="FFFFFF"/>
                  </w:tcBorders>
                  <w:shd w:val="clear" w:color="000000" w:fill="FCD5B4"/>
                  <w:noWrap/>
                  <w:vAlign w:val="center"/>
                  <w:hideMark/>
                </w:tcPr>
                <w:p w14:paraId="37E975BE"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1.1 </w:t>
                  </w:r>
                </w:p>
              </w:tc>
              <w:tc>
                <w:tcPr>
                  <w:tcW w:w="921" w:type="dxa"/>
                  <w:tcBorders>
                    <w:top w:val="nil"/>
                    <w:left w:val="nil"/>
                    <w:bottom w:val="single" w:sz="8" w:space="0" w:color="FFFFFF"/>
                    <w:right w:val="single" w:sz="8" w:space="0" w:color="FFFFFF"/>
                  </w:tcBorders>
                  <w:shd w:val="clear" w:color="000000" w:fill="FCD5B4"/>
                  <w:noWrap/>
                  <w:vAlign w:val="center"/>
                  <w:hideMark/>
                </w:tcPr>
                <w:p w14:paraId="1256D178"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2.1 </w:t>
                  </w:r>
                </w:p>
              </w:tc>
              <w:tc>
                <w:tcPr>
                  <w:tcW w:w="921" w:type="dxa"/>
                  <w:tcBorders>
                    <w:top w:val="nil"/>
                    <w:left w:val="nil"/>
                    <w:bottom w:val="single" w:sz="8" w:space="0" w:color="FFFFFF"/>
                    <w:right w:val="single" w:sz="8" w:space="0" w:color="FFFFFF"/>
                  </w:tcBorders>
                  <w:shd w:val="clear" w:color="000000" w:fill="FCD5B4"/>
                  <w:noWrap/>
                  <w:vAlign w:val="center"/>
                  <w:hideMark/>
                </w:tcPr>
                <w:p w14:paraId="27AE9B19"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2.1 </w:t>
                  </w:r>
                </w:p>
              </w:tc>
              <w:tc>
                <w:tcPr>
                  <w:tcW w:w="921" w:type="dxa"/>
                  <w:tcBorders>
                    <w:top w:val="nil"/>
                    <w:left w:val="nil"/>
                    <w:bottom w:val="single" w:sz="8" w:space="0" w:color="FFFFFF"/>
                    <w:right w:val="single" w:sz="8" w:space="0" w:color="FFFFFF"/>
                  </w:tcBorders>
                  <w:shd w:val="clear" w:color="000000" w:fill="FCD5B4"/>
                  <w:noWrap/>
                  <w:vAlign w:val="center"/>
                  <w:hideMark/>
                </w:tcPr>
                <w:p w14:paraId="7080D1E4"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2.1 </w:t>
                  </w:r>
                </w:p>
              </w:tc>
            </w:tr>
            <w:tr w:rsidR="00254AC8" w:rsidRPr="00254AC8" w14:paraId="40DC7570" w14:textId="77777777" w:rsidTr="00254AC8">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567A4551" w14:textId="77777777" w:rsidR="00254AC8" w:rsidRPr="00254AC8" w:rsidRDefault="00254AC8" w:rsidP="00254AC8">
                  <w:pPr>
                    <w:widowControl/>
                    <w:jc w:val="center"/>
                    <w:rPr>
                      <w:rFonts w:ascii="楷体" w:eastAsia="楷体" w:hAnsi="楷体" w:cs="宋体"/>
                      <w:color w:val="000000"/>
                      <w:kern w:val="0"/>
                      <w:sz w:val="20"/>
                      <w:szCs w:val="20"/>
                    </w:rPr>
                  </w:pPr>
                  <w:r w:rsidRPr="00254AC8">
                    <w:rPr>
                      <w:rFonts w:ascii="楷体" w:eastAsia="楷体" w:hAnsi="楷体" w:cs="宋体" w:hint="eastAsia"/>
                      <w:color w:val="000000"/>
                      <w:kern w:val="0"/>
                      <w:sz w:val="20"/>
                      <w:szCs w:val="20"/>
                    </w:rPr>
                    <w:t>企业债3Y</w:t>
                  </w:r>
                </w:p>
              </w:tc>
              <w:tc>
                <w:tcPr>
                  <w:tcW w:w="920" w:type="dxa"/>
                  <w:tcBorders>
                    <w:top w:val="nil"/>
                    <w:left w:val="nil"/>
                    <w:bottom w:val="single" w:sz="8" w:space="0" w:color="FFFFFF"/>
                    <w:right w:val="single" w:sz="8" w:space="0" w:color="FFFFFF"/>
                  </w:tcBorders>
                  <w:shd w:val="clear" w:color="000000" w:fill="FDE9D9"/>
                  <w:noWrap/>
                  <w:vAlign w:val="center"/>
                  <w:hideMark/>
                </w:tcPr>
                <w:p w14:paraId="2BC20799"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FF0000"/>
                      <w:kern w:val="0"/>
                      <w:szCs w:val="21"/>
                    </w:rPr>
                    <w:t xml:space="preserve">-6.6 </w:t>
                  </w:r>
                </w:p>
              </w:tc>
              <w:tc>
                <w:tcPr>
                  <w:tcW w:w="921" w:type="dxa"/>
                  <w:tcBorders>
                    <w:top w:val="nil"/>
                    <w:left w:val="nil"/>
                    <w:bottom w:val="single" w:sz="8" w:space="0" w:color="FFFFFF"/>
                    <w:right w:val="single" w:sz="8" w:space="0" w:color="FFFFFF"/>
                  </w:tcBorders>
                  <w:shd w:val="clear" w:color="000000" w:fill="FDE9D9"/>
                  <w:noWrap/>
                  <w:vAlign w:val="center"/>
                  <w:hideMark/>
                </w:tcPr>
                <w:p w14:paraId="4DAA43E2"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FF0000"/>
                      <w:kern w:val="0"/>
                      <w:szCs w:val="21"/>
                    </w:rPr>
                    <w:t xml:space="preserve">-1.6 </w:t>
                  </w:r>
                </w:p>
              </w:tc>
              <w:tc>
                <w:tcPr>
                  <w:tcW w:w="921" w:type="dxa"/>
                  <w:tcBorders>
                    <w:top w:val="nil"/>
                    <w:left w:val="nil"/>
                    <w:bottom w:val="single" w:sz="8" w:space="0" w:color="FFFFFF"/>
                    <w:right w:val="single" w:sz="8" w:space="0" w:color="FFFFFF"/>
                  </w:tcBorders>
                  <w:shd w:val="clear" w:color="000000" w:fill="FDE9D9"/>
                  <w:noWrap/>
                  <w:vAlign w:val="center"/>
                  <w:hideMark/>
                </w:tcPr>
                <w:p w14:paraId="17FB2400"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FF0000"/>
                      <w:kern w:val="0"/>
                      <w:szCs w:val="21"/>
                    </w:rPr>
                    <w:t xml:space="preserve">-4.6 </w:t>
                  </w:r>
                </w:p>
              </w:tc>
              <w:tc>
                <w:tcPr>
                  <w:tcW w:w="921" w:type="dxa"/>
                  <w:tcBorders>
                    <w:top w:val="nil"/>
                    <w:left w:val="nil"/>
                    <w:bottom w:val="single" w:sz="8" w:space="0" w:color="FFFFFF"/>
                    <w:right w:val="single" w:sz="8" w:space="0" w:color="FFFFFF"/>
                  </w:tcBorders>
                  <w:shd w:val="clear" w:color="000000" w:fill="FDE9D9"/>
                  <w:noWrap/>
                  <w:vAlign w:val="center"/>
                  <w:hideMark/>
                </w:tcPr>
                <w:p w14:paraId="18A0C0E3"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FF0000"/>
                      <w:kern w:val="0"/>
                      <w:szCs w:val="21"/>
                    </w:rPr>
                    <w:t xml:space="preserve">-4.6 </w:t>
                  </w:r>
                </w:p>
              </w:tc>
              <w:tc>
                <w:tcPr>
                  <w:tcW w:w="1157" w:type="dxa"/>
                  <w:tcBorders>
                    <w:top w:val="nil"/>
                    <w:left w:val="nil"/>
                    <w:bottom w:val="single" w:sz="8" w:space="0" w:color="FFFFFF"/>
                    <w:right w:val="single" w:sz="8" w:space="0" w:color="FFFFFF"/>
                  </w:tcBorders>
                  <w:shd w:val="clear" w:color="000000" w:fill="FDE9D9"/>
                  <w:noWrap/>
                  <w:vAlign w:val="center"/>
                  <w:hideMark/>
                </w:tcPr>
                <w:p w14:paraId="6A14705F" w14:textId="77777777" w:rsidR="00254AC8" w:rsidRPr="00254AC8" w:rsidRDefault="00254AC8" w:rsidP="00254AC8">
                  <w:pPr>
                    <w:widowControl/>
                    <w:jc w:val="center"/>
                    <w:rPr>
                      <w:rFonts w:ascii="楷体" w:eastAsia="楷体" w:hAnsi="楷体" w:cs="宋体"/>
                      <w:color w:val="000000"/>
                      <w:kern w:val="0"/>
                      <w:sz w:val="20"/>
                      <w:szCs w:val="20"/>
                    </w:rPr>
                  </w:pPr>
                  <w:r w:rsidRPr="00254AC8">
                    <w:rPr>
                      <w:rFonts w:ascii="楷体" w:eastAsia="楷体" w:hAnsi="楷体" w:cs="宋体" w:hint="eastAsia"/>
                      <w:color w:val="000000"/>
                      <w:kern w:val="0"/>
                      <w:sz w:val="20"/>
                      <w:szCs w:val="20"/>
                    </w:rPr>
                    <w:t>企业债3Y</w:t>
                  </w:r>
                </w:p>
              </w:tc>
              <w:tc>
                <w:tcPr>
                  <w:tcW w:w="921" w:type="dxa"/>
                  <w:tcBorders>
                    <w:top w:val="nil"/>
                    <w:left w:val="nil"/>
                    <w:bottom w:val="single" w:sz="8" w:space="0" w:color="FFFFFF"/>
                    <w:right w:val="single" w:sz="8" w:space="0" w:color="FFFFFF"/>
                  </w:tcBorders>
                  <w:shd w:val="clear" w:color="000000" w:fill="FDE9D9"/>
                  <w:noWrap/>
                  <w:vAlign w:val="center"/>
                  <w:hideMark/>
                </w:tcPr>
                <w:p w14:paraId="2D27D749"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FF0000"/>
                      <w:kern w:val="0"/>
                      <w:szCs w:val="21"/>
                    </w:rPr>
                    <w:t xml:space="preserve">-4.0 </w:t>
                  </w:r>
                </w:p>
              </w:tc>
              <w:tc>
                <w:tcPr>
                  <w:tcW w:w="921" w:type="dxa"/>
                  <w:tcBorders>
                    <w:top w:val="nil"/>
                    <w:left w:val="nil"/>
                    <w:bottom w:val="single" w:sz="8" w:space="0" w:color="FFFFFF"/>
                    <w:right w:val="single" w:sz="8" w:space="0" w:color="FFFFFF"/>
                  </w:tcBorders>
                  <w:shd w:val="clear" w:color="000000" w:fill="FDE9D9"/>
                  <w:noWrap/>
                  <w:vAlign w:val="center"/>
                  <w:hideMark/>
                </w:tcPr>
                <w:p w14:paraId="6C7ADF23"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1.0 </w:t>
                  </w:r>
                </w:p>
              </w:tc>
              <w:tc>
                <w:tcPr>
                  <w:tcW w:w="921" w:type="dxa"/>
                  <w:tcBorders>
                    <w:top w:val="nil"/>
                    <w:left w:val="nil"/>
                    <w:bottom w:val="single" w:sz="8" w:space="0" w:color="FFFFFF"/>
                    <w:right w:val="single" w:sz="8" w:space="0" w:color="FFFFFF"/>
                  </w:tcBorders>
                  <w:shd w:val="clear" w:color="000000" w:fill="FDE9D9"/>
                  <w:noWrap/>
                  <w:vAlign w:val="center"/>
                  <w:hideMark/>
                </w:tcPr>
                <w:p w14:paraId="40CF36D4"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FF0000"/>
                      <w:kern w:val="0"/>
                      <w:szCs w:val="21"/>
                    </w:rPr>
                    <w:t xml:space="preserve">-2.0 </w:t>
                  </w:r>
                </w:p>
              </w:tc>
              <w:tc>
                <w:tcPr>
                  <w:tcW w:w="921" w:type="dxa"/>
                  <w:tcBorders>
                    <w:top w:val="nil"/>
                    <w:left w:val="nil"/>
                    <w:bottom w:val="single" w:sz="8" w:space="0" w:color="FFFFFF"/>
                    <w:right w:val="single" w:sz="8" w:space="0" w:color="FFFFFF"/>
                  </w:tcBorders>
                  <w:shd w:val="clear" w:color="000000" w:fill="FDE9D9"/>
                  <w:noWrap/>
                  <w:vAlign w:val="center"/>
                  <w:hideMark/>
                </w:tcPr>
                <w:p w14:paraId="68773942"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FF0000"/>
                      <w:kern w:val="0"/>
                      <w:szCs w:val="21"/>
                    </w:rPr>
                    <w:t xml:space="preserve">-2.0 </w:t>
                  </w:r>
                </w:p>
              </w:tc>
            </w:tr>
            <w:tr w:rsidR="00254AC8" w:rsidRPr="00254AC8" w14:paraId="424CBCAA" w14:textId="77777777" w:rsidTr="00254AC8">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64922912" w14:textId="77777777" w:rsidR="00254AC8" w:rsidRPr="00254AC8" w:rsidRDefault="00254AC8" w:rsidP="00254AC8">
                  <w:pPr>
                    <w:widowControl/>
                    <w:jc w:val="center"/>
                    <w:rPr>
                      <w:rFonts w:ascii="楷体" w:eastAsia="楷体" w:hAnsi="楷体" w:cs="宋体"/>
                      <w:color w:val="000000"/>
                      <w:kern w:val="0"/>
                      <w:sz w:val="20"/>
                      <w:szCs w:val="20"/>
                    </w:rPr>
                  </w:pPr>
                  <w:r w:rsidRPr="00254AC8">
                    <w:rPr>
                      <w:rFonts w:ascii="楷体" w:eastAsia="楷体" w:hAnsi="楷体" w:cs="宋体" w:hint="eastAsia"/>
                      <w:color w:val="000000"/>
                      <w:kern w:val="0"/>
                      <w:sz w:val="20"/>
                      <w:szCs w:val="20"/>
                    </w:rPr>
                    <w:t>企业债5Y</w:t>
                  </w:r>
                </w:p>
              </w:tc>
              <w:tc>
                <w:tcPr>
                  <w:tcW w:w="920" w:type="dxa"/>
                  <w:tcBorders>
                    <w:top w:val="nil"/>
                    <w:left w:val="nil"/>
                    <w:bottom w:val="single" w:sz="8" w:space="0" w:color="FFFFFF"/>
                    <w:right w:val="single" w:sz="8" w:space="0" w:color="FFFFFF"/>
                  </w:tcBorders>
                  <w:shd w:val="clear" w:color="000000" w:fill="FCD5B4"/>
                  <w:noWrap/>
                  <w:vAlign w:val="center"/>
                  <w:hideMark/>
                </w:tcPr>
                <w:p w14:paraId="563E7A25"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FF0000"/>
                      <w:kern w:val="0"/>
                      <w:szCs w:val="21"/>
                    </w:rPr>
                    <w:t xml:space="preserve">-0.2 </w:t>
                  </w:r>
                </w:p>
              </w:tc>
              <w:tc>
                <w:tcPr>
                  <w:tcW w:w="921" w:type="dxa"/>
                  <w:tcBorders>
                    <w:top w:val="nil"/>
                    <w:left w:val="nil"/>
                    <w:bottom w:val="single" w:sz="8" w:space="0" w:color="FFFFFF"/>
                    <w:right w:val="single" w:sz="8" w:space="0" w:color="FFFFFF"/>
                  </w:tcBorders>
                  <w:shd w:val="clear" w:color="000000" w:fill="FCD5B4"/>
                  <w:noWrap/>
                  <w:vAlign w:val="center"/>
                  <w:hideMark/>
                </w:tcPr>
                <w:p w14:paraId="35E0B8C8"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FF0000"/>
                      <w:kern w:val="0"/>
                      <w:szCs w:val="21"/>
                    </w:rPr>
                    <w:t xml:space="preserve">-0.2 </w:t>
                  </w:r>
                </w:p>
              </w:tc>
              <w:tc>
                <w:tcPr>
                  <w:tcW w:w="921" w:type="dxa"/>
                  <w:tcBorders>
                    <w:top w:val="nil"/>
                    <w:left w:val="nil"/>
                    <w:bottom w:val="single" w:sz="8" w:space="0" w:color="FFFFFF"/>
                    <w:right w:val="single" w:sz="8" w:space="0" w:color="FFFFFF"/>
                  </w:tcBorders>
                  <w:shd w:val="clear" w:color="000000" w:fill="FCD5B4"/>
                  <w:noWrap/>
                  <w:vAlign w:val="center"/>
                  <w:hideMark/>
                </w:tcPr>
                <w:p w14:paraId="091D943F"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FF0000"/>
                      <w:kern w:val="0"/>
                      <w:szCs w:val="21"/>
                    </w:rPr>
                    <w:t xml:space="preserve">-0.2 </w:t>
                  </w:r>
                </w:p>
              </w:tc>
              <w:tc>
                <w:tcPr>
                  <w:tcW w:w="921" w:type="dxa"/>
                  <w:tcBorders>
                    <w:top w:val="nil"/>
                    <w:left w:val="nil"/>
                    <w:bottom w:val="single" w:sz="8" w:space="0" w:color="FFFFFF"/>
                    <w:right w:val="single" w:sz="8" w:space="0" w:color="FFFFFF"/>
                  </w:tcBorders>
                  <w:shd w:val="clear" w:color="000000" w:fill="FCD5B4"/>
                  <w:noWrap/>
                  <w:vAlign w:val="center"/>
                  <w:hideMark/>
                </w:tcPr>
                <w:p w14:paraId="4ECCE238"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FF0000"/>
                      <w:kern w:val="0"/>
                      <w:szCs w:val="21"/>
                    </w:rPr>
                    <w:t xml:space="preserve">-0.2 </w:t>
                  </w:r>
                </w:p>
              </w:tc>
              <w:tc>
                <w:tcPr>
                  <w:tcW w:w="1157" w:type="dxa"/>
                  <w:tcBorders>
                    <w:top w:val="nil"/>
                    <w:left w:val="nil"/>
                    <w:bottom w:val="single" w:sz="8" w:space="0" w:color="FFFFFF"/>
                    <w:right w:val="single" w:sz="8" w:space="0" w:color="FFFFFF"/>
                  </w:tcBorders>
                  <w:shd w:val="clear" w:color="000000" w:fill="FCD5B4"/>
                  <w:noWrap/>
                  <w:vAlign w:val="center"/>
                  <w:hideMark/>
                </w:tcPr>
                <w:p w14:paraId="250F5410" w14:textId="77777777" w:rsidR="00254AC8" w:rsidRPr="00254AC8" w:rsidRDefault="00254AC8" w:rsidP="00254AC8">
                  <w:pPr>
                    <w:widowControl/>
                    <w:jc w:val="center"/>
                    <w:rPr>
                      <w:rFonts w:ascii="楷体" w:eastAsia="楷体" w:hAnsi="楷体" w:cs="宋体"/>
                      <w:color w:val="000000"/>
                      <w:kern w:val="0"/>
                      <w:sz w:val="20"/>
                      <w:szCs w:val="20"/>
                    </w:rPr>
                  </w:pPr>
                  <w:r w:rsidRPr="00254AC8">
                    <w:rPr>
                      <w:rFonts w:ascii="楷体" w:eastAsia="楷体" w:hAnsi="楷体" w:cs="宋体" w:hint="eastAsia"/>
                      <w:color w:val="000000"/>
                      <w:kern w:val="0"/>
                      <w:sz w:val="20"/>
                      <w:szCs w:val="20"/>
                    </w:rPr>
                    <w:t>企业债5Y</w:t>
                  </w:r>
                </w:p>
              </w:tc>
              <w:tc>
                <w:tcPr>
                  <w:tcW w:w="921" w:type="dxa"/>
                  <w:tcBorders>
                    <w:top w:val="nil"/>
                    <w:left w:val="nil"/>
                    <w:bottom w:val="single" w:sz="8" w:space="0" w:color="FFFFFF"/>
                    <w:right w:val="single" w:sz="8" w:space="0" w:color="FFFFFF"/>
                  </w:tcBorders>
                  <w:shd w:val="clear" w:color="000000" w:fill="FCD5B4"/>
                  <w:noWrap/>
                  <w:vAlign w:val="center"/>
                  <w:hideMark/>
                </w:tcPr>
                <w:p w14:paraId="5818BBDC"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4.3 </w:t>
                  </w:r>
                </w:p>
              </w:tc>
              <w:tc>
                <w:tcPr>
                  <w:tcW w:w="921" w:type="dxa"/>
                  <w:tcBorders>
                    <w:top w:val="nil"/>
                    <w:left w:val="nil"/>
                    <w:bottom w:val="single" w:sz="8" w:space="0" w:color="FFFFFF"/>
                    <w:right w:val="single" w:sz="8" w:space="0" w:color="FFFFFF"/>
                  </w:tcBorders>
                  <w:shd w:val="clear" w:color="000000" w:fill="FCD5B4"/>
                  <w:noWrap/>
                  <w:vAlign w:val="center"/>
                  <w:hideMark/>
                </w:tcPr>
                <w:p w14:paraId="47EBBCCA"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4.3 </w:t>
                  </w:r>
                </w:p>
              </w:tc>
              <w:tc>
                <w:tcPr>
                  <w:tcW w:w="921" w:type="dxa"/>
                  <w:tcBorders>
                    <w:top w:val="nil"/>
                    <w:left w:val="nil"/>
                    <w:bottom w:val="single" w:sz="8" w:space="0" w:color="FFFFFF"/>
                    <w:right w:val="single" w:sz="8" w:space="0" w:color="FFFFFF"/>
                  </w:tcBorders>
                  <w:shd w:val="clear" w:color="000000" w:fill="FCD5B4"/>
                  <w:noWrap/>
                  <w:vAlign w:val="center"/>
                  <w:hideMark/>
                </w:tcPr>
                <w:p w14:paraId="39B6715E"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4.3 </w:t>
                  </w:r>
                </w:p>
              </w:tc>
              <w:tc>
                <w:tcPr>
                  <w:tcW w:w="921" w:type="dxa"/>
                  <w:tcBorders>
                    <w:top w:val="nil"/>
                    <w:left w:val="nil"/>
                    <w:bottom w:val="single" w:sz="8" w:space="0" w:color="FFFFFF"/>
                    <w:right w:val="single" w:sz="8" w:space="0" w:color="FFFFFF"/>
                  </w:tcBorders>
                  <w:shd w:val="clear" w:color="000000" w:fill="FCD5B4"/>
                  <w:noWrap/>
                  <w:vAlign w:val="center"/>
                  <w:hideMark/>
                </w:tcPr>
                <w:p w14:paraId="2727F0C7"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4.3 </w:t>
                  </w:r>
                </w:p>
              </w:tc>
            </w:tr>
            <w:tr w:rsidR="00254AC8" w:rsidRPr="00254AC8" w14:paraId="3B4CA116" w14:textId="77777777" w:rsidTr="00254AC8">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14EE8C58" w14:textId="77777777" w:rsidR="00254AC8" w:rsidRPr="00254AC8" w:rsidRDefault="00254AC8" w:rsidP="00254AC8">
                  <w:pPr>
                    <w:widowControl/>
                    <w:jc w:val="center"/>
                    <w:rPr>
                      <w:rFonts w:ascii="楷体" w:eastAsia="楷体" w:hAnsi="楷体" w:cs="宋体"/>
                      <w:color w:val="000000"/>
                      <w:kern w:val="0"/>
                      <w:sz w:val="20"/>
                      <w:szCs w:val="20"/>
                    </w:rPr>
                  </w:pPr>
                  <w:r w:rsidRPr="00254AC8">
                    <w:rPr>
                      <w:rFonts w:ascii="楷体" w:eastAsia="楷体" w:hAnsi="楷体" w:cs="宋体" w:hint="eastAsia"/>
                      <w:color w:val="000000"/>
                      <w:kern w:val="0"/>
                      <w:sz w:val="20"/>
                      <w:szCs w:val="20"/>
                    </w:rPr>
                    <w:t>企业债7Y</w:t>
                  </w:r>
                </w:p>
              </w:tc>
              <w:tc>
                <w:tcPr>
                  <w:tcW w:w="920" w:type="dxa"/>
                  <w:tcBorders>
                    <w:top w:val="nil"/>
                    <w:left w:val="nil"/>
                    <w:bottom w:val="single" w:sz="8" w:space="0" w:color="FFFFFF"/>
                    <w:right w:val="single" w:sz="8" w:space="0" w:color="FFFFFF"/>
                  </w:tcBorders>
                  <w:shd w:val="clear" w:color="000000" w:fill="FDE9D9"/>
                  <w:noWrap/>
                  <w:vAlign w:val="center"/>
                  <w:hideMark/>
                </w:tcPr>
                <w:p w14:paraId="1E8AC37E"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FF0000"/>
                      <w:kern w:val="0"/>
                      <w:szCs w:val="21"/>
                    </w:rPr>
                    <w:t xml:space="preserve">-5.0 </w:t>
                  </w:r>
                </w:p>
              </w:tc>
              <w:tc>
                <w:tcPr>
                  <w:tcW w:w="921" w:type="dxa"/>
                  <w:tcBorders>
                    <w:top w:val="nil"/>
                    <w:left w:val="nil"/>
                    <w:bottom w:val="single" w:sz="8" w:space="0" w:color="FFFFFF"/>
                    <w:right w:val="single" w:sz="8" w:space="0" w:color="FFFFFF"/>
                  </w:tcBorders>
                  <w:shd w:val="clear" w:color="000000" w:fill="FDE9D9"/>
                  <w:noWrap/>
                  <w:vAlign w:val="center"/>
                  <w:hideMark/>
                </w:tcPr>
                <w:p w14:paraId="4C7A831A"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FF0000"/>
                      <w:kern w:val="0"/>
                      <w:szCs w:val="21"/>
                    </w:rPr>
                    <w:t xml:space="preserve">-2.0 </w:t>
                  </w:r>
                </w:p>
              </w:tc>
              <w:tc>
                <w:tcPr>
                  <w:tcW w:w="921" w:type="dxa"/>
                  <w:tcBorders>
                    <w:top w:val="nil"/>
                    <w:left w:val="nil"/>
                    <w:bottom w:val="single" w:sz="8" w:space="0" w:color="FFFFFF"/>
                    <w:right w:val="single" w:sz="8" w:space="0" w:color="FFFFFF"/>
                  </w:tcBorders>
                  <w:shd w:val="clear" w:color="000000" w:fill="FDE9D9"/>
                  <w:noWrap/>
                  <w:vAlign w:val="center"/>
                  <w:hideMark/>
                </w:tcPr>
                <w:p w14:paraId="13045D7B"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FF0000"/>
                      <w:kern w:val="0"/>
                      <w:szCs w:val="21"/>
                    </w:rPr>
                    <w:t xml:space="preserve">-3.0 </w:t>
                  </w:r>
                </w:p>
              </w:tc>
              <w:tc>
                <w:tcPr>
                  <w:tcW w:w="921" w:type="dxa"/>
                  <w:tcBorders>
                    <w:top w:val="nil"/>
                    <w:left w:val="nil"/>
                    <w:bottom w:val="single" w:sz="8" w:space="0" w:color="FFFFFF"/>
                    <w:right w:val="single" w:sz="8" w:space="0" w:color="FFFFFF"/>
                  </w:tcBorders>
                  <w:shd w:val="clear" w:color="000000" w:fill="FDE9D9"/>
                  <w:noWrap/>
                  <w:vAlign w:val="center"/>
                  <w:hideMark/>
                </w:tcPr>
                <w:p w14:paraId="2982F3C7"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FF0000"/>
                      <w:kern w:val="0"/>
                      <w:szCs w:val="21"/>
                    </w:rPr>
                    <w:t xml:space="preserve">-3.0 </w:t>
                  </w:r>
                </w:p>
              </w:tc>
              <w:tc>
                <w:tcPr>
                  <w:tcW w:w="1157" w:type="dxa"/>
                  <w:tcBorders>
                    <w:top w:val="nil"/>
                    <w:left w:val="nil"/>
                    <w:bottom w:val="single" w:sz="8" w:space="0" w:color="FFFFFF"/>
                    <w:right w:val="single" w:sz="8" w:space="0" w:color="FFFFFF"/>
                  </w:tcBorders>
                  <w:shd w:val="clear" w:color="000000" w:fill="FDE9D9"/>
                  <w:noWrap/>
                  <w:vAlign w:val="center"/>
                  <w:hideMark/>
                </w:tcPr>
                <w:p w14:paraId="1FCEE6B2" w14:textId="77777777" w:rsidR="00254AC8" w:rsidRPr="00254AC8" w:rsidRDefault="00254AC8" w:rsidP="00254AC8">
                  <w:pPr>
                    <w:widowControl/>
                    <w:jc w:val="center"/>
                    <w:rPr>
                      <w:rFonts w:ascii="楷体" w:eastAsia="楷体" w:hAnsi="楷体" w:cs="宋体"/>
                      <w:color w:val="000000"/>
                      <w:kern w:val="0"/>
                      <w:sz w:val="20"/>
                      <w:szCs w:val="20"/>
                    </w:rPr>
                  </w:pPr>
                  <w:r w:rsidRPr="00254AC8">
                    <w:rPr>
                      <w:rFonts w:ascii="楷体" w:eastAsia="楷体" w:hAnsi="楷体" w:cs="宋体" w:hint="eastAsia"/>
                      <w:color w:val="000000"/>
                      <w:kern w:val="0"/>
                      <w:sz w:val="20"/>
                      <w:szCs w:val="20"/>
                    </w:rPr>
                    <w:t>企业债7Y</w:t>
                  </w:r>
                </w:p>
              </w:tc>
              <w:tc>
                <w:tcPr>
                  <w:tcW w:w="921" w:type="dxa"/>
                  <w:tcBorders>
                    <w:top w:val="nil"/>
                    <w:left w:val="nil"/>
                    <w:bottom w:val="single" w:sz="8" w:space="0" w:color="FFFFFF"/>
                    <w:right w:val="single" w:sz="8" w:space="0" w:color="FFFFFF"/>
                  </w:tcBorders>
                  <w:shd w:val="clear" w:color="000000" w:fill="FDE9D9"/>
                  <w:noWrap/>
                  <w:vAlign w:val="center"/>
                  <w:hideMark/>
                </w:tcPr>
                <w:p w14:paraId="5F75067D"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1.6 </w:t>
                  </w:r>
                </w:p>
              </w:tc>
              <w:tc>
                <w:tcPr>
                  <w:tcW w:w="921" w:type="dxa"/>
                  <w:tcBorders>
                    <w:top w:val="nil"/>
                    <w:left w:val="nil"/>
                    <w:bottom w:val="single" w:sz="8" w:space="0" w:color="FFFFFF"/>
                    <w:right w:val="single" w:sz="8" w:space="0" w:color="FFFFFF"/>
                  </w:tcBorders>
                  <w:shd w:val="clear" w:color="000000" w:fill="FDE9D9"/>
                  <w:noWrap/>
                  <w:vAlign w:val="center"/>
                  <w:hideMark/>
                </w:tcPr>
                <w:p w14:paraId="2786E2B9"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4.6 </w:t>
                  </w:r>
                </w:p>
              </w:tc>
              <w:tc>
                <w:tcPr>
                  <w:tcW w:w="921" w:type="dxa"/>
                  <w:tcBorders>
                    <w:top w:val="nil"/>
                    <w:left w:val="nil"/>
                    <w:bottom w:val="single" w:sz="8" w:space="0" w:color="FFFFFF"/>
                    <w:right w:val="single" w:sz="8" w:space="0" w:color="FFFFFF"/>
                  </w:tcBorders>
                  <w:shd w:val="clear" w:color="000000" w:fill="FDE9D9"/>
                  <w:noWrap/>
                  <w:vAlign w:val="center"/>
                  <w:hideMark/>
                </w:tcPr>
                <w:p w14:paraId="7CB4899A"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3.6 </w:t>
                  </w:r>
                </w:p>
              </w:tc>
              <w:tc>
                <w:tcPr>
                  <w:tcW w:w="921" w:type="dxa"/>
                  <w:tcBorders>
                    <w:top w:val="nil"/>
                    <w:left w:val="nil"/>
                    <w:bottom w:val="single" w:sz="8" w:space="0" w:color="FFFFFF"/>
                    <w:right w:val="single" w:sz="8" w:space="0" w:color="FFFFFF"/>
                  </w:tcBorders>
                  <w:shd w:val="clear" w:color="000000" w:fill="FDE9D9"/>
                  <w:noWrap/>
                  <w:vAlign w:val="center"/>
                  <w:hideMark/>
                </w:tcPr>
                <w:p w14:paraId="350FD434"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3.6 </w:t>
                  </w:r>
                </w:p>
              </w:tc>
            </w:tr>
            <w:tr w:rsidR="00254AC8" w:rsidRPr="00254AC8" w14:paraId="4B478C7B" w14:textId="77777777" w:rsidTr="00254AC8">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05CCACCD" w14:textId="77777777" w:rsidR="00254AC8" w:rsidRPr="00254AC8" w:rsidRDefault="00254AC8" w:rsidP="00254AC8">
                  <w:pPr>
                    <w:widowControl/>
                    <w:jc w:val="center"/>
                    <w:rPr>
                      <w:rFonts w:ascii="楷体" w:eastAsia="楷体" w:hAnsi="楷体" w:cs="宋体"/>
                      <w:color w:val="000000"/>
                      <w:kern w:val="0"/>
                      <w:sz w:val="20"/>
                      <w:szCs w:val="20"/>
                    </w:rPr>
                  </w:pPr>
                  <w:proofErr w:type="gramStart"/>
                  <w:r w:rsidRPr="00254AC8">
                    <w:rPr>
                      <w:rFonts w:ascii="楷体" w:eastAsia="楷体" w:hAnsi="楷体" w:cs="宋体" w:hint="eastAsia"/>
                      <w:color w:val="000000"/>
                      <w:kern w:val="0"/>
                      <w:sz w:val="20"/>
                      <w:szCs w:val="20"/>
                    </w:rPr>
                    <w:t>城投债</w:t>
                  </w:r>
                  <w:proofErr w:type="gramEnd"/>
                  <w:r w:rsidRPr="00254AC8">
                    <w:rPr>
                      <w:rFonts w:ascii="楷体" w:eastAsia="楷体" w:hAnsi="楷体" w:cs="宋体" w:hint="eastAsia"/>
                      <w:color w:val="000000"/>
                      <w:kern w:val="0"/>
                      <w:sz w:val="20"/>
                      <w:szCs w:val="20"/>
                    </w:rPr>
                    <w:t>3Y</w:t>
                  </w:r>
                </w:p>
              </w:tc>
              <w:tc>
                <w:tcPr>
                  <w:tcW w:w="920" w:type="dxa"/>
                  <w:tcBorders>
                    <w:top w:val="nil"/>
                    <w:left w:val="nil"/>
                    <w:bottom w:val="single" w:sz="8" w:space="0" w:color="FFFFFF"/>
                    <w:right w:val="single" w:sz="8" w:space="0" w:color="FFFFFF"/>
                  </w:tcBorders>
                  <w:shd w:val="clear" w:color="000000" w:fill="FCD5B4"/>
                  <w:noWrap/>
                  <w:vAlign w:val="center"/>
                  <w:hideMark/>
                </w:tcPr>
                <w:p w14:paraId="180DE5DA"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FF0000"/>
                      <w:kern w:val="0"/>
                      <w:szCs w:val="21"/>
                    </w:rPr>
                    <w:t xml:space="preserve">-7.3 </w:t>
                  </w:r>
                </w:p>
              </w:tc>
              <w:tc>
                <w:tcPr>
                  <w:tcW w:w="921" w:type="dxa"/>
                  <w:tcBorders>
                    <w:top w:val="nil"/>
                    <w:left w:val="nil"/>
                    <w:bottom w:val="single" w:sz="8" w:space="0" w:color="FFFFFF"/>
                    <w:right w:val="single" w:sz="8" w:space="0" w:color="FFFFFF"/>
                  </w:tcBorders>
                  <w:shd w:val="clear" w:color="000000" w:fill="FCD5B4"/>
                  <w:noWrap/>
                  <w:vAlign w:val="center"/>
                  <w:hideMark/>
                </w:tcPr>
                <w:p w14:paraId="6837AA91"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FF0000"/>
                      <w:kern w:val="0"/>
                      <w:szCs w:val="21"/>
                    </w:rPr>
                    <w:t xml:space="preserve">-6.3 </w:t>
                  </w:r>
                </w:p>
              </w:tc>
              <w:tc>
                <w:tcPr>
                  <w:tcW w:w="921" w:type="dxa"/>
                  <w:tcBorders>
                    <w:top w:val="nil"/>
                    <w:left w:val="nil"/>
                    <w:bottom w:val="single" w:sz="8" w:space="0" w:color="FFFFFF"/>
                    <w:right w:val="single" w:sz="8" w:space="0" w:color="FFFFFF"/>
                  </w:tcBorders>
                  <w:shd w:val="clear" w:color="000000" w:fill="FCD5B4"/>
                  <w:noWrap/>
                  <w:vAlign w:val="center"/>
                  <w:hideMark/>
                </w:tcPr>
                <w:p w14:paraId="3A977CBB"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FF0000"/>
                      <w:kern w:val="0"/>
                      <w:szCs w:val="21"/>
                    </w:rPr>
                    <w:t xml:space="preserve">-0.3 </w:t>
                  </w:r>
                </w:p>
              </w:tc>
              <w:tc>
                <w:tcPr>
                  <w:tcW w:w="921" w:type="dxa"/>
                  <w:tcBorders>
                    <w:top w:val="nil"/>
                    <w:left w:val="nil"/>
                    <w:bottom w:val="single" w:sz="8" w:space="0" w:color="FFFFFF"/>
                    <w:right w:val="single" w:sz="8" w:space="0" w:color="FFFFFF"/>
                  </w:tcBorders>
                  <w:shd w:val="clear" w:color="000000" w:fill="FCD5B4"/>
                  <w:noWrap/>
                  <w:vAlign w:val="center"/>
                  <w:hideMark/>
                </w:tcPr>
                <w:p w14:paraId="6098D5AB"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FF0000"/>
                      <w:kern w:val="0"/>
                      <w:szCs w:val="21"/>
                    </w:rPr>
                    <w:t xml:space="preserve">-5.3 </w:t>
                  </w:r>
                </w:p>
              </w:tc>
              <w:tc>
                <w:tcPr>
                  <w:tcW w:w="1157" w:type="dxa"/>
                  <w:tcBorders>
                    <w:top w:val="nil"/>
                    <w:left w:val="nil"/>
                    <w:bottom w:val="single" w:sz="8" w:space="0" w:color="FFFFFF"/>
                    <w:right w:val="single" w:sz="8" w:space="0" w:color="FFFFFF"/>
                  </w:tcBorders>
                  <w:shd w:val="clear" w:color="000000" w:fill="FCD5B4"/>
                  <w:noWrap/>
                  <w:vAlign w:val="center"/>
                  <w:hideMark/>
                </w:tcPr>
                <w:p w14:paraId="6249E2C0" w14:textId="77777777" w:rsidR="00254AC8" w:rsidRPr="00254AC8" w:rsidRDefault="00254AC8" w:rsidP="00254AC8">
                  <w:pPr>
                    <w:widowControl/>
                    <w:jc w:val="center"/>
                    <w:rPr>
                      <w:rFonts w:ascii="楷体" w:eastAsia="楷体" w:hAnsi="楷体" w:cs="宋体"/>
                      <w:color w:val="000000"/>
                      <w:kern w:val="0"/>
                      <w:sz w:val="20"/>
                      <w:szCs w:val="20"/>
                    </w:rPr>
                  </w:pPr>
                  <w:proofErr w:type="gramStart"/>
                  <w:r w:rsidRPr="00254AC8">
                    <w:rPr>
                      <w:rFonts w:ascii="楷体" w:eastAsia="楷体" w:hAnsi="楷体" w:cs="宋体" w:hint="eastAsia"/>
                      <w:color w:val="000000"/>
                      <w:kern w:val="0"/>
                      <w:sz w:val="20"/>
                      <w:szCs w:val="20"/>
                    </w:rPr>
                    <w:t>城投债</w:t>
                  </w:r>
                  <w:proofErr w:type="gramEnd"/>
                  <w:r w:rsidRPr="00254AC8">
                    <w:rPr>
                      <w:rFonts w:ascii="楷体" w:eastAsia="楷体" w:hAnsi="楷体" w:cs="宋体" w:hint="eastAsia"/>
                      <w:color w:val="000000"/>
                      <w:kern w:val="0"/>
                      <w:sz w:val="20"/>
                      <w:szCs w:val="20"/>
                    </w:rPr>
                    <w:t>3Y</w:t>
                  </w:r>
                </w:p>
              </w:tc>
              <w:tc>
                <w:tcPr>
                  <w:tcW w:w="921" w:type="dxa"/>
                  <w:tcBorders>
                    <w:top w:val="nil"/>
                    <w:left w:val="nil"/>
                    <w:bottom w:val="single" w:sz="8" w:space="0" w:color="FFFFFF"/>
                    <w:right w:val="single" w:sz="8" w:space="0" w:color="FFFFFF"/>
                  </w:tcBorders>
                  <w:shd w:val="clear" w:color="000000" w:fill="FCD5B4"/>
                  <w:noWrap/>
                  <w:vAlign w:val="center"/>
                  <w:hideMark/>
                </w:tcPr>
                <w:p w14:paraId="478CD397"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FF0000"/>
                      <w:kern w:val="0"/>
                      <w:szCs w:val="21"/>
                    </w:rPr>
                    <w:t xml:space="preserve">-4.8 </w:t>
                  </w:r>
                </w:p>
              </w:tc>
              <w:tc>
                <w:tcPr>
                  <w:tcW w:w="921" w:type="dxa"/>
                  <w:tcBorders>
                    <w:top w:val="nil"/>
                    <w:left w:val="nil"/>
                    <w:bottom w:val="single" w:sz="8" w:space="0" w:color="FFFFFF"/>
                    <w:right w:val="single" w:sz="8" w:space="0" w:color="FFFFFF"/>
                  </w:tcBorders>
                  <w:shd w:val="clear" w:color="000000" w:fill="FCD5B4"/>
                  <w:noWrap/>
                  <w:vAlign w:val="center"/>
                  <w:hideMark/>
                </w:tcPr>
                <w:p w14:paraId="009E1AA8"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FF0000"/>
                      <w:kern w:val="0"/>
                      <w:szCs w:val="21"/>
                    </w:rPr>
                    <w:t xml:space="preserve">-3.8 </w:t>
                  </w:r>
                </w:p>
              </w:tc>
              <w:tc>
                <w:tcPr>
                  <w:tcW w:w="921" w:type="dxa"/>
                  <w:tcBorders>
                    <w:top w:val="nil"/>
                    <w:left w:val="nil"/>
                    <w:bottom w:val="single" w:sz="8" w:space="0" w:color="FFFFFF"/>
                    <w:right w:val="single" w:sz="8" w:space="0" w:color="FFFFFF"/>
                  </w:tcBorders>
                  <w:shd w:val="clear" w:color="000000" w:fill="FCD5B4"/>
                  <w:noWrap/>
                  <w:vAlign w:val="center"/>
                  <w:hideMark/>
                </w:tcPr>
                <w:p w14:paraId="4C71477E"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2.2 </w:t>
                  </w:r>
                </w:p>
              </w:tc>
              <w:tc>
                <w:tcPr>
                  <w:tcW w:w="921" w:type="dxa"/>
                  <w:tcBorders>
                    <w:top w:val="nil"/>
                    <w:left w:val="nil"/>
                    <w:bottom w:val="single" w:sz="8" w:space="0" w:color="FFFFFF"/>
                    <w:right w:val="single" w:sz="8" w:space="0" w:color="FFFFFF"/>
                  </w:tcBorders>
                  <w:shd w:val="clear" w:color="000000" w:fill="FCD5B4"/>
                  <w:noWrap/>
                  <w:vAlign w:val="center"/>
                  <w:hideMark/>
                </w:tcPr>
                <w:p w14:paraId="30D089E9"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FF0000"/>
                      <w:kern w:val="0"/>
                      <w:szCs w:val="21"/>
                    </w:rPr>
                    <w:t xml:space="preserve">-2.8 </w:t>
                  </w:r>
                </w:p>
              </w:tc>
            </w:tr>
            <w:tr w:rsidR="00254AC8" w:rsidRPr="00254AC8" w14:paraId="3957CAAB" w14:textId="77777777" w:rsidTr="00254AC8">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12E5268C" w14:textId="77777777" w:rsidR="00254AC8" w:rsidRPr="00254AC8" w:rsidRDefault="00254AC8" w:rsidP="00254AC8">
                  <w:pPr>
                    <w:widowControl/>
                    <w:jc w:val="center"/>
                    <w:rPr>
                      <w:rFonts w:ascii="楷体" w:eastAsia="楷体" w:hAnsi="楷体" w:cs="宋体"/>
                      <w:color w:val="000000"/>
                      <w:kern w:val="0"/>
                      <w:sz w:val="20"/>
                      <w:szCs w:val="20"/>
                    </w:rPr>
                  </w:pPr>
                  <w:proofErr w:type="gramStart"/>
                  <w:r w:rsidRPr="00254AC8">
                    <w:rPr>
                      <w:rFonts w:ascii="楷体" w:eastAsia="楷体" w:hAnsi="楷体" w:cs="宋体" w:hint="eastAsia"/>
                      <w:color w:val="000000"/>
                      <w:kern w:val="0"/>
                      <w:sz w:val="20"/>
                      <w:szCs w:val="20"/>
                    </w:rPr>
                    <w:t>城投债</w:t>
                  </w:r>
                  <w:proofErr w:type="gramEnd"/>
                  <w:r w:rsidRPr="00254AC8">
                    <w:rPr>
                      <w:rFonts w:ascii="楷体" w:eastAsia="楷体" w:hAnsi="楷体" w:cs="宋体" w:hint="eastAsia"/>
                      <w:color w:val="000000"/>
                      <w:kern w:val="0"/>
                      <w:sz w:val="20"/>
                      <w:szCs w:val="20"/>
                    </w:rPr>
                    <w:t>5Y</w:t>
                  </w:r>
                </w:p>
              </w:tc>
              <w:tc>
                <w:tcPr>
                  <w:tcW w:w="920" w:type="dxa"/>
                  <w:tcBorders>
                    <w:top w:val="nil"/>
                    <w:left w:val="nil"/>
                    <w:bottom w:val="single" w:sz="8" w:space="0" w:color="FFFFFF"/>
                    <w:right w:val="single" w:sz="8" w:space="0" w:color="FFFFFF"/>
                  </w:tcBorders>
                  <w:shd w:val="clear" w:color="000000" w:fill="FDE9D9"/>
                  <w:noWrap/>
                  <w:vAlign w:val="center"/>
                  <w:hideMark/>
                </w:tcPr>
                <w:p w14:paraId="7C0496DB"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FF0000"/>
                      <w:kern w:val="0"/>
                      <w:szCs w:val="21"/>
                    </w:rPr>
                    <w:t xml:space="preserve">-2.3 </w:t>
                  </w:r>
                </w:p>
              </w:tc>
              <w:tc>
                <w:tcPr>
                  <w:tcW w:w="921" w:type="dxa"/>
                  <w:tcBorders>
                    <w:top w:val="nil"/>
                    <w:left w:val="nil"/>
                    <w:bottom w:val="single" w:sz="8" w:space="0" w:color="FFFFFF"/>
                    <w:right w:val="single" w:sz="8" w:space="0" w:color="FFFFFF"/>
                  </w:tcBorders>
                  <w:shd w:val="clear" w:color="000000" w:fill="FDE9D9"/>
                  <w:noWrap/>
                  <w:vAlign w:val="center"/>
                  <w:hideMark/>
                </w:tcPr>
                <w:p w14:paraId="571C5322"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FF0000"/>
                      <w:kern w:val="0"/>
                      <w:szCs w:val="21"/>
                    </w:rPr>
                    <w:t xml:space="preserve">-5.3 </w:t>
                  </w:r>
                </w:p>
              </w:tc>
              <w:tc>
                <w:tcPr>
                  <w:tcW w:w="921" w:type="dxa"/>
                  <w:tcBorders>
                    <w:top w:val="nil"/>
                    <w:left w:val="nil"/>
                    <w:bottom w:val="single" w:sz="8" w:space="0" w:color="FFFFFF"/>
                    <w:right w:val="single" w:sz="8" w:space="0" w:color="FFFFFF"/>
                  </w:tcBorders>
                  <w:shd w:val="clear" w:color="000000" w:fill="FDE9D9"/>
                  <w:noWrap/>
                  <w:vAlign w:val="center"/>
                  <w:hideMark/>
                </w:tcPr>
                <w:p w14:paraId="74AE17B0"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FF0000"/>
                      <w:kern w:val="0"/>
                      <w:szCs w:val="21"/>
                    </w:rPr>
                    <w:t xml:space="preserve">-6.3 </w:t>
                  </w:r>
                </w:p>
              </w:tc>
              <w:tc>
                <w:tcPr>
                  <w:tcW w:w="921" w:type="dxa"/>
                  <w:tcBorders>
                    <w:top w:val="nil"/>
                    <w:left w:val="nil"/>
                    <w:bottom w:val="single" w:sz="8" w:space="0" w:color="FFFFFF"/>
                    <w:right w:val="single" w:sz="8" w:space="0" w:color="FFFFFF"/>
                  </w:tcBorders>
                  <w:shd w:val="clear" w:color="000000" w:fill="FDE9D9"/>
                  <w:noWrap/>
                  <w:vAlign w:val="center"/>
                  <w:hideMark/>
                </w:tcPr>
                <w:p w14:paraId="55CFC10F"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2.7 </w:t>
                  </w:r>
                </w:p>
              </w:tc>
              <w:tc>
                <w:tcPr>
                  <w:tcW w:w="1157" w:type="dxa"/>
                  <w:tcBorders>
                    <w:top w:val="nil"/>
                    <w:left w:val="nil"/>
                    <w:bottom w:val="single" w:sz="8" w:space="0" w:color="FFFFFF"/>
                    <w:right w:val="single" w:sz="8" w:space="0" w:color="FFFFFF"/>
                  </w:tcBorders>
                  <w:shd w:val="clear" w:color="000000" w:fill="FDE9D9"/>
                  <w:noWrap/>
                  <w:vAlign w:val="center"/>
                  <w:hideMark/>
                </w:tcPr>
                <w:p w14:paraId="1E2E3BAF" w14:textId="77777777" w:rsidR="00254AC8" w:rsidRPr="00254AC8" w:rsidRDefault="00254AC8" w:rsidP="00254AC8">
                  <w:pPr>
                    <w:widowControl/>
                    <w:jc w:val="center"/>
                    <w:rPr>
                      <w:rFonts w:ascii="楷体" w:eastAsia="楷体" w:hAnsi="楷体" w:cs="宋体"/>
                      <w:color w:val="000000"/>
                      <w:kern w:val="0"/>
                      <w:sz w:val="20"/>
                      <w:szCs w:val="20"/>
                    </w:rPr>
                  </w:pPr>
                  <w:proofErr w:type="gramStart"/>
                  <w:r w:rsidRPr="00254AC8">
                    <w:rPr>
                      <w:rFonts w:ascii="楷体" w:eastAsia="楷体" w:hAnsi="楷体" w:cs="宋体" w:hint="eastAsia"/>
                      <w:color w:val="000000"/>
                      <w:kern w:val="0"/>
                      <w:sz w:val="20"/>
                      <w:szCs w:val="20"/>
                    </w:rPr>
                    <w:t>城投债</w:t>
                  </w:r>
                  <w:proofErr w:type="gramEnd"/>
                  <w:r w:rsidRPr="00254AC8">
                    <w:rPr>
                      <w:rFonts w:ascii="楷体" w:eastAsia="楷体" w:hAnsi="楷体" w:cs="宋体" w:hint="eastAsia"/>
                      <w:color w:val="000000"/>
                      <w:kern w:val="0"/>
                      <w:sz w:val="20"/>
                      <w:szCs w:val="20"/>
                    </w:rPr>
                    <w:t>5Y</w:t>
                  </w:r>
                </w:p>
              </w:tc>
              <w:tc>
                <w:tcPr>
                  <w:tcW w:w="921" w:type="dxa"/>
                  <w:tcBorders>
                    <w:top w:val="nil"/>
                    <w:left w:val="nil"/>
                    <w:bottom w:val="single" w:sz="8" w:space="0" w:color="FFFFFF"/>
                    <w:right w:val="single" w:sz="8" w:space="0" w:color="FFFFFF"/>
                  </w:tcBorders>
                  <w:shd w:val="clear" w:color="000000" w:fill="FDE9D9"/>
                  <w:noWrap/>
                  <w:vAlign w:val="center"/>
                  <w:hideMark/>
                </w:tcPr>
                <w:p w14:paraId="6EB47D3E"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2.2 </w:t>
                  </w:r>
                </w:p>
              </w:tc>
              <w:tc>
                <w:tcPr>
                  <w:tcW w:w="921" w:type="dxa"/>
                  <w:tcBorders>
                    <w:top w:val="nil"/>
                    <w:left w:val="nil"/>
                    <w:bottom w:val="single" w:sz="8" w:space="0" w:color="FFFFFF"/>
                    <w:right w:val="single" w:sz="8" w:space="0" w:color="FFFFFF"/>
                  </w:tcBorders>
                  <w:shd w:val="clear" w:color="000000" w:fill="FDE9D9"/>
                  <w:noWrap/>
                  <w:vAlign w:val="center"/>
                  <w:hideMark/>
                </w:tcPr>
                <w:p w14:paraId="1D35971B"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FF0000"/>
                      <w:kern w:val="0"/>
                      <w:szCs w:val="21"/>
                    </w:rPr>
                    <w:t xml:space="preserve">-0.8 </w:t>
                  </w:r>
                </w:p>
              </w:tc>
              <w:tc>
                <w:tcPr>
                  <w:tcW w:w="921" w:type="dxa"/>
                  <w:tcBorders>
                    <w:top w:val="nil"/>
                    <w:left w:val="nil"/>
                    <w:bottom w:val="single" w:sz="8" w:space="0" w:color="FFFFFF"/>
                    <w:right w:val="single" w:sz="8" w:space="0" w:color="FFFFFF"/>
                  </w:tcBorders>
                  <w:shd w:val="clear" w:color="000000" w:fill="FDE9D9"/>
                  <w:noWrap/>
                  <w:vAlign w:val="center"/>
                  <w:hideMark/>
                </w:tcPr>
                <w:p w14:paraId="2BF2A9B9"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FF0000"/>
                      <w:kern w:val="0"/>
                      <w:szCs w:val="21"/>
                    </w:rPr>
                    <w:t xml:space="preserve">-1.8 </w:t>
                  </w:r>
                </w:p>
              </w:tc>
              <w:tc>
                <w:tcPr>
                  <w:tcW w:w="921" w:type="dxa"/>
                  <w:tcBorders>
                    <w:top w:val="nil"/>
                    <w:left w:val="nil"/>
                    <w:bottom w:val="single" w:sz="8" w:space="0" w:color="FFFFFF"/>
                    <w:right w:val="single" w:sz="8" w:space="0" w:color="FFFFFF"/>
                  </w:tcBorders>
                  <w:shd w:val="clear" w:color="000000" w:fill="FDE9D9"/>
                  <w:noWrap/>
                  <w:vAlign w:val="center"/>
                  <w:hideMark/>
                </w:tcPr>
                <w:p w14:paraId="1765D98E"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7.2 </w:t>
                  </w:r>
                </w:p>
              </w:tc>
            </w:tr>
            <w:tr w:rsidR="00254AC8" w:rsidRPr="00254AC8" w14:paraId="24CF36E5" w14:textId="77777777" w:rsidTr="00254AC8">
              <w:trPr>
                <w:trHeight w:val="300"/>
              </w:trPr>
              <w:tc>
                <w:tcPr>
                  <w:tcW w:w="1350" w:type="dxa"/>
                  <w:tcBorders>
                    <w:top w:val="nil"/>
                    <w:left w:val="nil"/>
                    <w:bottom w:val="nil"/>
                    <w:right w:val="nil"/>
                  </w:tcBorders>
                  <w:shd w:val="clear" w:color="000000" w:fill="FCD5B4"/>
                  <w:noWrap/>
                  <w:vAlign w:val="center"/>
                  <w:hideMark/>
                </w:tcPr>
                <w:p w14:paraId="7806D0CB" w14:textId="77777777" w:rsidR="00254AC8" w:rsidRPr="00254AC8" w:rsidRDefault="00254AC8" w:rsidP="00254AC8">
                  <w:pPr>
                    <w:widowControl/>
                    <w:jc w:val="center"/>
                    <w:rPr>
                      <w:rFonts w:ascii="楷体" w:eastAsia="楷体" w:hAnsi="楷体" w:cs="宋体"/>
                      <w:color w:val="000000"/>
                      <w:kern w:val="0"/>
                      <w:sz w:val="20"/>
                      <w:szCs w:val="20"/>
                    </w:rPr>
                  </w:pPr>
                  <w:proofErr w:type="gramStart"/>
                  <w:r w:rsidRPr="00254AC8">
                    <w:rPr>
                      <w:rFonts w:ascii="楷体" w:eastAsia="楷体" w:hAnsi="楷体" w:cs="宋体" w:hint="eastAsia"/>
                      <w:color w:val="000000"/>
                      <w:kern w:val="0"/>
                      <w:sz w:val="20"/>
                      <w:szCs w:val="20"/>
                    </w:rPr>
                    <w:t>城投债</w:t>
                  </w:r>
                  <w:proofErr w:type="gramEnd"/>
                  <w:r w:rsidRPr="00254AC8">
                    <w:rPr>
                      <w:rFonts w:ascii="楷体" w:eastAsia="楷体" w:hAnsi="楷体" w:cs="宋体" w:hint="eastAsia"/>
                      <w:color w:val="000000"/>
                      <w:kern w:val="0"/>
                      <w:sz w:val="20"/>
                      <w:szCs w:val="20"/>
                    </w:rPr>
                    <w:t>7Y</w:t>
                  </w:r>
                </w:p>
              </w:tc>
              <w:tc>
                <w:tcPr>
                  <w:tcW w:w="920" w:type="dxa"/>
                  <w:tcBorders>
                    <w:top w:val="nil"/>
                    <w:left w:val="nil"/>
                    <w:bottom w:val="single" w:sz="8" w:space="0" w:color="FFFFFF"/>
                    <w:right w:val="single" w:sz="8" w:space="0" w:color="FFFFFF"/>
                  </w:tcBorders>
                  <w:shd w:val="clear" w:color="000000" w:fill="FCD5B4"/>
                  <w:noWrap/>
                  <w:vAlign w:val="center"/>
                  <w:hideMark/>
                </w:tcPr>
                <w:p w14:paraId="3884F14F"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FF0000"/>
                      <w:kern w:val="0"/>
                      <w:szCs w:val="21"/>
                    </w:rPr>
                    <w:t xml:space="preserve">-5.3 </w:t>
                  </w:r>
                </w:p>
              </w:tc>
              <w:tc>
                <w:tcPr>
                  <w:tcW w:w="921" w:type="dxa"/>
                  <w:tcBorders>
                    <w:top w:val="nil"/>
                    <w:left w:val="nil"/>
                    <w:bottom w:val="single" w:sz="8" w:space="0" w:color="FFFFFF"/>
                    <w:right w:val="single" w:sz="8" w:space="0" w:color="FFFFFF"/>
                  </w:tcBorders>
                  <w:shd w:val="clear" w:color="000000" w:fill="FCD5B4"/>
                  <w:noWrap/>
                  <w:vAlign w:val="center"/>
                  <w:hideMark/>
                </w:tcPr>
                <w:p w14:paraId="5F2A3D63"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FF0000"/>
                      <w:kern w:val="0"/>
                      <w:szCs w:val="21"/>
                    </w:rPr>
                    <w:t xml:space="preserve">-7.3 </w:t>
                  </w:r>
                </w:p>
              </w:tc>
              <w:tc>
                <w:tcPr>
                  <w:tcW w:w="921" w:type="dxa"/>
                  <w:tcBorders>
                    <w:top w:val="nil"/>
                    <w:left w:val="nil"/>
                    <w:bottom w:val="single" w:sz="8" w:space="0" w:color="FFFFFF"/>
                    <w:right w:val="single" w:sz="8" w:space="0" w:color="FFFFFF"/>
                  </w:tcBorders>
                  <w:shd w:val="clear" w:color="000000" w:fill="FCD5B4"/>
                  <w:noWrap/>
                  <w:vAlign w:val="center"/>
                  <w:hideMark/>
                </w:tcPr>
                <w:p w14:paraId="7281E90F"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FF0000"/>
                      <w:kern w:val="0"/>
                      <w:szCs w:val="21"/>
                    </w:rPr>
                    <w:t xml:space="preserve">-7.3 </w:t>
                  </w:r>
                </w:p>
              </w:tc>
              <w:tc>
                <w:tcPr>
                  <w:tcW w:w="921" w:type="dxa"/>
                  <w:tcBorders>
                    <w:top w:val="nil"/>
                    <w:left w:val="nil"/>
                    <w:bottom w:val="single" w:sz="8" w:space="0" w:color="FFFFFF"/>
                    <w:right w:val="single" w:sz="8" w:space="0" w:color="FFFFFF"/>
                  </w:tcBorders>
                  <w:shd w:val="clear" w:color="000000" w:fill="FCD5B4"/>
                  <w:noWrap/>
                  <w:vAlign w:val="center"/>
                  <w:hideMark/>
                </w:tcPr>
                <w:p w14:paraId="7CD6EC71"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0.7 </w:t>
                  </w:r>
                </w:p>
              </w:tc>
              <w:tc>
                <w:tcPr>
                  <w:tcW w:w="1157" w:type="dxa"/>
                  <w:tcBorders>
                    <w:top w:val="nil"/>
                    <w:left w:val="nil"/>
                    <w:bottom w:val="nil"/>
                    <w:right w:val="nil"/>
                  </w:tcBorders>
                  <w:shd w:val="clear" w:color="000000" w:fill="FCD5B4"/>
                  <w:noWrap/>
                  <w:vAlign w:val="center"/>
                  <w:hideMark/>
                </w:tcPr>
                <w:p w14:paraId="5C399EF7" w14:textId="77777777" w:rsidR="00254AC8" w:rsidRPr="00254AC8" w:rsidRDefault="00254AC8" w:rsidP="00254AC8">
                  <w:pPr>
                    <w:widowControl/>
                    <w:jc w:val="center"/>
                    <w:rPr>
                      <w:rFonts w:ascii="楷体" w:eastAsia="楷体" w:hAnsi="楷体" w:cs="宋体"/>
                      <w:color w:val="000000"/>
                      <w:kern w:val="0"/>
                      <w:sz w:val="20"/>
                      <w:szCs w:val="20"/>
                    </w:rPr>
                  </w:pPr>
                  <w:proofErr w:type="gramStart"/>
                  <w:r w:rsidRPr="00254AC8">
                    <w:rPr>
                      <w:rFonts w:ascii="楷体" w:eastAsia="楷体" w:hAnsi="楷体" w:cs="宋体" w:hint="eastAsia"/>
                      <w:color w:val="000000"/>
                      <w:kern w:val="0"/>
                      <w:sz w:val="20"/>
                      <w:szCs w:val="20"/>
                    </w:rPr>
                    <w:t>城投债</w:t>
                  </w:r>
                  <w:proofErr w:type="gramEnd"/>
                  <w:r w:rsidRPr="00254AC8">
                    <w:rPr>
                      <w:rFonts w:ascii="楷体" w:eastAsia="楷体" w:hAnsi="楷体" w:cs="宋体" w:hint="eastAsia"/>
                      <w:color w:val="000000"/>
                      <w:kern w:val="0"/>
                      <w:sz w:val="20"/>
                      <w:szCs w:val="20"/>
                    </w:rPr>
                    <w:t>7Y</w:t>
                  </w:r>
                </w:p>
              </w:tc>
              <w:tc>
                <w:tcPr>
                  <w:tcW w:w="921" w:type="dxa"/>
                  <w:tcBorders>
                    <w:top w:val="nil"/>
                    <w:left w:val="nil"/>
                    <w:bottom w:val="single" w:sz="8" w:space="0" w:color="FFFFFF"/>
                    <w:right w:val="single" w:sz="8" w:space="0" w:color="FFFFFF"/>
                  </w:tcBorders>
                  <w:shd w:val="clear" w:color="000000" w:fill="FCD5B4"/>
                  <w:noWrap/>
                  <w:vAlign w:val="center"/>
                  <w:hideMark/>
                </w:tcPr>
                <w:p w14:paraId="29944392"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1.3 </w:t>
                  </w:r>
                </w:p>
              </w:tc>
              <w:tc>
                <w:tcPr>
                  <w:tcW w:w="921" w:type="dxa"/>
                  <w:tcBorders>
                    <w:top w:val="nil"/>
                    <w:left w:val="nil"/>
                    <w:bottom w:val="single" w:sz="8" w:space="0" w:color="FFFFFF"/>
                    <w:right w:val="single" w:sz="8" w:space="0" w:color="FFFFFF"/>
                  </w:tcBorders>
                  <w:shd w:val="clear" w:color="000000" w:fill="FCD5B4"/>
                  <w:noWrap/>
                  <w:vAlign w:val="center"/>
                  <w:hideMark/>
                </w:tcPr>
                <w:p w14:paraId="37F109B6"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FF0000"/>
                      <w:kern w:val="0"/>
                      <w:szCs w:val="21"/>
                    </w:rPr>
                    <w:t xml:space="preserve">-0.7 </w:t>
                  </w:r>
                </w:p>
              </w:tc>
              <w:tc>
                <w:tcPr>
                  <w:tcW w:w="921" w:type="dxa"/>
                  <w:tcBorders>
                    <w:top w:val="nil"/>
                    <w:left w:val="nil"/>
                    <w:bottom w:val="single" w:sz="8" w:space="0" w:color="FFFFFF"/>
                    <w:right w:val="single" w:sz="8" w:space="0" w:color="FFFFFF"/>
                  </w:tcBorders>
                  <w:shd w:val="clear" w:color="000000" w:fill="FCD5B4"/>
                  <w:noWrap/>
                  <w:vAlign w:val="center"/>
                  <w:hideMark/>
                </w:tcPr>
                <w:p w14:paraId="350E6482"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FF0000"/>
                      <w:kern w:val="0"/>
                      <w:szCs w:val="21"/>
                    </w:rPr>
                    <w:t xml:space="preserve">-0.7 </w:t>
                  </w:r>
                </w:p>
              </w:tc>
              <w:tc>
                <w:tcPr>
                  <w:tcW w:w="921" w:type="dxa"/>
                  <w:tcBorders>
                    <w:top w:val="nil"/>
                    <w:left w:val="nil"/>
                    <w:bottom w:val="single" w:sz="8" w:space="0" w:color="FFFFFF"/>
                    <w:right w:val="single" w:sz="8" w:space="0" w:color="FFFFFF"/>
                  </w:tcBorders>
                  <w:shd w:val="clear" w:color="000000" w:fill="FCD5B4"/>
                  <w:noWrap/>
                  <w:vAlign w:val="center"/>
                  <w:hideMark/>
                </w:tcPr>
                <w:p w14:paraId="04329D75"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 xml:space="preserve">7.3 </w:t>
                  </w:r>
                </w:p>
              </w:tc>
            </w:tr>
            <w:tr w:rsidR="00254AC8" w:rsidRPr="00254AC8" w14:paraId="0513C4CD" w14:textId="77777777" w:rsidTr="00254AC8">
              <w:trPr>
                <w:trHeight w:val="150"/>
              </w:trPr>
              <w:tc>
                <w:tcPr>
                  <w:tcW w:w="1350" w:type="dxa"/>
                  <w:tcBorders>
                    <w:top w:val="nil"/>
                    <w:left w:val="nil"/>
                    <w:bottom w:val="nil"/>
                    <w:right w:val="nil"/>
                  </w:tcBorders>
                  <w:shd w:val="clear" w:color="auto" w:fill="auto"/>
                  <w:noWrap/>
                  <w:vAlign w:val="center"/>
                  <w:hideMark/>
                </w:tcPr>
                <w:p w14:paraId="3C79BB2B" w14:textId="77777777" w:rsidR="00254AC8" w:rsidRPr="00254AC8" w:rsidRDefault="00254AC8" w:rsidP="00254AC8">
                  <w:pPr>
                    <w:widowControl/>
                    <w:jc w:val="center"/>
                    <w:rPr>
                      <w:rFonts w:eastAsia="等线" w:cs="Calibri"/>
                      <w:color w:val="000000"/>
                      <w:kern w:val="0"/>
                      <w:szCs w:val="21"/>
                    </w:rPr>
                  </w:pPr>
                </w:p>
              </w:tc>
              <w:tc>
                <w:tcPr>
                  <w:tcW w:w="920" w:type="dxa"/>
                  <w:tcBorders>
                    <w:top w:val="nil"/>
                    <w:left w:val="nil"/>
                    <w:bottom w:val="nil"/>
                    <w:right w:val="nil"/>
                  </w:tcBorders>
                  <w:shd w:val="clear" w:color="auto" w:fill="auto"/>
                  <w:noWrap/>
                  <w:vAlign w:val="center"/>
                  <w:hideMark/>
                </w:tcPr>
                <w:p w14:paraId="250E4181" w14:textId="77777777" w:rsidR="00254AC8" w:rsidRPr="00254AC8" w:rsidRDefault="00254AC8" w:rsidP="00254AC8">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2EF3C662" w14:textId="77777777" w:rsidR="00254AC8" w:rsidRPr="00254AC8" w:rsidRDefault="00254AC8" w:rsidP="00254AC8">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590E733E" w14:textId="77777777" w:rsidR="00254AC8" w:rsidRPr="00254AC8" w:rsidRDefault="00254AC8" w:rsidP="00254AC8">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1A6802F8" w14:textId="77777777" w:rsidR="00254AC8" w:rsidRPr="00254AC8" w:rsidRDefault="00254AC8" w:rsidP="00254AC8">
                  <w:pPr>
                    <w:widowControl/>
                    <w:jc w:val="center"/>
                    <w:rPr>
                      <w:rFonts w:ascii="Times New Roman" w:eastAsia="Times New Roman" w:hAnsi="Times New Roman"/>
                      <w:kern w:val="0"/>
                      <w:sz w:val="20"/>
                      <w:szCs w:val="20"/>
                    </w:rPr>
                  </w:pPr>
                </w:p>
              </w:tc>
              <w:tc>
                <w:tcPr>
                  <w:tcW w:w="1157" w:type="dxa"/>
                  <w:tcBorders>
                    <w:top w:val="nil"/>
                    <w:left w:val="nil"/>
                    <w:bottom w:val="nil"/>
                    <w:right w:val="nil"/>
                  </w:tcBorders>
                  <w:shd w:val="clear" w:color="auto" w:fill="auto"/>
                  <w:noWrap/>
                  <w:vAlign w:val="center"/>
                  <w:hideMark/>
                </w:tcPr>
                <w:p w14:paraId="234697B9" w14:textId="77777777" w:rsidR="00254AC8" w:rsidRPr="00254AC8" w:rsidRDefault="00254AC8" w:rsidP="00254AC8">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66374D73" w14:textId="77777777" w:rsidR="00254AC8" w:rsidRPr="00254AC8" w:rsidRDefault="00254AC8" w:rsidP="00254AC8">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72A32C49" w14:textId="77777777" w:rsidR="00254AC8" w:rsidRPr="00254AC8" w:rsidRDefault="00254AC8" w:rsidP="00254AC8">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78E6E1DB" w14:textId="77777777" w:rsidR="00254AC8" w:rsidRPr="00254AC8" w:rsidRDefault="00254AC8" w:rsidP="00254AC8">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4C7379C8" w14:textId="77777777" w:rsidR="00254AC8" w:rsidRPr="00254AC8" w:rsidRDefault="00254AC8" w:rsidP="00254AC8">
                  <w:pPr>
                    <w:widowControl/>
                    <w:jc w:val="center"/>
                    <w:rPr>
                      <w:rFonts w:ascii="Times New Roman" w:eastAsia="Times New Roman" w:hAnsi="Times New Roman"/>
                      <w:kern w:val="0"/>
                      <w:sz w:val="20"/>
                      <w:szCs w:val="20"/>
                    </w:rPr>
                  </w:pPr>
                </w:p>
              </w:tc>
            </w:tr>
            <w:tr w:rsidR="00254AC8" w:rsidRPr="00254AC8" w14:paraId="37D2B649" w14:textId="77777777" w:rsidTr="00254AC8">
              <w:trPr>
                <w:trHeight w:val="300"/>
              </w:trPr>
              <w:tc>
                <w:tcPr>
                  <w:tcW w:w="1350" w:type="dxa"/>
                  <w:tcBorders>
                    <w:top w:val="nil"/>
                    <w:left w:val="nil"/>
                    <w:bottom w:val="single" w:sz="12" w:space="0" w:color="FFFFFF"/>
                    <w:right w:val="single" w:sz="8" w:space="0" w:color="FFFFFF"/>
                  </w:tcBorders>
                  <w:shd w:val="clear" w:color="000000" w:fill="F79646"/>
                  <w:noWrap/>
                  <w:vAlign w:val="center"/>
                  <w:hideMark/>
                </w:tcPr>
                <w:p w14:paraId="6271A976" w14:textId="77777777" w:rsidR="00254AC8" w:rsidRPr="00254AC8" w:rsidRDefault="00254AC8" w:rsidP="00254AC8">
                  <w:pPr>
                    <w:widowControl/>
                    <w:jc w:val="center"/>
                    <w:rPr>
                      <w:rFonts w:ascii="楷体" w:eastAsia="楷体" w:hAnsi="楷体" w:cs="宋体"/>
                      <w:b/>
                      <w:bCs/>
                      <w:color w:val="FFFFFF"/>
                      <w:kern w:val="0"/>
                      <w:sz w:val="20"/>
                      <w:szCs w:val="20"/>
                    </w:rPr>
                  </w:pPr>
                  <w:r w:rsidRPr="00254AC8">
                    <w:rPr>
                      <w:rFonts w:ascii="楷体" w:eastAsia="楷体" w:hAnsi="楷体" w:cs="宋体" w:hint="eastAsia"/>
                      <w:b/>
                      <w:bCs/>
                      <w:color w:val="FFFFFF"/>
                      <w:kern w:val="0"/>
                      <w:sz w:val="20"/>
                      <w:szCs w:val="20"/>
                    </w:rPr>
                    <w:t>收益率分位</w:t>
                  </w:r>
                </w:p>
              </w:tc>
              <w:tc>
                <w:tcPr>
                  <w:tcW w:w="920" w:type="dxa"/>
                  <w:tcBorders>
                    <w:top w:val="nil"/>
                    <w:left w:val="nil"/>
                    <w:bottom w:val="single" w:sz="12" w:space="0" w:color="FFFFFF"/>
                    <w:right w:val="single" w:sz="8" w:space="0" w:color="FFFFFF"/>
                  </w:tcBorders>
                  <w:shd w:val="clear" w:color="000000" w:fill="F79646"/>
                  <w:noWrap/>
                  <w:vAlign w:val="center"/>
                  <w:hideMark/>
                </w:tcPr>
                <w:p w14:paraId="3D7F0E86" w14:textId="77777777" w:rsidR="00254AC8" w:rsidRPr="00254AC8" w:rsidRDefault="00254AC8" w:rsidP="00254AC8">
                  <w:pPr>
                    <w:widowControl/>
                    <w:jc w:val="center"/>
                    <w:rPr>
                      <w:rFonts w:ascii="楷体" w:eastAsia="楷体" w:hAnsi="楷体" w:cs="宋体"/>
                      <w:b/>
                      <w:bCs/>
                      <w:color w:val="FFFFFF"/>
                      <w:kern w:val="0"/>
                      <w:sz w:val="20"/>
                      <w:szCs w:val="20"/>
                    </w:rPr>
                  </w:pPr>
                  <w:r w:rsidRPr="00254AC8">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4E5D11C8" w14:textId="77777777" w:rsidR="00254AC8" w:rsidRPr="00254AC8" w:rsidRDefault="00254AC8" w:rsidP="00254AC8">
                  <w:pPr>
                    <w:widowControl/>
                    <w:jc w:val="center"/>
                    <w:rPr>
                      <w:rFonts w:ascii="楷体" w:eastAsia="楷体" w:hAnsi="楷体" w:cs="宋体"/>
                      <w:b/>
                      <w:bCs/>
                      <w:color w:val="FFFFFF"/>
                      <w:kern w:val="0"/>
                      <w:sz w:val="20"/>
                      <w:szCs w:val="20"/>
                    </w:rPr>
                  </w:pPr>
                  <w:r w:rsidRPr="00254AC8">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637FFD19" w14:textId="77777777" w:rsidR="00254AC8" w:rsidRPr="00254AC8" w:rsidRDefault="00254AC8" w:rsidP="00254AC8">
                  <w:pPr>
                    <w:widowControl/>
                    <w:jc w:val="center"/>
                    <w:rPr>
                      <w:rFonts w:ascii="楷体" w:eastAsia="楷体" w:hAnsi="楷体" w:cs="宋体"/>
                      <w:b/>
                      <w:bCs/>
                      <w:color w:val="FFFFFF"/>
                      <w:kern w:val="0"/>
                      <w:sz w:val="20"/>
                      <w:szCs w:val="20"/>
                    </w:rPr>
                  </w:pPr>
                  <w:r w:rsidRPr="00254AC8">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401D80F3" w14:textId="77777777" w:rsidR="00254AC8" w:rsidRPr="00254AC8" w:rsidRDefault="00254AC8" w:rsidP="00254AC8">
                  <w:pPr>
                    <w:widowControl/>
                    <w:jc w:val="center"/>
                    <w:rPr>
                      <w:rFonts w:ascii="楷体" w:eastAsia="楷体" w:hAnsi="楷体" w:cs="宋体"/>
                      <w:b/>
                      <w:bCs/>
                      <w:color w:val="FFFFFF"/>
                      <w:kern w:val="0"/>
                      <w:sz w:val="20"/>
                      <w:szCs w:val="20"/>
                    </w:rPr>
                  </w:pPr>
                  <w:r w:rsidRPr="00254AC8">
                    <w:rPr>
                      <w:rFonts w:ascii="楷体" w:eastAsia="楷体" w:hAnsi="楷体" w:cs="宋体" w:hint="eastAsia"/>
                      <w:b/>
                      <w:bCs/>
                      <w:color w:val="FFFFFF"/>
                      <w:kern w:val="0"/>
                      <w:sz w:val="20"/>
                      <w:szCs w:val="20"/>
                    </w:rPr>
                    <w:t>AA-</w:t>
                  </w:r>
                </w:p>
              </w:tc>
              <w:tc>
                <w:tcPr>
                  <w:tcW w:w="1157" w:type="dxa"/>
                  <w:tcBorders>
                    <w:top w:val="nil"/>
                    <w:left w:val="nil"/>
                    <w:bottom w:val="single" w:sz="12" w:space="0" w:color="FFFFFF"/>
                    <w:right w:val="single" w:sz="8" w:space="0" w:color="FFFFFF"/>
                  </w:tcBorders>
                  <w:shd w:val="clear" w:color="000000" w:fill="F79646"/>
                  <w:noWrap/>
                  <w:vAlign w:val="center"/>
                  <w:hideMark/>
                </w:tcPr>
                <w:p w14:paraId="46E8AE16" w14:textId="77777777" w:rsidR="00254AC8" w:rsidRPr="00254AC8" w:rsidRDefault="00254AC8" w:rsidP="00254AC8">
                  <w:pPr>
                    <w:widowControl/>
                    <w:jc w:val="center"/>
                    <w:rPr>
                      <w:rFonts w:ascii="楷体" w:eastAsia="楷体" w:hAnsi="楷体" w:cs="宋体"/>
                      <w:b/>
                      <w:bCs/>
                      <w:color w:val="FFFFFF"/>
                      <w:kern w:val="0"/>
                      <w:sz w:val="20"/>
                      <w:szCs w:val="20"/>
                    </w:rPr>
                  </w:pPr>
                  <w:r w:rsidRPr="00254AC8">
                    <w:rPr>
                      <w:rFonts w:ascii="楷体" w:eastAsia="楷体" w:hAnsi="楷体" w:cs="宋体" w:hint="eastAsia"/>
                      <w:b/>
                      <w:bCs/>
                      <w:color w:val="FFFFFF"/>
                      <w:kern w:val="0"/>
                      <w:sz w:val="20"/>
                      <w:szCs w:val="20"/>
                    </w:rPr>
                    <w:t>息差</w:t>
                  </w:r>
                </w:p>
              </w:tc>
              <w:tc>
                <w:tcPr>
                  <w:tcW w:w="921" w:type="dxa"/>
                  <w:tcBorders>
                    <w:top w:val="nil"/>
                    <w:left w:val="nil"/>
                    <w:bottom w:val="single" w:sz="12" w:space="0" w:color="FFFFFF"/>
                    <w:right w:val="single" w:sz="8" w:space="0" w:color="FFFFFF"/>
                  </w:tcBorders>
                  <w:shd w:val="clear" w:color="000000" w:fill="F79646"/>
                  <w:noWrap/>
                  <w:vAlign w:val="center"/>
                  <w:hideMark/>
                </w:tcPr>
                <w:p w14:paraId="676B6A97" w14:textId="77777777" w:rsidR="00254AC8" w:rsidRPr="00254AC8" w:rsidRDefault="00254AC8" w:rsidP="00254AC8">
                  <w:pPr>
                    <w:widowControl/>
                    <w:jc w:val="center"/>
                    <w:rPr>
                      <w:rFonts w:ascii="楷体" w:eastAsia="楷体" w:hAnsi="楷体" w:cs="宋体"/>
                      <w:b/>
                      <w:bCs/>
                      <w:color w:val="FFFFFF"/>
                      <w:kern w:val="0"/>
                      <w:sz w:val="20"/>
                      <w:szCs w:val="20"/>
                    </w:rPr>
                  </w:pPr>
                  <w:r w:rsidRPr="00254AC8">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1EE51293" w14:textId="77777777" w:rsidR="00254AC8" w:rsidRPr="00254AC8" w:rsidRDefault="00254AC8" w:rsidP="00254AC8">
                  <w:pPr>
                    <w:widowControl/>
                    <w:jc w:val="center"/>
                    <w:rPr>
                      <w:rFonts w:ascii="楷体" w:eastAsia="楷体" w:hAnsi="楷体" w:cs="宋体"/>
                      <w:b/>
                      <w:bCs/>
                      <w:color w:val="FFFFFF"/>
                      <w:kern w:val="0"/>
                      <w:sz w:val="20"/>
                      <w:szCs w:val="20"/>
                    </w:rPr>
                  </w:pPr>
                  <w:r w:rsidRPr="00254AC8">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55066492" w14:textId="77777777" w:rsidR="00254AC8" w:rsidRPr="00254AC8" w:rsidRDefault="00254AC8" w:rsidP="00254AC8">
                  <w:pPr>
                    <w:widowControl/>
                    <w:jc w:val="center"/>
                    <w:rPr>
                      <w:rFonts w:ascii="楷体" w:eastAsia="楷体" w:hAnsi="楷体" w:cs="宋体"/>
                      <w:b/>
                      <w:bCs/>
                      <w:color w:val="FFFFFF"/>
                      <w:kern w:val="0"/>
                      <w:sz w:val="20"/>
                      <w:szCs w:val="20"/>
                    </w:rPr>
                  </w:pPr>
                  <w:r w:rsidRPr="00254AC8">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714D26B4" w14:textId="77777777" w:rsidR="00254AC8" w:rsidRPr="00254AC8" w:rsidRDefault="00254AC8" w:rsidP="00254AC8">
                  <w:pPr>
                    <w:widowControl/>
                    <w:jc w:val="center"/>
                    <w:rPr>
                      <w:rFonts w:ascii="楷体" w:eastAsia="楷体" w:hAnsi="楷体" w:cs="宋体"/>
                      <w:b/>
                      <w:bCs/>
                      <w:color w:val="FFFFFF"/>
                      <w:kern w:val="0"/>
                      <w:sz w:val="20"/>
                      <w:szCs w:val="20"/>
                    </w:rPr>
                  </w:pPr>
                  <w:r w:rsidRPr="00254AC8">
                    <w:rPr>
                      <w:rFonts w:ascii="楷体" w:eastAsia="楷体" w:hAnsi="楷体" w:cs="宋体" w:hint="eastAsia"/>
                      <w:b/>
                      <w:bCs/>
                      <w:color w:val="FFFFFF"/>
                      <w:kern w:val="0"/>
                      <w:sz w:val="20"/>
                      <w:szCs w:val="20"/>
                    </w:rPr>
                    <w:t>AA-</w:t>
                  </w:r>
                </w:p>
              </w:tc>
            </w:tr>
            <w:tr w:rsidR="00254AC8" w:rsidRPr="00254AC8" w14:paraId="150A5409" w14:textId="77777777" w:rsidTr="00254AC8">
              <w:trPr>
                <w:trHeight w:val="315"/>
              </w:trPr>
              <w:tc>
                <w:tcPr>
                  <w:tcW w:w="1350" w:type="dxa"/>
                  <w:tcBorders>
                    <w:top w:val="nil"/>
                    <w:left w:val="nil"/>
                    <w:bottom w:val="single" w:sz="8" w:space="0" w:color="FFFFFF"/>
                    <w:right w:val="single" w:sz="8" w:space="0" w:color="FFFFFF"/>
                  </w:tcBorders>
                  <w:shd w:val="clear" w:color="000000" w:fill="FCD5B4"/>
                  <w:noWrap/>
                  <w:vAlign w:val="center"/>
                  <w:hideMark/>
                </w:tcPr>
                <w:p w14:paraId="29A7E1C4" w14:textId="77777777" w:rsidR="00254AC8" w:rsidRPr="00254AC8" w:rsidRDefault="00254AC8" w:rsidP="00254AC8">
                  <w:pPr>
                    <w:widowControl/>
                    <w:jc w:val="center"/>
                    <w:rPr>
                      <w:rFonts w:ascii="楷体" w:eastAsia="楷体" w:hAnsi="楷体" w:cs="宋体"/>
                      <w:color w:val="000000"/>
                      <w:kern w:val="0"/>
                      <w:sz w:val="20"/>
                      <w:szCs w:val="20"/>
                    </w:rPr>
                  </w:pPr>
                  <w:r w:rsidRPr="00254AC8">
                    <w:rPr>
                      <w:rFonts w:ascii="楷体" w:eastAsia="楷体" w:hAnsi="楷体" w:cs="宋体" w:hint="eastAsia"/>
                      <w:color w:val="000000"/>
                      <w:kern w:val="0"/>
                      <w:sz w:val="20"/>
                      <w:szCs w:val="20"/>
                    </w:rPr>
                    <w:t>CP</w:t>
                  </w:r>
                </w:p>
              </w:tc>
              <w:tc>
                <w:tcPr>
                  <w:tcW w:w="920" w:type="dxa"/>
                  <w:tcBorders>
                    <w:top w:val="nil"/>
                    <w:left w:val="nil"/>
                    <w:bottom w:val="single" w:sz="8" w:space="0" w:color="FFFFFF"/>
                    <w:right w:val="single" w:sz="8" w:space="0" w:color="FFFFFF"/>
                  </w:tcBorders>
                  <w:shd w:val="clear" w:color="000000" w:fill="FCD5B4"/>
                  <w:noWrap/>
                  <w:vAlign w:val="center"/>
                  <w:hideMark/>
                </w:tcPr>
                <w:p w14:paraId="288CEE7A"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21%</w:t>
                  </w:r>
                </w:p>
              </w:tc>
              <w:tc>
                <w:tcPr>
                  <w:tcW w:w="921" w:type="dxa"/>
                  <w:tcBorders>
                    <w:top w:val="nil"/>
                    <w:left w:val="nil"/>
                    <w:bottom w:val="single" w:sz="8" w:space="0" w:color="FFFFFF"/>
                    <w:right w:val="single" w:sz="8" w:space="0" w:color="FFFFFF"/>
                  </w:tcBorders>
                  <w:shd w:val="clear" w:color="000000" w:fill="FCD5B4"/>
                  <w:noWrap/>
                  <w:vAlign w:val="center"/>
                  <w:hideMark/>
                </w:tcPr>
                <w:p w14:paraId="41A582BB"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17%</w:t>
                  </w:r>
                </w:p>
              </w:tc>
              <w:tc>
                <w:tcPr>
                  <w:tcW w:w="921" w:type="dxa"/>
                  <w:tcBorders>
                    <w:top w:val="nil"/>
                    <w:left w:val="nil"/>
                    <w:bottom w:val="single" w:sz="8" w:space="0" w:color="FFFFFF"/>
                    <w:right w:val="single" w:sz="8" w:space="0" w:color="FFFFFF"/>
                  </w:tcBorders>
                  <w:shd w:val="clear" w:color="000000" w:fill="FCD5B4"/>
                  <w:noWrap/>
                  <w:vAlign w:val="center"/>
                  <w:hideMark/>
                </w:tcPr>
                <w:p w14:paraId="0595138F"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19%</w:t>
                  </w:r>
                </w:p>
              </w:tc>
              <w:tc>
                <w:tcPr>
                  <w:tcW w:w="921" w:type="dxa"/>
                  <w:tcBorders>
                    <w:top w:val="nil"/>
                    <w:left w:val="nil"/>
                    <w:bottom w:val="single" w:sz="8" w:space="0" w:color="FFFFFF"/>
                    <w:right w:val="single" w:sz="8" w:space="0" w:color="FFFFFF"/>
                  </w:tcBorders>
                  <w:shd w:val="clear" w:color="000000" w:fill="FCD5B4"/>
                  <w:noWrap/>
                  <w:vAlign w:val="center"/>
                  <w:hideMark/>
                </w:tcPr>
                <w:p w14:paraId="431BFD56"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49%</w:t>
                  </w:r>
                </w:p>
              </w:tc>
              <w:tc>
                <w:tcPr>
                  <w:tcW w:w="1157" w:type="dxa"/>
                  <w:tcBorders>
                    <w:top w:val="nil"/>
                    <w:left w:val="nil"/>
                    <w:bottom w:val="single" w:sz="8" w:space="0" w:color="FFFFFF"/>
                    <w:right w:val="single" w:sz="8" w:space="0" w:color="FFFFFF"/>
                  </w:tcBorders>
                  <w:shd w:val="clear" w:color="000000" w:fill="FCD5B4"/>
                  <w:noWrap/>
                  <w:vAlign w:val="center"/>
                  <w:hideMark/>
                </w:tcPr>
                <w:p w14:paraId="23D2A269" w14:textId="77777777" w:rsidR="00254AC8" w:rsidRPr="00254AC8" w:rsidRDefault="00254AC8" w:rsidP="00254AC8">
                  <w:pPr>
                    <w:widowControl/>
                    <w:jc w:val="center"/>
                    <w:rPr>
                      <w:rFonts w:ascii="楷体" w:eastAsia="楷体" w:hAnsi="楷体" w:cs="宋体"/>
                      <w:color w:val="000000"/>
                      <w:kern w:val="0"/>
                      <w:sz w:val="20"/>
                      <w:szCs w:val="20"/>
                    </w:rPr>
                  </w:pPr>
                  <w:r w:rsidRPr="00254AC8">
                    <w:rPr>
                      <w:rFonts w:ascii="楷体" w:eastAsia="楷体" w:hAnsi="楷体" w:cs="宋体" w:hint="eastAsia"/>
                      <w:color w:val="000000"/>
                      <w:kern w:val="0"/>
                      <w:sz w:val="20"/>
                      <w:szCs w:val="20"/>
                    </w:rPr>
                    <w:t>CP</w:t>
                  </w:r>
                </w:p>
              </w:tc>
              <w:tc>
                <w:tcPr>
                  <w:tcW w:w="921" w:type="dxa"/>
                  <w:tcBorders>
                    <w:top w:val="nil"/>
                    <w:left w:val="nil"/>
                    <w:bottom w:val="single" w:sz="8" w:space="0" w:color="FFFFFF"/>
                    <w:right w:val="single" w:sz="8" w:space="0" w:color="FFFFFF"/>
                  </w:tcBorders>
                  <w:shd w:val="clear" w:color="000000" w:fill="FCD5B4"/>
                  <w:noWrap/>
                  <w:vAlign w:val="center"/>
                  <w:hideMark/>
                </w:tcPr>
                <w:p w14:paraId="62AD6BA3"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8%</w:t>
                  </w:r>
                </w:p>
              </w:tc>
              <w:tc>
                <w:tcPr>
                  <w:tcW w:w="921" w:type="dxa"/>
                  <w:tcBorders>
                    <w:top w:val="nil"/>
                    <w:left w:val="nil"/>
                    <w:bottom w:val="single" w:sz="8" w:space="0" w:color="FFFFFF"/>
                    <w:right w:val="single" w:sz="8" w:space="0" w:color="FFFFFF"/>
                  </w:tcBorders>
                  <w:shd w:val="clear" w:color="000000" w:fill="FCD5B4"/>
                  <w:noWrap/>
                  <w:vAlign w:val="center"/>
                  <w:hideMark/>
                </w:tcPr>
                <w:p w14:paraId="32072FB9"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3%</w:t>
                  </w:r>
                </w:p>
              </w:tc>
              <w:tc>
                <w:tcPr>
                  <w:tcW w:w="921" w:type="dxa"/>
                  <w:tcBorders>
                    <w:top w:val="nil"/>
                    <w:left w:val="nil"/>
                    <w:bottom w:val="single" w:sz="8" w:space="0" w:color="FFFFFF"/>
                    <w:right w:val="single" w:sz="8" w:space="0" w:color="FFFFFF"/>
                  </w:tcBorders>
                  <w:shd w:val="clear" w:color="000000" w:fill="FCD5B4"/>
                  <w:noWrap/>
                  <w:vAlign w:val="center"/>
                  <w:hideMark/>
                </w:tcPr>
                <w:p w14:paraId="58BE8813"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9%</w:t>
                  </w:r>
                </w:p>
              </w:tc>
              <w:tc>
                <w:tcPr>
                  <w:tcW w:w="921" w:type="dxa"/>
                  <w:tcBorders>
                    <w:top w:val="nil"/>
                    <w:left w:val="nil"/>
                    <w:bottom w:val="single" w:sz="8" w:space="0" w:color="FFFFFF"/>
                    <w:right w:val="single" w:sz="8" w:space="0" w:color="FFFFFF"/>
                  </w:tcBorders>
                  <w:shd w:val="clear" w:color="000000" w:fill="FCD5B4"/>
                  <w:noWrap/>
                  <w:vAlign w:val="center"/>
                  <w:hideMark/>
                </w:tcPr>
                <w:p w14:paraId="20771FC4"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68%</w:t>
                  </w:r>
                </w:p>
              </w:tc>
            </w:tr>
            <w:tr w:rsidR="00254AC8" w:rsidRPr="00254AC8" w14:paraId="14EBC286" w14:textId="77777777" w:rsidTr="00254AC8">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484688BA" w14:textId="77777777" w:rsidR="00254AC8" w:rsidRPr="00254AC8" w:rsidRDefault="00254AC8" w:rsidP="00254AC8">
                  <w:pPr>
                    <w:widowControl/>
                    <w:jc w:val="center"/>
                    <w:rPr>
                      <w:rFonts w:ascii="楷体" w:eastAsia="楷体" w:hAnsi="楷体" w:cs="宋体"/>
                      <w:color w:val="000000"/>
                      <w:kern w:val="0"/>
                      <w:sz w:val="20"/>
                      <w:szCs w:val="20"/>
                    </w:rPr>
                  </w:pPr>
                  <w:r w:rsidRPr="00254AC8">
                    <w:rPr>
                      <w:rFonts w:ascii="楷体" w:eastAsia="楷体" w:hAnsi="楷体" w:cs="宋体" w:hint="eastAsia"/>
                      <w:color w:val="000000"/>
                      <w:kern w:val="0"/>
                      <w:sz w:val="20"/>
                      <w:szCs w:val="20"/>
                    </w:rPr>
                    <w:t>MTN3Y</w:t>
                  </w:r>
                </w:p>
              </w:tc>
              <w:tc>
                <w:tcPr>
                  <w:tcW w:w="920" w:type="dxa"/>
                  <w:tcBorders>
                    <w:top w:val="nil"/>
                    <w:left w:val="nil"/>
                    <w:bottom w:val="single" w:sz="8" w:space="0" w:color="FFFFFF"/>
                    <w:right w:val="single" w:sz="8" w:space="0" w:color="FFFFFF"/>
                  </w:tcBorders>
                  <w:shd w:val="clear" w:color="000000" w:fill="FDE9D9"/>
                  <w:noWrap/>
                  <w:vAlign w:val="center"/>
                  <w:hideMark/>
                </w:tcPr>
                <w:p w14:paraId="54F82EE5"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18%</w:t>
                  </w:r>
                </w:p>
              </w:tc>
              <w:tc>
                <w:tcPr>
                  <w:tcW w:w="921" w:type="dxa"/>
                  <w:tcBorders>
                    <w:top w:val="nil"/>
                    <w:left w:val="nil"/>
                    <w:bottom w:val="single" w:sz="8" w:space="0" w:color="FFFFFF"/>
                    <w:right w:val="single" w:sz="8" w:space="0" w:color="FFFFFF"/>
                  </w:tcBorders>
                  <w:shd w:val="clear" w:color="000000" w:fill="FDE9D9"/>
                  <w:noWrap/>
                  <w:vAlign w:val="center"/>
                  <w:hideMark/>
                </w:tcPr>
                <w:p w14:paraId="502BF389"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14%</w:t>
                  </w:r>
                </w:p>
              </w:tc>
              <w:tc>
                <w:tcPr>
                  <w:tcW w:w="921" w:type="dxa"/>
                  <w:tcBorders>
                    <w:top w:val="nil"/>
                    <w:left w:val="nil"/>
                    <w:bottom w:val="single" w:sz="8" w:space="0" w:color="FFFFFF"/>
                    <w:right w:val="single" w:sz="8" w:space="0" w:color="FFFFFF"/>
                  </w:tcBorders>
                  <w:shd w:val="clear" w:color="000000" w:fill="FDE9D9"/>
                  <w:noWrap/>
                  <w:vAlign w:val="center"/>
                  <w:hideMark/>
                </w:tcPr>
                <w:p w14:paraId="412AC1A3"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23%</w:t>
                  </w:r>
                </w:p>
              </w:tc>
              <w:tc>
                <w:tcPr>
                  <w:tcW w:w="921" w:type="dxa"/>
                  <w:tcBorders>
                    <w:top w:val="nil"/>
                    <w:left w:val="nil"/>
                    <w:bottom w:val="single" w:sz="8" w:space="0" w:color="FFFFFF"/>
                    <w:right w:val="single" w:sz="8" w:space="0" w:color="FFFFFF"/>
                  </w:tcBorders>
                  <w:shd w:val="clear" w:color="000000" w:fill="FDE9D9"/>
                  <w:noWrap/>
                  <w:vAlign w:val="center"/>
                  <w:hideMark/>
                </w:tcPr>
                <w:p w14:paraId="20534F27"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61%</w:t>
                  </w:r>
                </w:p>
              </w:tc>
              <w:tc>
                <w:tcPr>
                  <w:tcW w:w="1157" w:type="dxa"/>
                  <w:tcBorders>
                    <w:top w:val="nil"/>
                    <w:left w:val="nil"/>
                    <w:bottom w:val="single" w:sz="8" w:space="0" w:color="FFFFFF"/>
                    <w:right w:val="single" w:sz="8" w:space="0" w:color="FFFFFF"/>
                  </w:tcBorders>
                  <w:shd w:val="clear" w:color="000000" w:fill="FDE9D9"/>
                  <w:noWrap/>
                  <w:vAlign w:val="center"/>
                  <w:hideMark/>
                </w:tcPr>
                <w:p w14:paraId="371042D7" w14:textId="77777777" w:rsidR="00254AC8" w:rsidRPr="00254AC8" w:rsidRDefault="00254AC8" w:rsidP="00254AC8">
                  <w:pPr>
                    <w:widowControl/>
                    <w:jc w:val="center"/>
                    <w:rPr>
                      <w:rFonts w:ascii="楷体" w:eastAsia="楷体" w:hAnsi="楷体" w:cs="宋体"/>
                      <w:color w:val="000000"/>
                      <w:kern w:val="0"/>
                      <w:sz w:val="20"/>
                      <w:szCs w:val="20"/>
                    </w:rPr>
                  </w:pPr>
                  <w:r w:rsidRPr="00254AC8">
                    <w:rPr>
                      <w:rFonts w:ascii="楷体" w:eastAsia="楷体" w:hAnsi="楷体" w:cs="宋体" w:hint="eastAsia"/>
                      <w:color w:val="000000"/>
                      <w:kern w:val="0"/>
                      <w:sz w:val="20"/>
                      <w:szCs w:val="20"/>
                    </w:rPr>
                    <w:t>MTN3Y</w:t>
                  </w:r>
                </w:p>
              </w:tc>
              <w:tc>
                <w:tcPr>
                  <w:tcW w:w="921" w:type="dxa"/>
                  <w:tcBorders>
                    <w:top w:val="nil"/>
                    <w:left w:val="nil"/>
                    <w:bottom w:val="single" w:sz="8" w:space="0" w:color="FFFFFF"/>
                    <w:right w:val="single" w:sz="8" w:space="0" w:color="FFFFFF"/>
                  </w:tcBorders>
                  <w:shd w:val="clear" w:color="000000" w:fill="FDE9D9"/>
                  <w:noWrap/>
                  <w:vAlign w:val="center"/>
                  <w:hideMark/>
                </w:tcPr>
                <w:p w14:paraId="05E10A60"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9%</w:t>
                  </w:r>
                </w:p>
              </w:tc>
              <w:tc>
                <w:tcPr>
                  <w:tcW w:w="921" w:type="dxa"/>
                  <w:tcBorders>
                    <w:top w:val="nil"/>
                    <w:left w:val="nil"/>
                    <w:bottom w:val="single" w:sz="8" w:space="0" w:color="FFFFFF"/>
                    <w:right w:val="single" w:sz="8" w:space="0" w:color="FFFFFF"/>
                  </w:tcBorders>
                  <w:shd w:val="clear" w:color="000000" w:fill="FDE9D9"/>
                  <w:noWrap/>
                  <w:vAlign w:val="center"/>
                  <w:hideMark/>
                </w:tcPr>
                <w:p w14:paraId="2557B74E"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7%</w:t>
                  </w:r>
                </w:p>
              </w:tc>
              <w:tc>
                <w:tcPr>
                  <w:tcW w:w="921" w:type="dxa"/>
                  <w:tcBorders>
                    <w:top w:val="nil"/>
                    <w:left w:val="nil"/>
                    <w:bottom w:val="single" w:sz="8" w:space="0" w:color="FFFFFF"/>
                    <w:right w:val="single" w:sz="8" w:space="0" w:color="FFFFFF"/>
                  </w:tcBorders>
                  <w:shd w:val="clear" w:color="000000" w:fill="FDE9D9"/>
                  <w:noWrap/>
                  <w:vAlign w:val="center"/>
                  <w:hideMark/>
                </w:tcPr>
                <w:p w14:paraId="311FE82E"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19%</w:t>
                  </w:r>
                </w:p>
              </w:tc>
              <w:tc>
                <w:tcPr>
                  <w:tcW w:w="921" w:type="dxa"/>
                  <w:tcBorders>
                    <w:top w:val="nil"/>
                    <w:left w:val="nil"/>
                    <w:bottom w:val="single" w:sz="8" w:space="0" w:color="FFFFFF"/>
                    <w:right w:val="single" w:sz="8" w:space="0" w:color="FFFFFF"/>
                  </w:tcBorders>
                  <w:shd w:val="clear" w:color="000000" w:fill="FDE9D9"/>
                  <w:noWrap/>
                  <w:vAlign w:val="center"/>
                  <w:hideMark/>
                </w:tcPr>
                <w:p w14:paraId="301AF312"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78%</w:t>
                  </w:r>
                </w:p>
              </w:tc>
            </w:tr>
            <w:tr w:rsidR="00254AC8" w:rsidRPr="00254AC8" w14:paraId="12260DE5" w14:textId="77777777" w:rsidTr="00254AC8">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33923F02" w14:textId="77777777" w:rsidR="00254AC8" w:rsidRPr="00254AC8" w:rsidRDefault="00254AC8" w:rsidP="00254AC8">
                  <w:pPr>
                    <w:widowControl/>
                    <w:jc w:val="center"/>
                    <w:rPr>
                      <w:rFonts w:ascii="楷体" w:eastAsia="楷体" w:hAnsi="楷体" w:cs="宋体"/>
                      <w:color w:val="000000"/>
                      <w:kern w:val="0"/>
                      <w:sz w:val="20"/>
                      <w:szCs w:val="20"/>
                    </w:rPr>
                  </w:pPr>
                  <w:r w:rsidRPr="00254AC8">
                    <w:rPr>
                      <w:rFonts w:ascii="楷体" w:eastAsia="楷体" w:hAnsi="楷体" w:cs="宋体" w:hint="eastAsia"/>
                      <w:color w:val="000000"/>
                      <w:kern w:val="0"/>
                      <w:sz w:val="20"/>
                      <w:szCs w:val="20"/>
                    </w:rPr>
                    <w:t>MTN5Y</w:t>
                  </w:r>
                </w:p>
              </w:tc>
              <w:tc>
                <w:tcPr>
                  <w:tcW w:w="920" w:type="dxa"/>
                  <w:tcBorders>
                    <w:top w:val="nil"/>
                    <w:left w:val="nil"/>
                    <w:bottom w:val="single" w:sz="8" w:space="0" w:color="FFFFFF"/>
                    <w:right w:val="single" w:sz="8" w:space="0" w:color="FFFFFF"/>
                  </w:tcBorders>
                  <w:shd w:val="clear" w:color="000000" w:fill="FCD5B4"/>
                  <w:noWrap/>
                  <w:vAlign w:val="center"/>
                  <w:hideMark/>
                </w:tcPr>
                <w:p w14:paraId="0C880FA3"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12%</w:t>
                  </w:r>
                </w:p>
              </w:tc>
              <w:tc>
                <w:tcPr>
                  <w:tcW w:w="921" w:type="dxa"/>
                  <w:tcBorders>
                    <w:top w:val="nil"/>
                    <w:left w:val="nil"/>
                    <w:bottom w:val="single" w:sz="8" w:space="0" w:color="FFFFFF"/>
                    <w:right w:val="single" w:sz="8" w:space="0" w:color="FFFFFF"/>
                  </w:tcBorders>
                  <w:shd w:val="clear" w:color="000000" w:fill="FCD5B4"/>
                  <w:noWrap/>
                  <w:vAlign w:val="center"/>
                  <w:hideMark/>
                </w:tcPr>
                <w:p w14:paraId="5ACCA6DF"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10%</w:t>
                  </w:r>
                </w:p>
              </w:tc>
              <w:tc>
                <w:tcPr>
                  <w:tcW w:w="921" w:type="dxa"/>
                  <w:tcBorders>
                    <w:top w:val="nil"/>
                    <w:left w:val="nil"/>
                    <w:bottom w:val="single" w:sz="8" w:space="0" w:color="FFFFFF"/>
                    <w:right w:val="single" w:sz="8" w:space="0" w:color="FFFFFF"/>
                  </w:tcBorders>
                  <w:shd w:val="clear" w:color="000000" w:fill="FCD5B4"/>
                  <w:noWrap/>
                  <w:vAlign w:val="center"/>
                  <w:hideMark/>
                </w:tcPr>
                <w:p w14:paraId="782A9DDD"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13%</w:t>
                  </w:r>
                </w:p>
              </w:tc>
              <w:tc>
                <w:tcPr>
                  <w:tcW w:w="921" w:type="dxa"/>
                  <w:tcBorders>
                    <w:top w:val="nil"/>
                    <w:left w:val="nil"/>
                    <w:bottom w:val="single" w:sz="8" w:space="0" w:color="FFFFFF"/>
                    <w:right w:val="single" w:sz="8" w:space="0" w:color="FFFFFF"/>
                  </w:tcBorders>
                  <w:shd w:val="clear" w:color="000000" w:fill="FCD5B4"/>
                  <w:noWrap/>
                  <w:vAlign w:val="center"/>
                  <w:hideMark/>
                </w:tcPr>
                <w:p w14:paraId="15F713DC"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52%</w:t>
                  </w:r>
                </w:p>
              </w:tc>
              <w:tc>
                <w:tcPr>
                  <w:tcW w:w="1157" w:type="dxa"/>
                  <w:tcBorders>
                    <w:top w:val="nil"/>
                    <w:left w:val="nil"/>
                    <w:bottom w:val="single" w:sz="8" w:space="0" w:color="FFFFFF"/>
                    <w:right w:val="single" w:sz="8" w:space="0" w:color="FFFFFF"/>
                  </w:tcBorders>
                  <w:shd w:val="clear" w:color="000000" w:fill="FCD5B4"/>
                  <w:noWrap/>
                  <w:vAlign w:val="center"/>
                  <w:hideMark/>
                </w:tcPr>
                <w:p w14:paraId="42C19A0A" w14:textId="77777777" w:rsidR="00254AC8" w:rsidRPr="00254AC8" w:rsidRDefault="00254AC8" w:rsidP="00254AC8">
                  <w:pPr>
                    <w:widowControl/>
                    <w:jc w:val="center"/>
                    <w:rPr>
                      <w:rFonts w:ascii="楷体" w:eastAsia="楷体" w:hAnsi="楷体" w:cs="宋体"/>
                      <w:color w:val="000000"/>
                      <w:kern w:val="0"/>
                      <w:sz w:val="20"/>
                      <w:szCs w:val="20"/>
                    </w:rPr>
                  </w:pPr>
                  <w:r w:rsidRPr="00254AC8">
                    <w:rPr>
                      <w:rFonts w:ascii="楷体" w:eastAsia="楷体" w:hAnsi="楷体" w:cs="宋体" w:hint="eastAsia"/>
                      <w:color w:val="000000"/>
                      <w:kern w:val="0"/>
                      <w:sz w:val="20"/>
                      <w:szCs w:val="20"/>
                    </w:rPr>
                    <w:t>MTN5Y</w:t>
                  </w:r>
                </w:p>
              </w:tc>
              <w:tc>
                <w:tcPr>
                  <w:tcW w:w="921" w:type="dxa"/>
                  <w:tcBorders>
                    <w:top w:val="nil"/>
                    <w:left w:val="nil"/>
                    <w:bottom w:val="single" w:sz="8" w:space="0" w:color="FFFFFF"/>
                    <w:right w:val="single" w:sz="8" w:space="0" w:color="FFFFFF"/>
                  </w:tcBorders>
                  <w:shd w:val="clear" w:color="000000" w:fill="FCD5B4"/>
                  <w:noWrap/>
                  <w:vAlign w:val="center"/>
                  <w:hideMark/>
                </w:tcPr>
                <w:p w14:paraId="183F578A"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8%</w:t>
                  </w:r>
                </w:p>
              </w:tc>
              <w:tc>
                <w:tcPr>
                  <w:tcW w:w="921" w:type="dxa"/>
                  <w:tcBorders>
                    <w:top w:val="nil"/>
                    <w:left w:val="nil"/>
                    <w:bottom w:val="single" w:sz="8" w:space="0" w:color="FFFFFF"/>
                    <w:right w:val="single" w:sz="8" w:space="0" w:color="FFFFFF"/>
                  </w:tcBorders>
                  <w:shd w:val="clear" w:color="000000" w:fill="FCD5B4"/>
                  <w:noWrap/>
                  <w:vAlign w:val="center"/>
                  <w:hideMark/>
                </w:tcPr>
                <w:p w14:paraId="510DFDCF"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6%</w:t>
                  </w:r>
                </w:p>
              </w:tc>
              <w:tc>
                <w:tcPr>
                  <w:tcW w:w="921" w:type="dxa"/>
                  <w:tcBorders>
                    <w:top w:val="nil"/>
                    <w:left w:val="nil"/>
                    <w:bottom w:val="single" w:sz="8" w:space="0" w:color="FFFFFF"/>
                    <w:right w:val="single" w:sz="8" w:space="0" w:color="FFFFFF"/>
                  </w:tcBorders>
                  <w:shd w:val="clear" w:color="000000" w:fill="FCD5B4"/>
                  <w:noWrap/>
                  <w:vAlign w:val="center"/>
                  <w:hideMark/>
                </w:tcPr>
                <w:p w14:paraId="20CEBC47"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12%</w:t>
                  </w:r>
                </w:p>
              </w:tc>
              <w:tc>
                <w:tcPr>
                  <w:tcW w:w="921" w:type="dxa"/>
                  <w:tcBorders>
                    <w:top w:val="nil"/>
                    <w:left w:val="nil"/>
                    <w:bottom w:val="single" w:sz="8" w:space="0" w:color="FFFFFF"/>
                    <w:right w:val="single" w:sz="8" w:space="0" w:color="FFFFFF"/>
                  </w:tcBorders>
                  <w:shd w:val="clear" w:color="000000" w:fill="FCD5B4"/>
                  <w:noWrap/>
                  <w:vAlign w:val="center"/>
                  <w:hideMark/>
                </w:tcPr>
                <w:p w14:paraId="3619AD9C"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67%</w:t>
                  </w:r>
                </w:p>
              </w:tc>
            </w:tr>
            <w:tr w:rsidR="00254AC8" w:rsidRPr="00254AC8" w14:paraId="7A58570A" w14:textId="77777777" w:rsidTr="00254AC8">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58EFC3F6" w14:textId="77777777" w:rsidR="00254AC8" w:rsidRPr="00254AC8" w:rsidRDefault="00254AC8" w:rsidP="00254AC8">
                  <w:pPr>
                    <w:widowControl/>
                    <w:jc w:val="center"/>
                    <w:rPr>
                      <w:rFonts w:ascii="楷体" w:eastAsia="楷体" w:hAnsi="楷体" w:cs="宋体"/>
                      <w:color w:val="000000"/>
                      <w:kern w:val="0"/>
                      <w:sz w:val="20"/>
                      <w:szCs w:val="20"/>
                    </w:rPr>
                  </w:pPr>
                  <w:r w:rsidRPr="00254AC8">
                    <w:rPr>
                      <w:rFonts w:ascii="楷体" w:eastAsia="楷体" w:hAnsi="楷体" w:cs="宋体" w:hint="eastAsia"/>
                      <w:color w:val="000000"/>
                      <w:kern w:val="0"/>
                      <w:sz w:val="20"/>
                      <w:szCs w:val="20"/>
                    </w:rPr>
                    <w:t>企业债3Y</w:t>
                  </w:r>
                </w:p>
              </w:tc>
              <w:tc>
                <w:tcPr>
                  <w:tcW w:w="920" w:type="dxa"/>
                  <w:tcBorders>
                    <w:top w:val="nil"/>
                    <w:left w:val="nil"/>
                    <w:bottom w:val="single" w:sz="8" w:space="0" w:color="FFFFFF"/>
                    <w:right w:val="single" w:sz="8" w:space="0" w:color="FFFFFF"/>
                  </w:tcBorders>
                  <w:shd w:val="clear" w:color="000000" w:fill="FDE9D9"/>
                  <w:noWrap/>
                  <w:vAlign w:val="center"/>
                  <w:hideMark/>
                </w:tcPr>
                <w:p w14:paraId="013D8FEF"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17%</w:t>
                  </w:r>
                </w:p>
              </w:tc>
              <w:tc>
                <w:tcPr>
                  <w:tcW w:w="921" w:type="dxa"/>
                  <w:tcBorders>
                    <w:top w:val="nil"/>
                    <w:left w:val="nil"/>
                    <w:bottom w:val="single" w:sz="8" w:space="0" w:color="FFFFFF"/>
                    <w:right w:val="single" w:sz="8" w:space="0" w:color="FFFFFF"/>
                  </w:tcBorders>
                  <w:shd w:val="clear" w:color="000000" w:fill="FDE9D9"/>
                  <w:noWrap/>
                  <w:vAlign w:val="center"/>
                  <w:hideMark/>
                </w:tcPr>
                <w:p w14:paraId="31C775F4"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15%</w:t>
                  </w:r>
                </w:p>
              </w:tc>
              <w:tc>
                <w:tcPr>
                  <w:tcW w:w="921" w:type="dxa"/>
                  <w:tcBorders>
                    <w:top w:val="nil"/>
                    <w:left w:val="nil"/>
                    <w:bottom w:val="single" w:sz="8" w:space="0" w:color="FFFFFF"/>
                    <w:right w:val="single" w:sz="8" w:space="0" w:color="FFFFFF"/>
                  </w:tcBorders>
                  <w:shd w:val="clear" w:color="000000" w:fill="FDE9D9"/>
                  <w:noWrap/>
                  <w:vAlign w:val="center"/>
                  <w:hideMark/>
                </w:tcPr>
                <w:p w14:paraId="4C04D8F9"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20%</w:t>
                  </w:r>
                </w:p>
              </w:tc>
              <w:tc>
                <w:tcPr>
                  <w:tcW w:w="921" w:type="dxa"/>
                  <w:tcBorders>
                    <w:top w:val="nil"/>
                    <w:left w:val="nil"/>
                    <w:bottom w:val="single" w:sz="8" w:space="0" w:color="FFFFFF"/>
                    <w:right w:val="single" w:sz="8" w:space="0" w:color="FFFFFF"/>
                  </w:tcBorders>
                  <w:shd w:val="clear" w:color="000000" w:fill="FDE9D9"/>
                  <w:noWrap/>
                  <w:vAlign w:val="center"/>
                  <w:hideMark/>
                </w:tcPr>
                <w:p w14:paraId="7104AACC"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56%</w:t>
                  </w:r>
                </w:p>
              </w:tc>
              <w:tc>
                <w:tcPr>
                  <w:tcW w:w="1157" w:type="dxa"/>
                  <w:tcBorders>
                    <w:top w:val="nil"/>
                    <w:left w:val="nil"/>
                    <w:bottom w:val="single" w:sz="8" w:space="0" w:color="FFFFFF"/>
                    <w:right w:val="single" w:sz="8" w:space="0" w:color="FFFFFF"/>
                  </w:tcBorders>
                  <w:shd w:val="clear" w:color="000000" w:fill="FDE9D9"/>
                  <w:noWrap/>
                  <w:vAlign w:val="center"/>
                  <w:hideMark/>
                </w:tcPr>
                <w:p w14:paraId="5B1950A4" w14:textId="77777777" w:rsidR="00254AC8" w:rsidRPr="00254AC8" w:rsidRDefault="00254AC8" w:rsidP="00254AC8">
                  <w:pPr>
                    <w:widowControl/>
                    <w:jc w:val="center"/>
                    <w:rPr>
                      <w:rFonts w:ascii="楷体" w:eastAsia="楷体" w:hAnsi="楷体" w:cs="宋体"/>
                      <w:color w:val="000000"/>
                      <w:kern w:val="0"/>
                      <w:sz w:val="20"/>
                      <w:szCs w:val="20"/>
                    </w:rPr>
                  </w:pPr>
                  <w:r w:rsidRPr="00254AC8">
                    <w:rPr>
                      <w:rFonts w:ascii="楷体" w:eastAsia="楷体" w:hAnsi="楷体" w:cs="宋体" w:hint="eastAsia"/>
                      <w:color w:val="000000"/>
                      <w:kern w:val="0"/>
                      <w:sz w:val="20"/>
                      <w:szCs w:val="20"/>
                    </w:rPr>
                    <w:t>企业债3Y</w:t>
                  </w:r>
                </w:p>
              </w:tc>
              <w:tc>
                <w:tcPr>
                  <w:tcW w:w="921" w:type="dxa"/>
                  <w:tcBorders>
                    <w:top w:val="nil"/>
                    <w:left w:val="nil"/>
                    <w:bottom w:val="single" w:sz="8" w:space="0" w:color="FFFFFF"/>
                    <w:right w:val="single" w:sz="8" w:space="0" w:color="FFFFFF"/>
                  </w:tcBorders>
                  <w:shd w:val="clear" w:color="000000" w:fill="FDE9D9"/>
                  <w:noWrap/>
                  <w:vAlign w:val="center"/>
                  <w:hideMark/>
                </w:tcPr>
                <w:p w14:paraId="75377938"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6%</w:t>
                  </w:r>
                </w:p>
              </w:tc>
              <w:tc>
                <w:tcPr>
                  <w:tcW w:w="921" w:type="dxa"/>
                  <w:tcBorders>
                    <w:top w:val="nil"/>
                    <w:left w:val="nil"/>
                    <w:bottom w:val="single" w:sz="8" w:space="0" w:color="FFFFFF"/>
                    <w:right w:val="single" w:sz="8" w:space="0" w:color="FFFFFF"/>
                  </w:tcBorders>
                  <w:shd w:val="clear" w:color="000000" w:fill="FDE9D9"/>
                  <w:noWrap/>
                  <w:vAlign w:val="center"/>
                  <w:hideMark/>
                </w:tcPr>
                <w:p w14:paraId="6C324AC8"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11%</w:t>
                  </w:r>
                </w:p>
              </w:tc>
              <w:tc>
                <w:tcPr>
                  <w:tcW w:w="921" w:type="dxa"/>
                  <w:tcBorders>
                    <w:top w:val="nil"/>
                    <w:left w:val="nil"/>
                    <w:bottom w:val="single" w:sz="8" w:space="0" w:color="FFFFFF"/>
                    <w:right w:val="single" w:sz="8" w:space="0" w:color="FFFFFF"/>
                  </w:tcBorders>
                  <w:shd w:val="clear" w:color="000000" w:fill="FDE9D9"/>
                  <w:noWrap/>
                  <w:vAlign w:val="center"/>
                  <w:hideMark/>
                </w:tcPr>
                <w:p w14:paraId="606BDB28"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16%</w:t>
                  </w:r>
                </w:p>
              </w:tc>
              <w:tc>
                <w:tcPr>
                  <w:tcW w:w="921" w:type="dxa"/>
                  <w:tcBorders>
                    <w:top w:val="nil"/>
                    <w:left w:val="nil"/>
                    <w:bottom w:val="single" w:sz="8" w:space="0" w:color="FFFFFF"/>
                    <w:right w:val="single" w:sz="8" w:space="0" w:color="FFFFFF"/>
                  </w:tcBorders>
                  <w:shd w:val="clear" w:color="000000" w:fill="FDE9D9"/>
                  <w:noWrap/>
                  <w:vAlign w:val="center"/>
                  <w:hideMark/>
                </w:tcPr>
                <w:p w14:paraId="24C37B27"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71%</w:t>
                  </w:r>
                </w:p>
              </w:tc>
            </w:tr>
            <w:tr w:rsidR="00254AC8" w:rsidRPr="00254AC8" w14:paraId="10569701" w14:textId="77777777" w:rsidTr="00254AC8">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2A100C9A" w14:textId="77777777" w:rsidR="00254AC8" w:rsidRPr="00254AC8" w:rsidRDefault="00254AC8" w:rsidP="00254AC8">
                  <w:pPr>
                    <w:widowControl/>
                    <w:jc w:val="center"/>
                    <w:rPr>
                      <w:rFonts w:ascii="楷体" w:eastAsia="楷体" w:hAnsi="楷体" w:cs="宋体"/>
                      <w:color w:val="000000"/>
                      <w:kern w:val="0"/>
                      <w:sz w:val="20"/>
                      <w:szCs w:val="20"/>
                    </w:rPr>
                  </w:pPr>
                  <w:r w:rsidRPr="00254AC8">
                    <w:rPr>
                      <w:rFonts w:ascii="楷体" w:eastAsia="楷体" w:hAnsi="楷体" w:cs="宋体" w:hint="eastAsia"/>
                      <w:color w:val="000000"/>
                      <w:kern w:val="0"/>
                      <w:sz w:val="20"/>
                      <w:szCs w:val="20"/>
                    </w:rPr>
                    <w:t>企业债5Y</w:t>
                  </w:r>
                </w:p>
              </w:tc>
              <w:tc>
                <w:tcPr>
                  <w:tcW w:w="920" w:type="dxa"/>
                  <w:tcBorders>
                    <w:top w:val="nil"/>
                    <w:left w:val="nil"/>
                    <w:bottom w:val="single" w:sz="8" w:space="0" w:color="FFFFFF"/>
                    <w:right w:val="single" w:sz="8" w:space="0" w:color="FFFFFF"/>
                  </w:tcBorders>
                  <w:shd w:val="clear" w:color="000000" w:fill="FCD5B4"/>
                  <w:noWrap/>
                  <w:vAlign w:val="center"/>
                  <w:hideMark/>
                </w:tcPr>
                <w:p w14:paraId="44C02E10"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13%</w:t>
                  </w:r>
                </w:p>
              </w:tc>
              <w:tc>
                <w:tcPr>
                  <w:tcW w:w="921" w:type="dxa"/>
                  <w:tcBorders>
                    <w:top w:val="nil"/>
                    <w:left w:val="nil"/>
                    <w:bottom w:val="single" w:sz="8" w:space="0" w:color="FFFFFF"/>
                    <w:right w:val="single" w:sz="8" w:space="0" w:color="FFFFFF"/>
                  </w:tcBorders>
                  <w:shd w:val="clear" w:color="000000" w:fill="FCD5B4"/>
                  <w:noWrap/>
                  <w:vAlign w:val="center"/>
                  <w:hideMark/>
                </w:tcPr>
                <w:p w14:paraId="1BB3E58B"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10%</w:t>
                  </w:r>
                </w:p>
              </w:tc>
              <w:tc>
                <w:tcPr>
                  <w:tcW w:w="921" w:type="dxa"/>
                  <w:tcBorders>
                    <w:top w:val="nil"/>
                    <w:left w:val="nil"/>
                    <w:bottom w:val="single" w:sz="8" w:space="0" w:color="FFFFFF"/>
                    <w:right w:val="single" w:sz="8" w:space="0" w:color="FFFFFF"/>
                  </w:tcBorders>
                  <w:shd w:val="clear" w:color="000000" w:fill="FCD5B4"/>
                  <w:noWrap/>
                  <w:vAlign w:val="center"/>
                  <w:hideMark/>
                </w:tcPr>
                <w:p w14:paraId="5F79D525"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12%</w:t>
                  </w:r>
                </w:p>
              </w:tc>
              <w:tc>
                <w:tcPr>
                  <w:tcW w:w="921" w:type="dxa"/>
                  <w:tcBorders>
                    <w:top w:val="nil"/>
                    <w:left w:val="nil"/>
                    <w:bottom w:val="single" w:sz="8" w:space="0" w:color="FFFFFF"/>
                    <w:right w:val="single" w:sz="8" w:space="0" w:color="FFFFFF"/>
                  </w:tcBorders>
                  <w:shd w:val="clear" w:color="000000" w:fill="FCD5B4"/>
                  <w:noWrap/>
                  <w:vAlign w:val="center"/>
                  <w:hideMark/>
                </w:tcPr>
                <w:p w14:paraId="5FF2C980"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47%</w:t>
                  </w:r>
                </w:p>
              </w:tc>
              <w:tc>
                <w:tcPr>
                  <w:tcW w:w="1157" w:type="dxa"/>
                  <w:tcBorders>
                    <w:top w:val="nil"/>
                    <w:left w:val="nil"/>
                    <w:bottom w:val="single" w:sz="8" w:space="0" w:color="FFFFFF"/>
                    <w:right w:val="single" w:sz="8" w:space="0" w:color="FFFFFF"/>
                  </w:tcBorders>
                  <w:shd w:val="clear" w:color="000000" w:fill="FCD5B4"/>
                  <w:noWrap/>
                  <w:vAlign w:val="center"/>
                  <w:hideMark/>
                </w:tcPr>
                <w:p w14:paraId="00292445" w14:textId="77777777" w:rsidR="00254AC8" w:rsidRPr="00254AC8" w:rsidRDefault="00254AC8" w:rsidP="00254AC8">
                  <w:pPr>
                    <w:widowControl/>
                    <w:jc w:val="center"/>
                    <w:rPr>
                      <w:rFonts w:ascii="楷体" w:eastAsia="楷体" w:hAnsi="楷体" w:cs="宋体"/>
                      <w:color w:val="000000"/>
                      <w:kern w:val="0"/>
                      <w:sz w:val="20"/>
                      <w:szCs w:val="20"/>
                    </w:rPr>
                  </w:pPr>
                  <w:r w:rsidRPr="00254AC8">
                    <w:rPr>
                      <w:rFonts w:ascii="楷体" w:eastAsia="楷体" w:hAnsi="楷体" w:cs="宋体" w:hint="eastAsia"/>
                      <w:color w:val="000000"/>
                      <w:kern w:val="0"/>
                      <w:sz w:val="20"/>
                      <w:szCs w:val="20"/>
                    </w:rPr>
                    <w:t>企业债5Y</w:t>
                  </w:r>
                </w:p>
              </w:tc>
              <w:tc>
                <w:tcPr>
                  <w:tcW w:w="921" w:type="dxa"/>
                  <w:tcBorders>
                    <w:top w:val="nil"/>
                    <w:left w:val="nil"/>
                    <w:bottom w:val="single" w:sz="8" w:space="0" w:color="FFFFFF"/>
                    <w:right w:val="single" w:sz="8" w:space="0" w:color="FFFFFF"/>
                  </w:tcBorders>
                  <w:shd w:val="clear" w:color="000000" w:fill="FCD5B4"/>
                  <w:noWrap/>
                  <w:vAlign w:val="center"/>
                  <w:hideMark/>
                </w:tcPr>
                <w:p w14:paraId="45612CB4"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8%</w:t>
                  </w:r>
                </w:p>
              </w:tc>
              <w:tc>
                <w:tcPr>
                  <w:tcW w:w="921" w:type="dxa"/>
                  <w:tcBorders>
                    <w:top w:val="nil"/>
                    <w:left w:val="nil"/>
                    <w:bottom w:val="single" w:sz="8" w:space="0" w:color="FFFFFF"/>
                    <w:right w:val="single" w:sz="8" w:space="0" w:color="FFFFFF"/>
                  </w:tcBorders>
                  <w:shd w:val="clear" w:color="000000" w:fill="FCD5B4"/>
                  <w:noWrap/>
                  <w:vAlign w:val="center"/>
                  <w:hideMark/>
                </w:tcPr>
                <w:p w14:paraId="3BFCD3BA"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6%</w:t>
                  </w:r>
                </w:p>
              </w:tc>
              <w:tc>
                <w:tcPr>
                  <w:tcW w:w="921" w:type="dxa"/>
                  <w:tcBorders>
                    <w:top w:val="nil"/>
                    <w:left w:val="nil"/>
                    <w:bottom w:val="single" w:sz="8" w:space="0" w:color="FFFFFF"/>
                    <w:right w:val="single" w:sz="8" w:space="0" w:color="FFFFFF"/>
                  </w:tcBorders>
                  <w:shd w:val="clear" w:color="000000" w:fill="FCD5B4"/>
                  <w:noWrap/>
                  <w:vAlign w:val="center"/>
                  <w:hideMark/>
                </w:tcPr>
                <w:p w14:paraId="6D5362BB"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10%</w:t>
                  </w:r>
                </w:p>
              </w:tc>
              <w:tc>
                <w:tcPr>
                  <w:tcW w:w="921" w:type="dxa"/>
                  <w:tcBorders>
                    <w:top w:val="nil"/>
                    <w:left w:val="nil"/>
                    <w:bottom w:val="single" w:sz="8" w:space="0" w:color="FFFFFF"/>
                    <w:right w:val="single" w:sz="8" w:space="0" w:color="FFFFFF"/>
                  </w:tcBorders>
                  <w:shd w:val="clear" w:color="000000" w:fill="FCD5B4"/>
                  <w:noWrap/>
                  <w:vAlign w:val="center"/>
                  <w:hideMark/>
                </w:tcPr>
                <w:p w14:paraId="32FF89CF"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64%</w:t>
                  </w:r>
                </w:p>
              </w:tc>
            </w:tr>
            <w:tr w:rsidR="00254AC8" w:rsidRPr="00254AC8" w14:paraId="52EB98E8" w14:textId="77777777" w:rsidTr="00254AC8">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64EBBBCE" w14:textId="77777777" w:rsidR="00254AC8" w:rsidRPr="00254AC8" w:rsidRDefault="00254AC8" w:rsidP="00254AC8">
                  <w:pPr>
                    <w:widowControl/>
                    <w:jc w:val="center"/>
                    <w:rPr>
                      <w:rFonts w:ascii="楷体" w:eastAsia="楷体" w:hAnsi="楷体" w:cs="宋体"/>
                      <w:color w:val="000000"/>
                      <w:kern w:val="0"/>
                      <w:sz w:val="20"/>
                      <w:szCs w:val="20"/>
                    </w:rPr>
                  </w:pPr>
                  <w:r w:rsidRPr="00254AC8">
                    <w:rPr>
                      <w:rFonts w:ascii="楷体" w:eastAsia="楷体" w:hAnsi="楷体" w:cs="宋体" w:hint="eastAsia"/>
                      <w:color w:val="000000"/>
                      <w:kern w:val="0"/>
                      <w:sz w:val="20"/>
                      <w:szCs w:val="20"/>
                    </w:rPr>
                    <w:t>企业债7Y</w:t>
                  </w:r>
                </w:p>
              </w:tc>
              <w:tc>
                <w:tcPr>
                  <w:tcW w:w="920" w:type="dxa"/>
                  <w:tcBorders>
                    <w:top w:val="nil"/>
                    <w:left w:val="nil"/>
                    <w:bottom w:val="single" w:sz="8" w:space="0" w:color="FFFFFF"/>
                    <w:right w:val="single" w:sz="8" w:space="0" w:color="FFFFFF"/>
                  </w:tcBorders>
                  <w:shd w:val="clear" w:color="000000" w:fill="FDE9D9"/>
                  <w:noWrap/>
                  <w:vAlign w:val="center"/>
                  <w:hideMark/>
                </w:tcPr>
                <w:p w14:paraId="4290C1C0"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12%</w:t>
                  </w:r>
                </w:p>
              </w:tc>
              <w:tc>
                <w:tcPr>
                  <w:tcW w:w="921" w:type="dxa"/>
                  <w:tcBorders>
                    <w:top w:val="nil"/>
                    <w:left w:val="nil"/>
                    <w:bottom w:val="single" w:sz="8" w:space="0" w:color="FFFFFF"/>
                    <w:right w:val="single" w:sz="8" w:space="0" w:color="FFFFFF"/>
                  </w:tcBorders>
                  <w:shd w:val="clear" w:color="000000" w:fill="FDE9D9"/>
                  <w:noWrap/>
                  <w:vAlign w:val="center"/>
                  <w:hideMark/>
                </w:tcPr>
                <w:p w14:paraId="4665BC84"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8%</w:t>
                  </w:r>
                </w:p>
              </w:tc>
              <w:tc>
                <w:tcPr>
                  <w:tcW w:w="921" w:type="dxa"/>
                  <w:tcBorders>
                    <w:top w:val="nil"/>
                    <w:left w:val="nil"/>
                    <w:bottom w:val="single" w:sz="8" w:space="0" w:color="FFFFFF"/>
                    <w:right w:val="single" w:sz="8" w:space="0" w:color="FFFFFF"/>
                  </w:tcBorders>
                  <w:shd w:val="clear" w:color="000000" w:fill="FDE9D9"/>
                  <w:noWrap/>
                  <w:vAlign w:val="center"/>
                  <w:hideMark/>
                </w:tcPr>
                <w:p w14:paraId="47FDDEA8"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10%</w:t>
                  </w:r>
                </w:p>
              </w:tc>
              <w:tc>
                <w:tcPr>
                  <w:tcW w:w="921" w:type="dxa"/>
                  <w:tcBorders>
                    <w:top w:val="nil"/>
                    <w:left w:val="nil"/>
                    <w:bottom w:val="single" w:sz="8" w:space="0" w:color="FFFFFF"/>
                    <w:right w:val="single" w:sz="8" w:space="0" w:color="FFFFFF"/>
                  </w:tcBorders>
                  <w:shd w:val="clear" w:color="000000" w:fill="FDE9D9"/>
                  <w:noWrap/>
                  <w:vAlign w:val="center"/>
                  <w:hideMark/>
                </w:tcPr>
                <w:p w14:paraId="7153B08A"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42%</w:t>
                  </w:r>
                </w:p>
              </w:tc>
              <w:tc>
                <w:tcPr>
                  <w:tcW w:w="1157" w:type="dxa"/>
                  <w:tcBorders>
                    <w:top w:val="nil"/>
                    <w:left w:val="nil"/>
                    <w:bottom w:val="single" w:sz="8" w:space="0" w:color="FFFFFF"/>
                    <w:right w:val="single" w:sz="8" w:space="0" w:color="FFFFFF"/>
                  </w:tcBorders>
                  <w:shd w:val="clear" w:color="000000" w:fill="FDE9D9"/>
                  <w:noWrap/>
                  <w:vAlign w:val="center"/>
                  <w:hideMark/>
                </w:tcPr>
                <w:p w14:paraId="32A89259" w14:textId="77777777" w:rsidR="00254AC8" w:rsidRPr="00254AC8" w:rsidRDefault="00254AC8" w:rsidP="00254AC8">
                  <w:pPr>
                    <w:widowControl/>
                    <w:jc w:val="center"/>
                    <w:rPr>
                      <w:rFonts w:ascii="楷体" w:eastAsia="楷体" w:hAnsi="楷体" w:cs="宋体"/>
                      <w:color w:val="000000"/>
                      <w:kern w:val="0"/>
                      <w:sz w:val="20"/>
                      <w:szCs w:val="20"/>
                    </w:rPr>
                  </w:pPr>
                  <w:r w:rsidRPr="00254AC8">
                    <w:rPr>
                      <w:rFonts w:ascii="楷体" w:eastAsia="楷体" w:hAnsi="楷体" w:cs="宋体" w:hint="eastAsia"/>
                      <w:color w:val="000000"/>
                      <w:kern w:val="0"/>
                      <w:sz w:val="20"/>
                      <w:szCs w:val="20"/>
                    </w:rPr>
                    <w:t>企业债7Y</w:t>
                  </w:r>
                </w:p>
              </w:tc>
              <w:tc>
                <w:tcPr>
                  <w:tcW w:w="921" w:type="dxa"/>
                  <w:tcBorders>
                    <w:top w:val="nil"/>
                    <w:left w:val="nil"/>
                    <w:bottom w:val="single" w:sz="8" w:space="0" w:color="FFFFFF"/>
                    <w:right w:val="single" w:sz="8" w:space="0" w:color="FFFFFF"/>
                  </w:tcBorders>
                  <w:shd w:val="clear" w:color="000000" w:fill="FDE9D9"/>
                  <w:noWrap/>
                  <w:vAlign w:val="center"/>
                  <w:hideMark/>
                </w:tcPr>
                <w:p w14:paraId="08032FAF"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18%</w:t>
                  </w:r>
                </w:p>
              </w:tc>
              <w:tc>
                <w:tcPr>
                  <w:tcW w:w="921" w:type="dxa"/>
                  <w:tcBorders>
                    <w:top w:val="nil"/>
                    <w:left w:val="nil"/>
                    <w:bottom w:val="single" w:sz="8" w:space="0" w:color="FFFFFF"/>
                    <w:right w:val="single" w:sz="8" w:space="0" w:color="FFFFFF"/>
                  </w:tcBorders>
                  <w:shd w:val="clear" w:color="000000" w:fill="FDE9D9"/>
                  <w:noWrap/>
                  <w:vAlign w:val="center"/>
                  <w:hideMark/>
                </w:tcPr>
                <w:p w14:paraId="7D490DC2"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7%</w:t>
                  </w:r>
                </w:p>
              </w:tc>
              <w:tc>
                <w:tcPr>
                  <w:tcW w:w="921" w:type="dxa"/>
                  <w:tcBorders>
                    <w:top w:val="nil"/>
                    <w:left w:val="nil"/>
                    <w:bottom w:val="single" w:sz="8" w:space="0" w:color="FFFFFF"/>
                    <w:right w:val="single" w:sz="8" w:space="0" w:color="FFFFFF"/>
                  </w:tcBorders>
                  <w:shd w:val="clear" w:color="000000" w:fill="FDE9D9"/>
                  <w:noWrap/>
                  <w:vAlign w:val="center"/>
                  <w:hideMark/>
                </w:tcPr>
                <w:p w14:paraId="76A1CCBA"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13%</w:t>
                  </w:r>
                </w:p>
              </w:tc>
              <w:tc>
                <w:tcPr>
                  <w:tcW w:w="921" w:type="dxa"/>
                  <w:tcBorders>
                    <w:top w:val="nil"/>
                    <w:left w:val="nil"/>
                    <w:bottom w:val="single" w:sz="8" w:space="0" w:color="FFFFFF"/>
                    <w:right w:val="single" w:sz="8" w:space="0" w:color="FFFFFF"/>
                  </w:tcBorders>
                  <w:shd w:val="clear" w:color="000000" w:fill="FDE9D9"/>
                  <w:noWrap/>
                  <w:vAlign w:val="center"/>
                  <w:hideMark/>
                </w:tcPr>
                <w:p w14:paraId="3837E226"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63%</w:t>
                  </w:r>
                </w:p>
              </w:tc>
            </w:tr>
            <w:tr w:rsidR="00254AC8" w:rsidRPr="00254AC8" w14:paraId="14318D30" w14:textId="77777777" w:rsidTr="00254AC8">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3355D29A" w14:textId="77777777" w:rsidR="00254AC8" w:rsidRPr="00254AC8" w:rsidRDefault="00254AC8" w:rsidP="00254AC8">
                  <w:pPr>
                    <w:widowControl/>
                    <w:jc w:val="center"/>
                    <w:rPr>
                      <w:rFonts w:ascii="楷体" w:eastAsia="楷体" w:hAnsi="楷体" w:cs="宋体"/>
                      <w:color w:val="000000"/>
                      <w:kern w:val="0"/>
                      <w:sz w:val="20"/>
                      <w:szCs w:val="20"/>
                    </w:rPr>
                  </w:pPr>
                  <w:proofErr w:type="gramStart"/>
                  <w:r w:rsidRPr="00254AC8">
                    <w:rPr>
                      <w:rFonts w:ascii="楷体" w:eastAsia="楷体" w:hAnsi="楷体" w:cs="宋体" w:hint="eastAsia"/>
                      <w:color w:val="000000"/>
                      <w:kern w:val="0"/>
                      <w:sz w:val="20"/>
                      <w:szCs w:val="20"/>
                    </w:rPr>
                    <w:t>城投债</w:t>
                  </w:r>
                  <w:proofErr w:type="gramEnd"/>
                  <w:r w:rsidRPr="00254AC8">
                    <w:rPr>
                      <w:rFonts w:ascii="楷体" w:eastAsia="楷体" w:hAnsi="楷体" w:cs="宋体" w:hint="eastAsia"/>
                      <w:color w:val="000000"/>
                      <w:kern w:val="0"/>
                      <w:sz w:val="20"/>
                      <w:szCs w:val="20"/>
                    </w:rPr>
                    <w:t>3Y</w:t>
                  </w:r>
                </w:p>
              </w:tc>
              <w:tc>
                <w:tcPr>
                  <w:tcW w:w="920" w:type="dxa"/>
                  <w:tcBorders>
                    <w:top w:val="nil"/>
                    <w:left w:val="nil"/>
                    <w:bottom w:val="single" w:sz="8" w:space="0" w:color="FFFFFF"/>
                    <w:right w:val="single" w:sz="8" w:space="0" w:color="FFFFFF"/>
                  </w:tcBorders>
                  <w:shd w:val="clear" w:color="000000" w:fill="FCD5B4"/>
                  <w:noWrap/>
                  <w:vAlign w:val="center"/>
                  <w:hideMark/>
                </w:tcPr>
                <w:p w14:paraId="7E7D1B02"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13%</w:t>
                  </w:r>
                </w:p>
              </w:tc>
              <w:tc>
                <w:tcPr>
                  <w:tcW w:w="921" w:type="dxa"/>
                  <w:tcBorders>
                    <w:top w:val="nil"/>
                    <w:left w:val="nil"/>
                    <w:bottom w:val="single" w:sz="8" w:space="0" w:color="FFFFFF"/>
                    <w:right w:val="single" w:sz="8" w:space="0" w:color="FFFFFF"/>
                  </w:tcBorders>
                  <w:shd w:val="clear" w:color="000000" w:fill="FCD5B4"/>
                  <w:noWrap/>
                  <w:vAlign w:val="center"/>
                  <w:hideMark/>
                </w:tcPr>
                <w:p w14:paraId="20821D5B"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12%</w:t>
                  </w:r>
                </w:p>
              </w:tc>
              <w:tc>
                <w:tcPr>
                  <w:tcW w:w="921" w:type="dxa"/>
                  <w:tcBorders>
                    <w:top w:val="nil"/>
                    <w:left w:val="nil"/>
                    <w:bottom w:val="single" w:sz="8" w:space="0" w:color="FFFFFF"/>
                    <w:right w:val="single" w:sz="8" w:space="0" w:color="FFFFFF"/>
                  </w:tcBorders>
                  <w:shd w:val="clear" w:color="000000" w:fill="FCD5B4"/>
                  <w:noWrap/>
                  <w:vAlign w:val="center"/>
                  <w:hideMark/>
                </w:tcPr>
                <w:p w14:paraId="3AACE8D3"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13%</w:t>
                  </w:r>
                </w:p>
              </w:tc>
              <w:tc>
                <w:tcPr>
                  <w:tcW w:w="921" w:type="dxa"/>
                  <w:tcBorders>
                    <w:top w:val="nil"/>
                    <w:left w:val="nil"/>
                    <w:bottom w:val="single" w:sz="8" w:space="0" w:color="FFFFFF"/>
                    <w:right w:val="single" w:sz="8" w:space="0" w:color="FFFFFF"/>
                  </w:tcBorders>
                  <w:shd w:val="clear" w:color="000000" w:fill="FCD5B4"/>
                  <w:noWrap/>
                  <w:vAlign w:val="center"/>
                  <w:hideMark/>
                </w:tcPr>
                <w:p w14:paraId="166CCC68"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69%</w:t>
                  </w:r>
                </w:p>
              </w:tc>
              <w:tc>
                <w:tcPr>
                  <w:tcW w:w="1157" w:type="dxa"/>
                  <w:tcBorders>
                    <w:top w:val="nil"/>
                    <w:left w:val="nil"/>
                    <w:bottom w:val="single" w:sz="8" w:space="0" w:color="FFFFFF"/>
                    <w:right w:val="single" w:sz="8" w:space="0" w:color="FFFFFF"/>
                  </w:tcBorders>
                  <w:shd w:val="clear" w:color="000000" w:fill="FCD5B4"/>
                  <w:noWrap/>
                  <w:vAlign w:val="center"/>
                  <w:hideMark/>
                </w:tcPr>
                <w:p w14:paraId="66EA7EE1" w14:textId="77777777" w:rsidR="00254AC8" w:rsidRPr="00254AC8" w:rsidRDefault="00254AC8" w:rsidP="00254AC8">
                  <w:pPr>
                    <w:widowControl/>
                    <w:jc w:val="center"/>
                    <w:rPr>
                      <w:rFonts w:ascii="楷体" w:eastAsia="楷体" w:hAnsi="楷体" w:cs="宋体"/>
                      <w:color w:val="000000"/>
                      <w:kern w:val="0"/>
                      <w:sz w:val="20"/>
                      <w:szCs w:val="20"/>
                    </w:rPr>
                  </w:pPr>
                  <w:proofErr w:type="gramStart"/>
                  <w:r w:rsidRPr="00254AC8">
                    <w:rPr>
                      <w:rFonts w:ascii="楷体" w:eastAsia="楷体" w:hAnsi="楷体" w:cs="宋体" w:hint="eastAsia"/>
                      <w:color w:val="000000"/>
                      <w:kern w:val="0"/>
                      <w:sz w:val="20"/>
                      <w:szCs w:val="20"/>
                    </w:rPr>
                    <w:t>城投债</w:t>
                  </w:r>
                  <w:proofErr w:type="gramEnd"/>
                  <w:r w:rsidRPr="00254AC8">
                    <w:rPr>
                      <w:rFonts w:ascii="楷体" w:eastAsia="楷体" w:hAnsi="楷体" w:cs="宋体" w:hint="eastAsia"/>
                      <w:color w:val="000000"/>
                      <w:kern w:val="0"/>
                      <w:sz w:val="20"/>
                      <w:szCs w:val="20"/>
                    </w:rPr>
                    <w:t>3Y</w:t>
                  </w:r>
                </w:p>
              </w:tc>
              <w:tc>
                <w:tcPr>
                  <w:tcW w:w="921" w:type="dxa"/>
                  <w:tcBorders>
                    <w:top w:val="nil"/>
                    <w:left w:val="nil"/>
                    <w:bottom w:val="single" w:sz="8" w:space="0" w:color="FFFFFF"/>
                    <w:right w:val="single" w:sz="8" w:space="0" w:color="FFFFFF"/>
                  </w:tcBorders>
                  <w:shd w:val="clear" w:color="000000" w:fill="FCD5B4"/>
                  <w:noWrap/>
                  <w:vAlign w:val="center"/>
                  <w:hideMark/>
                </w:tcPr>
                <w:p w14:paraId="4D127A6B"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5%</w:t>
                  </w:r>
                </w:p>
              </w:tc>
              <w:tc>
                <w:tcPr>
                  <w:tcW w:w="921" w:type="dxa"/>
                  <w:tcBorders>
                    <w:top w:val="nil"/>
                    <w:left w:val="nil"/>
                    <w:bottom w:val="single" w:sz="8" w:space="0" w:color="FFFFFF"/>
                    <w:right w:val="single" w:sz="8" w:space="0" w:color="FFFFFF"/>
                  </w:tcBorders>
                  <w:shd w:val="clear" w:color="000000" w:fill="FCD5B4"/>
                  <w:noWrap/>
                  <w:vAlign w:val="center"/>
                  <w:hideMark/>
                </w:tcPr>
                <w:p w14:paraId="58EF3E4D"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11%</w:t>
                  </w:r>
                </w:p>
              </w:tc>
              <w:tc>
                <w:tcPr>
                  <w:tcW w:w="921" w:type="dxa"/>
                  <w:tcBorders>
                    <w:top w:val="nil"/>
                    <w:left w:val="nil"/>
                    <w:bottom w:val="single" w:sz="8" w:space="0" w:color="FFFFFF"/>
                    <w:right w:val="single" w:sz="8" w:space="0" w:color="FFFFFF"/>
                  </w:tcBorders>
                  <w:shd w:val="clear" w:color="000000" w:fill="FCD5B4"/>
                  <w:noWrap/>
                  <w:vAlign w:val="center"/>
                  <w:hideMark/>
                </w:tcPr>
                <w:p w14:paraId="6D35EB3C"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14%</w:t>
                  </w:r>
                </w:p>
              </w:tc>
              <w:tc>
                <w:tcPr>
                  <w:tcW w:w="921" w:type="dxa"/>
                  <w:tcBorders>
                    <w:top w:val="nil"/>
                    <w:left w:val="nil"/>
                    <w:bottom w:val="single" w:sz="8" w:space="0" w:color="FFFFFF"/>
                    <w:right w:val="single" w:sz="8" w:space="0" w:color="FFFFFF"/>
                  </w:tcBorders>
                  <w:shd w:val="clear" w:color="000000" w:fill="FFC7CE"/>
                  <w:noWrap/>
                  <w:vAlign w:val="center"/>
                  <w:hideMark/>
                </w:tcPr>
                <w:p w14:paraId="488E3FC7" w14:textId="77777777" w:rsidR="00254AC8" w:rsidRPr="00254AC8" w:rsidRDefault="00254AC8" w:rsidP="00254AC8">
                  <w:pPr>
                    <w:widowControl/>
                    <w:jc w:val="center"/>
                    <w:rPr>
                      <w:rFonts w:eastAsia="等线" w:cs="Calibri"/>
                      <w:color w:val="9C0006"/>
                      <w:kern w:val="0"/>
                      <w:szCs w:val="21"/>
                    </w:rPr>
                  </w:pPr>
                  <w:r w:rsidRPr="00254AC8">
                    <w:rPr>
                      <w:rFonts w:eastAsia="等线" w:cs="Calibri"/>
                      <w:color w:val="9C0006"/>
                      <w:kern w:val="0"/>
                      <w:szCs w:val="21"/>
                    </w:rPr>
                    <w:t>84%</w:t>
                  </w:r>
                </w:p>
              </w:tc>
            </w:tr>
            <w:tr w:rsidR="00254AC8" w:rsidRPr="00254AC8" w14:paraId="22752705" w14:textId="77777777" w:rsidTr="00254AC8">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4C022063" w14:textId="77777777" w:rsidR="00254AC8" w:rsidRPr="00254AC8" w:rsidRDefault="00254AC8" w:rsidP="00254AC8">
                  <w:pPr>
                    <w:widowControl/>
                    <w:jc w:val="center"/>
                    <w:rPr>
                      <w:rFonts w:ascii="楷体" w:eastAsia="楷体" w:hAnsi="楷体" w:cs="宋体"/>
                      <w:color w:val="000000"/>
                      <w:kern w:val="0"/>
                      <w:sz w:val="20"/>
                      <w:szCs w:val="20"/>
                    </w:rPr>
                  </w:pPr>
                  <w:proofErr w:type="gramStart"/>
                  <w:r w:rsidRPr="00254AC8">
                    <w:rPr>
                      <w:rFonts w:ascii="楷体" w:eastAsia="楷体" w:hAnsi="楷体" w:cs="宋体" w:hint="eastAsia"/>
                      <w:color w:val="000000"/>
                      <w:kern w:val="0"/>
                      <w:sz w:val="20"/>
                      <w:szCs w:val="20"/>
                    </w:rPr>
                    <w:t>城投债</w:t>
                  </w:r>
                  <w:proofErr w:type="gramEnd"/>
                  <w:r w:rsidRPr="00254AC8">
                    <w:rPr>
                      <w:rFonts w:ascii="楷体" w:eastAsia="楷体" w:hAnsi="楷体" w:cs="宋体" w:hint="eastAsia"/>
                      <w:color w:val="000000"/>
                      <w:kern w:val="0"/>
                      <w:sz w:val="20"/>
                      <w:szCs w:val="20"/>
                    </w:rPr>
                    <w:t>5Y</w:t>
                  </w:r>
                </w:p>
              </w:tc>
              <w:tc>
                <w:tcPr>
                  <w:tcW w:w="920" w:type="dxa"/>
                  <w:tcBorders>
                    <w:top w:val="nil"/>
                    <w:left w:val="nil"/>
                    <w:bottom w:val="single" w:sz="8" w:space="0" w:color="FFFFFF"/>
                    <w:right w:val="single" w:sz="8" w:space="0" w:color="FFFFFF"/>
                  </w:tcBorders>
                  <w:shd w:val="clear" w:color="000000" w:fill="FDE9D9"/>
                  <w:noWrap/>
                  <w:vAlign w:val="center"/>
                  <w:hideMark/>
                </w:tcPr>
                <w:p w14:paraId="08A1476A"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10%</w:t>
                  </w:r>
                </w:p>
              </w:tc>
              <w:tc>
                <w:tcPr>
                  <w:tcW w:w="921" w:type="dxa"/>
                  <w:tcBorders>
                    <w:top w:val="nil"/>
                    <w:left w:val="nil"/>
                    <w:bottom w:val="single" w:sz="8" w:space="0" w:color="FFFFFF"/>
                    <w:right w:val="single" w:sz="8" w:space="0" w:color="FFFFFF"/>
                  </w:tcBorders>
                  <w:shd w:val="clear" w:color="000000" w:fill="FDE9D9"/>
                  <w:noWrap/>
                  <w:vAlign w:val="center"/>
                  <w:hideMark/>
                </w:tcPr>
                <w:p w14:paraId="2E3D71FE"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12%</w:t>
                  </w:r>
                </w:p>
              </w:tc>
              <w:tc>
                <w:tcPr>
                  <w:tcW w:w="921" w:type="dxa"/>
                  <w:tcBorders>
                    <w:top w:val="nil"/>
                    <w:left w:val="nil"/>
                    <w:bottom w:val="single" w:sz="8" w:space="0" w:color="FFFFFF"/>
                    <w:right w:val="single" w:sz="8" w:space="0" w:color="FFFFFF"/>
                  </w:tcBorders>
                  <w:shd w:val="clear" w:color="000000" w:fill="FDE9D9"/>
                  <w:noWrap/>
                  <w:vAlign w:val="center"/>
                  <w:hideMark/>
                </w:tcPr>
                <w:p w14:paraId="064AF7DE"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18%</w:t>
                  </w:r>
                </w:p>
              </w:tc>
              <w:tc>
                <w:tcPr>
                  <w:tcW w:w="921" w:type="dxa"/>
                  <w:tcBorders>
                    <w:top w:val="nil"/>
                    <w:left w:val="nil"/>
                    <w:bottom w:val="single" w:sz="8" w:space="0" w:color="FFFFFF"/>
                    <w:right w:val="single" w:sz="8" w:space="0" w:color="FFFFFF"/>
                  </w:tcBorders>
                  <w:shd w:val="clear" w:color="000000" w:fill="FDE9D9"/>
                  <w:noWrap/>
                  <w:vAlign w:val="center"/>
                  <w:hideMark/>
                </w:tcPr>
                <w:p w14:paraId="0513A3EB"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83%</w:t>
                  </w:r>
                </w:p>
              </w:tc>
              <w:tc>
                <w:tcPr>
                  <w:tcW w:w="1157" w:type="dxa"/>
                  <w:tcBorders>
                    <w:top w:val="nil"/>
                    <w:left w:val="nil"/>
                    <w:bottom w:val="single" w:sz="8" w:space="0" w:color="FFFFFF"/>
                    <w:right w:val="single" w:sz="8" w:space="0" w:color="FFFFFF"/>
                  </w:tcBorders>
                  <w:shd w:val="clear" w:color="000000" w:fill="FDE9D9"/>
                  <w:noWrap/>
                  <w:vAlign w:val="center"/>
                  <w:hideMark/>
                </w:tcPr>
                <w:p w14:paraId="5D841E8C" w14:textId="77777777" w:rsidR="00254AC8" w:rsidRPr="00254AC8" w:rsidRDefault="00254AC8" w:rsidP="00254AC8">
                  <w:pPr>
                    <w:widowControl/>
                    <w:jc w:val="center"/>
                    <w:rPr>
                      <w:rFonts w:ascii="楷体" w:eastAsia="楷体" w:hAnsi="楷体" w:cs="宋体"/>
                      <w:color w:val="000000"/>
                      <w:kern w:val="0"/>
                      <w:sz w:val="20"/>
                      <w:szCs w:val="20"/>
                    </w:rPr>
                  </w:pPr>
                  <w:proofErr w:type="gramStart"/>
                  <w:r w:rsidRPr="00254AC8">
                    <w:rPr>
                      <w:rFonts w:ascii="楷体" w:eastAsia="楷体" w:hAnsi="楷体" w:cs="宋体" w:hint="eastAsia"/>
                      <w:color w:val="000000"/>
                      <w:kern w:val="0"/>
                      <w:sz w:val="20"/>
                      <w:szCs w:val="20"/>
                    </w:rPr>
                    <w:t>城投债</w:t>
                  </w:r>
                  <w:proofErr w:type="gramEnd"/>
                  <w:r w:rsidRPr="00254AC8">
                    <w:rPr>
                      <w:rFonts w:ascii="楷体" w:eastAsia="楷体" w:hAnsi="楷体" w:cs="宋体" w:hint="eastAsia"/>
                      <w:color w:val="000000"/>
                      <w:kern w:val="0"/>
                      <w:sz w:val="20"/>
                      <w:szCs w:val="20"/>
                    </w:rPr>
                    <w:t>5Y</w:t>
                  </w:r>
                </w:p>
              </w:tc>
              <w:tc>
                <w:tcPr>
                  <w:tcW w:w="921" w:type="dxa"/>
                  <w:tcBorders>
                    <w:top w:val="nil"/>
                    <w:left w:val="nil"/>
                    <w:bottom w:val="single" w:sz="8" w:space="0" w:color="FFFFFF"/>
                    <w:right w:val="single" w:sz="8" w:space="0" w:color="FFFFFF"/>
                  </w:tcBorders>
                  <w:shd w:val="clear" w:color="000000" w:fill="FDE9D9"/>
                  <w:noWrap/>
                  <w:vAlign w:val="center"/>
                  <w:hideMark/>
                </w:tcPr>
                <w:p w14:paraId="3094D932"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8%</w:t>
                  </w:r>
                </w:p>
              </w:tc>
              <w:tc>
                <w:tcPr>
                  <w:tcW w:w="921" w:type="dxa"/>
                  <w:tcBorders>
                    <w:top w:val="nil"/>
                    <w:left w:val="nil"/>
                    <w:bottom w:val="single" w:sz="8" w:space="0" w:color="FFFFFF"/>
                    <w:right w:val="single" w:sz="8" w:space="0" w:color="FFFFFF"/>
                  </w:tcBorders>
                  <w:shd w:val="clear" w:color="000000" w:fill="FDE9D9"/>
                  <w:noWrap/>
                  <w:vAlign w:val="center"/>
                  <w:hideMark/>
                </w:tcPr>
                <w:p w14:paraId="595D2210"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12%</w:t>
                  </w:r>
                </w:p>
              </w:tc>
              <w:tc>
                <w:tcPr>
                  <w:tcW w:w="921" w:type="dxa"/>
                  <w:tcBorders>
                    <w:top w:val="nil"/>
                    <w:left w:val="nil"/>
                    <w:bottom w:val="single" w:sz="8" w:space="0" w:color="FFFFFF"/>
                    <w:right w:val="single" w:sz="8" w:space="0" w:color="FFFFFF"/>
                  </w:tcBorders>
                  <w:shd w:val="clear" w:color="000000" w:fill="FDE9D9"/>
                  <w:noWrap/>
                  <w:vAlign w:val="center"/>
                  <w:hideMark/>
                </w:tcPr>
                <w:p w14:paraId="64F0A3EA"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24%</w:t>
                  </w:r>
                </w:p>
              </w:tc>
              <w:tc>
                <w:tcPr>
                  <w:tcW w:w="921" w:type="dxa"/>
                  <w:tcBorders>
                    <w:top w:val="nil"/>
                    <w:left w:val="nil"/>
                    <w:bottom w:val="single" w:sz="8" w:space="0" w:color="FFFFFF"/>
                    <w:right w:val="single" w:sz="8" w:space="0" w:color="FFFFFF"/>
                  </w:tcBorders>
                  <w:shd w:val="clear" w:color="000000" w:fill="FFC7CE"/>
                  <w:noWrap/>
                  <w:vAlign w:val="center"/>
                  <w:hideMark/>
                </w:tcPr>
                <w:p w14:paraId="7ECD3B9E" w14:textId="77777777" w:rsidR="00254AC8" w:rsidRPr="00254AC8" w:rsidRDefault="00254AC8" w:rsidP="00254AC8">
                  <w:pPr>
                    <w:widowControl/>
                    <w:jc w:val="center"/>
                    <w:rPr>
                      <w:rFonts w:eastAsia="等线" w:cs="Calibri"/>
                      <w:color w:val="9C0006"/>
                      <w:kern w:val="0"/>
                      <w:szCs w:val="21"/>
                    </w:rPr>
                  </w:pPr>
                  <w:r w:rsidRPr="00254AC8">
                    <w:rPr>
                      <w:rFonts w:eastAsia="等线" w:cs="Calibri"/>
                      <w:color w:val="9C0006"/>
                      <w:kern w:val="0"/>
                      <w:szCs w:val="21"/>
                    </w:rPr>
                    <w:t>93%</w:t>
                  </w:r>
                </w:p>
              </w:tc>
            </w:tr>
            <w:tr w:rsidR="00254AC8" w:rsidRPr="00254AC8" w14:paraId="5591852F" w14:textId="77777777" w:rsidTr="00254AC8">
              <w:trPr>
                <w:trHeight w:val="300"/>
              </w:trPr>
              <w:tc>
                <w:tcPr>
                  <w:tcW w:w="1350" w:type="dxa"/>
                  <w:tcBorders>
                    <w:top w:val="nil"/>
                    <w:left w:val="nil"/>
                    <w:bottom w:val="nil"/>
                    <w:right w:val="nil"/>
                  </w:tcBorders>
                  <w:shd w:val="clear" w:color="000000" w:fill="FCD5B4"/>
                  <w:noWrap/>
                  <w:vAlign w:val="center"/>
                  <w:hideMark/>
                </w:tcPr>
                <w:p w14:paraId="03669FCB" w14:textId="77777777" w:rsidR="00254AC8" w:rsidRPr="00254AC8" w:rsidRDefault="00254AC8" w:rsidP="00254AC8">
                  <w:pPr>
                    <w:widowControl/>
                    <w:jc w:val="center"/>
                    <w:rPr>
                      <w:rFonts w:ascii="楷体" w:eastAsia="楷体" w:hAnsi="楷体" w:cs="宋体"/>
                      <w:color w:val="000000"/>
                      <w:kern w:val="0"/>
                      <w:sz w:val="20"/>
                      <w:szCs w:val="20"/>
                    </w:rPr>
                  </w:pPr>
                  <w:proofErr w:type="gramStart"/>
                  <w:r w:rsidRPr="00254AC8">
                    <w:rPr>
                      <w:rFonts w:ascii="楷体" w:eastAsia="楷体" w:hAnsi="楷体" w:cs="宋体" w:hint="eastAsia"/>
                      <w:color w:val="000000"/>
                      <w:kern w:val="0"/>
                      <w:sz w:val="20"/>
                      <w:szCs w:val="20"/>
                    </w:rPr>
                    <w:t>城投债</w:t>
                  </w:r>
                  <w:proofErr w:type="gramEnd"/>
                  <w:r w:rsidRPr="00254AC8">
                    <w:rPr>
                      <w:rFonts w:ascii="楷体" w:eastAsia="楷体" w:hAnsi="楷体" w:cs="宋体" w:hint="eastAsia"/>
                      <w:color w:val="000000"/>
                      <w:kern w:val="0"/>
                      <w:sz w:val="20"/>
                      <w:szCs w:val="20"/>
                    </w:rPr>
                    <w:t>7Y</w:t>
                  </w:r>
                </w:p>
              </w:tc>
              <w:tc>
                <w:tcPr>
                  <w:tcW w:w="920" w:type="dxa"/>
                  <w:tcBorders>
                    <w:top w:val="nil"/>
                    <w:left w:val="nil"/>
                    <w:bottom w:val="single" w:sz="8" w:space="0" w:color="FFFFFF"/>
                    <w:right w:val="single" w:sz="8" w:space="0" w:color="FFFFFF"/>
                  </w:tcBorders>
                  <w:shd w:val="clear" w:color="000000" w:fill="FCD5B4"/>
                  <w:noWrap/>
                  <w:vAlign w:val="center"/>
                  <w:hideMark/>
                </w:tcPr>
                <w:p w14:paraId="130CF256"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10%</w:t>
                  </w:r>
                </w:p>
              </w:tc>
              <w:tc>
                <w:tcPr>
                  <w:tcW w:w="921" w:type="dxa"/>
                  <w:tcBorders>
                    <w:top w:val="nil"/>
                    <w:left w:val="nil"/>
                    <w:bottom w:val="single" w:sz="8" w:space="0" w:color="FFFFFF"/>
                    <w:right w:val="single" w:sz="8" w:space="0" w:color="FFFFFF"/>
                  </w:tcBorders>
                  <w:shd w:val="clear" w:color="000000" w:fill="FCD5B4"/>
                  <w:noWrap/>
                  <w:vAlign w:val="center"/>
                  <w:hideMark/>
                </w:tcPr>
                <w:p w14:paraId="72B97A92"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11%</w:t>
                  </w:r>
                </w:p>
              </w:tc>
              <w:tc>
                <w:tcPr>
                  <w:tcW w:w="921" w:type="dxa"/>
                  <w:tcBorders>
                    <w:top w:val="nil"/>
                    <w:left w:val="nil"/>
                    <w:bottom w:val="single" w:sz="8" w:space="0" w:color="FFFFFF"/>
                    <w:right w:val="single" w:sz="8" w:space="0" w:color="FFFFFF"/>
                  </w:tcBorders>
                  <w:shd w:val="clear" w:color="000000" w:fill="FCD5B4"/>
                  <w:noWrap/>
                  <w:vAlign w:val="center"/>
                  <w:hideMark/>
                </w:tcPr>
                <w:p w14:paraId="50A02F1F"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15%</w:t>
                  </w:r>
                </w:p>
              </w:tc>
              <w:tc>
                <w:tcPr>
                  <w:tcW w:w="921" w:type="dxa"/>
                  <w:tcBorders>
                    <w:top w:val="nil"/>
                    <w:left w:val="nil"/>
                    <w:bottom w:val="single" w:sz="8" w:space="0" w:color="FFFFFF"/>
                    <w:right w:val="single" w:sz="8" w:space="0" w:color="FFFFFF"/>
                  </w:tcBorders>
                  <w:shd w:val="clear" w:color="000000" w:fill="FCD5B4"/>
                  <w:noWrap/>
                  <w:vAlign w:val="center"/>
                  <w:hideMark/>
                </w:tcPr>
                <w:p w14:paraId="2C3C8A4F"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78%</w:t>
                  </w:r>
                </w:p>
              </w:tc>
              <w:tc>
                <w:tcPr>
                  <w:tcW w:w="1157" w:type="dxa"/>
                  <w:tcBorders>
                    <w:top w:val="nil"/>
                    <w:left w:val="nil"/>
                    <w:bottom w:val="nil"/>
                    <w:right w:val="nil"/>
                  </w:tcBorders>
                  <w:shd w:val="clear" w:color="000000" w:fill="FCD5B4"/>
                  <w:noWrap/>
                  <w:vAlign w:val="center"/>
                  <w:hideMark/>
                </w:tcPr>
                <w:p w14:paraId="2992CE92" w14:textId="77777777" w:rsidR="00254AC8" w:rsidRPr="00254AC8" w:rsidRDefault="00254AC8" w:rsidP="00254AC8">
                  <w:pPr>
                    <w:widowControl/>
                    <w:jc w:val="center"/>
                    <w:rPr>
                      <w:rFonts w:ascii="楷体" w:eastAsia="楷体" w:hAnsi="楷体" w:cs="宋体"/>
                      <w:color w:val="000000"/>
                      <w:kern w:val="0"/>
                      <w:sz w:val="20"/>
                      <w:szCs w:val="20"/>
                    </w:rPr>
                  </w:pPr>
                  <w:proofErr w:type="gramStart"/>
                  <w:r w:rsidRPr="00254AC8">
                    <w:rPr>
                      <w:rFonts w:ascii="楷体" w:eastAsia="楷体" w:hAnsi="楷体" w:cs="宋体" w:hint="eastAsia"/>
                      <w:color w:val="000000"/>
                      <w:kern w:val="0"/>
                      <w:sz w:val="20"/>
                      <w:szCs w:val="20"/>
                    </w:rPr>
                    <w:t>城投债</w:t>
                  </w:r>
                  <w:proofErr w:type="gramEnd"/>
                  <w:r w:rsidRPr="00254AC8">
                    <w:rPr>
                      <w:rFonts w:ascii="楷体" w:eastAsia="楷体" w:hAnsi="楷体" w:cs="宋体" w:hint="eastAsia"/>
                      <w:color w:val="000000"/>
                      <w:kern w:val="0"/>
                      <w:sz w:val="20"/>
                      <w:szCs w:val="20"/>
                    </w:rPr>
                    <w:t>7Y</w:t>
                  </w:r>
                </w:p>
              </w:tc>
              <w:tc>
                <w:tcPr>
                  <w:tcW w:w="921" w:type="dxa"/>
                  <w:tcBorders>
                    <w:top w:val="nil"/>
                    <w:left w:val="nil"/>
                    <w:bottom w:val="single" w:sz="8" w:space="0" w:color="FFFFFF"/>
                    <w:right w:val="single" w:sz="8" w:space="0" w:color="FFFFFF"/>
                  </w:tcBorders>
                  <w:shd w:val="clear" w:color="000000" w:fill="FCD5B4"/>
                  <w:noWrap/>
                  <w:vAlign w:val="center"/>
                  <w:hideMark/>
                </w:tcPr>
                <w:p w14:paraId="000B70AA"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13%</w:t>
                  </w:r>
                </w:p>
              </w:tc>
              <w:tc>
                <w:tcPr>
                  <w:tcW w:w="921" w:type="dxa"/>
                  <w:tcBorders>
                    <w:top w:val="nil"/>
                    <w:left w:val="nil"/>
                    <w:bottom w:val="single" w:sz="8" w:space="0" w:color="FFFFFF"/>
                    <w:right w:val="single" w:sz="8" w:space="0" w:color="FFFFFF"/>
                  </w:tcBorders>
                  <w:shd w:val="clear" w:color="000000" w:fill="FCD5B4"/>
                  <w:noWrap/>
                  <w:vAlign w:val="center"/>
                  <w:hideMark/>
                </w:tcPr>
                <w:p w14:paraId="51EDD105"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11%</w:t>
                  </w:r>
                </w:p>
              </w:tc>
              <w:tc>
                <w:tcPr>
                  <w:tcW w:w="921" w:type="dxa"/>
                  <w:tcBorders>
                    <w:top w:val="nil"/>
                    <w:left w:val="nil"/>
                    <w:bottom w:val="single" w:sz="8" w:space="0" w:color="FFFFFF"/>
                    <w:right w:val="single" w:sz="8" w:space="0" w:color="FFFFFF"/>
                  </w:tcBorders>
                  <w:shd w:val="clear" w:color="000000" w:fill="FCD5B4"/>
                  <w:noWrap/>
                  <w:vAlign w:val="center"/>
                  <w:hideMark/>
                </w:tcPr>
                <w:p w14:paraId="2B788D8D" w14:textId="77777777" w:rsidR="00254AC8" w:rsidRPr="00254AC8" w:rsidRDefault="00254AC8" w:rsidP="00254AC8">
                  <w:pPr>
                    <w:widowControl/>
                    <w:jc w:val="center"/>
                    <w:rPr>
                      <w:rFonts w:eastAsia="等线" w:cs="Calibri"/>
                      <w:color w:val="000000"/>
                      <w:kern w:val="0"/>
                      <w:szCs w:val="21"/>
                    </w:rPr>
                  </w:pPr>
                  <w:r w:rsidRPr="00254AC8">
                    <w:rPr>
                      <w:rFonts w:eastAsia="等线" w:cs="Calibri"/>
                      <w:color w:val="000000"/>
                      <w:kern w:val="0"/>
                      <w:szCs w:val="21"/>
                    </w:rPr>
                    <w:t>24%</w:t>
                  </w:r>
                </w:p>
              </w:tc>
              <w:tc>
                <w:tcPr>
                  <w:tcW w:w="921" w:type="dxa"/>
                  <w:tcBorders>
                    <w:top w:val="nil"/>
                    <w:left w:val="nil"/>
                    <w:bottom w:val="single" w:sz="8" w:space="0" w:color="FFFFFF"/>
                    <w:right w:val="single" w:sz="8" w:space="0" w:color="FFFFFF"/>
                  </w:tcBorders>
                  <w:shd w:val="clear" w:color="000000" w:fill="FFC7CE"/>
                  <w:noWrap/>
                  <w:vAlign w:val="center"/>
                  <w:hideMark/>
                </w:tcPr>
                <w:p w14:paraId="4ADB2E71" w14:textId="77777777" w:rsidR="00254AC8" w:rsidRPr="00254AC8" w:rsidRDefault="00254AC8" w:rsidP="00254AC8">
                  <w:pPr>
                    <w:widowControl/>
                    <w:jc w:val="center"/>
                    <w:rPr>
                      <w:rFonts w:eastAsia="等线" w:cs="Calibri"/>
                      <w:color w:val="9C0006"/>
                      <w:kern w:val="0"/>
                      <w:szCs w:val="21"/>
                    </w:rPr>
                  </w:pPr>
                  <w:r w:rsidRPr="00254AC8">
                    <w:rPr>
                      <w:rFonts w:eastAsia="等线" w:cs="Calibri"/>
                      <w:color w:val="9C0006"/>
                      <w:kern w:val="0"/>
                      <w:szCs w:val="21"/>
                    </w:rPr>
                    <w:t>91%</w:t>
                  </w:r>
                </w:p>
              </w:tc>
            </w:tr>
          </w:tbl>
          <w:p w14:paraId="446C7D6E" w14:textId="294F6511" w:rsidR="00E0626C" w:rsidRPr="003C1CC8" w:rsidRDefault="00E0626C" w:rsidP="0092340D">
            <w:pPr>
              <w:rPr>
                <w:noProof/>
                <w:szCs w:val="18"/>
              </w:rPr>
            </w:pPr>
          </w:p>
        </w:tc>
      </w:tr>
      <w:tr w:rsidR="00E0626C" w:rsidRPr="006A5F34" w14:paraId="01D36A65" w14:textId="77777777" w:rsidTr="00220902">
        <w:trPr>
          <w:trHeight w:val="60"/>
          <w:jc w:val="center"/>
        </w:trPr>
        <w:tc>
          <w:tcPr>
            <w:tcW w:w="9713" w:type="dxa"/>
            <w:vAlign w:val="center"/>
          </w:tcPr>
          <w:p w14:paraId="6284202E" w14:textId="2B61B5A0" w:rsidR="00E0626C" w:rsidRPr="006A5F34" w:rsidRDefault="00E0626C" w:rsidP="009A2BA0">
            <w:pPr>
              <w:pStyle w:val="Source"/>
              <w:jc w:val="both"/>
              <w:rPr>
                <w:kern w:val="0"/>
              </w:rPr>
            </w:pPr>
            <w:r w:rsidRPr="006A5F34">
              <w:rPr>
                <w:rFonts w:hint="eastAsia"/>
                <w:kern w:val="0"/>
              </w:rPr>
              <w:t>资料来源：万得</w:t>
            </w:r>
            <w:r>
              <w:rPr>
                <w:rFonts w:hint="eastAsia"/>
                <w:kern w:val="0"/>
              </w:rPr>
              <w:t>，富荣基金；利差基准为同期限国债</w:t>
            </w:r>
          </w:p>
        </w:tc>
      </w:tr>
    </w:tbl>
    <w:p w14:paraId="26A54476" w14:textId="77777777" w:rsidR="00E0626C" w:rsidRPr="009B0E57" w:rsidRDefault="00E0626C" w:rsidP="009A2BA0">
      <w:pPr>
        <w:pStyle w:val="Body-text"/>
        <w:spacing w:after="0"/>
        <w:rPr>
          <w:lang w:eastAsia="zh-CN"/>
        </w:rPr>
      </w:pPr>
    </w:p>
    <w:p w14:paraId="2D403D4F" w14:textId="78A4441C" w:rsidR="00E0626C" w:rsidRPr="00C73E5D" w:rsidRDefault="00E0626C" w:rsidP="009A2BA0">
      <w:pPr>
        <w:pStyle w:val="Header2"/>
        <w:rPr>
          <w:rFonts w:eastAsia="PMingLiU"/>
          <w:sz w:val="28"/>
          <w:szCs w:val="21"/>
          <w:lang w:eastAsia="zh-CN"/>
        </w:rPr>
      </w:pPr>
      <w:r>
        <w:rPr>
          <w:sz w:val="28"/>
          <w:szCs w:val="21"/>
          <w:lang w:eastAsia="zh-CN"/>
        </w:rPr>
        <w:t>4</w:t>
      </w:r>
      <w:r>
        <w:rPr>
          <w:rFonts w:hint="eastAsia"/>
          <w:sz w:val="28"/>
          <w:szCs w:val="21"/>
          <w:lang w:eastAsia="zh-CN"/>
        </w:rPr>
        <w:t>、</w:t>
      </w:r>
      <w:r>
        <w:rPr>
          <w:rFonts w:hint="eastAsia"/>
          <w:sz w:val="28"/>
          <w:szCs w:val="21"/>
        </w:rPr>
        <w:t>可转债</w:t>
      </w:r>
    </w:p>
    <w:p w14:paraId="526CD45E" w14:textId="24B4DBB4" w:rsidR="00C37204" w:rsidRDefault="003926C0" w:rsidP="00416C5F">
      <w:pPr>
        <w:pStyle w:val="Body-text"/>
        <w:spacing w:after="240"/>
        <w:ind w:firstLineChars="200" w:firstLine="480"/>
        <w:rPr>
          <w:rFonts w:ascii="华文楷体" w:hAnsi="华文楷体" w:hint="eastAsia"/>
          <w:sz w:val="24"/>
          <w:szCs w:val="24"/>
          <w:lang w:eastAsia="zh-CN"/>
        </w:rPr>
      </w:pPr>
      <w:r w:rsidRPr="003926C0">
        <w:rPr>
          <w:rFonts w:ascii="华文楷体" w:hAnsi="华文楷体" w:hint="eastAsia"/>
          <w:sz w:val="24"/>
          <w:szCs w:val="24"/>
          <w:lang w:eastAsia="zh-CN"/>
        </w:rPr>
        <w:t>权益</w:t>
      </w:r>
      <w:r>
        <w:rPr>
          <w:rFonts w:ascii="华文楷体" w:hAnsi="华文楷体" w:hint="eastAsia"/>
          <w:sz w:val="24"/>
          <w:szCs w:val="24"/>
          <w:lang w:eastAsia="zh-CN"/>
        </w:rPr>
        <w:t>市场</w:t>
      </w:r>
      <w:r w:rsidR="005437B0">
        <w:rPr>
          <w:rFonts w:ascii="华文楷体" w:hAnsi="华文楷体" w:hint="eastAsia"/>
          <w:sz w:val="24"/>
          <w:szCs w:val="24"/>
          <w:lang w:eastAsia="zh-CN"/>
        </w:rPr>
        <w:t>，</w:t>
      </w:r>
      <w:r w:rsidR="002C4A75" w:rsidRPr="002C4A75">
        <w:rPr>
          <w:rFonts w:ascii="华文楷体" w:hAnsi="华文楷体" w:hint="eastAsia"/>
          <w:sz w:val="24"/>
          <w:szCs w:val="24"/>
          <w:lang w:eastAsia="zh-CN"/>
        </w:rPr>
        <w:t>各主要板块指数多数上行，多数板块成交量涨跌互现。</w:t>
      </w:r>
      <w:r w:rsidR="00705D32">
        <w:rPr>
          <w:rFonts w:ascii="华文楷体" w:hAnsi="华文楷体" w:hint="eastAsia"/>
          <w:sz w:val="24"/>
          <w:szCs w:val="24"/>
          <w:lang w:eastAsia="zh-CN"/>
        </w:rPr>
        <w:t>市场表现</w:t>
      </w:r>
      <w:r w:rsidR="00591DD3">
        <w:rPr>
          <w:rFonts w:ascii="华文楷体" w:hAnsi="华文楷体" w:hint="eastAsia"/>
          <w:sz w:val="24"/>
          <w:szCs w:val="24"/>
          <w:lang w:eastAsia="zh-CN"/>
        </w:rPr>
        <w:t>，</w:t>
      </w:r>
      <w:r w:rsidR="00AC28BB">
        <w:rPr>
          <w:rFonts w:ascii="华文楷体" w:hAnsi="华文楷体" w:hint="eastAsia"/>
          <w:sz w:val="24"/>
          <w:szCs w:val="24"/>
          <w:lang w:eastAsia="zh-CN"/>
        </w:rPr>
        <w:t>上证综指</w:t>
      </w:r>
      <w:r w:rsidR="00AC28BB">
        <w:rPr>
          <w:rFonts w:ascii="华文楷体" w:hAnsi="华文楷体"/>
          <w:sz w:val="24"/>
          <w:szCs w:val="24"/>
          <w:lang w:eastAsia="zh-CN"/>
        </w:rPr>
        <w:t>、</w:t>
      </w:r>
      <w:r w:rsidR="00AC28BB">
        <w:rPr>
          <w:rFonts w:ascii="华文楷体" w:hAnsi="华文楷体" w:hint="eastAsia"/>
          <w:sz w:val="24"/>
          <w:szCs w:val="24"/>
          <w:lang w:eastAsia="zh-CN"/>
        </w:rPr>
        <w:t>创业板指</w:t>
      </w:r>
      <w:r w:rsidR="00AC28BB">
        <w:rPr>
          <w:rFonts w:ascii="华文楷体" w:hAnsi="华文楷体"/>
          <w:sz w:val="24"/>
          <w:szCs w:val="24"/>
          <w:lang w:eastAsia="zh-CN"/>
        </w:rPr>
        <w:t>、上证</w:t>
      </w:r>
      <w:r w:rsidR="00AC28BB">
        <w:rPr>
          <w:rFonts w:ascii="华文楷体" w:hAnsi="华文楷体" w:hint="eastAsia"/>
          <w:sz w:val="24"/>
          <w:szCs w:val="24"/>
          <w:lang w:eastAsia="zh-CN"/>
        </w:rPr>
        <w:t>50和</w:t>
      </w:r>
      <w:r w:rsidR="00AC28BB">
        <w:rPr>
          <w:rFonts w:ascii="华文楷体" w:hAnsi="华文楷体"/>
          <w:sz w:val="24"/>
          <w:szCs w:val="24"/>
          <w:lang w:eastAsia="zh-CN"/>
        </w:rPr>
        <w:t>沪深</w:t>
      </w:r>
      <w:r w:rsidR="00AC28BB">
        <w:rPr>
          <w:rFonts w:ascii="华文楷体" w:hAnsi="华文楷体" w:hint="eastAsia"/>
          <w:sz w:val="24"/>
          <w:szCs w:val="24"/>
          <w:lang w:eastAsia="zh-CN"/>
        </w:rPr>
        <w:t>300表现</w:t>
      </w:r>
      <w:r w:rsidR="00AC28BB">
        <w:rPr>
          <w:rFonts w:ascii="华文楷体" w:hAnsi="华文楷体"/>
          <w:sz w:val="24"/>
          <w:szCs w:val="24"/>
          <w:lang w:eastAsia="zh-CN"/>
        </w:rPr>
        <w:t>分别为</w:t>
      </w:r>
      <w:r w:rsidR="002C4A75">
        <w:rPr>
          <w:rFonts w:ascii="华文楷体" w:hAnsi="华文楷体" w:hint="eastAsia"/>
          <w:sz w:val="24"/>
          <w:szCs w:val="24"/>
          <w:lang w:eastAsia="zh-CN"/>
        </w:rPr>
        <w:t>-0.1</w:t>
      </w:r>
      <w:r w:rsidR="00AC28BB">
        <w:rPr>
          <w:rFonts w:ascii="华文楷体" w:hAnsi="华文楷体"/>
          <w:sz w:val="24"/>
          <w:szCs w:val="24"/>
          <w:lang w:eastAsia="zh-CN"/>
        </w:rPr>
        <w:t>%、</w:t>
      </w:r>
      <w:r w:rsidR="001F098C">
        <w:rPr>
          <w:rFonts w:ascii="华文楷体" w:hAnsi="华文楷体" w:hint="eastAsia"/>
          <w:sz w:val="24"/>
          <w:szCs w:val="24"/>
          <w:lang w:eastAsia="zh-CN"/>
        </w:rPr>
        <w:t>+2</w:t>
      </w:r>
      <w:r w:rsidR="002C4A75">
        <w:rPr>
          <w:rFonts w:ascii="华文楷体" w:hAnsi="华文楷体" w:hint="eastAsia"/>
          <w:sz w:val="24"/>
          <w:szCs w:val="24"/>
          <w:lang w:eastAsia="zh-CN"/>
        </w:rPr>
        <w:t>.6</w:t>
      </w:r>
      <w:r w:rsidR="00AC28BB">
        <w:rPr>
          <w:rFonts w:ascii="华文楷体" w:hAnsi="华文楷体"/>
          <w:sz w:val="24"/>
          <w:szCs w:val="24"/>
          <w:lang w:eastAsia="zh-CN"/>
        </w:rPr>
        <w:t>%、</w:t>
      </w:r>
      <w:r w:rsidR="002C4A75">
        <w:rPr>
          <w:rFonts w:ascii="华文楷体" w:hAnsi="华文楷体" w:hint="eastAsia"/>
          <w:sz w:val="24"/>
          <w:szCs w:val="24"/>
          <w:lang w:eastAsia="zh-CN"/>
        </w:rPr>
        <w:t>-0.6</w:t>
      </w:r>
      <w:r w:rsidR="00307DB0">
        <w:rPr>
          <w:rFonts w:ascii="华文楷体" w:hAnsi="华文楷体" w:hint="eastAsia"/>
          <w:sz w:val="24"/>
          <w:szCs w:val="24"/>
          <w:lang w:eastAsia="zh-CN"/>
        </w:rPr>
        <w:t>%</w:t>
      </w:r>
      <w:r w:rsidR="00AC28BB">
        <w:rPr>
          <w:rFonts w:ascii="华文楷体" w:hAnsi="华文楷体" w:hint="eastAsia"/>
          <w:sz w:val="24"/>
          <w:szCs w:val="24"/>
          <w:lang w:eastAsia="zh-CN"/>
        </w:rPr>
        <w:t>和</w:t>
      </w:r>
      <w:r w:rsidR="001F098C">
        <w:rPr>
          <w:rFonts w:ascii="华文楷体" w:hAnsi="华文楷体" w:hint="eastAsia"/>
          <w:sz w:val="24"/>
          <w:szCs w:val="24"/>
          <w:lang w:eastAsia="zh-CN"/>
        </w:rPr>
        <w:t>+</w:t>
      </w:r>
      <w:r w:rsidR="002C4A75">
        <w:rPr>
          <w:rFonts w:ascii="华文楷体" w:hAnsi="华文楷体" w:hint="eastAsia"/>
          <w:sz w:val="24"/>
          <w:szCs w:val="24"/>
          <w:lang w:eastAsia="zh-CN"/>
        </w:rPr>
        <w:t>0.5</w:t>
      </w:r>
      <w:r w:rsidR="00AC28BB">
        <w:rPr>
          <w:rFonts w:ascii="华文楷体" w:hAnsi="华文楷体"/>
          <w:sz w:val="24"/>
          <w:szCs w:val="24"/>
          <w:lang w:eastAsia="zh-CN"/>
        </w:rPr>
        <w:t>%</w:t>
      </w:r>
      <w:r w:rsidR="00AC28BB">
        <w:rPr>
          <w:rFonts w:ascii="华文楷体" w:hAnsi="华文楷体" w:hint="eastAsia"/>
          <w:sz w:val="24"/>
          <w:szCs w:val="24"/>
          <w:lang w:eastAsia="zh-CN"/>
        </w:rPr>
        <w:t>。</w:t>
      </w:r>
      <w:r w:rsidR="00C16434">
        <w:rPr>
          <w:rFonts w:ascii="华文楷体" w:hAnsi="华文楷体" w:hint="eastAsia"/>
          <w:sz w:val="24"/>
          <w:szCs w:val="24"/>
          <w:lang w:eastAsia="zh-CN"/>
        </w:rPr>
        <w:t>转债市场</w:t>
      </w:r>
      <w:r w:rsidR="00394B7E">
        <w:rPr>
          <w:rFonts w:ascii="华文楷体" w:hAnsi="华文楷体" w:hint="eastAsia"/>
          <w:sz w:val="24"/>
          <w:szCs w:val="24"/>
          <w:lang w:eastAsia="zh-CN"/>
        </w:rPr>
        <w:t>上</w:t>
      </w:r>
      <w:r w:rsidR="00307DB0">
        <w:rPr>
          <w:rFonts w:ascii="华文楷体" w:hAnsi="华文楷体" w:hint="eastAsia"/>
          <w:sz w:val="24"/>
          <w:szCs w:val="24"/>
          <w:lang w:eastAsia="zh-CN"/>
        </w:rPr>
        <w:t>周</w:t>
      </w:r>
      <w:r w:rsidR="002C4A75">
        <w:rPr>
          <w:rFonts w:ascii="华文楷体" w:hAnsi="华文楷体" w:hint="eastAsia"/>
          <w:sz w:val="24"/>
          <w:szCs w:val="24"/>
          <w:lang w:eastAsia="zh-CN"/>
        </w:rPr>
        <w:t>涨幅收窄</w:t>
      </w:r>
      <w:r w:rsidR="00DC05C7">
        <w:rPr>
          <w:rFonts w:ascii="华文楷体" w:hAnsi="华文楷体" w:hint="eastAsia"/>
          <w:sz w:val="24"/>
          <w:szCs w:val="24"/>
          <w:lang w:eastAsia="zh-CN"/>
        </w:rPr>
        <w:t>，</w:t>
      </w:r>
      <w:r w:rsidR="00C16434">
        <w:rPr>
          <w:rFonts w:ascii="华文楷体" w:hAnsi="华文楷体" w:hint="eastAsia"/>
          <w:sz w:val="24"/>
          <w:szCs w:val="24"/>
          <w:lang w:eastAsia="zh-CN"/>
        </w:rPr>
        <w:t>中</w:t>
      </w:r>
      <w:proofErr w:type="gramStart"/>
      <w:r w:rsidR="00C16434">
        <w:rPr>
          <w:rFonts w:ascii="华文楷体" w:hAnsi="华文楷体" w:hint="eastAsia"/>
          <w:sz w:val="24"/>
          <w:szCs w:val="24"/>
          <w:lang w:eastAsia="zh-CN"/>
        </w:rPr>
        <w:t>证转债指数</w:t>
      </w:r>
      <w:r w:rsidR="00976757">
        <w:rPr>
          <w:rFonts w:ascii="华文楷体" w:hAnsi="华文楷体" w:hint="eastAsia"/>
          <w:sz w:val="24"/>
          <w:szCs w:val="24"/>
          <w:lang w:eastAsia="zh-CN"/>
        </w:rPr>
        <w:t>微</w:t>
      </w:r>
      <w:proofErr w:type="gramEnd"/>
      <w:r w:rsidR="00976757">
        <w:rPr>
          <w:rFonts w:ascii="华文楷体" w:hAnsi="华文楷体" w:hint="eastAsia"/>
          <w:sz w:val="24"/>
          <w:szCs w:val="24"/>
          <w:lang w:eastAsia="zh-CN"/>
        </w:rPr>
        <w:t>涨0</w:t>
      </w:r>
      <w:r w:rsidR="002C4A75">
        <w:rPr>
          <w:rFonts w:ascii="华文楷体" w:hAnsi="华文楷体" w:hint="eastAsia"/>
          <w:sz w:val="24"/>
          <w:szCs w:val="24"/>
          <w:lang w:eastAsia="zh-CN"/>
        </w:rPr>
        <w:t>.2</w:t>
      </w:r>
      <w:r w:rsidR="00DE343B" w:rsidRPr="00DE343B">
        <w:rPr>
          <w:rFonts w:ascii="华文楷体" w:hAnsi="华文楷体" w:hint="eastAsia"/>
          <w:sz w:val="24"/>
          <w:szCs w:val="24"/>
          <w:lang w:eastAsia="zh-CN"/>
        </w:rPr>
        <w:t>%</w:t>
      </w:r>
      <w:r w:rsidR="00D86E50">
        <w:rPr>
          <w:rFonts w:ascii="华文楷体" w:hAnsi="华文楷体" w:hint="eastAsia"/>
          <w:sz w:val="24"/>
          <w:szCs w:val="24"/>
          <w:lang w:eastAsia="zh-CN"/>
        </w:rPr>
        <w:t>。</w:t>
      </w:r>
    </w:p>
    <w:p w14:paraId="5A730E13" w14:textId="587FAAE9" w:rsidR="00394B7E" w:rsidRPr="00394B7E" w:rsidRDefault="00394B7E" w:rsidP="00394B7E">
      <w:pPr>
        <w:pStyle w:val="Body-text"/>
        <w:spacing w:after="240"/>
        <w:ind w:firstLineChars="200" w:firstLine="480"/>
        <w:rPr>
          <w:rFonts w:ascii="华文楷体" w:hAnsi="华文楷体"/>
          <w:sz w:val="24"/>
          <w:szCs w:val="24"/>
          <w:lang w:eastAsia="zh-CN"/>
        </w:rPr>
      </w:pPr>
      <w:r w:rsidRPr="00394B7E">
        <w:rPr>
          <w:rFonts w:ascii="华文楷体" w:hAnsi="华文楷体" w:hint="eastAsia"/>
          <w:sz w:val="24"/>
          <w:szCs w:val="24"/>
          <w:lang w:eastAsia="zh-CN"/>
        </w:rPr>
        <w:t>一级市场近期相对活跃，截至5月21日，共有32家上市公司拿到转债发行批文，拟发行规模708亿元左右。另有7家上市公司转债发行已通过发审会，等待批文，合计规模约95.36亿元。</w:t>
      </w:r>
    </w:p>
    <w:p w14:paraId="013399EE" w14:textId="7914EF5F" w:rsidR="00394B7E" w:rsidRPr="00394B7E" w:rsidRDefault="00394B7E" w:rsidP="001123CF">
      <w:pPr>
        <w:pStyle w:val="Body-text"/>
        <w:spacing w:after="240"/>
        <w:ind w:firstLineChars="200" w:firstLine="480"/>
        <w:rPr>
          <w:rFonts w:ascii="华文楷体" w:hAnsi="华文楷体"/>
          <w:sz w:val="24"/>
          <w:szCs w:val="24"/>
          <w:lang w:eastAsia="zh-CN"/>
        </w:rPr>
      </w:pPr>
      <w:r w:rsidRPr="00394B7E">
        <w:rPr>
          <w:rFonts w:ascii="华文楷体" w:hAnsi="华文楷体" w:hint="eastAsia"/>
          <w:sz w:val="24"/>
          <w:szCs w:val="24"/>
          <w:lang w:eastAsia="zh-CN"/>
        </w:rPr>
        <w:lastRenderedPageBreak/>
        <w:t>权益市场仍以结构性行情特征明显，转债市场延续前期整体观点以当期业绩和行业景气修复为主要关注的因素，从业绩方面看，关注银行和有色金属、化工等板块，从行业景气修复看，关注电动车、新能源、优势制造、电子等板块。另外从当前政策出发，持续关注碳中和主题，对其相关的公用事业、环保等板块标的保持持续跟踪。</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7CDD9AAA" w14:textId="77777777" w:rsidTr="006F21C0">
        <w:trPr>
          <w:jc w:val="center"/>
        </w:trPr>
        <w:tc>
          <w:tcPr>
            <w:tcW w:w="4939" w:type="dxa"/>
            <w:vAlign w:val="center"/>
          </w:tcPr>
          <w:p w14:paraId="13C69F6A" w14:textId="03E04781" w:rsidR="00E0626C" w:rsidRPr="006A5F34" w:rsidRDefault="00E0626C" w:rsidP="009A2BA0">
            <w:pPr>
              <w:pStyle w:val="ChartHeading"/>
              <w:jc w:val="both"/>
            </w:pPr>
            <w:r w:rsidRPr="006A5F34">
              <w:rPr>
                <w:rFonts w:hint="eastAsia"/>
              </w:rPr>
              <w:t>图表</w:t>
            </w:r>
            <w:r w:rsidRPr="006A5F34">
              <w:t>.</w:t>
            </w:r>
            <w:r>
              <w:t xml:space="preserve"> </w:t>
            </w:r>
            <w:r w:rsidR="00005D9A">
              <w:rPr>
                <w:rFonts w:hint="eastAsia"/>
              </w:rPr>
              <w:t>A</w:t>
            </w:r>
            <w:r w:rsidR="00005D9A">
              <w:rPr>
                <w:rFonts w:hint="eastAsia"/>
              </w:rPr>
              <w:t>股</w:t>
            </w:r>
            <w:r>
              <w:rPr>
                <w:rFonts w:hint="eastAsia"/>
              </w:rPr>
              <w:t>主要指数交易和估值情况</w:t>
            </w:r>
          </w:p>
        </w:tc>
        <w:tc>
          <w:tcPr>
            <w:tcW w:w="4938" w:type="dxa"/>
            <w:vAlign w:val="center"/>
          </w:tcPr>
          <w:p w14:paraId="45DE5131" w14:textId="48699973" w:rsidR="00E0626C" w:rsidRPr="006A5F34" w:rsidRDefault="00E0626C" w:rsidP="009A2BA0">
            <w:pPr>
              <w:pStyle w:val="ChartHeading"/>
              <w:jc w:val="both"/>
            </w:pPr>
            <w:r w:rsidRPr="006A5F34">
              <w:rPr>
                <w:rFonts w:hint="eastAsia"/>
              </w:rPr>
              <w:t>图表</w:t>
            </w:r>
            <w:r w:rsidRPr="006A5F34">
              <w:t xml:space="preserve">. </w:t>
            </w:r>
            <w:r w:rsidR="00416C5F">
              <w:rPr>
                <w:rFonts w:hint="eastAsia"/>
              </w:rPr>
              <w:t>转</w:t>
            </w:r>
            <w:proofErr w:type="gramStart"/>
            <w:r w:rsidR="00416C5F">
              <w:rPr>
                <w:rFonts w:hint="eastAsia"/>
              </w:rPr>
              <w:t>债指数</w:t>
            </w:r>
            <w:proofErr w:type="gramEnd"/>
            <w:r w:rsidR="00416C5F">
              <w:rPr>
                <w:rFonts w:hint="eastAsia"/>
              </w:rPr>
              <w:t>与股指累计变化</w:t>
            </w:r>
          </w:p>
        </w:tc>
      </w:tr>
      <w:tr w:rsidR="00E0626C" w:rsidRPr="006A5F34" w14:paraId="2CD3B9EE" w14:textId="77777777" w:rsidTr="002C4A75">
        <w:tblPrEx>
          <w:tblCellMar>
            <w:left w:w="108" w:type="dxa"/>
            <w:right w:w="108" w:type="dxa"/>
          </w:tblCellMar>
        </w:tblPrEx>
        <w:trPr>
          <w:trHeight w:val="2921"/>
          <w:jc w:val="center"/>
        </w:trPr>
        <w:tc>
          <w:tcPr>
            <w:tcW w:w="4939" w:type="dxa"/>
            <w:vAlign w:val="center"/>
          </w:tcPr>
          <w:p w14:paraId="5C83721A" w14:textId="67328D31" w:rsidR="00E0626C" w:rsidRPr="00345C30" w:rsidRDefault="002C4A75" w:rsidP="00345C30">
            <w:pPr>
              <w:widowControl/>
              <w:jc w:val="left"/>
              <w:rPr>
                <w:rFonts w:ascii="宋体" w:hAnsi="宋体" w:cs="宋体"/>
                <w:kern w:val="0"/>
                <w:sz w:val="24"/>
                <w:szCs w:val="24"/>
              </w:rPr>
            </w:pPr>
            <w:r w:rsidRPr="002C4A75">
              <w:rPr>
                <w:rFonts w:ascii="宋体" w:hAnsi="宋体" w:cs="宋体"/>
                <w:noProof/>
                <w:kern w:val="0"/>
                <w:sz w:val="24"/>
                <w:szCs w:val="24"/>
              </w:rPr>
              <w:drawing>
                <wp:inline distT="0" distB="0" distL="0" distR="0" wp14:anchorId="243B1A20" wp14:editId="685C5631">
                  <wp:extent cx="3138473" cy="1834714"/>
                  <wp:effectExtent l="0" t="0" r="5080" b="0"/>
                  <wp:docPr id="10" name="图片 10" descr="C:\Users\Tang\AppData\Local\Temp\162176591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ang\AppData\Local\Temp\1621765912(1).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197699" cy="1869337"/>
                          </a:xfrm>
                          <a:prstGeom prst="rect">
                            <a:avLst/>
                          </a:prstGeom>
                          <a:noFill/>
                          <a:ln>
                            <a:noFill/>
                          </a:ln>
                        </pic:spPr>
                      </pic:pic>
                    </a:graphicData>
                  </a:graphic>
                </wp:inline>
              </w:drawing>
            </w:r>
          </w:p>
        </w:tc>
        <w:tc>
          <w:tcPr>
            <w:tcW w:w="4938" w:type="dxa"/>
            <w:vAlign w:val="center"/>
          </w:tcPr>
          <w:p w14:paraId="39BD4383" w14:textId="37DAAA22" w:rsidR="00E0626C" w:rsidRPr="007E0340" w:rsidRDefault="002C4A75" w:rsidP="009A2BA0">
            <w:pPr>
              <w:jc w:val="center"/>
              <w:rPr>
                <w:noProof/>
                <w:szCs w:val="18"/>
              </w:rPr>
            </w:pPr>
            <w:r>
              <w:rPr>
                <w:noProof/>
              </w:rPr>
              <w:drawing>
                <wp:inline distT="0" distB="0" distL="0" distR="0" wp14:anchorId="5ABDBC22" wp14:editId="26F36D4A">
                  <wp:extent cx="2998470" cy="1921472"/>
                  <wp:effectExtent l="0" t="0" r="0" b="3175"/>
                  <wp:docPr id="12" name="图表 12">
                    <a:extLst xmlns:a="http://schemas.openxmlformats.org/drawingml/2006/main">
                      <a:ext uri="{FF2B5EF4-FFF2-40B4-BE49-F238E27FC236}">
                        <a16:creationId xmlns:lc="http://schemas.openxmlformats.org/drawingml/2006/lockedCanvas" xmlns="" xmlns:a16="http://schemas.microsoft.com/office/drawing/2014/main" xmlns:xdr="http://schemas.openxmlformats.org/drawingml/2006/spreadsheetDrawing" xmlns:w15="http://schemas.microsoft.com/office/word/2012/wordml" xmlns:w="http://schemas.openxmlformats.org/wordprocessingml/2006/main" xmlns:w10="urn:schemas-microsoft-com:office:word" xmlns:v="urn:schemas-microsoft-com:vml" xmlns:o="urn:schemas-microsoft-com:office:office" id="{00000000-0008-0000-06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r>
      <w:tr w:rsidR="00E0626C" w:rsidRPr="006A5F34" w14:paraId="14E5D572" w14:textId="77777777" w:rsidTr="006F21C0">
        <w:trPr>
          <w:trHeight w:val="64"/>
          <w:jc w:val="center"/>
        </w:trPr>
        <w:tc>
          <w:tcPr>
            <w:tcW w:w="4939" w:type="dxa"/>
            <w:vAlign w:val="center"/>
          </w:tcPr>
          <w:p w14:paraId="5190A1EC"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4A0B8FF"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E844C6C" w14:textId="153B6387" w:rsidR="00E0626C" w:rsidRDefault="00E0626C" w:rsidP="009A2BA0">
      <w:pPr>
        <w:pStyle w:val="Body-text"/>
        <w:spacing w:after="0"/>
        <w:rPr>
          <w:lang w:eastAsia="zh-CN"/>
        </w:rPr>
      </w:pPr>
    </w:p>
    <w:p w14:paraId="721DD2C0" w14:textId="02AF1313" w:rsidR="0082791D" w:rsidRPr="00963D43" w:rsidRDefault="0031666C" w:rsidP="009A2BA0">
      <w:pPr>
        <w:pStyle w:val="Header1"/>
        <w:spacing w:before="240"/>
        <w:rPr>
          <w:color w:val="C45911" w:themeColor="accent2" w:themeShade="BF"/>
        </w:rPr>
      </w:pPr>
      <w:r>
        <w:rPr>
          <w:rFonts w:hint="eastAsia"/>
          <w:color w:val="C45911" w:themeColor="accent2" w:themeShade="BF"/>
        </w:rPr>
        <w:t>三</w:t>
      </w:r>
      <w:r w:rsidR="0082791D" w:rsidRPr="00963D43">
        <w:rPr>
          <w:rFonts w:hint="eastAsia"/>
          <w:color w:val="C45911" w:themeColor="accent2" w:themeShade="BF"/>
        </w:rPr>
        <w:t>、</w:t>
      </w:r>
      <w:r w:rsidR="00E0626C">
        <w:rPr>
          <w:rFonts w:hint="eastAsia"/>
          <w:color w:val="C45911" w:themeColor="accent2" w:themeShade="BF"/>
        </w:rPr>
        <w:t>本周市场展望</w:t>
      </w:r>
    </w:p>
    <w:p w14:paraId="5ACEDF53" w14:textId="44718DE6" w:rsidR="00963D43" w:rsidRPr="00BE2819" w:rsidRDefault="00FF7903" w:rsidP="009A2BA0">
      <w:pPr>
        <w:pStyle w:val="Header2"/>
        <w:rPr>
          <w:rFonts w:eastAsia="PMingLiU"/>
          <w:sz w:val="28"/>
          <w:szCs w:val="21"/>
        </w:rPr>
      </w:pPr>
      <w:r>
        <w:rPr>
          <w:rFonts w:hint="eastAsia"/>
          <w:sz w:val="28"/>
          <w:szCs w:val="21"/>
          <w:lang w:eastAsia="zh-CN"/>
        </w:rPr>
        <w:t>1</w:t>
      </w:r>
      <w:r>
        <w:rPr>
          <w:rFonts w:hint="eastAsia"/>
          <w:sz w:val="28"/>
          <w:szCs w:val="21"/>
          <w:lang w:eastAsia="zh-CN"/>
        </w:rPr>
        <w:t>、</w:t>
      </w:r>
      <w:r w:rsidR="00E0626C">
        <w:rPr>
          <w:rFonts w:hint="eastAsia"/>
          <w:sz w:val="28"/>
          <w:szCs w:val="21"/>
        </w:rPr>
        <w:t>基本面变化</w:t>
      </w:r>
    </w:p>
    <w:p w14:paraId="41A42062" w14:textId="475C68D3" w:rsidR="00882FA5" w:rsidRPr="003E42BE" w:rsidRDefault="00E34B22" w:rsidP="003F00C6">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生产</w:t>
      </w:r>
      <w:r w:rsidR="00CC2F5D" w:rsidRPr="00D67BD7">
        <w:rPr>
          <w:rFonts w:ascii="华文楷体" w:hAnsi="华文楷体" w:hint="eastAsia"/>
          <w:b/>
          <w:bCs/>
          <w:sz w:val="24"/>
          <w:szCs w:val="24"/>
          <w:lang w:eastAsia="zh-CN"/>
        </w:rPr>
        <w:t>：</w:t>
      </w:r>
      <w:r w:rsidR="00124E5E">
        <w:rPr>
          <w:rFonts w:ascii="华文楷体" w:hAnsi="华文楷体" w:hint="eastAsia"/>
          <w:sz w:val="24"/>
          <w:szCs w:val="24"/>
          <w:lang w:eastAsia="zh-CN"/>
        </w:rPr>
        <w:t>上</w:t>
      </w:r>
      <w:r w:rsidR="001F098C" w:rsidRPr="001F098C">
        <w:rPr>
          <w:rFonts w:ascii="华文楷体" w:hAnsi="华文楷体" w:hint="eastAsia"/>
          <w:sz w:val="24"/>
          <w:szCs w:val="24"/>
          <w:lang w:eastAsia="zh-CN"/>
        </w:rPr>
        <w:t>周</w:t>
      </w:r>
      <w:r w:rsidR="00AE5690" w:rsidRPr="00AE5690">
        <w:rPr>
          <w:rFonts w:ascii="华文楷体" w:hAnsi="华文楷体" w:hint="eastAsia"/>
          <w:sz w:val="24"/>
          <w:szCs w:val="24"/>
          <w:lang w:eastAsia="zh-CN"/>
        </w:rPr>
        <w:t>主要港口动力煤平均价环比上涨2.93%，整体而言，上游</w:t>
      </w:r>
      <w:proofErr w:type="gramStart"/>
      <w:r w:rsidR="00AE5690" w:rsidRPr="00AE5690">
        <w:rPr>
          <w:rFonts w:ascii="华文楷体" w:hAnsi="华文楷体" w:hint="eastAsia"/>
          <w:sz w:val="24"/>
          <w:szCs w:val="24"/>
          <w:lang w:eastAsia="zh-CN"/>
        </w:rPr>
        <w:t>供给</w:t>
      </w:r>
      <w:r w:rsidR="00AE5690">
        <w:rPr>
          <w:rFonts w:ascii="华文楷体" w:hAnsi="华文楷体" w:hint="eastAsia"/>
          <w:sz w:val="24"/>
          <w:szCs w:val="24"/>
          <w:lang w:eastAsia="zh-CN"/>
        </w:rPr>
        <w:t>仍</w:t>
      </w:r>
      <w:proofErr w:type="gramEnd"/>
      <w:r w:rsidR="00AE5690" w:rsidRPr="00AE5690">
        <w:rPr>
          <w:rFonts w:ascii="华文楷体" w:hAnsi="华文楷体" w:hint="eastAsia"/>
          <w:sz w:val="24"/>
          <w:szCs w:val="24"/>
          <w:lang w:eastAsia="zh-CN"/>
        </w:rPr>
        <w:t>偏紧</w:t>
      </w:r>
      <w:r w:rsidR="001F098C" w:rsidRPr="001F098C">
        <w:rPr>
          <w:rFonts w:ascii="华文楷体" w:hAnsi="华文楷体" w:hint="eastAsia"/>
          <w:sz w:val="24"/>
          <w:szCs w:val="24"/>
          <w:lang w:eastAsia="zh-CN"/>
        </w:rPr>
        <w:t>。</w:t>
      </w:r>
      <w:r w:rsidR="00AE5690" w:rsidRPr="00AE5690">
        <w:rPr>
          <w:rFonts w:ascii="华文楷体" w:hAnsi="华文楷体" w:hint="eastAsia"/>
          <w:sz w:val="24"/>
          <w:szCs w:val="24"/>
          <w:lang w:eastAsia="zh-CN"/>
        </w:rPr>
        <w:t>PTA产业链负荷率回升6.3个百分点至84.08%。中国玻璃综合指数上行3.21%</w:t>
      </w:r>
      <w:r w:rsidR="00124E5E">
        <w:rPr>
          <w:rFonts w:ascii="华文楷体" w:hAnsi="华文楷体" w:hint="eastAsia"/>
          <w:sz w:val="24"/>
          <w:szCs w:val="24"/>
          <w:lang w:eastAsia="zh-CN"/>
        </w:rPr>
        <w:t>，</w:t>
      </w:r>
      <w:proofErr w:type="gramStart"/>
      <w:r w:rsidR="00AE5690" w:rsidRPr="00AE5690">
        <w:rPr>
          <w:rFonts w:ascii="华文楷体" w:hAnsi="华文楷体" w:hint="eastAsia"/>
          <w:sz w:val="24"/>
          <w:szCs w:val="24"/>
          <w:lang w:eastAsia="zh-CN"/>
        </w:rPr>
        <w:t>创春节</w:t>
      </w:r>
      <w:proofErr w:type="gramEnd"/>
      <w:r w:rsidR="00AE5690" w:rsidRPr="00AE5690">
        <w:rPr>
          <w:rFonts w:ascii="华文楷体" w:hAnsi="华文楷体" w:hint="eastAsia"/>
          <w:sz w:val="24"/>
          <w:szCs w:val="24"/>
          <w:lang w:eastAsia="zh-CN"/>
        </w:rPr>
        <w:t>以来单周最高涨幅</w:t>
      </w:r>
      <w:r w:rsidR="00AE5690">
        <w:rPr>
          <w:rFonts w:ascii="华文楷体" w:hAnsi="华文楷体" w:hint="eastAsia"/>
          <w:sz w:val="24"/>
          <w:szCs w:val="24"/>
          <w:lang w:eastAsia="zh-CN"/>
        </w:rPr>
        <w:t>。</w:t>
      </w:r>
      <w:r w:rsidR="00124E5E">
        <w:rPr>
          <w:rFonts w:ascii="华文楷体" w:hAnsi="华文楷体" w:hint="eastAsia"/>
          <w:sz w:val="24"/>
          <w:szCs w:val="24"/>
          <w:lang w:eastAsia="zh-CN"/>
        </w:rPr>
        <w:t>上</w:t>
      </w:r>
      <w:r w:rsidR="00AE5690" w:rsidRPr="00AE5690">
        <w:rPr>
          <w:rFonts w:ascii="华文楷体" w:hAnsi="华文楷体" w:hint="eastAsia"/>
          <w:sz w:val="24"/>
          <w:szCs w:val="24"/>
          <w:lang w:eastAsia="zh-CN"/>
        </w:rPr>
        <w:t>周</w:t>
      </w:r>
      <w:proofErr w:type="spellStart"/>
      <w:r w:rsidR="00AE5690" w:rsidRPr="00AE5690">
        <w:rPr>
          <w:rFonts w:ascii="华文楷体" w:hAnsi="华文楷体" w:hint="eastAsia"/>
          <w:sz w:val="24"/>
          <w:szCs w:val="24"/>
          <w:lang w:eastAsia="zh-CN"/>
        </w:rPr>
        <w:t>Myspic</w:t>
      </w:r>
      <w:proofErr w:type="spellEnd"/>
      <w:r w:rsidR="00AE5690" w:rsidRPr="00AE5690">
        <w:rPr>
          <w:rFonts w:ascii="华文楷体" w:hAnsi="华文楷体" w:hint="eastAsia"/>
          <w:sz w:val="24"/>
          <w:szCs w:val="24"/>
          <w:lang w:eastAsia="zh-CN"/>
        </w:rPr>
        <w:t>综合全国钢铁价格指数回落8.41%，主要品种价格均呈明显回调。按品种看，螺纹钢、热卷、高线价格</w:t>
      </w:r>
      <w:r w:rsidR="00124E5E">
        <w:rPr>
          <w:rFonts w:ascii="华文楷体" w:hAnsi="华文楷体" w:hint="eastAsia"/>
          <w:sz w:val="24"/>
          <w:szCs w:val="24"/>
          <w:lang w:eastAsia="zh-CN"/>
        </w:rPr>
        <w:t>上</w:t>
      </w:r>
      <w:r w:rsidR="00AE5690" w:rsidRPr="00AE5690">
        <w:rPr>
          <w:rFonts w:ascii="华文楷体" w:hAnsi="华文楷体" w:hint="eastAsia"/>
          <w:sz w:val="24"/>
          <w:szCs w:val="24"/>
          <w:lang w:eastAsia="zh-CN"/>
        </w:rPr>
        <w:t>周分别下跌10.37%、8.94%、9.18%，回调幅度较大。库存方面，各品种延续下降态势：螺纹钢、热卷、线材总库存分别减少7.80%、0.03%、8.64%。</w:t>
      </w:r>
    </w:p>
    <w:p w14:paraId="21425444" w14:textId="27007C0A" w:rsidR="00FA22A8" w:rsidRDefault="00E34B22" w:rsidP="0007254B">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地产</w:t>
      </w:r>
      <w:r w:rsidR="00F704B5">
        <w:rPr>
          <w:rFonts w:ascii="华文楷体" w:hAnsi="华文楷体" w:hint="eastAsia"/>
          <w:b/>
          <w:bCs/>
          <w:sz w:val="24"/>
          <w:szCs w:val="24"/>
          <w:lang w:eastAsia="zh-CN"/>
        </w:rPr>
        <w:t>：</w:t>
      </w:r>
      <w:r w:rsidR="00AE5690" w:rsidRPr="00AE5690">
        <w:rPr>
          <w:rFonts w:ascii="华文楷体" w:hAnsi="华文楷体" w:hint="eastAsia"/>
          <w:sz w:val="24"/>
          <w:szCs w:val="24"/>
          <w:lang w:eastAsia="zh-CN"/>
        </w:rPr>
        <w:t>30大中城市商品房平均成交</w:t>
      </w:r>
      <w:proofErr w:type="gramStart"/>
      <w:r w:rsidR="00AE5690" w:rsidRPr="00AE5690">
        <w:rPr>
          <w:rFonts w:ascii="华文楷体" w:hAnsi="华文楷体" w:hint="eastAsia"/>
          <w:sz w:val="24"/>
          <w:szCs w:val="24"/>
          <w:lang w:eastAsia="zh-CN"/>
        </w:rPr>
        <w:t>面积环</w:t>
      </w:r>
      <w:proofErr w:type="gramEnd"/>
      <w:r w:rsidR="00AE5690" w:rsidRPr="00AE5690">
        <w:rPr>
          <w:rFonts w:ascii="华文楷体" w:hAnsi="华文楷体" w:hint="eastAsia"/>
          <w:sz w:val="24"/>
          <w:szCs w:val="24"/>
          <w:lang w:eastAsia="zh-CN"/>
        </w:rPr>
        <w:t>比回升32.1%，其中，一、二、三线城市全线增加14.2%、37.2%、33.9%</w:t>
      </w:r>
      <w:r w:rsidR="003B19EF">
        <w:rPr>
          <w:rFonts w:ascii="华文楷体" w:hAnsi="华文楷体" w:hint="eastAsia"/>
          <w:sz w:val="24"/>
          <w:szCs w:val="24"/>
          <w:lang w:eastAsia="zh-CN"/>
        </w:rPr>
        <w:t>。</w:t>
      </w:r>
      <w:r w:rsidR="00AE5690" w:rsidRPr="00AE5690">
        <w:rPr>
          <w:rFonts w:ascii="华文楷体" w:hAnsi="华文楷体" w:hint="eastAsia"/>
          <w:sz w:val="24"/>
          <w:szCs w:val="24"/>
          <w:lang w:eastAsia="zh-CN"/>
        </w:rPr>
        <w:t>拿地方面，五一假期后，北京、深圳、厦门等六城在当周进行年内首次集中土拍，带动100大中城市土地成交</w:t>
      </w:r>
      <w:proofErr w:type="gramStart"/>
      <w:r w:rsidR="00AE5690" w:rsidRPr="00AE5690">
        <w:rPr>
          <w:rFonts w:ascii="华文楷体" w:hAnsi="华文楷体" w:hint="eastAsia"/>
          <w:sz w:val="24"/>
          <w:szCs w:val="24"/>
          <w:lang w:eastAsia="zh-CN"/>
        </w:rPr>
        <w:t>面积环</w:t>
      </w:r>
      <w:proofErr w:type="gramEnd"/>
      <w:r w:rsidR="00AE5690" w:rsidRPr="00AE5690">
        <w:rPr>
          <w:rFonts w:ascii="华文楷体" w:hAnsi="华文楷体" w:hint="eastAsia"/>
          <w:sz w:val="24"/>
          <w:szCs w:val="24"/>
          <w:lang w:eastAsia="zh-CN"/>
        </w:rPr>
        <w:t>比回升50%</w:t>
      </w:r>
      <w:r w:rsidR="00AE5690">
        <w:rPr>
          <w:rFonts w:ascii="华文楷体" w:hAnsi="华文楷体" w:hint="eastAsia"/>
          <w:sz w:val="24"/>
          <w:szCs w:val="24"/>
          <w:lang w:eastAsia="zh-CN"/>
        </w:rPr>
        <w:t>。</w:t>
      </w:r>
    </w:p>
    <w:p w14:paraId="77CCCEDF" w14:textId="6CBD6FD2" w:rsidR="007F6B5C" w:rsidRDefault="005D478C" w:rsidP="00153A65">
      <w:pPr>
        <w:pStyle w:val="Body-text"/>
        <w:ind w:firstLineChars="200" w:firstLine="480"/>
        <w:rPr>
          <w:rFonts w:ascii="华文楷体" w:hAnsi="华文楷体"/>
          <w:bCs/>
          <w:sz w:val="24"/>
          <w:szCs w:val="24"/>
          <w:lang w:eastAsia="zh-CN"/>
        </w:rPr>
      </w:pPr>
      <w:r w:rsidRPr="0063487B">
        <w:rPr>
          <w:rFonts w:ascii="华文楷体" w:hAnsi="华文楷体" w:hint="eastAsia"/>
          <w:b/>
          <w:bCs/>
          <w:sz w:val="24"/>
          <w:szCs w:val="24"/>
          <w:lang w:eastAsia="zh-CN"/>
        </w:rPr>
        <w:t>进出口</w:t>
      </w:r>
      <w:r w:rsidR="00CC2F5D" w:rsidRPr="0063487B">
        <w:rPr>
          <w:rFonts w:ascii="华文楷体" w:hAnsi="华文楷体" w:hint="eastAsia"/>
          <w:b/>
          <w:bCs/>
          <w:sz w:val="24"/>
          <w:szCs w:val="24"/>
          <w:lang w:eastAsia="zh-CN"/>
        </w:rPr>
        <w:t>：</w:t>
      </w:r>
      <w:r w:rsidR="001F098C" w:rsidRPr="001F098C">
        <w:rPr>
          <w:rFonts w:ascii="华文楷体" w:hAnsi="华文楷体" w:hint="eastAsia"/>
          <w:sz w:val="24"/>
          <w:szCs w:val="24"/>
          <w:lang w:eastAsia="zh-CN"/>
        </w:rPr>
        <w:t>出口方面，</w:t>
      </w:r>
      <w:r w:rsidR="00AE5690" w:rsidRPr="00AE5690">
        <w:rPr>
          <w:rFonts w:ascii="华文楷体" w:hAnsi="华文楷体" w:hint="eastAsia"/>
          <w:bCs/>
          <w:sz w:val="24"/>
          <w:szCs w:val="24"/>
          <w:lang w:eastAsia="zh-CN"/>
        </w:rPr>
        <w:t>上海出口集装箱指数（SCFI）</w:t>
      </w:r>
      <w:r w:rsidR="00124E5E">
        <w:rPr>
          <w:rFonts w:ascii="华文楷体" w:hAnsi="华文楷体" w:hint="eastAsia"/>
          <w:bCs/>
          <w:sz w:val="24"/>
          <w:szCs w:val="24"/>
          <w:lang w:eastAsia="zh-CN"/>
        </w:rPr>
        <w:t>上</w:t>
      </w:r>
      <w:r w:rsidR="00AE5690" w:rsidRPr="00AE5690">
        <w:rPr>
          <w:rFonts w:ascii="华文楷体" w:hAnsi="华文楷体" w:hint="eastAsia"/>
          <w:bCs/>
          <w:sz w:val="24"/>
          <w:szCs w:val="24"/>
          <w:lang w:eastAsia="zh-CN"/>
        </w:rPr>
        <w:t>周环比回升2.67%，中国出口集装箱运价指数（CCFI）上行3.85%</w:t>
      </w:r>
      <w:r w:rsidR="003B19EF" w:rsidRPr="003B19EF">
        <w:rPr>
          <w:rFonts w:ascii="华文楷体" w:hAnsi="华文楷体" w:hint="eastAsia"/>
          <w:bCs/>
          <w:sz w:val="24"/>
          <w:szCs w:val="24"/>
          <w:lang w:eastAsia="zh-CN"/>
        </w:rPr>
        <w:t>。</w:t>
      </w:r>
      <w:r w:rsidR="001F098C">
        <w:rPr>
          <w:rFonts w:ascii="华文楷体" w:hAnsi="华文楷体" w:hint="eastAsia"/>
          <w:bCs/>
          <w:sz w:val="24"/>
          <w:szCs w:val="24"/>
          <w:lang w:eastAsia="zh-CN"/>
        </w:rPr>
        <w:t>进口方面，</w:t>
      </w:r>
      <w:r w:rsidR="00AE5690" w:rsidRPr="00AE5690">
        <w:rPr>
          <w:rFonts w:ascii="华文楷体" w:hAnsi="华文楷体" w:hint="eastAsia"/>
          <w:bCs/>
          <w:sz w:val="24"/>
          <w:szCs w:val="24"/>
          <w:lang w:eastAsia="zh-CN"/>
        </w:rPr>
        <w:t>波罗的海干散货</w:t>
      </w:r>
      <w:proofErr w:type="gramStart"/>
      <w:r w:rsidR="00AE5690" w:rsidRPr="00AE5690">
        <w:rPr>
          <w:rFonts w:ascii="华文楷体" w:hAnsi="华文楷体" w:hint="eastAsia"/>
          <w:bCs/>
          <w:sz w:val="24"/>
          <w:szCs w:val="24"/>
          <w:lang w:eastAsia="zh-CN"/>
        </w:rPr>
        <w:t>指数环</w:t>
      </w:r>
      <w:proofErr w:type="gramEnd"/>
      <w:r w:rsidR="00AE5690" w:rsidRPr="00AE5690">
        <w:rPr>
          <w:rFonts w:ascii="华文楷体" w:hAnsi="华文楷体" w:hint="eastAsia"/>
          <w:bCs/>
          <w:sz w:val="24"/>
          <w:szCs w:val="24"/>
          <w:lang w:eastAsia="zh-CN"/>
        </w:rPr>
        <w:t>比下行9.61%，中国进口干散货运价</w:t>
      </w:r>
      <w:proofErr w:type="gramStart"/>
      <w:r w:rsidR="00AE5690" w:rsidRPr="00AE5690">
        <w:rPr>
          <w:rFonts w:ascii="华文楷体" w:hAnsi="华文楷体" w:hint="eastAsia"/>
          <w:bCs/>
          <w:sz w:val="24"/>
          <w:szCs w:val="24"/>
          <w:lang w:eastAsia="zh-CN"/>
        </w:rPr>
        <w:t>指数环</w:t>
      </w:r>
      <w:proofErr w:type="gramEnd"/>
      <w:r w:rsidR="00AE5690" w:rsidRPr="00AE5690">
        <w:rPr>
          <w:rFonts w:ascii="华文楷体" w:hAnsi="华文楷体" w:hint="eastAsia"/>
          <w:bCs/>
          <w:sz w:val="24"/>
          <w:szCs w:val="24"/>
          <w:lang w:eastAsia="zh-CN"/>
        </w:rPr>
        <w:t>比下行6.29%</w:t>
      </w:r>
      <w:r w:rsidR="001F098C" w:rsidRPr="001F098C">
        <w:rPr>
          <w:rFonts w:ascii="华文楷体" w:hAnsi="华文楷体" w:hint="eastAsia"/>
          <w:bCs/>
          <w:sz w:val="24"/>
          <w:szCs w:val="24"/>
          <w:lang w:eastAsia="zh-CN"/>
        </w:rPr>
        <w:t>。</w:t>
      </w:r>
    </w:p>
    <w:p w14:paraId="0542DAC4" w14:textId="1707BFAB" w:rsidR="00756ABD" w:rsidRDefault="00E34B22" w:rsidP="00617BC1">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通胀：</w:t>
      </w:r>
      <w:r w:rsidR="00AE5436" w:rsidRPr="00AE5436">
        <w:rPr>
          <w:rFonts w:ascii="华文楷体" w:hAnsi="华文楷体" w:hint="eastAsia"/>
          <w:bCs/>
          <w:sz w:val="24"/>
          <w:szCs w:val="24"/>
          <w:lang w:eastAsia="zh-CN"/>
        </w:rPr>
        <w:t>食品价格方面，</w:t>
      </w:r>
      <w:r w:rsidR="001F098C" w:rsidRPr="001F098C">
        <w:rPr>
          <w:rFonts w:ascii="华文楷体" w:hAnsi="华文楷体" w:hint="eastAsia"/>
          <w:bCs/>
          <w:sz w:val="24"/>
          <w:szCs w:val="24"/>
          <w:lang w:eastAsia="zh-CN"/>
        </w:rPr>
        <w:t>猪价方面，</w:t>
      </w:r>
      <w:r w:rsidR="00124E5E">
        <w:rPr>
          <w:rFonts w:ascii="华文楷体" w:hAnsi="华文楷体" w:hint="eastAsia"/>
          <w:bCs/>
          <w:sz w:val="24"/>
          <w:szCs w:val="24"/>
          <w:lang w:eastAsia="zh-CN"/>
        </w:rPr>
        <w:t>上</w:t>
      </w:r>
      <w:r w:rsidR="00AE5690" w:rsidRPr="00AE5690">
        <w:rPr>
          <w:rFonts w:ascii="华文楷体" w:hAnsi="华文楷体" w:hint="eastAsia"/>
          <w:bCs/>
          <w:sz w:val="24"/>
          <w:szCs w:val="24"/>
          <w:lang w:eastAsia="zh-CN"/>
        </w:rPr>
        <w:t>周农业部公布的全国平均批发价下降至26.89元/公斤，环比跌幅扩大至5.75%</w:t>
      </w:r>
      <w:r w:rsidR="00AE5690">
        <w:rPr>
          <w:rFonts w:ascii="华文楷体" w:hAnsi="华文楷体" w:hint="eastAsia"/>
          <w:bCs/>
          <w:sz w:val="24"/>
          <w:szCs w:val="24"/>
          <w:lang w:eastAsia="zh-CN"/>
        </w:rPr>
        <w:t>。</w:t>
      </w:r>
      <w:r w:rsidR="00AE5690" w:rsidRPr="00AE5690">
        <w:rPr>
          <w:rFonts w:ascii="华文楷体" w:hAnsi="华文楷体" w:hint="eastAsia"/>
          <w:bCs/>
          <w:sz w:val="24"/>
          <w:szCs w:val="24"/>
          <w:lang w:eastAsia="zh-CN"/>
        </w:rPr>
        <w:t>蔬菜、牛肉价格延续下跌，生鲜乳制品、水果价格由跌转涨，水产品价格涨幅扩大。</w:t>
      </w:r>
      <w:r w:rsidR="003B19EF" w:rsidRPr="003B19EF">
        <w:rPr>
          <w:rFonts w:ascii="华文楷体" w:hAnsi="华文楷体" w:hint="eastAsia"/>
          <w:bCs/>
          <w:sz w:val="24"/>
          <w:szCs w:val="24"/>
          <w:lang w:eastAsia="zh-CN"/>
        </w:rPr>
        <w:t>工业品价格方面，</w:t>
      </w:r>
      <w:r w:rsidR="00124E5E">
        <w:rPr>
          <w:rFonts w:ascii="华文楷体" w:hAnsi="华文楷体" w:hint="eastAsia"/>
          <w:bCs/>
          <w:sz w:val="24"/>
          <w:szCs w:val="24"/>
          <w:lang w:eastAsia="zh-CN"/>
        </w:rPr>
        <w:t>上</w:t>
      </w:r>
      <w:r w:rsidR="00AE5690" w:rsidRPr="00AE5690">
        <w:rPr>
          <w:rFonts w:ascii="华文楷体" w:hAnsi="华文楷体" w:hint="eastAsia"/>
          <w:bCs/>
          <w:sz w:val="24"/>
          <w:szCs w:val="24"/>
          <w:lang w:eastAsia="zh-CN"/>
        </w:rPr>
        <w:t>周国内长江有色市场铜价下跌2.61%，铝、铅、锌价分别变化-2.69%、-0.29%、0.70%；海外方面，LME铜、铝、铅、</w:t>
      </w:r>
      <w:proofErr w:type="gramStart"/>
      <w:r w:rsidR="00AE5690" w:rsidRPr="00AE5690">
        <w:rPr>
          <w:rFonts w:ascii="华文楷体" w:hAnsi="华文楷体" w:hint="eastAsia"/>
          <w:bCs/>
          <w:sz w:val="24"/>
          <w:szCs w:val="24"/>
          <w:lang w:eastAsia="zh-CN"/>
        </w:rPr>
        <w:t>锌环比</w:t>
      </w:r>
      <w:proofErr w:type="gramEnd"/>
      <w:r w:rsidR="00AE5690" w:rsidRPr="00AE5690">
        <w:rPr>
          <w:rFonts w:ascii="华文楷体" w:hAnsi="华文楷体" w:hint="eastAsia"/>
          <w:bCs/>
          <w:sz w:val="24"/>
          <w:szCs w:val="24"/>
          <w:lang w:eastAsia="zh-CN"/>
        </w:rPr>
        <w:t>分别变化-1.95%、-1.97%、0.20%、0.64%。</w:t>
      </w:r>
    </w:p>
    <w:p w14:paraId="3425BC76" w14:textId="1214F200" w:rsidR="00095AFC" w:rsidRDefault="00DC2C5F" w:rsidP="00153A65">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t>消费</w:t>
      </w:r>
      <w:r w:rsidR="008D4119" w:rsidRPr="008D4119">
        <w:rPr>
          <w:rFonts w:ascii="华文楷体" w:hAnsi="华文楷体" w:hint="eastAsia"/>
          <w:b/>
          <w:bCs/>
          <w:sz w:val="24"/>
          <w:szCs w:val="24"/>
          <w:lang w:eastAsia="zh-CN"/>
        </w:rPr>
        <w:t>：</w:t>
      </w:r>
      <w:bookmarkStart w:id="1" w:name="_Hlk21205334"/>
      <w:r w:rsidR="00AE5690" w:rsidRPr="00AE5690">
        <w:rPr>
          <w:rFonts w:ascii="华文楷体" w:hAnsi="华文楷体" w:hint="eastAsia"/>
          <w:bCs/>
          <w:sz w:val="24"/>
          <w:szCs w:val="24"/>
          <w:lang w:eastAsia="zh-CN"/>
        </w:rPr>
        <w:t>乘联会最新数据显示，5月第二周日均零售在3.82万辆左右，同比下降3%，环比4月次</w:t>
      </w:r>
      <w:proofErr w:type="gramStart"/>
      <w:r w:rsidR="00AE5690" w:rsidRPr="00AE5690">
        <w:rPr>
          <w:rFonts w:ascii="华文楷体" w:hAnsi="华文楷体" w:hint="eastAsia"/>
          <w:bCs/>
          <w:sz w:val="24"/>
          <w:szCs w:val="24"/>
          <w:lang w:eastAsia="zh-CN"/>
        </w:rPr>
        <w:t>周下降</w:t>
      </w:r>
      <w:proofErr w:type="gramEnd"/>
      <w:r w:rsidR="00AE5690" w:rsidRPr="00AE5690">
        <w:rPr>
          <w:rFonts w:ascii="华文楷体" w:hAnsi="华文楷体" w:hint="eastAsia"/>
          <w:bCs/>
          <w:sz w:val="24"/>
          <w:szCs w:val="24"/>
          <w:lang w:eastAsia="zh-CN"/>
        </w:rPr>
        <w:t>2%</w:t>
      </w:r>
      <w:r w:rsidR="003B19EF" w:rsidRPr="003B19EF">
        <w:rPr>
          <w:rFonts w:ascii="华文楷体" w:hAnsi="华文楷体" w:hint="eastAsia"/>
          <w:bCs/>
          <w:sz w:val="24"/>
          <w:szCs w:val="24"/>
          <w:lang w:eastAsia="zh-CN"/>
        </w:rPr>
        <w:t>。</w:t>
      </w:r>
      <w:r w:rsidR="00AE5690" w:rsidRPr="00AE5690">
        <w:rPr>
          <w:rFonts w:ascii="华文楷体" w:hAnsi="华文楷体" w:hint="eastAsia"/>
          <w:bCs/>
          <w:sz w:val="24"/>
          <w:szCs w:val="24"/>
          <w:lang w:eastAsia="zh-CN"/>
        </w:rPr>
        <w:t>批发方面，当周主要厂商批发销量为日均4.33万辆，同比增长6%，环比4月增长12%</w:t>
      </w:r>
      <w:r w:rsidR="00AE5690">
        <w:rPr>
          <w:rFonts w:ascii="华文楷体" w:hAnsi="华文楷体" w:hint="eastAsia"/>
          <w:bCs/>
          <w:sz w:val="24"/>
          <w:szCs w:val="24"/>
          <w:lang w:eastAsia="zh-CN"/>
        </w:rPr>
        <w:t>。</w:t>
      </w:r>
    </w:p>
    <w:p w14:paraId="6C0621FD" w14:textId="10372E2E" w:rsidR="00DC2C5F" w:rsidRPr="00EB6DED" w:rsidRDefault="00DC2C5F" w:rsidP="00153A65">
      <w:pPr>
        <w:pStyle w:val="Body-text"/>
        <w:ind w:firstLineChars="200" w:firstLine="480"/>
        <w:rPr>
          <w:rFonts w:ascii="华文楷体" w:hAnsi="华文楷体"/>
          <w:bCs/>
          <w:sz w:val="24"/>
          <w:szCs w:val="24"/>
          <w:lang w:eastAsia="zh-CN"/>
        </w:rPr>
      </w:pPr>
      <w:r w:rsidRPr="00DC2C5F">
        <w:rPr>
          <w:rFonts w:ascii="华文楷体" w:hAnsi="华文楷体" w:hint="eastAsia"/>
          <w:b/>
          <w:bCs/>
          <w:sz w:val="24"/>
          <w:szCs w:val="24"/>
          <w:lang w:eastAsia="zh-CN"/>
        </w:rPr>
        <w:lastRenderedPageBreak/>
        <w:t>海外</w:t>
      </w:r>
      <w:r>
        <w:rPr>
          <w:rFonts w:ascii="华文楷体" w:hAnsi="华文楷体" w:hint="eastAsia"/>
          <w:bCs/>
          <w:sz w:val="24"/>
          <w:szCs w:val="24"/>
          <w:lang w:eastAsia="zh-CN"/>
        </w:rPr>
        <w:t>：</w:t>
      </w:r>
      <w:r w:rsidR="00AE5690" w:rsidRPr="00AE5690">
        <w:rPr>
          <w:rFonts w:ascii="华文楷体" w:hAnsi="华文楷体" w:hint="eastAsia"/>
          <w:bCs/>
          <w:sz w:val="24"/>
          <w:szCs w:val="24"/>
          <w:lang w:eastAsia="zh-CN"/>
        </w:rPr>
        <w:t>布伦</w:t>
      </w:r>
      <w:proofErr w:type="gramStart"/>
      <w:r w:rsidR="00AE5690" w:rsidRPr="00AE5690">
        <w:rPr>
          <w:rFonts w:ascii="华文楷体" w:hAnsi="华文楷体" w:hint="eastAsia"/>
          <w:bCs/>
          <w:sz w:val="24"/>
          <w:szCs w:val="24"/>
          <w:lang w:eastAsia="zh-CN"/>
        </w:rPr>
        <w:t>特</w:t>
      </w:r>
      <w:proofErr w:type="gramEnd"/>
      <w:r w:rsidR="00AE5690" w:rsidRPr="00AE5690">
        <w:rPr>
          <w:rFonts w:ascii="华文楷体" w:hAnsi="华文楷体" w:hint="eastAsia"/>
          <w:bCs/>
          <w:sz w:val="24"/>
          <w:szCs w:val="24"/>
          <w:lang w:eastAsia="zh-CN"/>
        </w:rPr>
        <w:t>原油环比上</w:t>
      </w:r>
      <w:r w:rsidR="00A176A9">
        <w:rPr>
          <w:rFonts w:ascii="华文楷体" w:hAnsi="华文楷体" w:hint="eastAsia"/>
          <w:bCs/>
          <w:sz w:val="24"/>
          <w:szCs w:val="24"/>
          <w:lang w:eastAsia="zh-CN"/>
        </w:rPr>
        <w:t>一</w:t>
      </w:r>
      <w:r w:rsidR="00AE5690" w:rsidRPr="00AE5690">
        <w:rPr>
          <w:rFonts w:ascii="华文楷体" w:hAnsi="华文楷体" w:hint="eastAsia"/>
          <w:bCs/>
          <w:sz w:val="24"/>
          <w:szCs w:val="24"/>
          <w:lang w:eastAsia="zh-CN"/>
        </w:rPr>
        <w:t>周五跌3.3%至66.44美元/桶；WTI原油价格跌2.74%至63.58美元/桶。</w:t>
      </w:r>
    </w:p>
    <w:p w14:paraId="35D3E229" w14:textId="270DB674" w:rsidR="00DA6262" w:rsidRDefault="00A176A9" w:rsidP="00F07541">
      <w:pPr>
        <w:pStyle w:val="Body-text"/>
        <w:ind w:firstLineChars="200" w:firstLine="480"/>
        <w:rPr>
          <w:rFonts w:ascii="Helvetica" w:hAnsi="Helvetica"/>
          <w:color w:val="000000"/>
          <w:spacing w:val="8"/>
          <w:sz w:val="23"/>
          <w:szCs w:val="23"/>
          <w:shd w:val="clear" w:color="auto" w:fill="FFFFFF"/>
          <w:lang w:eastAsia="zh-CN"/>
        </w:rPr>
      </w:pPr>
      <w:r>
        <w:rPr>
          <w:rFonts w:ascii="华文楷体" w:hAnsi="华文楷体" w:hint="eastAsia"/>
          <w:b/>
          <w:bCs/>
          <w:sz w:val="24"/>
          <w:szCs w:val="24"/>
          <w:lang w:eastAsia="zh-CN"/>
        </w:rPr>
        <w:t>本</w:t>
      </w:r>
      <w:r w:rsidR="00A058AB" w:rsidRPr="00C866C2">
        <w:rPr>
          <w:rFonts w:ascii="华文楷体" w:hAnsi="华文楷体" w:hint="eastAsia"/>
          <w:b/>
          <w:bCs/>
          <w:sz w:val="24"/>
          <w:szCs w:val="24"/>
          <w:lang w:eastAsia="zh-CN"/>
        </w:rPr>
        <w:t>周</w:t>
      </w:r>
      <w:r w:rsidR="00A058AB">
        <w:rPr>
          <w:rFonts w:ascii="华文楷体" w:hAnsi="华文楷体" w:hint="eastAsia"/>
          <w:b/>
          <w:bCs/>
          <w:sz w:val="24"/>
          <w:szCs w:val="24"/>
          <w:lang w:eastAsia="zh-CN"/>
        </w:rPr>
        <w:t>关注</w:t>
      </w:r>
      <w:r w:rsidR="00A058AB">
        <w:rPr>
          <w:rFonts w:ascii="华文楷体" w:hAnsi="华文楷体" w:hint="eastAsia"/>
          <w:bCs/>
          <w:sz w:val="24"/>
          <w:szCs w:val="24"/>
          <w:lang w:eastAsia="zh-CN"/>
        </w:rPr>
        <w:t>：</w:t>
      </w:r>
      <w:r w:rsidR="00AE5690" w:rsidRPr="00AE5690">
        <w:rPr>
          <w:rFonts w:ascii="华文楷体" w:hAnsi="华文楷体" w:hint="eastAsia"/>
          <w:bCs/>
          <w:sz w:val="24"/>
          <w:szCs w:val="24"/>
          <w:lang w:eastAsia="zh-CN"/>
        </w:rPr>
        <w:t>4月工业企业利润，利率债和地方债实际供给情况</w:t>
      </w:r>
      <w:r w:rsidR="00F704B5" w:rsidRPr="00F704B5">
        <w:rPr>
          <w:rFonts w:ascii="华文楷体" w:hAnsi="华文楷体" w:hint="eastAsia"/>
          <w:bCs/>
          <w:sz w:val="24"/>
          <w:szCs w:val="24"/>
          <w:lang w:eastAsia="zh-CN"/>
        </w:rPr>
        <w:t>。</w:t>
      </w:r>
    </w:p>
    <w:p w14:paraId="45E291AF" w14:textId="77777777" w:rsidR="006E7D2B" w:rsidRPr="006E7D2B" w:rsidRDefault="006E7D2B" w:rsidP="00F07541">
      <w:pPr>
        <w:pStyle w:val="Body-text"/>
        <w:ind w:firstLineChars="200" w:firstLine="480"/>
        <w:rPr>
          <w:rFonts w:ascii="华文楷体" w:hAnsi="华文楷体"/>
          <w:bCs/>
          <w:sz w:val="24"/>
          <w:szCs w:val="24"/>
          <w:lang w:eastAsia="zh-CN"/>
        </w:rPr>
      </w:pPr>
    </w:p>
    <w:bookmarkEnd w:id="1"/>
    <w:p w14:paraId="07860EC8" w14:textId="007738E2" w:rsidR="00FF7903" w:rsidRPr="00884635" w:rsidRDefault="00FF7903" w:rsidP="009A2BA0">
      <w:pPr>
        <w:pStyle w:val="Header2"/>
        <w:spacing w:before="120"/>
        <w:rPr>
          <w:rFonts w:eastAsia="PMingLiU"/>
          <w:sz w:val="28"/>
          <w:szCs w:val="21"/>
          <w:lang w:eastAsia="zh-CN"/>
        </w:rPr>
      </w:pPr>
      <w:r>
        <w:rPr>
          <w:sz w:val="28"/>
          <w:szCs w:val="21"/>
          <w:lang w:eastAsia="zh-CN"/>
        </w:rPr>
        <w:t>2</w:t>
      </w:r>
      <w:r>
        <w:rPr>
          <w:rFonts w:hint="eastAsia"/>
          <w:sz w:val="28"/>
          <w:szCs w:val="21"/>
          <w:lang w:eastAsia="zh-CN"/>
        </w:rPr>
        <w:t>、</w:t>
      </w:r>
      <w:r w:rsidR="00A176A9">
        <w:rPr>
          <w:rFonts w:hint="eastAsia"/>
          <w:sz w:val="28"/>
          <w:szCs w:val="21"/>
          <w:lang w:eastAsia="zh-CN"/>
        </w:rPr>
        <w:t>本</w:t>
      </w:r>
      <w:r w:rsidR="008125E2">
        <w:rPr>
          <w:rFonts w:hint="eastAsia"/>
          <w:sz w:val="28"/>
          <w:szCs w:val="21"/>
          <w:lang w:eastAsia="zh-CN"/>
        </w:rPr>
        <w:t>周</w:t>
      </w:r>
      <w:r w:rsidR="00E0626C">
        <w:rPr>
          <w:rFonts w:hint="eastAsia"/>
          <w:sz w:val="28"/>
          <w:szCs w:val="21"/>
          <w:lang w:eastAsia="zh-CN"/>
        </w:rPr>
        <w:t>债市</w:t>
      </w:r>
      <w:r w:rsidR="00EE070C">
        <w:rPr>
          <w:rFonts w:hint="eastAsia"/>
          <w:sz w:val="28"/>
          <w:szCs w:val="21"/>
          <w:lang w:eastAsia="zh-CN"/>
        </w:rPr>
        <w:t>判断</w:t>
      </w:r>
    </w:p>
    <w:p w14:paraId="24E697A5" w14:textId="7BA8AC7D" w:rsidR="00854194" w:rsidRPr="00CD3C43" w:rsidRDefault="006B204A" w:rsidP="00CD3C43">
      <w:pPr>
        <w:pStyle w:val="Body-text"/>
        <w:spacing w:after="240"/>
        <w:ind w:firstLineChars="200" w:firstLine="480"/>
        <w:rPr>
          <w:rFonts w:ascii="Helvetica" w:hAnsi="Helvetica"/>
          <w:color w:val="000000"/>
          <w:spacing w:val="8"/>
          <w:sz w:val="23"/>
          <w:szCs w:val="23"/>
          <w:shd w:val="clear" w:color="auto" w:fill="FFFFFF"/>
          <w:lang w:eastAsia="zh-CN"/>
        </w:rPr>
      </w:pPr>
      <w:r w:rsidRPr="00854194">
        <w:rPr>
          <w:rFonts w:ascii="华文楷体" w:hAnsi="华文楷体" w:hint="eastAsia"/>
          <w:sz w:val="24"/>
          <w:szCs w:val="24"/>
          <w:lang w:eastAsia="zh-CN"/>
        </w:rPr>
        <w:t>利率债：</w:t>
      </w:r>
      <w:r w:rsidR="00AE5690" w:rsidRPr="00AE5690">
        <w:rPr>
          <w:rFonts w:ascii="华文楷体" w:hAnsi="华文楷体" w:hint="eastAsia"/>
          <w:sz w:val="24"/>
          <w:szCs w:val="24"/>
          <w:lang w:eastAsia="zh-CN"/>
        </w:rPr>
        <w:t>当前市场呈现一定多空分歧，从高频数据看，经济复苏持续、通胀压力仍存，尤其是大宗商品对债市仍有一定潜在压制。但从市场角度看，央行持续中性操作，基准利率不动、公开市场量价持稳，财政政策相较去年疫情阶段，今年同样倾向于回归常态，市场担心的供给放量迟迟未落地，地方债供给持续适度慢于预期，一季度信贷放量后二季度信贷、</w:t>
      </w:r>
      <w:proofErr w:type="gramStart"/>
      <w:r w:rsidR="00AE5690" w:rsidRPr="00AE5690">
        <w:rPr>
          <w:rFonts w:ascii="华文楷体" w:hAnsi="华文楷体" w:hint="eastAsia"/>
          <w:sz w:val="24"/>
          <w:szCs w:val="24"/>
          <w:lang w:eastAsia="zh-CN"/>
        </w:rPr>
        <w:t>社融又</w:t>
      </w:r>
      <w:proofErr w:type="gramEnd"/>
      <w:r w:rsidR="00AE5690" w:rsidRPr="00AE5690">
        <w:rPr>
          <w:rFonts w:ascii="华文楷体" w:hAnsi="华文楷体" w:hint="eastAsia"/>
          <w:sz w:val="24"/>
          <w:szCs w:val="24"/>
          <w:lang w:eastAsia="zh-CN"/>
        </w:rPr>
        <w:t>面临一定边际走弱可能，从这个角度看债市配置力量和交易盘又都相对活跃。目前看市场，货币政策预期相对充分，目前甚至已经进入一定疲劳期，整体资金中枢力量预</w:t>
      </w:r>
      <w:bookmarkStart w:id="2" w:name="_GoBack"/>
      <w:bookmarkEnd w:id="2"/>
      <w:r w:rsidR="00AE5690" w:rsidRPr="00AE5690">
        <w:rPr>
          <w:rFonts w:ascii="华文楷体" w:hAnsi="华文楷体" w:hint="eastAsia"/>
          <w:sz w:val="24"/>
          <w:szCs w:val="24"/>
          <w:lang w:eastAsia="zh-CN"/>
        </w:rPr>
        <w:t>计相对去年适度上行，但同时仍处于上有顶下有底阶段。短期，利率债市场情绪预计仍持续，震荡走势为主，交易中枢适度下行。</w:t>
      </w:r>
    </w:p>
    <w:p w14:paraId="2C3F4BD1" w14:textId="45809DC7" w:rsidR="003B3058" w:rsidRDefault="00C505BD" w:rsidP="00C505BD">
      <w:pPr>
        <w:pStyle w:val="Body-text"/>
        <w:spacing w:after="240"/>
        <w:ind w:firstLineChars="200" w:firstLine="480"/>
        <w:rPr>
          <w:rFonts w:ascii="华文楷体" w:hAnsi="华文楷体"/>
          <w:sz w:val="24"/>
          <w:szCs w:val="24"/>
          <w:lang w:eastAsia="zh-CN"/>
        </w:rPr>
      </w:pPr>
      <w:r w:rsidRPr="00C505BD">
        <w:rPr>
          <w:rFonts w:ascii="华文楷体" w:hAnsi="华文楷体" w:hint="eastAsia"/>
          <w:sz w:val="24"/>
          <w:szCs w:val="24"/>
          <w:lang w:eastAsia="zh-CN"/>
        </w:rPr>
        <w:t>信用</w:t>
      </w:r>
      <w:r>
        <w:rPr>
          <w:rFonts w:ascii="华文楷体" w:hAnsi="华文楷体" w:hint="eastAsia"/>
          <w:sz w:val="24"/>
          <w:szCs w:val="24"/>
          <w:lang w:eastAsia="zh-CN"/>
        </w:rPr>
        <w:t>债：</w:t>
      </w:r>
      <w:r w:rsidR="00AE5690" w:rsidRPr="00AE5690">
        <w:rPr>
          <w:rFonts w:ascii="华文楷体" w:hAnsi="华文楷体" w:hint="eastAsia"/>
          <w:sz w:val="24"/>
          <w:szCs w:val="24"/>
          <w:lang w:eastAsia="zh-CN"/>
        </w:rPr>
        <w:t>考虑到票息压力，可适当关注中长期限信用债、产业债、并有选择地在</w:t>
      </w:r>
      <w:proofErr w:type="gramStart"/>
      <w:r w:rsidR="00AE5690" w:rsidRPr="00AE5690">
        <w:rPr>
          <w:rFonts w:ascii="华文楷体" w:hAnsi="华文楷体" w:hint="eastAsia"/>
          <w:sz w:val="24"/>
          <w:szCs w:val="24"/>
          <w:lang w:eastAsia="zh-CN"/>
        </w:rPr>
        <w:t>弱区域</w:t>
      </w:r>
      <w:proofErr w:type="gramEnd"/>
      <w:r w:rsidR="00AE5690" w:rsidRPr="00AE5690">
        <w:rPr>
          <w:rFonts w:ascii="华文楷体" w:hAnsi="华文楷体" w:hint="eastAsia"/>
          <w:sz w:val="24"/>
          <w:szCs w:val="24"/>
          <w:lang w:eastAsia="zh-CN"/>
        </w:rPr>
        <w:t>国企和城投债中挖掘结构性机会。</w:t>
      </w:r>
    </w:p>
    <w:p w14:paraId="4C893BAE" w14:textId="0A3C9DDD" w:rsidR="00983C71" w:rsidRDefault="00C505BD" w:rsidP="00491B29">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可转债：</w:t>
      </w:r>
      <w:r w:rsidR="00AE5690">
        <w:rPr>
          <w:rFonts w:ascii="华文楷体" w:hAnsi="华文楷体" w:hint="eastAsia"/>
          <w:sz w:val="24"/>
          <w:szCs w:val="24"/>
          <w:lang w:eastAsia="zh-CN"/>
        </w:rPr>
        <w:t>权益市场整体不悲观，但更多关注行业和个股的结构性机会。结合到近期权益情绪较好，仍相对关注股性较强</w:t>
      </w:r>
      <w:proofErr w:type="gramStart"/>
      <w:r w:rsidR="00AE5690">
        <w:rPr>
          <w:rFonts w:ascii="华文楷体" w:hAnsi="华文楷体" w:hint="eastAsia"/>
          <w:sz w:val="24"/>
          <w:szCs w:val="24"/>
          <w:lang w:eastAsia="zh-CN"/>
        </w:rPr>
        <w:t>个券</w:t>
      </w:r>
      <w:proofErr w:type="gramEnd"/>
      <w:r w:rsidR="00AE5690">
        <w:rPr>
          <w:rFonts w:ascii="华文楷体" w:hAnsi="华文楷体" w:hint="eastAsia"/>
          <w:sz w:val="24"/>
          <w:szCs w:val="24"/>
          <w:lang w:eastAsia="zh-CN"/>
        </w:rPr>
        <w:t>在此轮反弹中表现情况。</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77CEE22B" w14:textId="77777777" w:rsidTr="00691BC8">
        <w:trPr>
          <w:jc w:val="center"/>
        </w:trPr>
        <w:tc>
          <w:tcPr>
            <w:tcW w:w="4939" w:type="dxa"/>
            <w:vAlign w:val="center"/>
          </w:tcPr>
          <w:p w14:paraId="50E52AA0" w14:textId="5E8D60F8" w:rsidR="001D35B3" w:rsidRPr="006A5F34" w:rsidRDefault="001D35B3" w:rsidP="001858A9">
            <w:pPr>
              <w:pStyle w:val="ChartHeading"/>
              <w:jc w:val="both"/>
            </w:pPr>
            <w:r w:rsidRPr="006A5F34">
              <w:rPr>
                <w:rFonts w:hint="eastAsia"/>
              </w:rPr>
              <w:t>图表</w:t>
            </w:r>
            <w:r w:rsidRPr="006A5F34">
              <w:t>.</w:t>
            </w:r>
            <w:r w:rsidR="00FF26B0">
              <w:rPr>
                <w:rFonts w:hint="eastAsia"/>
              </w:rPr>
              <w:t xml:space="preserve"> </w:t>
            </w:r>
            <w:r w:rsidR="00FF26B0">
              <w:rPr>
                <w:rFonts w:hint="eastAsia"/>
              </w:rPr>
              <w:t>南华工业品指数</w:t>
            </w:r>
            <w:r w:rsidR="001858A9">
              <w:rPr>
                <w:rFonts w:hint="eastAsia"/>
              </w:rPr>
              <w:t>出现适度</w:t>
            </w:r>
            <w:r w:rsidR="00993D03">
              <w:rPr>
                <w:rFonts w:hint="eastAsia"/>
              </w:rPr>
              <w:t>震荡</w:t>
            </w:r>
          </w:p>
        </w:tc>
        <w:tc>
          <w:tcPr>
            <w:tcW w:w="4938" w:type="dxa"/>
            <w:vAlign w:val="center"/>
          </w:tcPr>
          <w:p w14:paraId="02A10F26" w14:textId="7A679A14" w:rsidR="001D35B3" w:rsidRPr="006A5F34" w:rsidRDefault="001D35B3" w:rsidP="008656C4">
            <w:pPr>
              <w:pStyle w:val="ChartHeading"/>
              <w:jc w:val="both"/>
            </w:pPr>
            <w:r w:rsidRPr="006A5F34">
              <w:rPr>
                <w:rFonts w:hint="eastAsia"/>
              </w:rPr>
              <w:t>图表</w:t>
            </w:r>
            <w:r w:rsidRPr="006A5F34">
              <w:t xml:space="preserve">. </w:t>
            </w:r>
            <w:r w:rsidR="0063192C">
              <w:rPr>
                <w:rFonts w:hint="eastAsia"/>
              </w:rPr>
              <w:t>水泥价格</w:t>
            </w:r>
            <w:r w:rsidR="00233F53">
              <w:rPr>
                <w:rFonts w:hint="eastAsia"/>
              </w:rPr>
              <w:t>持续</w:t>
            </w:r>
            <w:r w:rsidR="00993D03">
              <w:rPr>
                <w:rFonts w:hint="eastAsia"/>
              </w:rPr>
              <w:t>上行</w:t>
            </w:r>
            <w:r w:rsidR="006D72C8">
              <w:rPr>
                <w:rFonts w:hint="eastAsia"/>
              </w:rPr>
              <w:t>回调</w:t>
            </w:r>
          </w:p>
        </w:tc>
      </w:tr>
      <w:tr w:rsidR="001D35B3" w:rsidRPr="006A5F34" w14:paraId="205667F1" w14:textId="77777777" w:rsidTr="00AE5690">
        <w:tblPrEx>
          <w:tblCellMar>
            <w:left w:w="108" w:type="dxa"/>
            <w:right w:w="108" w:type="dxa"/>
          </w:tblCellMar>
        </w:tblPrEx>
        <w:trPr>
          <w:jc w:val="center"/>
        </w:trPr>
        <w:tc>
          <w:tcPr>
            <w:tcW w:w="4939" w:type="dxa"/>
            <w:vAlign w:val="center"/>
          </w:tcPr>
          <w:p w14:paraId="56C782C2" w14:textId="2D7D2F7D" w:rsidR="001D35B3" w:rsidRPr="007E0340" w:rsidRDefault="00AE5690" w:rsidP="009A2BA0">
            <w:pPr>
              <w:jc w:val="center"/>
              <w:rPr>
                <w:noProof/>
              </w:rPr>
            </w:pPr>
            <w:r>
              <w:rPr>
                <w:noProof/>
              </w:rPr>
              <w:drawing>
                <wp:inline distT="0" distB="0" distL="0" distR="0" wp14:anchorId="36939A77" wp14:editId="4F1F24CD">
                  <wp:extent cx="2999105" cy="1944237"/>
                  <wp:effectExtent l="0" t="0" r="0" b="0"/>
                  <wp:docPr id="13" name="图表 13">
                    <a:extLst xmlns:a="http://schemas.openxmlformats.org/drawingml/2006/main">
                      <a:ext uri="{FF2B5EF4-FFF2-40B4-BE49-F238E27FC236}">
                        <a16:creationId xmlns:lc="http://schemas.openxmlformats.org/drawingml/2006/lockedCanvas" xmlns="" xmlns:a16="http://schemas.microsoft.com/office/drawing/2014/main" xmlns:xdr="http://schemas.openxmlformats.org/drawingml/2006/spreadsheetDrawing" xmlns:w15="http://schemas.microsoft.com/office/word/2012/wordml" xmlns:w="http://schemas.openxmlformats.org/wordprocessingml/2006/main" xmlns:w10="urn:schemas-microsoft-com:office:word" xmlns:v="urn:schemas-microsoft-com:vml" xmlns:o="urn:schemas-microsoft-com:office:office" id="{00000000-0008-0000-1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c>
          <w:tcPr>
            <w:tcW w:w="4938" w:type="dxa"/>
            <w:vAlign w:val="center"/>
          </w:tcPr>
          <w:p w14:paraId="3EF0360D" w14:textId="1F4947C1" w:rsidR="001D35B3" w:rsidRPr="007E0340" w:rsidRDefault="00AE5690" w:rsidP="009A2BA0">
            <w:pPr>
              <w:jc w:val="center"/>
              <w:rPr>
                <w:noProof/>
                <w:szCs w:val="18"/>
              </w:rPr>
            </w:pPr>
            <w:r>
              <w:rPr>
                <w:noProof/>
              </w:rPr>
              <w:drawing>
                <wp:inline distT="0" distB="0" distL="0" distR="0" wp14:anchorId="59526E42" wp14:editId="427C962A">
                  <wp:extent cx="2998470" cy="1938238"/>
                  <wp:effectExtent l="0" t="0" r="0" b="5080"/>
                  <wp:docPr id="14" name="图表 14">
                    <a:extLst xmlns:a="http://schemas.openxmlformats.org/drawingml/2006/main">
                      <a:ext uri="{FF2B5EF4-FFF2-40B4-BE49-F238E27FC236}">
                        <a16:creationId xmlns:lc="http://schemas.openxmlformats.org/drawingml/2006/lockedCanvas" xmlns="" xmlns:a16="http://schemas.microsoft.com/office/drawing/2014/main" xmlns:xdr="http://schemas.openxmlformats.org/drawingml/2006/spreadsheetDrawing" xmlns:w15="http://schemas.microsoft.com/office/word/2012/wordml" xmlns:w="http://schemas.openxmlformats.org/wordprocessingml/2006/main" xmlns:w10="urn:schemas-microsoft-com:office:word" xmlns:v="urn:schemas-microsoft-com:vml" xmlns:o="urn:schemas-microsoft-com:office:office" id="{00000000-0008-0000-0B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c>
      </w:tr>
      <w:tr w:rsidR="001D35B3" w:rsidRPr="006A5F34" w14:paraId="1C5ED951" w14:textId="77777777" w:rsidTr="00691BC8">
        <w:trPr>
          <w:trHeight w:val="64"/>
          <w:jc w:val="center"/>
        </w:trPr>
        <w:tc>
          <w:tcPr>
            <w:tcW w:w="4939" w:type="dxa"/>
            <w:vAlign w:val="center"/>
          </w:tcPr>
          <w:p w14:paraId="2DDE4C8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442A0DC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3F047F4" w14:textId="77777777" w:rsidR="001D35B3" w:rsidRDefault="001D35B3" w:rsidP="009A2BA0">
      <w:pPr>
        <w:pStyle w:val="Body-text"/>
        <w:spacing w:after="0"/>
        <w:rPr>
          <w:lang w:eastAsia="zh-CN"/>
        </w:rPr>
      </w:pP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3D734F0A" w14:textId="77777777" w:rsidTr="00691BC8">
        <w:trPr>
          <w:jc w:val="center"/>
        </w:trPr>
        <w:tc>
          <w:tcPr>
            <w:tcW w:w="4939" w:type="dxa"/>
            <w:vAlign w:val="center"/>
          </w:tcPr>
          <w:p w14:paraId="7405388D" w14:textId="16D3EDA4" w:rsidR="001D35B3" w:rsidRPr="006A5F34" w:rsidRDefault="001D35B3" w:rsidP="00966A21">
            <w:pPr>
              <w:pStyle w:val="ChartHeading"/>
              <w:jc w:val="both"/>
            </w:pPr>
            <w:r w:rsidRPr="006A5F34">
              <w:rPr>
                <w:rFonts w:hint="eastAsia"/>
              </w:rPr>
              <w:lastRenderedPageBreak/>
              <w:t>图表</w:t>
            </w:r>
            <w:r w:rsidRPr="006A5F34">
              <w:t>.</w:t>
            </w:r>
            <w:r>
              <w:t xml:space="preserve"> </w:t>
            </w:r>
            <w:r w:rsidR="00FF26B0">
              <w:rPr>
                <w:rFonts w:hint="eastAsia"/>
              </w:rPr>
              <w:t>人民币汇率</w:t>
            </w:r>
            <w:r w:rsidR="00966A21">
              <w:rPr>
                <w:rFonts w:hint="eastAsia"/>
              </w:rPr>
              <w:t>小幅下行</w:t>
            </w:r>
          </w:p>
        </w:tc>
        <w:tc>
          <w:tcPr>
            <w:tcW w:w="4938" w:type="dxa"/>
            <w:vAlign w:val="center"/>
          </w:tcPr>
          <w:p w14:paraId="07575C0F" w14:textId="1F52F3D5" w:rsidR="001D35B3" w:rsidRPr="006A5F34" w:rsidRDefault="001D35B3" w:rsidP="00CE0946">
            <w:pPr>
              <w:pStyle w:val="ChartHeading"/>
              <w:jc w:val="both"/>
            </w:pPr>
            <w:r w:rsidRPr="006A5F34">
              <w:rPr>
                <w:rFonts w:hint="eastAsia"/>
              </w:rPr>
              <w:t>图表</w:t>
            </w:r>
            <w:r w:rsidRPr="006A5F34">
              <w:t xml:space="preserve">. </w:t>
            </w:r>
            <w:r w:rsidR="00CE0946">
              <w:rPr>
                <w:rFonts w:hint="eastAsia"/>
              </w:rPr>
              <w:t>猪肉价格</w:t>
            </w:r>
            <w:r w:rsidR="00DE343B">
              <w:rPr>
                <w:rFonts w:hint="eastAsia"/>
              </w:rPr>
              <w:t>持续</w:t>
            </w:r>
            <w:r w:rsidR="003300DB">
              <w:rPr>
                <w:rFonts w:hint="eastAsia"/>
              </w:rPr>
              <w:t>回落</w:t>
            </w:r>
          </w:p>
        </w:tc>
      </w:tr>
      <w:tr w:rsidR="001D35B3" w:rsidRPr="006A5F34" w14:paraId="49BBD33E" w14:textId="77777777" w:rsidTr="00AE5690">
        <w:tblPrEx>
          <w:tblCellMar>
            <w:left w:w="108" w:type="dxa"/>
            <w:right w:w="108" w:type="dxa"/>
          </w:tblCellMar>
        </w:tblPrEx>
        <w:trPr>
          <w:trHeight w:val="2987"/>
          <w:jc w:val="center"/>
        </w:trPr>
        <w:tc>
          <w:tcPr>
            <w:tcW w:w="4939" w:type="dxa"/>
            <w:vAlign w:val="center"/>
          </w:tcPr>
          <w:p w14:paraId="0BAC1731" w14:textId="73D5E582" w:rsidR="001D35B3" w:rsidRPr="007E0340" w:rsidRDefault="00AE5690" w:rsidP="009A2BA0">
            <w:pPr>
              <w:jc w:val="center"/>
              <w:rPr>
                <w:noProof/>
              </w:rPr>
            </w:pPr>
            <w:r>
              <w:rPr>
                <w:noProof/>
              </w:rPr>
              <w:drawing>
                <wp:inline distT="0" distB="0" distL="0" distR="0" wp14:anchorId="6FD29B0B" wp14:editId="1D5DBD9B">
                  <wp:extent cx="2999105" cy="1929528"/>
                  <wp:effectExtent l="0" t="0" r="10795" b="0"/>
                  <wp:docPr id="15" name="图表 15">
                    <a:extLst xmlns:a="http://schemas.openxmlformats.org/drawingml/2006/main">
                      <a:ext uri="{FF2B5EF4-FFF2-40B4-BE49-F238E27FC236}">
                        <a16:creationId xmlns:lc="http://schemas.openxmlformats.org/drawingml/2006/lockedCanvas" xmlns="" xmlns:a16="http://schemas.microsoft.com/office/drawing/2014/main" xmlns:xdr="http://schemas.openxmlformats.org/drawingml/2006/spreadsheetDrawing" xmlns:w15="http://schemas.microsoft.com/office/word/2012/wordml" xmlns:w="http://schemas.openxmlformats.org/wordprocessingml/2006/main" xmlns:w10="urn:schemas-microsoft-com:office:word" xmlns:v="urn:schemas-microsoft-com:vml" xmlns:o="urn:schemas-microsoft-com:office:office" id="{00000000-0008-0000-18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c>
        <w:tc>
          <w:tcPr>
            <w:tcW w:w="4938" w:type="dxa"/>
            <w:vAlign w:val="center"/>
          </w:tcPr>
          <w:p w14:paraId="64025D22" w14:textId="0F94EBB8" w:rsidR="001D35B3" w:rsidRPr="007E0340" w:rsidRDefault="00AE5690" w:rsidP="009A2BA0">
            <w:pPr>
              <w:jc w:val="center"/>
              <w:rPr>
                <w:noProof/>
                <w:szCs w:val="18"/>
              </w:rPr>
            </w:pPr>
            <w:r>
              <w:rPr>
                <w:noProof/>
              </w:rPr>
              <w:drawing>
                <wp:inline distT="0" distB="0" distL="0" distR="0" wp14:anchorId="5F23A1B9" wp14:editId="12FE7FA4">
                  <wp:extent cx="2998470" cy="1901408"/>
                  <wp:effectExtent l="0" t="0" r="0" b="3810"/>
                  <wp:docPr id="18" name="图表 18">
                    <a:extLst xmlns:a="http://schemas.openxmlformats.org/drawingml/2006/main">
                      <a:ext uri="{FF2B5EF4-FFF2-40B4-BE49-F238E27FC236}">
                        <a16:creationId xmlns:lc="http://schemas.openxmlformats.org/drawingml/2006/lockedCanvas" xmlns="" xmlns:a16="http://schemas.microsoft.com/office/drawing/2014/main" xmlns:xdr="http://schemas.openxmlformats.org/drawingml/2006/spreadsheetDrawing" xmlns:w15="http://schemas.microsoft.com/office/word/2012/wordml" xmlns:w="http://schemas.openxmlformats.org/wordprocessingml/2006/main" xmlns:w10="urn:schemas-microsoft-com:office:word" xmlns:v="urn:schemas-microsoft-com:vml" xmlns:o="urn:schemas-microsoft-com:office:office" id="{00000000-0008-0000-14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tc>
      </w:tr>
      <w:tr w:rsidR="001D35B3" w:rsidRPr="006A5F34" w14:paraId="2929BCA6" w14:textId="77777777" w:rsidTr="00691BC8">
        <w:trPr>
          <w:trHeight w:val="64"/>
          <w:jc w:val="center"/>
        </w:trPr>
        <w:tc>
          <w:tcPr>
            <w:tcW w:w="4939" w:type="dxa"/>
            <w:vAlign w:val="center"/>
          </w:tcPr>
          <w:p w14:paraId="45A3CEF6"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8477A40"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2243C4C4" w14:textId="63198F1D" w:rsidR="00594303" w:rsidRDefault="00594303" w:rsidP="009A2BA0">
      <w:pPr>
        <w:pStyle w:val="Body-text"/>
        <w:spacing w:after="0"/>
        <w:rPr>
          <w:rFonts w:ascii="华文楷体" w:hAnsi="华文楷体"/>
          <w:sz w:val="24"/>
          <w:szCs w:val="24"/>
          <w:lang w:eastAsia="zh-CN"/>
        </w:rPr>
      </w:pPr>
    </w:p>
    <w:p w14:paraId="669439AD" w14:textId="77777777" w:rsidR="00594303" w:rsidRDefault="00594303">
      <w:pPr>
        <w:widowControl/>
        <w:jc w:val="left"/>
        <w:rPr>
          <w:rFonts w:ascii="华文楷体" w:eastAsia="华文楷体" w:hAnsi="华文楷体"/>
          <w:kern w:val="0"/>
          <w:sz w:val="24"/>
          <w:szCs w:val="24"/>
        </w:rPr>
      </w:pPr>
      <w:r>
        <w:rPr>
          <w:rFonts w:ascii="华文楷体" w:hAnsi="华文楷体"/>
          <w:sz w:val="24"/>
          <w:szCs w:val="24"/>
        </w:rPr>
        <w:br w:type="page"/>
      </w:r>
    </w:p>
    <w:p w14:paraId="236E8CBA" w14:textId="77777777" w:rsidR="00EA1966" w:rsidRDefault="00EA1966" w:rsidP="009A2BA0">
      <w:pPr>
        <w:pStyle w:val="Body-text"/>
        <w:spacing w:after="0"/>
        <w:rPr>
          <w:rFonts w:ascii="华文楷体" w:hAnsi="华文楷体"/>
          <w:sz w:val="24"/>
          <w:szCs w:val="24"/>
          <w:lang w:eastAsia="zh-CN"/>
        </w:rPr>
      </w:pPr>
    </w:p>
    <w:p w14:paraId="36DE518D" w14:textId="3DA8A8FF" w:rsidR="001170AF" w:rsidRPr="001A1299" w:rsidRDefault="00A176A9" w:rsidP="00A176A9">
      <w:pPr>
        <w:pStyle w:val="Body-text"/>
        <w:ind w:firstLineChars="200" w:firstLine="400"/>
        <w:rPr>
          <w:rFonts w:ascii="华文楷体" w:hAnsi="华文楷体"/>
          <w:sz w:val="24"/>
          <w:szCs w:val="24"/>
          <w:lang w:eastAsia="zh-CN"/>
        </w:rPr>
      </w:pPr>
      <w:r>
        <w:rPr>
          <w:rFonts w:ascii="微软雅黑" w:eastAsia="微软雅黑" w:hAnsi="微软雅黑" w:hint="eastAsia"/>
          <w:color w:val="474747"/>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作出调整。2、本报告中的资料、观点和预测等仅供参考，在任何时候均不构成对任何人的个人推荐。市场有风险，投资需谨慎。</w:t>
      </w:r>
    </w:p>
    <w:sectPr w:rsidR="001170AF" w:rsidRPr="001A1299" w:rsidSect="00AB78C4">
      <w:headerReference w:type="default" r:id="rId19"/>
      <w:footerReference w:type="default" r:id="rId20"/>
      <w:pgSz w:w="11906" w:h="16838"/>
      <w:pgMar w:top="1134" w:right="1021" w:bottom="1134" w:left="1021" w:header="284" w:footer="56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EDECB2F" w14:textId="77777777" w:rsidR="00AC5AE8" w:rsidRDefault="00AC5AE8">
      <w:r>
        <w:separator/>
      </w:r>
    </w:p>
  </w:endnote>
  <w:endnote w:type="continuationSeparator" w:id="0">
    <w:p w14:paraId="7C5CE6C1" w14:textId="77777777" w:rsidR="00AC5AE8" w:rsidRDefault="00AC5A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Arial Bold">
    <w:altName w:val="Arial"/>
    <w:panose1 w:val="020B07040202020202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等线">
    <w:altName w:val="Arial Unicode MS"/>
    <w:charset w:val="86"/>
    <w:family w:val="auto"/>
    <w:pitch w:val="variable"/>
    <w:sig w:usb0="00000000" w:usb1="38CF7CFA" w:usb2="00000016" w:usb3="00000000" w:csb0="0004000F" w:csb1="00000000"/>
  </w:font>
  <w:font w:name="Helvetica">
    <w:panose1 w:val="020B0604020202020204"/>
    <w:charset w:val="00"/>
    <w:family w:val="swiss"/>
    <w:notTrueType/>
    <w:pitch w:val="variable"/>
    <w:sig w:usb0="00000003"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1792377"/>
      <w:docPartObj>
        <w:docPartGallery w:val="Page Numbers (Bottom of Page)"/>
        <w:docPartUnique/>
      </w:docPartObj>
    </w:sdtPr>
    <w:sdtEndPr/>
    <w:sdtContent>
      <w:p w14:paraId="618D4EFE" w14:textId="1FB9B16E" w:rsidR="00DA1B15" w:rsidRDefault="00DA1B15">
        <w:pPr>
          <w:pStyle w:val="a4"/>
          <w:jc w:val="right"/>
        </w:pPr>
        <w:r>
          <w:fldChar w:fldCharType="begin"/>
        </w:r>
        <w:r>
          <w:instrText>PAGE   \* MERGEFORMAT</w:instrText>
        </w:r>
        <w:r>
          <w:fldChar w:fldCharType="separate"/>
        </w:r>
        <w:r w:rsidR="001123CF" w:rsidRPr="001123CF">
          <w:rPr>
            <w:noProof/>
            <w:lang w:val="zh-CN"/>
          </w:rPr>
          <w:t>5</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908E60F" w14:textId="77777777" w:rsidR="00AC5AE8" w:rsidRDefault="00AC5AE8">
      <w:r>
        <w:separator/>
      </w:r>
    </w:p>
  </w:footnote>
  <w:footnote w:type="continuationSeparator" w:id="0">
    <w:p w14:paraId="20CF96A9" w14:textId="77777777" w:rsidR="00AC5AE8" w:rsidRDefault="00AC5AE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18A414" w14:textId="77777777" w:rsidR="00DA1B15" w:rsidRDefault="00DA1B15" w:rsidP="00D41DC0">
    <w:pPr>
      <w:pStyle w:val="a3"/>
      <w:jc w:val="left"/>
    </w:pPr>
    <w:r w:rsidRPr="0021237F">
      <w:rPr>
        <w:noProof/>
      </w:rPr>
      <w:drawing>
        <wp:inline distT="0" distB="0" distL="0" distR="0" wp14:anchorId="02750462" wp14:editId="5E35E516">
          <wp:extent cx="612140" cy="532765"/>
          <wp:effectExtent l="0" t="0" r="0" b="0"/>
          <wp:docPr id="5" name="图片 5" descr="说明: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说明: 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140" cy="5327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1FCE7A2A"/>
    <w:lvl w:ilvl="0" w:tplc="5F6C0C8E">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nsid w:val="00000002"/>
    <w:multiLevelType w:val="hybridMultilevel"/>
    <w:tmpl w:val="C1068BC0"/>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
    <w:nsid w:val="00000003"/>
    <w:multiLevelType w:val="hybridMultilevel"/>
    <w:tmpl w:val="43AC892A"/>
    <w:lvl w:ilvl="0" w:tplc="2E54A812">
      <w:start w:val="1"/>
      <w:numFmt w:val="decimal"/>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00000004"/>
    <w:multiLevelType w:val="hybridMultilevel"/>
    <w:tmpl w:val="DAC677F4"/>
    <w:lvl w:ilvl="0" w:tplc="07A22A9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nsid w:val="00000005"/>
    <w:multiLevelType w:val="hybridMultilevel"/>
    <w:tmpl w:val="63566E36"/>
    <w:lvl w:ilvl="0" w:tplc="98126DDC">
      <w:start w:val="1"/>
      <w:numFmt w:val="bullet"/>
      <w:lvlText w:val=""/>
      <w:lvlJc w:val="left"/>
      <w:pPr>
        <w:tabs>
          <w:tab w:val="num" w:pos="720"/>
        </w:tabs>
        <w:ind w:left="720" w:hanging="360"/>
      </w:pPr>
      <w:rPr>
        <w:rFonts w:ascii="Wingdings" w:hAnsi="Wingdings" w:hint="default"/>
      </w:rPr>
    </w:lvl>
    <w:lvl w:ilvl="1" w:tplc="F18AFAD4">
      <w:start w:val="1"/>
      <w:numFmt w:val="bullet"/>
      <w:lvlRestart w:val="0"/>
      <w:lvlText w:val=""/>
      <w:lvlJc w:val="left"/>
      <w:pPr>
        <w:tabs>
          <w:tab w:val="num" w:pos="1440"/>
        </w:tabs>
        <w:ind w:left="1440" w:hanging="360"/>
      </w:pPr>
      <w:rPr>
        <w:rFonts w:ascii="Wingdings" w:hAnsi="Wingdings" w:hint="default"/>
      </w:rPr>
    </w:lvl>
    <w:lvl w:ilvl="2" w:tplc="4BC679F4">
      <w:start w:val="1"/>
      <w:numFmt w:val="bullet"/>
      <w:lvlRestart w:val="0"/>
      <w:lvlText w:val=""/>
      <w:lvlJc w:val="left"/>
      <w:pPr>
        <w:tabs>
          <w:tab w:val="num" w:pos="2160"/>
        </w:tabs>
        <w:ind w:left="2160" w:hanging="360"/>
      </w:pPr>
      <w:rPr>
        <w:rFonts w:ascii="Wingdings" w:hAnsi="Wingdings" w:hint="default"/>
      </w:rPr>
    </w:lvl>
    <w:lvl w:ilvl="3" w:tplc="E424EFB2">
      <w:start w:val="1"/>
      <w:numFmt w:val="bullet"/>
      <w:lvlRestart w:val="0"/>
      <w:lvlText w:val=""/>
      <w:lvlJc w:val="left"/>
      <w:pPr>
        <w:tabs>
          <w:tab w:val="num" w:pos="2880"/>
        </w:tabs>
        <w:ind w:left="2880" w:hanging="360"/>
      </w:pPr>
      <w:rPr>
        <w:rFonts w:ascii="Wingdings" w:hAnsi="Wingdings" w:hint="default"/>
      </w:rPr>
    </w:lvl>
    <w:lvl w:ilvl="4" w:tplc="26EC83F2">
      <w:start w:val="1"/>
      <w:numFmt w:val="bullet"/>
      <w:lvlRestart w:val="0"/>
      <w:lvlText w:val=""/>
      <w:lvlJc w:val="left"/>
      <w:pPr>
        <w:tabs>
          <w:tab w:val="num" w:pos="3600"/>
        </w:tabs>
        <w:ind w:left="3600" w:hanging="360"/>
      </w:pPr>
      <w:rPr>
        <w:rFonts w:ascii="Wingdings" w:hAnsi="Wingdings" w:hint="default"/>
      </w:rPr>
    </w:lvl>
    <w:lvl w:ilvl="5" w:tplc="60006D98">
      <w:start w:val="1"/>
      <w:numFmt w:val="bullet"/>
      <w:lvlRestart w:val="0"/>
      <w:lvlText w:val=""/>
      <w:lvlJc w:val="left"/>
      <w:pPr>
        <w:tabs>
          <w:tab w:val="num" w:pos="4320"/>
        </w:tabs>
        <w:ind w:left="4320" w:hanging="360"/>
      </w:pPr>
      <w:rPr>
        <w:rFonts w:ascii="Wingdings" w:hAnsi="Wingdings" w:hint="default"/>
      </w:rPr>
    </w:lvl>
    <w:lvl w:ilvl="6" w:tplc="B9602668">
      <w:start w:val="1"/>
      <w:numFmt w:val="bullet"/>
      <w:lvlRestart w:val="0"/>
      <w:lvlText w:val=""/>
      <w:lvlJc w:val="left"/>
      <w:pPr>
        <w:tabs>
          <w:tab w:val="num" w:pos="5040"/>
        </w:tabs>
        <w:ind w:left="5040" w:hanging="360"/>
      </w:pPr>
      <w:rPr>
        <w:rFonts w:ascii="Wingdings" w:hAnsi="Wingdings" w:hint="default"/>
      </w:rPr>
    </w:lvl>
    <w:lvl w:ilvl="7" w:tplc="BCFC81A6">
      <w:start w:val="1"/>
      <w:numFmt w:val="bullet"/>
      <w:lvlRestart w:val="0"/>
      <w:lvlText w:val=""/>
      <w:lvlJc w:val="left"/>
      <w:pPr>
        <w:tabs>
          <w:tab w:val="num" w:pos="5760"/>
        </w:tabs>
        <w:ind w:left="5760" w:hanging="360"/>
      </w:pPr>
      <w:rPr>
        <w:rFonts w:ascii="Wingdings" w:hAnsi="Wingdings" w:hint="default"/>
      </w:rPr>
    </w:lvl>
    <w:lvl w:ilvl="8" w:tplc="65CCAABA">
      <w:start w:val="1"/>
      <w:numFmt w:val="bullet"/>
      <w:lvlRestart w:val="0"/>
      <w:lvlText w:val=""/>
      <w:lvlJc w:val="left"/>
      <w:pPr>
        <w:tabs>
          <w:tab w:val="num" w:pos="6480"/>
        </w:tabs>
        <w:ind w:left="6480" w:hanging="360"/>
      </w:pPr>
      <w:rPr>
        <w:rFonts w:ascii="Wingdings" w:hAnsi="Wingdings" w:hint="default"/>
      </w:rPr>
    </w:lvl>
  </w:abstractNum>
  <w:abstractNum w:abstractNumId="5">
    <w:nsid w:val="06C5642A"/>
    <w:multiLevelType w:val="hybridMultilevel"/>
    <w:tmpl w:val="F64C5C1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08FF3C9B"/>
    <w:multiLevelType w:val="hybridMultilevel"/>
    <w:tmpl w:val="79BCA876"/>
    <w:lvl w:ilvl="0" w:tplc="3640A7B8">
      <w:start w:val="1"/>
      <w:numFmt w:val="bullet"/>
      <w:lvlText w:val=""/>
      <w:lvlJc w:val="left"/>
      <w:pPr>
        <w:tabs>
          <w:tab w:val="num" w:pos="720"/>
        </w:tabs>
        <w:ind w:left="720" w:hanging="360"/>
      </w:pPr>
      <w:rPr>
        <w:rFonts w:ascii="Wingdings" w:hAnsi="Wingdings" w:hint="default"/>
      </w:rPr>
    </w:lvl>
    <w:lvl w:ilvl="1" w:tplc="B0D682D0" w:tentative="1">
      <w:start w:val="1"/>
      <w:numFmt w:val="bullet"/>
      <w:lvlText w:val=""/>
      <w:lvlJc w:val="left"/>
      <w:pPr>
        <w:tabs>
          <w:tab w:val="num" w:pos="1440"/>
        </w:tabs>
        <w:ind w:left="1440" w:hanging="360"/>
      </w:pPr>
      <w:rPr>
        <w:rFonts w:ascii="Wingdings" w:hAnsi="Wingdings" w:hint="default"/>
      </w:rPr>
    </w:lvl>
    <w:lvl w:ilvl="2" w:tplc="CD0E1CA0" w:tentative="1">
      <w:start w:val="1"/>
      <w:numFmt w:val="bullet"/>
      <w:lvlText w:val=""/>
      <w:lvlJc w:val="left"/>
      <w:pPr>
        <w:tabs>
          <w:tab w:val="num" w:pos="2160"/>
        </w:tabs>
        <w:ind w:left="2160" w:hanging="360"/>
      </w:pPr>
      <w:rPr>
        <w:rFonts w:ascii="Wingdings" w:hAnsi="Wingdings" w:hint="default"/>
      </w:rPr>
    </w:lvl>
    <w:lvl w:ilvl="3" w:tplc="9D1E386A" w:tentative="1">
      <w:start w:val="1"/>
      <w:numFmt w:val="bullet"/>
      <w:lvlText w:val=""/>
      <w:lvlJc w:val="left"/>
      <w:pPr>
        <w:tabs>
          <w:tab w:val="num" w:pos="2880"/>
        </w:tabs>
        <w:ind w:left="2880" w:hanging="360"/>
      </w:pPr>
      <w:rPr>
        <w:rFonts w:ascii="Wingdings" w:hAnsi="Wingdings" w:hint="default"/>
      </w:rPr>
    </w:lvl>
    <w:lvl w:ilvl="4" w:tplc="8CC279A6" w:tentative="1">
      <w:start w:val="1"/>
      <w:numFmt w:val="bullet"/>
      <w:lvlText w:val=""/>
      <w:lvlJc w:val="left"/>
      <w:pPr>
        <w:tabs>
          <w:tab w:val="num" w:pos="3600"/>
        </w:tabs>
        <w:ind w:left="3600" w:hanging="360"/>
      </w:pPr>
      <w:rPr>
        <w:rFonts w:ascii="Wingdings" w:hAnsi="Wingdings" w:hint="default"/>
      </w:rPr>
    </w:lvl>
    <w:lvl w:ilvl="5" w:tplc="70222394" w:tentative="1">
      <w:start w:val="1"/>
      <w:numFmt w:val="bullet"/>
      <w:lvlText w:val=""/>
      <w:lvlJc w:val="left"/>
      <w:pPr>
        <w:tabs>
          <w:tab w:val="num" w:pos="4320"/>
        </w:tabs>
        <w:ind w:left="4320" w:hanging="360"/>
      </w:pPr>
      <w:rPr>
        <w:rFonts w:ascii="Wingdings" w:hAnsi="Wingdings" w:hint="default"/>
      </w:rPr>
    </w:lvl>
    <w:lvl w:ilvl="6" w:tplc="4C5A8DB2" w:tentative="1">
      <w:start w:val="1"/>
      <w:numFmt w:val="bullet"/>
      <w:lvlText w:val=""/>
      <w:lvlJc w:val="left"/>
      <w:pPr>
        <w:tabs>
          <w:tab w:val="num" w:pos="5040"/>
        </w:tabs>
        <w:ind w:left="5040" w:hanging="360"/>
      </w:pPr>
      <w:rPr>
        <w:rFonts w:ascii="Wingdings" w:hAnsi="Wingdings" w:hint="default"/>
      </w:rPr>
    </w:lvl>
    <w:lvl w:ilvl="7" w:tplc="4B38042E" w:tentative="1">
      <w:start w:val="1"/>
      <w:numFmt w:val="bullet"/>
      <w:lvlText w:val=""/>
      <w:lvlJc w:val="left"/>
      <w:pPr>
        <w:tabs>
          <w:tab w:val="num" w:pos="5760"/>
        </w:tabs>
        <w:ind w:left="5760" w:hanging="360"/>
      </w:pPr>
      <w:rPr>
        <w:rFonts w:ascii="Wingdings" w:hAnsi="Wingdings" w:hint="default"/>
      </w:rPr>
    </w:lvl>
    <w:lvl w:ilvl="8" w:tplc="BB60E16C" w:tentative="1">
      <w:start w:val="1"/>
      <w:numFmt w:val="bullet"/>
      <w:lvlText w:val=""/>
      <w:lvlJc w:val="left"/>
      <w:pPr>
        <w:tabs>
          <w:tab w:val="num" w:pos="6480"/>
        </w:tabs>
        <w:ind w:left="6480" w:hanging="360"/>
      </w:pPr>
      <w:rPr>
        <w:rFonts w:ascii="Wingdings" w:hAnsi="Wingdings" w:hint="default"/>
      </w:rPr>
    </w:lvl>
  </w:abstractNum>
  <w:abstractNum w:abstractNumId="7">
    <w:nsid w:val="0DC735FE"/>
    <w:multiLevelType w:val="hybridMultilevel"/>
    <w:tmpl w:val="C7208934"/>
    <w:lvl w:ilvl="0" w:tplc="1F74F60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0E9E65D6"/>
    <w:multiLevelType w:val="multilevel"/>
    <w:tmpl w:val="39BA2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CF21DC7"/>
    <w:multiLevelType w:val="hybridMultilevel"/>
    <w:tmpl w:val="5914BAAE"/>
    <w:lvl w:ilvl="0" w:tplc="F95A8FC0">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1F6E670A"/>
    <w:multiLevelType w:val="hybridMultilevel"/>
    <w:tmpl w:val="79EE003E"/>
    <w:lvl w:ilvl="0" w:tplc="899A42B6">
      <w:start w:val="1"/>
      <w:numFmt w:val="bullet"/>
      <w:lvlText w:val=""/>
      <w:lvlJc w:val="left"/>
      <w:pPr>
        <w:tabs>
          <w:tab w:val="num" w:pos="720"/>
        </w:tabs>
        <w:ind w:left="720" w:hanging="360"/>
      </w:pPr>
      <w:rPr>
        <w:rFonts w:ascii="Wingdings" w:hAnsi="Wingdings" w:hint="default"/>
      </w:rPr>
    </w:lvl>
    <w:lvl w:ilvl="1" w:tplc="B2341948" w:tentative="1">
      <w:start w:val="1"/>
      <w:numFmt w:val="bullet"/>
      <w:lvlText w:val=""/>
      <w:lvlJc w:val="left"/>
      <w:pPr>
        <w:tabs>
          <w:tab w:val="num" w:pos="1440"/>
        </w:tabs>
        <w:ind w:left="1440" w:hanging="360"/>
      </w:pPr>
      <w:rPr>
        <w:rFonts w:ascii="Wingdings" w:hAnsi="Wingdings" w:hint="default"/>
      </w:rPr>
    </w:lvl>
    <w:lvl w:ilvl="2" w:tplc="23D27B34" w:tentative="1">
      <w:start w:val="1"/>
      <w:numFmt w:val="bullet"/>
      <w:lvlText w:val=""/>
      <w:lvlJc w:val="left"/>
      <w:pPr>
        <w:tabs>
          <w:tab w:val="num" w:pos="2160"/>
        </w:tabs>
        <w:ind w:left="2160" w:hanging="360"/>
      </w:pPr>
      <w:rPr>
        <w:rFonts w:ascii="Wingdings" w:hAnsi="Wingdings" w:hint="default"/>
      </w:rPr>
    </w:lvl>
    <w:lvl w:ilvl="3" w:tplc="F27C3C68" w:tentative="1">
      <w:start w:val="1"/>
      <w:numFmt w:val="bullet"/>
      <w:lvlText w:val=""/>
      <w:lvlJc w:val="left"/>
      <w:pPr>
        <w:tabs>
          <w:tab w:val="num" w:pos="2880"/>
        </w:tabs>
        <w:ind w:left="2880" w:hanging="360"/>
      </w:pPr>
      <w:rPr>
        <w:rFonts w:ascii="Wingdings" w:hAnsi="Wingdings" w:hint="default"/>
      </w:rPr>
    </w:lvl>
    <w:lvl w:ilvl="4" w:tplc="B492D616" w:tentative="1">
      <w:start w:val="1"/>
      <w:numFmt w:val="bullet"/>
      <w:lvlText w:val=""/>
      <w:lvlJc w:val="left"/>
      <w:pPr>
        <w:tabs>
          <w:tab w:val="num" w:pos="3600"/>
        </w:tabs>
        <w:ind w:left="3600" w:hanging="360"/>
      </w:pPr>
      <w:rPr>
        <w:rFonts w:ascii="Wingdings" w:hAnsi="Wingdings" w:hint="default"/>
      </w:rPr>
    </w:lvl>
    <w:lvl w:ilvl="5" w:tplc="9D14A4C0" w:tentative="1">
      <w:start w:val="1"/>
      <w:numFmt w:val="bullet"/>
      <w:lvlText w:val=""/>
      <w:lvlJc w:val="left"/>
      <w:pPr>
        <w:tabs>
          <w:tab w:val="num" w:pos="4320"/>
        </w:tabs>
        <w:ind w:left="4320" w:hanging="360"/>
      </w:pPr>
      <w:rPr>
        <w:rFonts w:ascii="Wingdings" w:hAnsi="Wingdings" w:hint="default"/>
      </w:rPr>
    </w:lvl>
    <w:lvl w:ilvl="6" w:tplc="CA70A402" w:tentative="1">
      <w:start w:val="1"/>
      <w:numFmt w:val="bullet"/>
      <w:lvlText w:val=""/>
      <w:lvlJc w:val="left"/>
      <w:pPr>
        <w:tabs>
          <w:tab w:val="num" w:pos="5040"/>
        </w:tabs>
        <w:ind w:left="5040" w:hanging="360"/>
      </w:pPr>
      <w:rPr>
        <w:rFonts w:ascii="Wingdings" w:hAnsi="Wingdings" w:hint="default"/>
      </w:rPr>
    </w:lvl>
    <w:lvl w:ilvl="7" w:tplc="75B624B4" w:tentative="1">
      <w:start w:val="1"/>
      <w:numFmt w:val="bullet"/>
      <w:lvlText w:val=""/>
      <w:lvlJc w:val="left"/>
      <w:pPr>
        <w:tabs>
          <w:tab w:val="num" w:pos="5760"/>
        </w:tabs>
        <w:ind w:left="5760" w:hanging="360"/>
      </w:pPr>
      <w:rPr>
        <w:rFonts w:ascii="Wingdings" w:hAnsi="Wingdings" w:hint="default"/>
      </w:rPr>
    </w:lvl>
    <w:lvl w:ilvl="8" w:tplc="7452D0B2" w:tentative="1">
      <w:start w:val="1"/>
      <w:numFmt w:val="bullet"/>
      <w:lvlText w:val=""/>
      <w:lvlJc w:val="left"/>
      <w:pPr>
        <w:tabs>
          <w:tab w:val="num" w:pos="6480"/>
        </w:tabs>
        <w:ind w:left="6480" w:hanging="360"/>
      </w:pPr>
      <w:rPr>
        <w:rFonts w:ascii="Wingdings" w:hAnsi="Wingdings" w:hint="default"/>
      </w:rPr>
    </w:lvl>
  </w:abstractNum>
  <w:abstractNum w:abstractNumId="11">
    <w:nsid w:val="273729AD"/>
    <w:multiLevelType w:val="multilevel"/>
    <w:tmpl w:val="2A428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9AD1276"/>
    <w:multiLevelType w:val="hybridMultilevel"/>
    <w:tmpl w:val="C47EBF3A"/>
    <w:lvl w:ilvl="0" w:tplc="3724C27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3">
    <w:nsid w:val="2A426257"/>
    <w:multiLevelType w:val="hybridMultilevel"/>
    <w:tmpl w:val="04AED6F2"/>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nsid w:val="2E5B0A8A"/>
    <w:multiLevelType w:val="hybridMultilevel"/>
    <w:tmpl w:val="E656FAD6"/>
    <w:lvl w:ilvl="0" w:tplc="AD88B018">
      <w:start w:val="1"/>
      <w:numFmt w:val="bullet"/>
      <w:lvlText w:val=""/>
      <w:lvlJc w:val="left"/>
      <w:pPr>
        <w:tabs>
          <w:tab w:val="num" w:pos="720"/>
        </w:tabs>
        <w:ind w:left="720" w:hanging="360"/>
      </w:pPr>
      <w:rPr>
        <w:rFonts w:ascii="Wingdings" w:hAnsi="Wingdings" w:hint="default"/>
      </w:rPr>
    </w:lvl>
    <w:lvl w:ilvl="1" w:tplc="F5D6CF0A" w:tentative="1">
      <w:start w:val="1"/>
      <w:numFmt w:val="bullet"/>
      <w:lvlText w:val=""/>
      <w:lvlJc w:val="left"/>
      <w:pPr>
        <w:tabs>
          <w:tab w:val="num" w:pos="1440"/>
        </w:tabs>
        <w:ind w:left="1440" w:hanging="360"/>
      </w:pPr>
      <w:rPr>
        <w:rFonts w:ascii="Wingdings" w:hAnsi="Wingdings" w:hint="default"/>
      </w:rPr>
    </w:lvl>
    <w:lvl w:ilvl="2" w:tplc="36385ADA" w:tentative="1">
      <w:start w:val="1"/>
      <w:numFmt w:val="bullet"/>
      <w:lvlText w:val=""/>
      <w:lvlJc w:val="left"/>
      <w:pPr>
        <w:tabs>
          <w:tab w:val="num" w:pos="2160"/>
        </w:tabs>
        <w:ind w:left="2160" w:hanging="360"/>
      </w:pPr>
      <w:rPr>
        <w:rFonts w:ascii="Wingdings" w:hAnsi="Wingdings" w:hint="default"/>
      </w:rPr>
    </w:lvl>
    <w:lvl w:ilvl="3" w:tplc="D9AAC7B6" w:tentative="1">
      <w:start w:val="1"/>
      <w:numFmt w:val="bullet"/>
      <w:lvlText w:val=""/>
      <w:lvlJc w:val="left"/>
      <w:pPr>
        <w:tabs>
          <w:tab w:val="num" w:pos="2880"/>
        </w:tabs>
        <w:ind w:left="2880" w:hanging="360"/>
      </w:pPr>
      <w:rPr>
        <w:rFonts w:ascii="Wingdings" w:hAnsi="Wingdings" w:hint="default"/>
      </w:rPr>
    </w:lvl>
    <w:lvl w:ilvl="4" w:tplc="2C6A574E" w:tentative="1">
      <w:start w:val="1"/>
      <w:numFmt w:val="bullet"/>
      <w:lvlText w:val=""/>
      <w:lvlJc w:val="left"/>
      <w:pPr>
        <w:tabs>
          <w:tab w:val="num" w:pos="3600"/>
        </w:tabs>
        <w:ind w:left="3600" w:hanging="360"/>
      </w:pPr>
      <w:rPr>
        <w:rFonts w:ascii="Wingdings" w:hAnsi="Wingdings" w:hint="default"/>
      </w:rPr>
    </w:lvl>
    <w:lvl w:ilvl="5" w:tplc="E4CAAA12" w:tentative="1">
      <w:start w:val="1"/>
      <w:numFmt w:val="bullet"/>
      <w:lvlText w:val=""/>
      <w:lvlJc w:val="left"/>
      <w:pPr>
        <w:tabs>
          <w:tab w:val="num" w:pos="4320"/>
        </w:tabs>
        <w:ind w:left="4320" w:hanging="360"/>
      </w:pPr>
      <w:rPr>
        <w:rFonts w:ascii="Wingdings" w:hAnsi="Wingdings" w:hint="default"/>
      </w:rPr>
    </w:lvl>
    <w:lvl w:ilvl="6" w:tplc="EB468EAA" w:tentative="1">
      <w:start w:val="1"/>
      <w:numFmt w:val="bullet"/>
      <w:lvlText w:val=""/>
      <w:lvlJc w:val="left"/>
      <w:pPr>
        <w:tabs>
          <w:tab w:val="num" w:pos="5040"/>
        </w:tabs>
        <w:ind w:left="5040" w:hanging="360"/>
      </w:pPr>
      <w:rPr>
        <w:rFonts w:ascii="Wingdings" w:hAnsi="Wingdings" w:hint="default"/>
      </w:rPr>
    </w:lvl>
    <w:lvl w:ilvl="7" w:tplc="9EEEB196" w:tentative="1">
      <w:start w:val="1"/>
      <w:numFmt w:val="bullet"/>
      <w:lvlText w:val=""/>
      <w:lvlJc w:val="left"/>
      <w:pPr>
        <w:tabs>
          <w:tab w:val="num" w:pos="5760"/>
        </w:tabs>
        <w:ind w:left="5760" w:hanging="360"/>
      </w:pPr>
      <w:rPr>
        <w:rFonts w:ascii="Wingdings" w:hAnsi="Wingdings" w:hint="default"/>
      </w:rPr>
    </w:lvl>
    <w:lvl w:ilvl="8" w:tplc="547C9224" w:tentative="1">
      <w:start w:val="1"/>
      <w:numFmt w:val="bullet"/>
      <w:lvlText w:val=""/>
      <w:lvlJc w:val="left"/>
      <w:pPr>
        <w:tabs>
          <w:tab w:val="num" w:pos="6480"/>
        </w:tabs>
        <w:ind w:left="6480" w:hanging="360"/>
      </w:pPr>
      <w:rPr>
        <w:rFonts w:ascii="Wingdings" w:hAnsi="Wingdings" w:hint="default"/>
      </w:rPr>
    </w:lvl>
  </w:abstractNum>
  <w:abstractNum w:abstractNumId="15">
    <w:nsid w:val="2FF15EF9"/>
    <w:multiLevelType w:val="hybridMultilevel"/>
    <w:tmpl w:val="69F0ACEE"/>
    <w:lvl w:ilvl="0" w:tplc="CEBC924A">
      <w:start w:val="1"/>
      <w:numFmt w:val="bullet"/>
      <w:lvlText w:val=""/>
      <w:lvlJc w:val="left"/>
      <w:pPr>
        <w:tabs>
          <w:tab w:val="num" w:pos="720"/>
        </w:tabs>
        <w:ind w:left="720" w:hanging="360"/>
      </w:pPr>
      <w:rPr>
        <w:rFonts w:ascii="Wingdings" w:hAnsi="Wingdings" w:hint="default"/>
      </w:rPr>
    </w:lvl>
    <w:lvl w:ilvl="1" w:tplc="AED48DE8" w:tentative="1">
      <w:start w:val="1"/>
      <w:numFmt w:val="bullet"/>
      <w:lvlText w:val=""/>
      <w:lvlJc w:val="left"/>
      <w:pPr>
        <w:tabs>
          <w:tab w:val="num" w:pos="1440"/>
        </w:tabs>
        <w:ind w:left="1440" w:hanging="360"/>
      </w:pPr>
      <w:rPr>
        <w:rFonts w:ascii="Wingdings" w:hAnsi="Wingdings" w:hint="default"/>
      </w:rPr>
    </w:lvl>
    <w:lvl w:ilvl="2" w:tplc="A16651D0" w:tentative="1">
      <w:start w:val="1"/>
      <w:numFmt w:val="bullet"/>
      <w:lvlText w:val=""/>
      <w:lvlJc w:val="left"/>
      <w:pPr>
        <w:tabs>
          <w:tab w:val="num" w:pos="2160"/>
        </w:tabs>
        <w:ind w:left="2160" w:hanging="360"/>
      </w:pPr>
      <w:rPr>
        <w:rFonts w:ascii="Wingdings" w:hAnsi="Wingdings" w:hint="default"/>
      </w:rPr>
    </w:lvl>
    <w:lvl w:ilvl="3" w:tplc="1912241A" w:tentative="1">
      <w:start w:val="1"/>
      <w:numFmt w:val="bullet"/>
      <w:lvlText w:val=""/>
      <w:lvlJc w:val="left"/>
      <w:pPr>
        <w:tabs>
          <w:tab w:val="num" w:pos="2880"/>
        </w:tabs>
        <w:ind w:left="2880" w:hanging="360"/>
      </w:pPr>
      <w:rPr>
        <w:rFonts w:ascii="Wingdings" w:hAnsi="Wingdings" w:hint="default"/>
      </w:rPr>
    </w:lvl>
    <w:lvl w:ilvl="4" w:tplc="7226AB40" w:tentative="1">
      <w:start w:val="1"/>
      <w:numFmt w:val="bullet"/>
      <w:lvlText w:val=""/>
      <w:lvlJc w:val="left"/>
      <w:pPr>
        <w:tabs>
          <w:tab w:val="num" w:pos="3600"/>
        </w:tabs>
        <w:ind w:left="3600" w:hanging="360"/>
      </w:pPr>
      <w:rPr>
        <w:rFonts w:ascii="Wingdings" w:hAnsi="Wingdings" w:hint="default"/>
      </w:rPr>
    </w:lvl>
    <w:lvl w:ilvl="5" w:tplc="25580E90" w:tentative="1">
      <w:start w:val="1"/>
      <w:numFmt w:val="bullet"/>
      <w:lvlText w:val=""/>
      <w:lvlJc w:val="left"/>
      <w:pPr>
        <w:tabs>
          <w:tab w:val="num" w:pos="4320"/>
        </w:tabs>
        <w:ind w:left="4320" w:hanging="360"/>
      </w:pPr>
      <w:rPr>
        <w:rFonts w:ascii="Wingdings" w:hAnsi="Wingdings" w:hint="default"/>
      </w:rPr>
    </w:lvl>
    <w:lvl w:ilvl="6" w:tplc="F1F4A802" w:tentative="1">
      <w:start w:val="1"/>
      <w:numFmt w:val="bullet"/>
      <w:lvlText w:val=""/>
      <w:lvlJc w:val="left"/>
      <w:pPr>
        <w:tabs>
          <w:tab w:val="num" w:pos="5040"/>
        </w:tabs>
        <w:ind w:left="5040" w:hanging="360"/>
      </w:pPr>
      <w:rPr>
        <w:rFonts w:ascii="Wingdings" w:hAnsi="Wingdings" w:hint="default"/>
      </w:rPr>
    </w:lvl>
    <w:lvl w:ilvl="7" w:tplc="062ADF84" w:tentative="1">
      <w:start w:val="1"/>
      <w:numFmt w:val="bullet"/>
      <w:lvlText w:val=""/>
      <w:lvlJc w:val="left"/>
      <w:pPr>
        <w:tabs>
          <w:tab w:val="num" w:pos="5760"/>
        </w:tabs>
        <w:ind w:left="5760" w:hanging="360"/>
      </w:pPr>
      <w:rPr>
        <w:rFonts w:ascii="Wingdings" w:hAnsi="Wingdings" w:hint="default"/>
      </w:rPr>
    </w:lvl>
    <w:lvl w:ilvl="8" w:tplc="86A6F9E8" w:tentative="1">
      <w:start w:val="1"/>
      <w:numFmt w:val="bullet"/>
      <w:lvlText w:val=""/>
      <w:lvlJc w:val="left"/>
      <w:pPr>
        <w:tabs>
          <w:tab w:val="num" w:pos="6480"/>
        </w:tabs>
        <w:ind w:left="6480" w:hanging="360"/>
      </w:pPr>
      <w:rPr>
        <w:rFonts w:ascii="Wingdings" w:hAnsi="Wingdings" w:hint="default"/>
      </w:rPr>
    </w:lvl>
  </w:abstractNum>
  <w:abstractNum w:abstractNumId="16">
    <w:nsid w:val="39E00319"/>
    <w:multiLevelType w:val="multilevel"/>
    <w:tmpl w:val="278EE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257513A"/>
    <w:multiLevelType w:val="multilevel"/>
    <w:tmpl w:val="D40C5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88150FB"/>
    <w:multiLevelType w:val="hybridMultilevel"/>
    <w:tmpl w:val="E11A671C"/>
    <w:lvl w:ilvl="0" w:tplc="05C4842E">
      <w:start w:val="1"/>
      <w:numFmt w:val="bullet"/>
      <w:lvlText w:val=""/>
      <w:lvlJc w:val="left"/>
      <w:pPr>
        <w:tabs>
          <w:tab w:val="num" w:pos="720"/>
        </w:tabs>
        <w:ind w:left="720" w:hanging="360"/>
      </w:pPr>
      <w:rPr>
        <w:rFonts w:ascii="Wingdings" w:hAnsi="Wingdings" w:hint="default"/>
      </w:rPr>
    </w:lvl>
    <w:lvl w:ilvl="1" w:tplc="4EB84C86" w:tentative="1">
      <w:start w:val="1"/>
      <w:numFmt w:val="bullet"/>
      <w:lvlText w:val=""/>
      <w:lvlJc w:val="left"/>
      <w:pPr>
        <w:tabs>
          <w:tab w:val="num" w:pos="1440"/>
        </w:tabs>
        <w:ind w:left="1440" w:hanging="360"/>
      </w:pPr>
      <w:rPr>
        <w:rFonts w:ascii="Wingdings" w:hAnsi="Wingdings" w:hint="default"/>
      </w:rPr>
    </w:lvl>
    <w:lvl w:ilvl="2" w:tplc="230E4394" w:tentative="1">
      <w:start w:val="1"/>
      <w:numFmt w:val="bullet"/>
      <w:lvlText w:val=""/>
      <w:lvlJc w:val="left"/>
      <w:pPr>
        <w:tabs>
          <w:tab w:val="num" w:pos="2160"/>
        </w:tabs>
        <w:ind w:left="2160" w:hanging="360"/>
      </w:pPr>
      <w:rPr>
        <w:rFonts w:ascii="Wingdings" w:hAnsi="Wingdings" w:hint="default"/>
      </w:rPr>
    </w:lvl>
    <w:lvl w:ilvl="3" w:tplc="F87651D2" w:tentative="1">
      <w:start w:val="1"/>
      <w:numFmt w:val="bullet"/>
      <w:lvlText w:val=""/>
      <w:lvlJc w:val="left"/>
      <w:pPr>
        <w:tabs>
          <w:tab w:val="num" w:pos="2880"/>
        </w:tabs>
        <w:ind w:left="2880" w:hanging="360"/>
      </w:pPr>
      <w:rPr>
        <w:rFonts w:ascii="Wingdings" w:hAnsi="Wingdings" w:hint="default"/>
      </w:rPr>
    </w:lvl>
    <w:lvl w:ilvl="4" w:tplc="34DC38C4" w:tentative="1">
      <w:start w:val="1"/>
      <w:numFmt w:val="bullet"/>
      <w:lvlText w:val=""/>
      <w:lvlJc w:val="left"/>
      <w:pPr>
        <w:tabs>
          <w:tab w:val="num" w:pos="3600"/>
        </w:tabs>
        <w:ind w:left="3600" w:hanging="360"/>
      </w:pPr>
      <w:rPr>
        <w:rFonts w:ascii="Wingdings" w:hAnsi="Wingdings" w:hint="default"/>
      </w:rPr>
    </w:lvl>
    <w:lvl w:ilvl="5" w:tplc="39C21526" w:tentative="1">
      <w:start w:val="1"/>
      <w:numFmt w:val="bullet"/>
      <w:lvlText w:val=""/>
      <w:lvlJc w:val="left"/>
      <w:pPr>
        <w:tabs>
          <w:tab w:val="num" w:pos="4320"/>
        </w:tabs>
        <w:ind w:left="4320" w:hanging="360"/>
      </w:pPr>
      <w:rPr>
        <w:rFonts w:ascii="Wingdings" w:hAnsi="Wingdings" w:hint="default"/>
      </w:rPr>
    </w:lvl>
    <w:lvl w:ilvl="6" w:tplc="9B8012DC" w:tentative="1">
      <w:start w:val="1"/>
      <w:numFmt w:val="bullet"/>
      <w:lvlText w:val=""/>
      <w:lvlJc w:val="left"/>
      <w:pPr>
        <w:tabs>
          <w:tab w:val="num" w:pos="5040"/>
        </w:tabs>
        <w:ind w:left="5040" w:hanging="360"/>
      </w:pPr>
      <w:rPr>
        <w:rFonts w:ascii="Wingdings" w:hAnsi="Wingdings" w:hint="default"/>
      </w:rPr>
    </w:lvl>
    <w:lvl w:ilvl="7" w:tplc="BFC6B84C" w:tentative="1">
      <w:start w:val="1"/>
      <w:numFmt w:val="bullet"/>
      <w:lvlText w:val=""/>
      <w:lvlJc w:val="left"/>
      <w:pPr>
        <w:tabs>
          <w:tab w:val="num" w:pos="5760"/>
        </w:tabs>
        <w:ind w:left="5760" w:hanging="360"/>
      </w:pPr>
      <w:rPr>
        <w:rFonts w:ascii="Wingdings" w:hAnsi="Wingdings" w:hint="default"/>
      </w:rPr>
    </w:lvl>
    <w:lvl w:ilvl="8" w:tplc="C4C0926C" w:tentative="1">
      <w:start w:val="1"/>
      <w:numFmt w:val="bullet"/>
      <w:lvlText w:val=""/>
      <w:lvlJc w:val="left"/>
      <w:pPr>
        <w:tabs>
          <w:tab w:val="num" w:pos="6480"/>
        </w:tabs>
        <w:ind w:left="6480" w:hanging="360"/>
      </w:pPr>
      <w:rPr>
        <w:rFonts w:ascii="Wingdings" w:hAnsi="Wingdings" w:hint="default"/>
      </w:rPr>
    </w:lvl>
  </w:abstractNum>
  <w:abstractNum w:abstractNumId="19">
    <w:nsid w:val="489C43BA"/>
    <w:multiLevelType w:val="hybridMultilevel"/>
    <w:tmpl w:val="F91C31C8"/>
    <w:lvl w:ilvl="0" w:tplc="1C2663EE">
      <w:start w:val="1"/>
      <w:numFmt w:val="bullet"/>
      <w:lvlText w:val=""/>
      <w:lvlJc w:val="left"/>
      <w:pPr>
        <w:tabs>
          <w:tab w:val="num" w:pos="720"/>
        </w:tabs>
        <w:ind w:left="720" w:hanging="360"/>
      </w:pPr>
      <w:rPr>
        <w:rFonts w:ascii="Wingdings" w:hAnsi="Wingdings" w:hint="default"/>
      </w:rPr>
    </w:lvl>
    <w:lvl w:ilvl="1" w:tplc="0486ED4C" w:tentative="1">
      <w:start w:val="1"/>
      <w:numFmt w:val="bullet"/>
      <w:lvlText w:val=""/>
      <w:lvlJc w:val="left"/>
      <w:pPr>
        <w:tabs>
          <w:tab w:val="num" w:pos="1440"/>
        </w:tabs>
        <w:ind w:left="1440" w:hanging="360"/>
      </w:pPr>
      <w:rPr>
        <w:rFonts w:ascii="Wingdings" w:hAnsi="Wingdings" w:hint="default"/>
      </w:rPr>
    </w:lvl>
    <w:lvl w:ilvl="2" w:tplc="FC9C95CA" w:tentative="1">
      <w:start w:val="1"/>
      <w:numFmt w:val="bullet"/>
      <w:lvlText w:val=""/>
      <w:lvlJc w:val="left"/>
      <w:pPr>
        <w:tabs>
          <w:tab w:val="num" w:pos="2160"/>
        </w:tabs>
        <w:ind w:left="2160" w:hanging="360"/>
      </w:pPr>
      <w:rPr>
        <w:rFonts w:ascii="Wingdings" w:hAnsi="Wingdings" w:hint="default"/>
      </w:rPr>
    </w:lvl>
    <w:lvl w:ilvl="3" w:tplc="F6ACA5DC" w:tentative="1">
      <w:start w:val="1"/>
      <w:numFmt w:val="bullet"/>
      <w:lvlText w:val=""/>
      <w:lvlJc w:val="left"/>
      <w:pPr>
        <w:tabs>
          <w:tab w:val="num" w:pos="2880"/>
        </w:tabs>
        <w:ind w:left="2880" w:hanging="360"/>
      </w:pPr>
      <w:rPr>
        <w:rFonts w:ascii="Wingdings" w:hAnsi="Wingdings" w:hint="default"/>
      </w:rPr>
    </w:lvl>
    <w:lvl w:ilvl="4" w:tplc="6E029EEE" w:tentative="1">
      <w:start w:val="1"/>
      <w:numFmt w:val="bullet"/>
      <w:lvlText w:val=""/>
      <w:lvlJc w:val="left"/>
      <w:pPr>
        <w:tabs>
          <w:tab w:val="num" w:pos="3600"/>
        </w:tabs>
        <w:ind w:left="3600" w:hanging="360"/>
      </w:pPr>
      <w:rPr>
        <w:rFonts w:ascii="Wingdings" w:hAnsi="Wingdings" w:hint="default"/>
      </w:rPr>
    </w:lvl>
    <w:lvl w:ilvl="5" w:tplc="B5425368" w:tentative="1">
      <w:start w:val="1"/>
      <w:numFmt w:val="bullet"/>
      <w:lvlText w:val=""/>
      <w:lvlJc w:val="left"/>
      <w:pPr>
        <w:tabs>
          <w:tab w:val="num" w:pos="4320"/>
        </w:tabs>
        <w:ind w:left="4320" w:hanging="360"/>
      </w:pPr>
      <w:rPr>
        <w:rFonts w:ascii="Wingdings" w:hAnsi="Wingdings" w:hint="default"/>
      </w:rPr>
    </w:lvl>
    <w:lvl w:ilvl="6" w:tplc="1B6A24B0" w:tentative="1">
      <w:start w:val="1"/>
      <w:numFmt w:val="bullet"/>
      <w:lvlText w:val=""/>
      <w:lvlJc w:val="left"/>
      <w:pPr>
        <w:tabs>
          <w:tab w:val="num" w:pos="5040"/>
        </w:tabs>
        <w:ind w:left="5040" w:hanging="360"/>
      </w:pPr>
      <w:rPr>
        <w:rFonts w:ascii="Wingdings" w:hAnsi="Wingdings" w:hint="default"/>
      </w:rPr>
    </w:lvl>
    <w:lvl w:ilvl="7" w:tplc="E580E798" w:tentative="1">
      <w:start w:val="1"/>
      <w:numFmt w:val="bullet"/>
      <w:lvlText w:val=""/>
      <w:lvlJc w:val="left"/>
      <w:pPr>
        <w:tabs>
          <w:tab w:val="num" w:pos="5760"/>
        </w:tabs>
        <w:ind w:left="5760" w:hanging="360"/>
      </w:pPr>
      <w:rPr>
        <w:rFonts w:ascii="Wingdings" w:hAnsi="Wingdings" w:hint="default"/>
      </w:rPr>
    </w:lvl>
    <w:lvl w:ilvl="8" w:tplc="3294DA4E" w:tentative="1">
      <w:start w:val="1"/>
      <w:numFmt w:val="bullet"/>
      <w:lvlText w:val=""/>
      <w:lvlJc w:val="left"/>
      <w:pPr>
        <w:tabs>
          <w:tab w:val="num" w:pos="6480"/>
        </w:tabs>
        <w:ind w:left="6480" w:hanging="360"/>
      </w:pPr>
      <w:rPr>
        <w:rFonts w:ascii="Wingdings" w:hAnsi="Wingdings" w:hint="default"/>
      </w:rPr>
    </w:lvl>
  </w:abstractNum>
  <w:abstractNum w:abstractNumId="20">
    <w:nsid w:val="48F76435"/>
    <w:multiLevelType w:val="hybridMultilevel"/>
    <w:tmpl w:val="9B326F16"/>
    <w:lvl w:ilvl="0" w:tplc="0BAE895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4E514870"/>
    <w:multiLevelType w:val="hybridMultilevel"/>
    <w:tmpl w:val="8B18B340"/>
    <w:lvl w:ilvl="0" w:tplc="43B27422">
      <w:start w:val="1"/>
      <w:numFmt w:val="bullet"/>
      <w:lvlText w:val=""/>
      <w:lvlJc w:val="left"/>
      <w:pPr>
        <w:tabs>
          <w:tab w:val="num" w:pos="720"/>
        </w:tabs>
        <w:ind w:left="720" w:hanging="360"/>
      </w:pPr>
      <w:rPr>
        <w:rFonts w:ascii="Wingdings" w:hAnsi="Wingdings" w:hint="default"/>
      </w:rPr>
    </w:lvl>
    <w:lvl w:ilvl="1" w:tplc="D5606B3E" w:tentative="1">
      <w:start w:val="1"/>
      <w:numFmt w:val="bullet"/>
      <w:lvlText w:val=""/>
      <w:lvlJc w:val="left"/>
      <w:pPr>
        <w:tabs>
          <w:tab w:val="num" w:pos="1440"/>
        </w:tabs>
        <w:ind w:left="1440" w:hanging="360"/>
      </w:pPr>
      <w:rPr>
        <w:rFonts w:ascii="Wingdings" w:hAnsi="Wingdings" w:hint="default"/>
      </w:rPr>
    </w:lvl>
    <w:lvl w:ilvl="2" w:tplc="B6DC92A0" w:tentative="1">
      <w:start w:val="1"/>
      <w:numFmt w:val="bullet"/>
      <w:lvlText w:val=""/>
      <w:lvlJc w:val="left"/>
      <w:pPr>
        <w:tabs>
          <w:tab w:val="num" w:pos="2160"/>
        </w:tabs>
        <w:ind w:left="2160" w:hanging="360"/>
      </w:pPr>
      <w:rPr>
        <w:rFonts w:ascii="Wingdings" w:hAnsi="Wingdings" w:hint="default"/>
      </w:rPr>
    </w:lvl>
    <w:lvl w:ilvl="3" w:tplc="82068A4C" w:tentative="1">
      <w:start w:val="1"/>
      <w:numFmt w:val="bullet"/>
      <w:lvlText w:val=""/>
      <w:lvlJc w:val="left"/>
      <w:pPr>
        <w:tabs>
          <w:tab w:val="num" w:pos="2880"/>
        </w:tabs>
        <w:ind w:left="2880" w:hanging="360"/>
      </w:pPr>
      <w:rPr>
        <w:rFonts w:ascii="Wingdings" w:hAnsi="Wingdings" w:hint="default"/>
      </w:rPr>
    </w:lvl>
    <w:lvl w:ilvl="4" w:tplc="EF2AA342" w:tentative="1">
      <w:start w:val="1"/>
      <w:numFmt w:val="bullet"/>
      <w:lvlText w:val=""/>
      <w:lvlJc w:val="left"/>
      <w:pPr>
        <w:tabs>
          <w:tab w:val="num" w:pos="3600"/>
        </w:tabs>
        <w:ind w:left="3600" w:hanging="360"/>
      </w:pPr>
      <w:rPr>
        <w:rFonts w:ascii="Wingdings" w:hAnsi="Wingdings" w:hint="default"/>
      </w:rPr>
    </w:lvl>
    <w:lvl w:ilvl="5" w:tplc="B566B580" w:tentative="1">
      <w:start w:val="1"/>
      <w:numFmt w:val="bullet"/>
      <w:lvlText w:val=""/>
      <w:lvlJc w:val="left"/>
      <w:pPr>
        <w:tabs>
          <w:tab w:val="num" w:pos="4320"/>
        </w:tabs>
        <w:ind w:left="4320" w:hanging="360"/>
      </w:pPr>
      <w:rPr>
        <w:rFonts w:ascii="Wingdings" w:hAnsi="Wingdings" w:hint="default"/>
      </w:rPr>
    </w:lvl>
    <w:lvl w:ilvl="6" w:tplc="6FCE976A" w:tentative="1">
      <w:start w:val="1"/>
      <w:numFmt w:val="bullet"/>
      <w:lvlText w:val=""/>
      <w:lvlJc w:val="left"/>
      <w:pPr>
        <w:tabs>
          <w:tab w:val="num" w:pos="5040"/>
        </w:tabs>
        <w:ind w:left="5040" w:hanging="360"/>
      </w:pPr>
      <w:rPr>
        <w:rFonts w:ascii="Wingdings" w:hAnsi="Wingdings" w:hint="default"/>
      </w:rPr>
    </w:lvl>
    <w:lvl w:ilvl="7" w:tplc="56AC582E" w:tentative="1">
      <w:start w:val="1"/>
      <w:numFmt w:val="bullet"/>
      <w:lvlText w:val=""/>
      <w:lvlJc w:val="left"/>
      <w:pPr>
        <w:tabs>
          <w:tab w:val="num" w:pos="5760"/>
        </w:tabs>
        <w:ind w:left="5760" w:hanging="360"/>
      </w:pPr>
      <w:rPr>
        <w:rFonts w:ascii="Wingdings" w:hAnsi="Wingdings" w:hint="default"/>
      </w:rPr>
    </w:lvl>
    <w:lvl w:ilvl="8" w:tplc="7892F286" w:tentative="1">
      <w:start w:val="1"/>
      <w:numFmt w:val="bullet"/>
      <w:lvlText w:val=""/>
      <w:lvlJc w:val="left"/>
      <w:pPr>
        <w:tabs>
          <w:tab w:val="num" w:pos="6480"/>
        </w:tabs>
        <w:ind w:left="6480" w:hanging="360"/>
      </w:pPr>
      <w:rPr>
        <w:rFonts w:ascii="Wingdings" w:hAnsi="Wingdings" w:hint="default"/>
      </w:rPr>
    </w:lvl>
  </w:abstractNum>
  <w:abstractNum w:abstractNumId="22">
    <w:nsid w:val="5627590C"/>
    <w:multiLevelType w:val="hybridMultilevel"/>
    <w:tmpl w:val="C37290AA"/>
    <w:lvl w:ilvl="0" w:tplc="3D706E56">
      <w:start w:val="1"/>
      <w:numFmt w:val="bullet"/>
      <w:lvlText w:val=""/>
      <w:lvlJc w:val="left"/>
      <w:pPr>
        <w:tabs>
          <w:tab w:val="num" w:pos="720"/>
        </w:tabs>
        <w:ind w:left="720" w:hanging="360"/>
      </w:pPr>
      <w:rPr>
        <w:rFonts w:ascii="Wingdings" w:hAnsi="Wingdings" w:hint="default"/>
      </w:rPr>
    </w:lvl>
    <w:lvl w:ilvl="1" w:tplc="50FE881C" w:tentative="1">
      <w:start w:val="1"/>
      <w:numFmt w:val="bullet"/>
      <w:lvlText w:val=""/>
      <w:lvlJc w:val="left"/>
      <w:pPr>
        <w:tabs>
          <w:tab w:val="num" w:pos="1440"/>
        </w:tabs>
        <w:ind w:left="1440" w:hanging="360"/>
      </w:pPr>
      <w:rPr>
        <w:rFonts w:ascii="Wingdings" w:hAnsi="Wingdings" w:hint="default"/>
      </w:rPr>
    </w:lvl>
    <w:lvl w:ilvl="2" w:tplc="0FFA45CA" w:tentative="1">
      <w:start w:val="1"/>
      <w:numFmt w:val="bullet"/>
      <w:lvlText w:val=""/>
      <w:lvlJc w:val="left"/>
      <w:pPr>
        <w:tabs>
          <w:tab w:val="num" w:pos="2160"/>
        </w:tabs>
        <w:ind w:left="2160" w:hanging="360"/>
      </w:pPr>
      <w:rPr>
        <w:rFonts w:ascii="Wingdings" w:hAnsi="Wingdings" w:hint="default"/>
      </w:rPr>
    </w:lvl>
    <w:lvl w:ilvl="3" w:tplc="BC0E0614" w:tentative="1">
      <w:start w:val="1"/>
      <w:numFmt w:val="bullet"/>
      <w:lvlText w:val=""/>
      <w:lvlJc w:val="left"/>
      <w:pPr>
        <w:tabs>
          <w:tab w:val="num" w:pos="2880"/>
        </w:tabs>
        <w:ind w:left="2880" w:hanging="360"/>
      </w:pPr>
      <w:rPr>
        <w:rFonts w:ascii="Wingdings" w:hAnsi="Wingdings" w:hint="default"/>
      </w:rPr>
    </w:lvl>
    <w:lvl w:ilvl="4" w:tplc="AFE8F2E0" w:tentative="1">
      <w:start w:val="1"/>
      <w:numFmt w:val="bullet"/>
      <w:lvlText w:val=""/>
      <w:lvlJc w:val="left"/>
      <w:pPr>
        <w:tabs>
          <w:tab w:val="num" w:pos="3600"/>
        </w:tabs>
        <w:ind w:left="3600" w:hanging="360"/>
      </w:pPr>
      <w:rPr>
        <w:rFonts w:ascii="Wingdings" w:hAnsi="Wingdings" w:hint="default"/>
      </w:rPr>
    </w:lvl>
    <w:lvl w:ilvl="5" w:tplc="4198B1C2" w:tentative="1">
      <w:start w:val="1"/>
      <w:numFmt w:val="bullet"/>
      <w:lvlText w:val=""/>
      <w:lvlJc w:val="left"/>
      <w:pPr>
        <w:tabs>
          <w:tab w:val="num" w:pos="4320"/>
        </w:tabs>
        <w:ind w:left="4320" w:hanging="360"/>
      </w:pPr>
      <w:rPr>
        <w:rFonts w:ascii="Wingdings" w:hAnsi="Wingdings" w:hint="default"/>
      </w:rPr>
    </w:lvl>
    <w:lvl w:ilvl="6" w:tplc="EDD0F8A0" w:tentative="1">
      <w:start w:val="1"/>
      <w:numFmt w:val="bullet"/>
      <w:lvlText w:val=""/>
      <w:lvlJc w:val="left"/>
      <w:pPr>
        <w:tabs>
          <w:tab w:val="num" w:pos="5040"/>
        </w:tabs>
        <w:ind w:left="5040" w:hanging="360"/>
      </w:pPr>
      <w:rPr>
        <w:rFonts w:ascii="Wingdings" w:hAnsi="Wingdings" w:hint="default"/>
      </w:rPr>
    </w:lvl>
    <w:lvl w:ilvl="7" w:tplc="95F205D4" w:tentative="1">
      <w:start w:val="1"/>
      <w:numFmt w:val="bullet"/>
      <w:lvlText w:val=""/>
      <w:lvlJc w:val="left"/>
      <w:pPr>
        <w:tabs>
          <w:tab w:val="num" w:pos="5760"/>
        </w:tabs>
        <w:ind w:left="5760" w:hanging="360"/>
      </w:pPr>
      <w:rPr>
        <w:rFonts w:ascii="Wingdings" w:hAnsi="Wingdings" w:hint="default"/>
      </w:rPr>
    </w:lvl>
    <w:lvl w:ilvl="8" w:tplc="DFFA04EE" w:tentative="1">
      <w:start w:val="1"/>
      <w:numFmt w:val="bullet"/>
      <w:lvlText w:val=""/>
      <w:lvlJc w:val="left"/>
      <w:pPr>
        <w:tabs>
          <w:tab w:val="num" w:pos="6480"/>
        </w:tabs>
        <w:ind w:left="6480" w:hanging="360"/>
      </w:pPr>
      <w:rPr>
        <w:rFonts w:ascii="Wingdings" w:hAnsi="Wingdings" w:hint="default"/>
      </w:rPr>
    </w:lvl>
  </w:abstractNum>
  <w:abstractNum w:abstractNumId="23">
    <w:nsid w:val="5C003E8C"/>
    <w:multiLevelType w:val="hybridMultilevel"/>
    <w:tmpl w:val="475AC0D8"/>
    <w:lvl w:ilvl="0" w:tplc="E08E5D22">
      <w:start w:val="1"/>
      <w:numFmt w:val="decimal"/>
      <w:lvlText w:val="%1、"/>
      <w:lvlJc w:val="left"/>
      <w:pPr>
        <w:ind w:left="1200" w:hanging="720"/>
      </w:pPr>
      <w:rPr>
        <w:rFonts w:hint="default"/>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4">
    <w:nsid w:val="5C5F63A9"/>
    <w:multiLevelType w:val="hybridMultilevel"/>
    <w:tmpl w:val="314A2B18"/>
    <w:lvl w:ilvl="0" w:tplc="7E863EF2">
      <w:start w:val="1"/>
      <w:numFmt w:val="japaneseCounting"/>
      <w:lvlText w:val="第%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nsid w:val="60BC4A89"/>
    <w:multiLevelType w:val="hybridMultilevel"/>
    <w:tmpl w:val="586EE950"/>
    <w:lvl w:ilvl="0" w:tplc="6A165E04">
      <w:start w:val="1"/>
      <w:numFmt w:val="bullet"/>
      <w:lvlText w:val=""/>
      <w:lvlJc w:val="left"/>
      <w:pPr>
        <w:tabs>
          <w:tab w:val="num" w:pos="720"/>
        </w:tabs>
        <w:ind w:left="720" w:hanging="360"/>
      </w:pPr>
      <w:rPr>
        <w:rFonts w:ascii="Wingdings" w:hAnsi="Wingdings" w:hint="default"/>
      </w:rPr>
    </w:lvl>
    <w:lvl w:ilvl="1" w:tplc="21AC195E" w:tentative="1">
      <w:start w:val="1"/>
      <w:numFmt w:val="bullet"/>
      <w:lvlText w:val=""/>
      <w:lvlJc w:val="left"/>
      <w:pPr>
        <w:tabs>
          <w:tab w:val="num" w:pos="1440"/>
        </w:tabs>
        <w:ind w:left="1440" w:hanging="360"/>
      </w:pPr>
      <w:rPr>
        <w:rFonts w:ascii="Wingdings" w:hAnsi="Wingdings" w:hint="default"/>
      </w:rPr>
    </w:lvl>
    <w:lvl w:ilvl="2" w:tplc="A0B615E8" w:tentative="1">
      <w:start w:val="1"/>
      <w:numFmt w:val="bullet"/>
      <w:lvlText w:val=""/>
      <w:lvlJc w:val="left"/>
      <w:pPr>
        <w:tabs>
          <w:tab w:val="num" w:pos="2160"/>
        </w:tabs>
        <w:ind w:left="2160" w:hanging="360"/>
      </w:pPr>
      <w:rPr>
        <w:rFonts w:ascii="Wingdings" w:hAnsi="Wingdings" w:hint="default"/>
      </w:rPr>
    </w:lvl>
    <w:lvl w:ilvl="3" w:tplc="E75C4E4C" w:tentative="1">
      <w:start w:val="1"/>
      <w:numFmt w:val="bullet"/>
      <w:lvlText w:val=""/>
      <w:lvlJc w:val="left"/>
      <w:pPr>
        <w:tabs>
          <w:tab w:val="num" w:pos="2880"/>
        </w:tabs>
        <w:ind w:left="2880" w:hanging="360"/>
      </w:pPr>
      <w:rPr>
        <w:rFonts w:ascii="Wingdings" w:hAnsi="Wingdings" w:hint="default"/>
      </w:rPr>
    </w:lvl>
    <w:lvl w:ilvl="4" w:tplc="4AEA7F6E" w:tentative="1">
      <w:start w:val="1"/>
      <w:numFmt w:val="bullet"/>
      <w:lvlText w:val=""/>
      <w:lvlJc w:val="left"/>
      <w:pPr>
        <w:tabs>
          <w:tab w:val="num" w:pos="3600"/>
        </w:tabs>
        <w:ind w:left="3600" w:hanging="360"/>
      </w:pPr>
      <w:rPr>
        <w:rFonts w:ascii="Wingdings" w:hAnsi="Wingdings" w:hint="default"/>
      </w:rPr>
    </w:lvl>
    <w:lvl w:ilvl="5" w:tplc="2D6A9648" w:tentative="1">
      <w:start w:val="1"/>
      <w:numFmt w:val="bullet"/>
      <w:lvlText w:val=""/>
      <w:lvlJc w:val="left"/>
      <w:pPr>
        <w:tabs>
          <w:tab w:val="num" w:pos="4320"/>
        </w:tabs>
        <w:ind w:left="4320" w:hanging="360"/>
      </w:pPr>
      <w:rPr>
        <w:rFonts w:ascii="Wingdings" w:hAnsi="Wingdings" w:hint="default"/>
      </w:rPr>
    </w:lvl>
    <w:lvl w:ilvl="6" w:tplc="CB7E3146" w:tentative="1">
      <w:start w:val="1"/>
      <w:numFmt w:val="bullet"/>
      <w:lvlText w:val=""/>
      <w:lvlJc w:val="left"/>
      <w:pPr>
        <w:tabs>
          <w:tab w:val="num" w:pos="5040"/>
        </w:tabs>
        <w:ind w:left="5040" w:hanging="360"/>
      </w:pPr>
      <w:rPr>
        <w:rFonts w:ascii="Wingdings" w:hAnsi="Wingdings" w:hint="default"/>
      </w:rPr>
    </w:lvl>
    <w:lvl w:ilvl="7" w:tplc="B1988EC6" w:tentative="1">
      <w:start w:val="1"/>
      <w:numFmt w:val="bullet"/>
      <w:lvlText w:val=""/>
      <w:lvlJc w:val="left"/>
      <w:pPr>
        <w:tabs>
          <w:tab w:val="num" w:pos="5760"/>
        </w:tabs>
        <w:ind w:left="5760" w:hanging="360"/>
      </w:pPr>
      <w:rPr>
        <w:rFonts w:ascii="Wingdings" w:hAnsi="Wingdings" w:hint="default"/>
      </w:rPr>
    </w:lvl>
    <w:lvl w:ilvl="8" w:tplc="B71C61B0" w:tentative="1">
      <w:start w:val="1"/>
      <w:numFmt w:val="bullet"/>
      <w:lvlText w:val=""/>
      <w:lvlJc w:val="left"/>
      <w:pPr>
        <w:tabs>
          <w:tab w:val="num" w:pos="6480"/>
        </w:tabs>
        <w:ind w:left="6480" w:hanging="360"/>
      </w:pPr>
      <w:rPr>
        <w:rFonts w:ascii="Wingdings" w:hAnsi="Wingdings" w:hint="default"/>
      </w:rPr>
    </w:lvl>
  </w:abstractNum>
  <w:abstractNum w:abstractNumId="26">
    <w:nsid w:val="61E30A09"/>
    <w:multiLevelType w:val="hybridMultilevel"/>
    <w:tmpl w:val="61DA731C"/>
    <w:lvl w:ilvl="0" w:tplc="768C788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nsid w:val="6AA464D0"/>
    <w:multiLevelType w:val="hybridMultilevel"/>
    <w:tmpl w:val="87CE8456"/>
    <w:lvl w:ilvl="0" w:tplc="4D4E41E0">
      <w:start w:val="1"/>
      <w:numFmt w:val="bullet"/>
      <w:lvlText w:val=""/>
      <w:lvlJc w:val="left"/>
      <w:pPr>
        <w:tabs>
          <w:tab w:val="num" w:pos="720"/>
        </w:tabs>
        <w:ind w:left="720" w:hanging="360"/>
      </w:pPr>
      <w:rPr>
        <w:rFonts w:ascii="Wingdings" w:hAnsi="Wingdings" w:hint="default"/>
      </w:rPr>
    </w:lvl>
    <w:lvl w:ilvl="1" w:tplc="983CE176" w:tentative="1">
      <w:start w:val="1"/>
      <w:numFmt w:val="bullet"/>
      <w:lvlText w:val=""/>
      <w:lvlJc w:val="left"/>
      <w:pPr>
        <w:tabs>
          <w:tab w:val="num" w:pos="1440"/>
        </w:tabs>
        <w:ind w:left="1440" w:hanging="360"/>
      </w:pPr>
      <w:rPr>
        <w:rFonts w:ascii="Wingdings" w:hAnsi="Wingdings" w:hint="default"/>
      </w:rPr>
    </w:lvl>
    <w:lvl w:ilvl="2" w:tplc="EE9ECB80" w:tentative="1">
      <w:start w:val="1"/>
      <w:numFmt w:val="bullet"/>
      <w:lvlText w:val=""/>
      <w:lvlJc w:val="left"/>
      <w:pPr>
        <w:tabs>
          <w:tab w:val="num" w:pos="2160"/>
        </w:tabs>
        <w:ind w:left="2160" w:hanging="360"/>
      </w:pPr>
      <w:rPr>
        <w:rFonts w:ascii="Wingdings" w:hAnsi="Wingdings" w:hint="default"/>
      </w:rPr>
    </w:lvl>
    <w:lvl w:ilvl="3" w:tplc="61A2DFD8" w:tentative="1">
      <w:start w:val="1"/>
      <w:numFmt w:val="bullet"/>
      <w:lvlText w:val=""/>
      <w:lvlJc w:val="left"/>
      <w:pPr>
        <w:tabs>
          <w:tab w:val="num" w:pos="2880"/>
        </w:tabs>
        <w:ind w:left="2880" w:hanging="360"/>
      </w:pPr>
      <w:rPr>
        <w:rFonts w:ascii="Wingdings" w:hAnsi="Wingdings" w:hint="default"/>
      </w:rPr>
    </w:lvl>
    <w:lvl w:ilvl="4" w:tplc="26142642" w:tentative="1">
      <w:start w:val="1"/>
      <w:numFmt w:val="bullet"/>
      <w:lvlText w:val=""/>
      <w:lvlJc w:val="left"/>
      <w:pPr>
        <w:tabs>
          <w:tab w:val="num" w:pos="3600"/>
        </w:tabs>
        <w:ind w:left="3600" w:hanging="360"/>
      </w:pPr>
      <w:rPr>
        <w:rFonts w:ascii="Wingdings" w:hAnsi="Wingdings" w:hint="default"/>
      </w:rPr>
    </w:lvl>
    <w:lvl w:ilvl="5" w:tplc="F73C735E" w:tentative="1">
      <w:start w:val="1"/>
      <w:numFmt w:val="bullet"/>
      <w:lvlText w:val=""/>
      <w:lvlJc w:val="left"/>
      <w:pPr>
        <w:tabs>
          <w:tab w:val="num" w:pos="4320"/>
        </w:tabs>
        <w:ind w:left="4320" w:hanging="360"/>
      </w:pPr>
      <w:rPr>
        <w:rFonts w:ascii="Wingdings" w:hAnsi="Wingdings" w:hint="default"/>
      </w:rPr>
    </w:lvl>
    <w:lvl w:ilvl="6" w:tplc="3F82EBD8" w:tentative="1">
      <w:start w:val="1"/>
      <w:numFmt w:val="bullet"/>
      <w:lvlText w:val=""/>
      <w:lvlJc w:val="left"/>
      <w:pPr>
        <w:tabs>
          <w:tab w:val="num" w:pos="5040"/>
        </w:tabs>
        <w:ind w:left="5040" w:hanging="360"/>
      </w:pPr>
      <w:rPr>
        <w:rFonts w:ascii="Wingdings" w:hAnsi="Wingdings" w:hint="default"/>
      </w:rPr>
    </w:lvl>
    <w:lvl w:ilvl="7" w:tplc="83D649B4" w:tentative="1">
      <w:start w:val="1"/>
      <w:numFmt w:val="bullet"/>
      <w:lvlText w:val=""/>
      <w:lvlJc w:val="left"/>
      <w:pPr>
        <w:tabs>
          <w:tab w:val="num" w:pos="5760"/>
        </w:tabs>
        <w:ind w:left="5760" w:hanging="360"/>
      </w:pPr>
      <w:rPr>
        <w:rFonts w:ascii="Wingdings" w:hAnsi="Wingdings" w:hint="default"/>
      </w:rPr>
    </w:lvl>
    <w:lvl w:ilvl="8" w:tplc="EC785C22" w:tentative="1">
      <w:start w:val="1"/>
      <w:numFmt w:val="bullet"/>
      <w:lvlText w:val=""/>
      <w:lvlJc w:val="left"/>
      <w:pPr>
        <w:tabs>
          <w:tab w:val="num" w:pos="6480"/>
        </w:tabs>
        <w:ind w:left="6480" w:hanging="360"/>
      </w:pPr>
      <w:rPr>
        <w:rFonts w:ascii="Wingdings" w:hAnsi="Wingdings" w:hint="default"/>
      </w:rPr>
    </w:lvl>
  </w:abstractNum>
  <w:abstractNum w:abstractNumId="28">
    <w:nsid w:val="6F9C03C7"/>
    <w:multiLevelType w:val="hybridMultilevel"/>
    <w:tmpl w:val="3E6AE66A"/>
    <w:lvl w:ilvl="0" w:tplc="32D22218">
      <w:start w:val="1"/>
      <w:numFmt w:val="bullet"/>
      <w:lvlText w:val=""/>
      <w:lvlJc w:val="left"/>
      <w:pPr>
        <w:tabs>
          <w:tab w:val="num" w:pos="720"/>
        </w:tabs>
        <w:ind w:left="720" w:hanging="360"/>
      </w:pPr>
      <w:rPr>
        <w:rFonts w:ascii="Wingdings" w:hAnsi="Wingdings" w:hint="default"/>
      </w:rPr>
    </w:lvl>
    <w:lvl w:ilvl="1" w:tplc="63AC403C" w:tentative="1">
      <w:start w:val="1"/>
      <w:numFmt w:val="bullet"/>
      <w:lvlText w:val=""/>
      <w:lvlJc w:val="left"/>
      <w:pPr>
        <w:tabs>
          <w:tab w:val="num" w:pos="1440"/>
        </w:tabs>
        <w:ind w:left="1440" w:hanging="360"/>
      </w:pPr>
      <w:rPr>
        <w:rFonts w:ascii="Wingdings" w:hAnsi="Wingdings" w:hint="default"/>
      </w:rPr>
    </w:lvl>
    <w:lvl w:ilvl="2" w:tplc="8E0CD4A4" w:tentative="1">
      <w:start w:val="1"/>
      <w:numFmt w:val="bullet"/>
      <w:lvlText w:val=""/>
      <w:lvlJc w:val="left"/>
      <w:pPr>
        <w:tabs>
          <w:tab w:val="num" w:pos="2160"/>
        </w:tabs>
        <w:ind w:left="2160" w:hanging="360"/>
      </w:pPr>
      <w:rPr>
        <w:rFonts w:ascii="Wingdings" w:hAnsi="Wingdings" w:hint="default"/>
      </w:rPr>
    </w:lvl>
    <w:lvl w:ilvl="3" w:tplc="3F0AE334" w:tentative="1">
      <w:start w:val="1"/>
      <w:numFmt w:val="bullet"/>
      <w:lvlText w:val=""/>
      <w:lvlJc w:val="left"/>
      <w:pPr>
        <w:tabs>
          <w:tab w:val="num" w:pos="2880"/>
        </w:tabs>
        <w:ind w:left="2880" w:hanging="360"/>
      </w:pPr>
      <w:rPr>
        <w:rFonts w:ascii="Wingdings" w:hAnsi="Wingdings" w:hint="default"/>
      </w:rPr>
    </w:lvl>
    <w:lvl w:ilvl="4" w:tplc="F44E0768" w:tentative="1">
      <w:start w:val="1"/>
      <w:numFmt w:val="bullet"/>
      <w:lvlText w:val=""/>
      <w:lvlJc w:val="left"/>
      <w:pPr>
        <w:tabs>
          <w:tab w:val="num" w:pos="3600"/>
        </w:tabs>
        <w:ind w:left="3600" w:hanging="360"/>
      </w:pPr>
      <w:rPr>
        <w:rFonts w:ascii="Wingdings" w:hAnsi="Wingdings" w:hint="default"/>
      </w:rPr>
    </w:lvl>
    <w:lvl w:ilvl="5" w:tplc="74C672F0" w:tentative="1">
      <w:start w:val="1"/>
      <w:numFmt w:val="bullet"/>
      <w:lvlText w:val=""/>
      <w:lvlJc w:val="left"/>
      <w:pPr>
        <w:tabs>
          <w:tab w:val="num" w:pos="4320"/>
        </w:tabs>
        <w:ind w:left="4320" w:hanging="360"/>
      </w:pPr>
      <w:rPr>
        <w:rFonts w:ascii="Wingdings" w:hAnsi="Wingdings" w:hint="default"/>
      </w:rPr>
    </w:lvl>
    <w:lvl w:ilvl="6" w:tplc="BE0421A6" w:tentative="1">
      <w:start w:val="1"/>
      <w:numFmt w:val="bullet"/>
      <w:lvlText w:val=""/>
      <w:lvlJc w:val="left"/>
      <w:pPr>
        <w:tabs>
          <w:tab w:val="num" w:pos="5040"/>
        </w:tabs>
        <w:ind w:left="5040" w:hanging="360"/>
      </w:pPr>
      <w:rPr>
        <w:rFonts w:ascii="Wingdings" w:hAnsi="Wingdings" w:hint="default"/>
      </w:rPr>
    </w:lvl>
    <w:lvl w:ilvl="7" w:tplc="57DADC78" w:tentative="1">
      <w:start w:val="1"/>
      <w:numFmt w:val="bullet"/>
      <w:lvlText w:val=""/>
      <w:lvlJc w:val="left"/>
      <w:pPr>
        <w:tabs>
          <w:tab w:val="num" w:pos="5760"/>
        </w:tabs>
        <w:ind w:left="5760" w:hanging="360"/>
      </w:pPr>
      <w:rPr>
        <w:rFonts w:ascii="Wingdings" w:hAnsi="Wingdings" w:hint="default"/>
      </w:rPr>
    </w:lvl>
    <w:lvl w:ilvl="8" w:tplc="911A1FF4"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 w:numId="6">
    <w:abstractNumId w:val="26"/>
  </w:num>
  <w:num w:numId="7">
    <w:abstractNumId w:val="18"/>
  </w:num>
  <w:num w:numId="8">
    <w:abstractNumId w:val="15"/>
  </w:num>
  <w:num w:numId="9">
    <w:abstractNumId w:val="6"/>
  </w:num>
  <w:num w:numId="10">
    <w:abstractNumId w:val="21"/>
  </w:num>
  <w:num w:numId="11">
    <w:abstractNumId w:val="25"/>
  </w:num>
  <w:num w:numId="12">
    <w:abstractNumId w:val="19"/>
  </w:num>
  <w:num w:numId="13">
    <w:abstractNumId w:val="27"/>
  </w:num>
  <w:num w:numId="14">
    <w:abstractNumId w:val="28"/>
  </w:num>
  <w:num w:numId="15">
    <w:abstractNumId w:val="22"/>
  </w:num>
  <w:num w:numId="16">
    <w:abstractNumId w:val="14"/>
  </w:num>
  <w:num w:numId="17">
    <w:abstractNumId w:val="10"/>
  </w:num>
  <w:num w:numId="18">
    <w:abstractNumId w:val="24"/>
  </w:num>
  <w:num w:numId="19">
    <w:abstractNumId w:val="12"/>
  </w:num>
  <w:num w:numId="20">
    <w:abstractNumId w:val="23"/>
  </w:num>
  <w:num w:numId="21">
    <w:abstractNumId w:val="7"/>
  </w:num>
  <w:num w:numId="22">
    <w:abstractNumId w:val="20"/>
  </w:num>
  <w:num w:numId="23">
    <w:abstractNumId w:val="5"/>
  </w:num>
  <w:num w:numId="24">
    <w:abstractNumId w:val="13"/>
  </w:num>
  <w:num w:numId="25">
    <w:abstractNumId w:val="9"/>
  </w:num>
  <w:num w:numId="26">
    <w:abstractNumId w:val="17"/>
  </w:num>
  <w:num w:numId="27">
    <w:abstractNumId w:val="11"/>
  </w:num>
  <w:num w:numId="28">
    <w:abstractNumId w:val="8"/>
  </w:num>
  <w:num w:numId="2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F28DE503"/>
    <w:rsid w:val="0000048E"/>
    <w:rsid w:val="000006A1"/>
    <w:rsid w:val="00001755"/>
    <w:rsid w:val="0000180B"/>
    <w:rsid w:val="000022B0"/>
    <w:rsid w:val="0000327C"/>
    <w:rsid w:val="000037AD"/>
    <w:rsid w:val="00003DA4"/>
    <w:rsid w:val="00003F08"/>
    <w:rsid w:val="00003F49"/>
    <w:rsid w:val="00003F92"/>
    <w:rsid w:val="000047B9"/>
    <w:rsid w:val="00004DA9"/>
    <w:rsid w:val="00004DF6"/>
    <w:rsid w:val="00004F92"/>
    <w:rsid w:val="00005076"/>
    <w:rsid w:val="00005AF2"/>
    <w:rsid w:val="00005D9A"/>
    <w:rsid w:val="000060AC"/>
    <w:rsid w:val="000060DE"/>
    <w:rsid w:val="00006135"/>
    <w:rsid w:val="0000649D"/>
    <w:rsid w:val="00006593"/>
    <w:rsid w:val="00006787"/>
    <w:rsid w:val="000068CF"/>
    <w:rsid w:val="00006911"/>
    <w:rsid w:val="00006B83"/>
    <w:rsid w:val="0000743B"/>
    <w:rsid w:val="00007A5A"/>
    <w:rsid w:val="00007F30"/>
    <w:rsid w:val="000105FB"/>
    <w:rsid w:val="00010654"/>
    <w:rsid w:val="000106E3"/>
    <w:rsid w:val="00010B19"/>
    <w:rsid w:val="00010DAA"/>
    <w:rsid w:val="000119EF"/>
    <w:rsid w:val="00011C5F"/>
    <w:rsid w:val="000128CB"/>
    <w:rsid w:val="00012A25"/>
    <w:rsid w:val="00012CA5"/>
    <w:rsid w:val="00012DA7"/>
    <w:rsid w:val="00012E48"/>
    <w:rsid w:val="0001311B"/>
    <w:rsid w:val="00013AC4"/>
    <w:rsid w:val="00013D8C"/>
    <w:rsid w:val="00013DBA"/>
    <w:rsid w:val="00014480"/>
    <w:rsid w:val="0001500B"/>
    <w:rsid w:val="00015542"/>
    <w:rsid w:val="00015981"/>
    <w:rsid w:val="00015C26"/>
    <w:rsid w:val="00015ECB"/>
    <w:rsid w:val="00015EE5"/>
    <w:rsid w:val="00015F11"/>
    <w:rsid w:val="00015F3D"/>
    <w:rsid w:val="00016248"/>
    <w:rsid w:val="00016A8C"/>
    <w:rsid w:val="00016BE5"/>
    <w:rsid w:val="00016C6A"/>
    <w:rsid w:val="00017B9C"/>
    <w:rsid w:val="0002033F"/>
    <w:rsid w:val="0002051A"/>
    <w:rsid w:val="00020970"/>
    <w:rsid w:val="00020BBA"/>
    <w:rsid w:val="00020F7F"/>
    <w:rsid w:val="000219C9"/>
    <w:rsid w:val="00021B34"/>
    <w:rsid w:val="00021C85"/>
    <w:rsid w:val="00022DD3"/>
    <w:rsid w:val="0002319C"/>
    <w:rsid w:val="000232BB"/>
    <w:rsid w:val="00023531"/>
    <w:rsid w:val="00023C51"/>
    <w:rsid w:val="00023D9D"/>
    <w:rsid w:val="00023E14"/>
    <w:rsid w:val="0002431B"/>
    <w:rsid w:val="00025073"/>
    <w:rsid w:val="00025B9D"/>
    <w:rsid w:val="00025F12"/>
    <w:rsid w:val="00026193"/>
    <w:rsid w:val="00026E14"/>
    <w:rsid w:val="000270FF"/>
    <w:rsid w:val="000274EB"/>
    <w:rsid w:val="000275C9"/>
    <w:rsid w:val="0002765B"/>
    <w:rsid w:val="0002780B"/>
    <w:rsid w:val="00027AAB"/>
    <w:rsid w:val="00027E39"/>
    <w:rsid w:val="0003065D"/>
    <w:rsid w:val="00030711"/>
    <w:rsid w:val="00030E2D"/>
    <w:rsid w:val="00030E7C"/>
    <w:rsid w:val="000312AB"/>
    <w:rsid w:val="00031A0F"/>
    <w:rsid w:val="00032A5F"/>
    <w:rsid w:val="00032A68"/>
    <w:rsid w:val="00032ABF"/>
    <w:rsid w:val="000331EC"/>
    <w:rsid w:val="0003324E"/>
    <w:rsid w:val="000332AD"/>
    <w:rsid w:val="00033828"/>
    <w:rsid w:val="00034037"/>
    <w:rsid w:val="00034E64"/>
    <w:rsid w:val="0003520F"/>
    <w:rsid w:val="0003530E"/>
    <w:rsid w:val="00035CCE"/>
    <w:rsid w:val="00035D3D"/>
    <w:rsid w:val="00036DAA"/>
    <w:rsid w:val="00037494"/>
    <w:rsid w:val="0003773F"/>
    <w:rsid w:val="00037762"/>
    <w:rsid w:val="00037E6C"/>
    <w:rsid w:val="00037F38"/>
    <w:rsid w:val="000400EC"/>
    <w:rsid w:val="000401C9"/>
    <w:rsid w:val="000409E0"/>
    <w:rsid w:val="00040A6A"/>
    <w:rsid w:val="0004102C"/>
    <w:rsid w:val="000417A6"/>
    <w:rsid w:val="00041B38"/>
    <w:rsid w:val="00043A6D"/>
    <w:rsid w:val="00043DB6"/>
    <w:rsid w:val="00043E48"/>
    <w:rsid w:val="0004427C"/>
    <w:rsid w:val="000449F0"/>
    <w:rsid w:val="0004549D"/>
    <w:rsid w:val="00045A17"/>
    <w:rsid w:val="00045AB5"/>
    <w:rsid w:val="000463F4"/>
    <w:rsid w:val="0004644B"/>
    <w:rsid w:val="000465B1"/>
    <w:rsid w:val="000467D7"/>
    <w:rsid w:val="000472E5"/>
    <w:rsid w:val="00047BC0"/>
    <w:rsid w:val="00047BF1"/>
    <w:rsid w:val="00047E2A"/>
    <w:rsid w:val="00047FA6"/>
    <w:rsid w:val="0005003A"/>
    <w:rsid w:val="00050047"/>
    <w:rsid w:val="000504C8"/>
    <w:rsid w:val="000505E2"/>
    <w:rsid w:val="000507BC"/>
    <w:rsid w:val="00050AE2"/>
    <w:rsid w:val="00050E8F"/>
    <w:rsid w:val="0005155B"/>
    <w:rsid w:val="00051575"/>
    <w:rsid w:val="0005161A"/>
    <w:rsid w:val="00051CD0"/>
    <w:rsid w:val="00051D9D"/>
    <w:rsid w:val="000523C8"/>
    <w:rsid w:val="00052427"/>
    <w:rsid w:val="00053051"/>
    <w:rsid w:val="000537A4"/>
    <w:rsid w:val="000544C9"/>
    <w:rsid w:val="00054893"/>
    <w:rsid w:val="00054AE0"/>
    <w:rsid w:val="00054AFD"/>
    <w:rsid w:val="00054E2A"/>
    <w:rsid w:val="0005504F"/>
    <w:rsid w:val="000550B2"/>
    <w:rsid w:val="000553C1"/>
    <w:rsid w:val="00055485"/>
    <w:rsid w:val="0005558A"/>
    <w:rsid w:val="00055679"/>
    <w:rsid w:val="00055A52"/>
    <w:rsid w:val="00055D29"/>
    <w:rsid w:val="00055F3B"/>
    <w:rsid w:val="000562D4"/>
    <w:rsid w:val="0005655B"/>
    <w:rsid w:val="0005721A"/>
    <w:rsid w:val="00057442"/>
    <w:rsid w:val="0005758B"/>
    <w:rsid w:val="000576DA"/>
    <w:rsid w:val="000603EF"/>
    <w:rsid w:val="00060BBF"/>
    <w:rsid w:val="00060F1B"/>
    <w:rsid w:val="000617BF"/>
    <w:rsid w:val="00061869"/>
    <w:rsid w:val="00061C3C"/>
    <w:rsid w:val="00061D9E"/>
    <w:rsid w:val="000620E2"/>
    <w:rsid w:val="0006250F"/>
    <w:rsid w:val="00062981"/>
    <w:rsid w:val="000629A2"/>
    <w:rsid w:val="00062E89"/>
    <w:rsid w:val="0006364B"/>
    <w:rsid w:val="00063EF1"/>
    <w:rsid w:val="00064007"/>
    <w:rsid w:val="000643F4"/>
    <w:rsid w:val="0006472D"/>
    <w:rsid w:val="00064DDC"/>
    <w:rsid w:val="00065B19"/>
    <w:rsid w:val="0006662C"/>
    <w:rsid w:val="0006679B"/>
    <w:rsid w:val="00066A4B"/>
    <w:rsid w:val="00066B90"/>
    <w:rsid w:val="00066C46"/>
    <w:rsid w:val="00066F10"/>
    <w:rsid w:val="00067714"/>
    <w:rsid w:val="00067963"/>
    <w:rsid w:val="00067A49"/>
    <w:rsid w:val="000701D0"/>
    <w:rsid w:val="00070606"/>
    <w:rsid w:val="00070A5D"/>
    <w:rsid w:val="0007166F"/>
    <w:rsid w:val="000719CA"/>
    <w:rsid w:val="0007212E"/>
    <w:rsid w:val="000722B7"/>
    <w:rsid w:val="00072410"/>
    <w:rsid w:val="0007254B"/>
    <w:rsid w:val="00073F36"/>
    <w:rsid w:val="00075608"/>
    <w:rsid w:val="00075EC6"/>
    <w:rsid w:val="000760C6"/>
    <w:rsid w:val="0007614B"/>
    <w:rsid w:val="0007685C"/>
    <w:rsid w:val="000771ED"/>
    <w:rsid w:val="000772BD"/>
    <w:rsid w:val="00077790"/>
    <w:rsid w:val="0007794F"/>
    <w:rsid w:val="00077B1B"/>
    <w:rsid w:val="00080318"/>
    <w:rsid w:val="000807AE"/>
    <w:rsid w:val="00080D8B"/>
    <w:rsid w:val="0008119E"/>
    <w:rsid w:val="000815F6"/>
    <w:rsid w:val="00081E60"/>
    <w:rsid w:val="00082044"/>
    <w:rsid w:val="00082CE4"/>
    <w:rsid w:val="00083341"/>
    <w:rsid w:val="00083392"/>
    <w:rsid w:val="00083A35"/>
    <w:rsid w:val="00083B64"/>
    <w:rsid w:val="00083E1C"/>
    <w:rsid w:val="00084085"/>
    <w:rsid w:val="000840CD"/>
    <w:rsid w:val="00084848"/>
    <w:rsid w:val="00084873"/>
    <w:rsid w:val="0008490D"/>
    <w:rsid w:val="000853E5"/>
    <w:rsid w:val="00085AC0"/>
    <w:rsid w:val="00085CBE"/>
    <w:rsid w:val="0008649A"/>
    <w:rsid w:val="000869DB"/>
    <w:rsid w:val="00086E6D"/>
    <w:rsid w:val="00086E99"/>
    <w:rsid w:val="00087119"/>
    <w:rsid w:val="0008719E"/>
    <w:rsid w:val="000875B7"/>
    <w:rsid w:val="00087DC6"/>
    <w:rsid w:val="00087E90"/>
    <w:rsid w:val="00090261"/>
    <w:rsid w:val="000907BC"/>
    <w:rsid w:val="0009124F"/>
    <w:rsid w:val="00091402"/>
    <w:rsid w:val="00091559"/>
    <w:rsid w:val="000915F6"/>
    <w:rsid w:val="000917A1"/>
    <w:rsid w:val="000917C9"/>
    <w:rsid w:val="000918CD"/>
    <w:rsid w:val="00091AC2"/>
    <w:rsid w:val="00091F14"/>
    <w:rsid w:val="00092207"/>
    <w:rsid w:val="0009252A"/>
    <w:rsid w:val="0009258F"/>
    <w:rsid w:val="00092AD5"/>
    <w:rsid w:val="00094523"/>
    <w:rsid w:val="00094D94"/>
    <w:rsid w:val="00094F6C"/>
    <w:rsid w:val="00094FF4"/>
    <w:rsid w:val="000951D3"/>
    <w:rsid w:val="000952BB"/>
    <w:rsid w:val="000953DE"/>
    <w:rsid w:val="00095AFC"/>
    <w:rsid w:val="00095B18"/>
    <w:rsid w:val="000962C2"/>
    <w:rsid w:val="00096648"/>
    <w:rsid w:val="000967FE"/>
    <w:rsid w:val="00096C99"/>
    <w:rsid w:val="0009703A"/>
    <w:rsid w:val="00097104"/>
    <w:rsid w:val="0009729E"/>
    <w:rsid w:val="0009756E"/>
    <w:rsid w:val="00097712"/>
    <w:rsid w:val="00097A7F"/>
    <w:rsid w:val="00097D5D"/>
    <w:rsid w:val="00097E52"/>
    <w:rsid w:val="000A030E"/>
    <w:rsid w:val="000A0751"/>
    <w:rsid w:val="000A07AB"/>
    <w:rsid w:val="000A0975"/>
    <w:rsid w:val="000A1929"/>
    <w:rsid w:val="000A1B69"/>
    <w:rsid w:val="000A1ECC"/>
    <w:rsid w:val="000A2DAA"/>
    <w:rsid w:val="000A2E6B"/>
    <w:rsid w:val="000A2FC7"/>
    <w:rsid w:val="000A315A"/>
    <w:rsid w:val="000A3DC8"/>
    <w:rsid w:val="000A460A"/>
    <w:rsid w:val="000A4783"/>
    <w:rsid w:val="000A4BF8"/>
    <w:rsid w:val="000A51BC"/>
    <w:rsid w:val="000A58A7"/>
    <w:rsid w:val="000A5D4F"/>
    <w:rsid w:val="000A64B9"/>
    <w:rsid w:val="000A6B05"/>
    <w:rsid w:val="000A6DE0"/>
    <w:rsid w:val="000A71BF"/>
    <w:rsid w:val="000A74E1"/>
    <w:rsid w:val="000A7DAC"/>
    <w:rsid w:val="000B026D"/>
    <w:rsid w:val="000B05E2"/>
    <w:rsid w:val="000B0BF6"/>
    <w:rsid w:val="000B10BC"/>
    <w:rsid w:val="000B1789"/>
    <w:rsid w:val="000B17BD"/>
    <w:rsid w:val="000B210C"/>
    <w:rsid w:val="000B22FC"/>
    <w:rsid w:val="000B25D3"/>
    <w:rsid w:val="000B2B07"/>
    <w:rsid w:val="000B3764"/>
    <w:rsid w:val="000B3AFD"/>
    <w:rsid w:val="000B3C90"/>
    <w:rsid w:val="000B42CE"/>
    <w:rsid w:val="000B46DA"/>
    <w:rsid w:val="000B470C"/>
    <w:rsid w:val="000B4B75"/>
    <w:rsid w:val="000B5925"/>
    <w:rsid w:val="000B6513"/>
    <w:rsid w:val="000B7BEA"/>
    <w:rsid w:val="000B7CD4"/>
    <w:rsid w:val="000B7E48"/>
    <w:rsid w:val="000C0119"/>
    <w:rsid w:val="000C078B"/>
    <w:rsid w:val="000C0CF9"/>
    <w:rsid w:val="000C0E4A"/>
    <w:rsid w:val="000C11F7"/>
    <w:rsid w:val="000C183E"/>
    <w:rsid w:val="000C1B8F"/>
    <w:rsid w:val="000C2B22"/>
    <w:rsid w:val="000C3787"/>
    <w:rsid w:val="000C39FF"/>
    <w:rsid w:val="000C449C"/>
    <w:rsid w:val="000C48A2"/>
    <w:rsid w:val="000C4BC7"/>
    <w:rsid w:val="000C60B9"/>
    <w:rsid w:val="000C6120"/>
    <w:rsid w:val="000C64EF"/>
    <w:rsid w:val="000C66E9"/>
    <w:rsid w:val="000C6919"/>
    <w:rsid w:val="000C6997"/>
    <w:rsid w:val="000C715A"/>
    <w:rsid w:val="000C7EFF"/>
    <w:rsid w:val="000C7FD1"/>
    <w:rsid w:val="000D03DB"/>
    <w:rsid w:val="000D0A66"/>
    <w:rsid w:val="000D0C47"/>
    <w:rsid w:val="000D0D13"/>
    <w:rsid w:val="000D1B79"/>
    <w:rsid w:val="000D20CB"/>
    <w:rsid w:val="000D2ABF"/>
    <w:rsid w:val="000D2ACF"/>
    <w:rsid w:val="000D3239"/>
    <w:rsid w:val="000D39B6"/>
    <w:rsid w:val="000D476C"/>
    <w:rsid w:val="000D4D45"/>
    <w:rsid w:val="000D4F30"/>
    <w:rsid w:val="000D5319"/>
    <w:rsid w:val="000D5735"/>
    <w:rsid w:val="000D6268"/>
    <w:rsid w:val="000D6289"/>
    <w:rsid w:val="000D6D98"/>
    <w:rsid w:val="000D7167"/>
    <w:rsid w:val="000D7AE6"/>
    <w:rsid w:val="000D7AF4"/>
    <w:rsid w:val="000E0C96"/>
    <w:rsid w:val="000E0E2A"/>
    <w:rsid w:val="000E0E59"/>
    <w:rsid w:val="000E131B"/>
    <w:rsid w:val="000E1BF0"/>
    <w:rsid w:val="000E2002"/>
    <w:rsid w:val="000E2496"/>
    <w:rsid w:val="000E25F5"/>
    <w:rsid w:val="000E2962"/>
    <w:rsid w:val="000E2A9F"/>
    <w:rsid w:val="000E2AF3"/>
    <w:rsid w:val="000E3119"/>
    <w:rsid w:val="000E3145"/>
    <w:rsid w:val="000E322E"/>
    <w:rsid w:val="000E3A11"/>
    <w:rsid w:val="000E3A48"/>
    <w:rsid w:val="000E3B01"/>
    <w:rsid w:val="000E3F98"/>
    <w:rsid w:val="000E41C4"/>
    <w:rsid w:val="000E4621"/>
    <w:rsid w:val="000E4BFC"/>
    <w:rsid w:val="000E4CB9"/>
    <w:rsid w:val="000E4E3A"/>
    <w:rsid w:val="000E544C"/>
    <w:rsid w:val="000E5513"/>
    <w:rsid w:val="000E5709"/>
    <w:rsid w:val="000E5994"/>
    <w:rsid w:val="000E59F8"/>
    <w:rsid w:val="000E5C5E"/>
    <w:rsid w:val="000E5CD3"/>
    <w:rsid w:val="000E5D4B"/>
    <w:rsid w:val="000E60E9"/>
    <w:rsid w:val="000E64C5"/>
    <w:rsid w:val="000E64E3"/>
    <w:rsid w:val="000E7157"/>
    <w:rsid w:val="000E7483"/>
    <w:rsid w:val="000E7583"/>
    <w:rsid w:val="000E79B7"/>
    <w:rsid w:val="000F0182"/>
    <w:rsid w:val="000F0675"/>
    <w:rsid w:val="000F06A6"/>
    <w:rsid w:val="000F0944"/>
    <w:rsid w:val="000F17DC"/>
    <w:rsid w:val="000F1881"/>
    <w:rsid w:val="000F1FB1"/>
    <w:rsid w:val="000F2087"/>
    <w:rsid w:val="000F2794"/>
    <w:rsid w:val="000F2996"/>
    <w:rsid w:val="000F2BF3"/>
    <w:rsid w:val="000F314D"/>
    <w:rsid w:val="000F3AC7"/>
    <w:rsid w:val="000F4125"/>
    <w:rsid w:val="000F4318"/>
    <w:rsid w:val="000F4A50"/>
    <w:rsid w:val="000F4D7B"/>
    <w:rsid w:val="000F52CC"/>
    <w:rsid w:val="000F56B5"/>
    <w:rsid w:val="000F58C3"/>
    <w:rsid w:val="000F5D77"/>
    <w:rsid w:val="000F74B8"/>
    <w:rsid w:val="000F76D9"/>
    <w:rsid w:val="000F7D19"/>
    <w:rsid w:val="000F7F35"/>
    <w:rsid w:val="00100559"/>
    <w:rsid w:val="001005A9"/>
    <w:rsid w:val="00100E6A"/>
    <w:rsid w:val="00100F77"/>
    <w:rsid w:val="00101DDE"/>
    <w:rsid w:val="00101F9D"/>
    <w:rsid w:val="001021F0"/>
    <w:rsid w:val="00102909"/>
    <w:rsid w:val="00102B5E"/>
    <w:rsid w:val="00102BB3"/>
    <w:rsid w:val="00102EDA"/>
    <w:rsid w:val="001032B0"/>
    <w:rsid w:val="0010359C"/>
    <w:rsid w:val="00103934"/>
    <w:rsid w:val="00103F06"/>
    <w:rsid w:val="001046A3"/>
    <w:rsid w:val="0010475E"/>
    <w:rsid w:val="00104DA0"/>
    <w:rsid w:val="00105570"/>
    <w:rsid w:val="00105EE6"/>
    <w:rsid w:val="00106571"/>
    <w:rsid w:val="00106EE1"/>
    <w:rsid w:val="001072C7"/>
    <w:rsid w:val="001072EB"/>
    <w:rsid w:val="001076D5"/>
    <w:rsid w:val="0010794B"/>
    <w:rsid w:val="00107E45"/>
    <w:rsid w:val="00110783"/>
    <w:rsid w:val="0011102F"/>
    <w:rsid w:val="001119F5"/>
    <w:rsid w:val="00111E0B"/>
    <w:rsid w:val="0011228C"/>
    <w:rsid w:val="0011230D"/>
    <w:rsid w:val="001123CF"/>
    <w:rsid w:val="00112AFF"/>
    <w:rsid w:val="00112CB9"/>
    <w:rsid w:val="0011318D"/>
    <w:rsid w:val="001136A5"/>
    <w:rsid w:val="00113CDE"/>
    <w:rsid w:val="00113D88"/>
    <w:rsid w:val="00114286"/>
    <w:rsid w:val="00114B4D"/>
    <w:rsid w:val="001152D0"/>
    <w:rsid w:val="00115834"/>
    <w:rsid w:val="001159B4"/>
    <w:rsid w:val="0011638E"/>
    <w:rsid w:val="0011651B"/>
    <w:rsid w:val="00116698"/>
    <w:rsid w:val="0011682A"/>
    <w:rsid w:val="0011689A"/>
    <w:rsid w:val="00116B60"/>
    <w:rsid w:val="00116C60"/>
    <w:rsid w:val="00116F1A"/>
    <w:rsid w:val="001170AF"/>
    <w:rsid w:val="001176C7"/>
    <w:rsid w:val="00117AF6"/>
    <w:rsid w:val="00117D1F"/>
    <w:rsid w:val="00120548"/>
    <w:rsid w:val="001209D6"/>
    <w:rsid w:val="00121000"/>
    <w:rsid w:val="00121021"/>
    <w:rsid w:val="00121910"/>
    <w:rsid w:val="00121ABD"/>
    <w:rsid w:val="00121D0D"/>
    <w:rsid w:val="00121ED8"/>
    <w:rsid w:val="00122676"/>
    <w:rsid w:val="00122DB4"/>
    <w:rsid w:val="00122E09"/>
    <w:rsid w:val="00122E5C"/>
    <w:rsid w:val="001230CB"/>
    <w:rsid w:val="001232DD"/>
    <w:rsid w:val="0012345B"/>
    <w:rsid w:val="00123923"/>
    <w:rsid w:val="00123B14"/>
    <w:rsid w:val="00123B8E"/>
    <w:rsid w:val="00124044"/>
    <w:rsid w:val="001244E8"/>
    <w:rsid w:val="001245CC"/>
    <w:rsid w:val="00124DD0"/>
    <w:rsid w:val="00124E5E"/>
    <w:rsid w:val="001253B1"/>
    <w:rsid w:val="001254DA"/>
    <w:rsid w:val="001254F6"/>
    <w:rsid w:val="0012599B"/>
    <w:rsid w:val="00125D11"/>
    <w:rsid w:val="00125FF7"/>
    <w:rsid w:val="001262D7"/>
    <w:rsid w:val="001269D9"/>
    <w:rsid w:val="00126A2D"/>
    <w:rsid w:val="00126DBF"/>
    <w:rsid w:val="00127808"/>
    <w:rsid w:val="00127AE1"/>
    <w:rsid w:val="00127E16"/>
    <w:rsid w:val="00127E8D"/>
    <w:rsid w:val="00127F69"/>
    <w:rsid w:val="00127F71"/>
    <w:rsid w:val="00130403"/>
    <w:rsid w:val="001305A4"/>
    <w:rsid w:val="00130DCD"/>
    <w:rsid w:val="00131317"/>
    <w:rsid w:val="0013157D"/>
    <w:rsid w:val="0013161A"/>
    <w:rsid w:val="00131744"/>
    <w:rsid w:val="00131E4A"/>
    <w:rsid w:val="00132281"/>
    <w:rsid w:val="00132E92"/>
    <w:rsid w:val="00133A1F"/>
    <w:rsid w:val="00134D58"/>
    <w:rsid w:val="001353A1"/>
    <w:rsid w:val="001357FD"/>
    <w:rsid w:val="00136119"/>
    <w:rsid w:val="001364F2"/>
    <w:rsid w:val="00136E93"/>
    <w:rsid w:val="00136EC5"/>
    <w:rsid w:val="001371B1"/>
    <w:rsid w:val="001372BD"/>
    <w:rsid w:val="00137539"/>
    <w:rsid w:val="00137FD9"/>
    <w:rsid w:val="00140019"/>
    <w:rsid w:val="001403D4"/>
    <w:rsid w:val="0014091D"/>
    <w:rsid w:val="00140DA1"/>
    <w:rsid w:val="00140DB4"/>
    <w:rsid w:val="001417AA"/>
    <w:rsid w:val="00143596"/>
    <w:rsid w:val="00143A9A"/>
    <w:rsid w:val="00144281"/>
    <w:rsid w:val="0014448A"/>
    <w:rsid w:val="001445CA"/>
    <w:rsid w:val="0014500B"/>
    <w:rsid w:val="001453E3"/>
    <w:rsid w:val="00145481"/>
    <w:rsid w:val="001457CA"/>
    <w:rsid w:val="001458E5"/>
    <w:rsid w:val="00146098"/>
    <w:rsid w:val="001461DD"/>
    <w:rsid w:val="0014665B"/>
    <w:rsid w:val="001469A9"/>
    <w:rsid w:val="001472D4"/>
    <w:rsid w:val="00147336"/>
    <w:rsid w:val="001473F4"/>
    <w:rsid w:val="00147557"/>
    <w:rsid w:val="00147C93"/>
    <w:rsid w:val="00150CF6"/>
    <w:rsid w:val="00150DE7"/>
    <w:rsid w:val="00150E16"/>
    <w:rsid w:val="0015135E"/>
    <w:rsid w:val="001517A4"/>
    <w:rsid w:val="001517F0"/>
    <w:rsid w:val="001522D8"/>
    <w:rsid w:val="001524B5"/>
    <w:rsid w:val="001525AD"/>
    <w:rsid w:val="00152828"/>
    <w:rsid w:val="001529B7"/>
    <w:rsid w:val="00152EF2"/>
    <w:rsid w:val="0015336C"/>
    <w:rsid w:val="001534C6"/>
    <w:rsid w:val="00153A65"/>
    <w:rsid w:val="00153C30"/>
    <w:rsid w:val="00153E05"/>
    <w:rsid w:val="00153FE5"/>
    <w:rsid w:val="001541BE"/>
    <w:rsid w:val="001541EE"/>
    <w:rsid w:val="0015463A"/>
    <w:rsid w:val="00154762"/>
    <w:rsid w:val="00154E1C"/>
    <w:rsid w:val="00155063"/>
    <w:rsid w:val="001551C9"/>
    <w:rsid w:val="00155427"/>
    <w:rsid w:val="001556C9"/>
    <w:rsid w:val="00155C96"/>
    <w:rsid w:val="00155CBE"/>
    <w:rsid w:val="00155D06"/>
    <w:rsid w:val="00156190"/>
    <w:rsid w:val="0015634E"/>
    <w:rsid w:val="00156410"/>
    <w:rsid w:val="00156515"/>
    <w:rsid w:val="00156B73"/>
    <w:rsid w:val="0015798B"/>
    <w:rsid w:val="00157A31"/>
    <w:rsid w:val="00157AEE"/>
    <w:rsid w:val="001602AE"/>
    <w:rsid w:val="00160370"/>
    <w:rsid w:val="0016096D"/>
    <w:rsid w:val="0016107A"/>
    <w:rsid w:val="001611C1"/>
    <w:rsid w:val="0016142C"/>
    <w:rsid w:val="0016155D"/>
    <w:rsid w:val="00161568"/>
    <w:rsid w:val="00161909"/>
    <w:rsid w:val="00161984"/>
    <w:rsid w:val="00161D5D"/>
    <w:rsid w:val="0016251D"/>
    <w:rsid w:val="001629D2"/>
    <w:rsid w:val="00162C39"/>
    <w:rsid w:val="0016431D"/>
    <w:rsid w:val="001644C8"/>
    <w:rsid w:val="0016453E"/>
    <w:rsid w:val="001647E6"/>
    <w:rsid w:val="00166825"/>
    <w:rsid w:val="001668A4"/>
    <w:rsid w:val="00166EF2"/>
    <w:rsid w:val="00167137"/>
    <w:rsid w:val="00167E3A"/>
    <w:rsid w:val="00167EF4"/>
    <w:rsid w:val="00170521"/>
    <w:rsid w:val="00170F26"/>
    <w:rsid w:val="001715B3"/>
    <w:rsid w:val="00171997"/>
    <w:rsid w:val="0017214C"/>
    <w:rsid w:val="0017231C"/>
    <w:rsid w:val="0017232C"/>
    <w:rsid w:val="001723BD"/>
    <w:rsid w:val="001724C7"/>
    <w:rsid w:val="001725E0"/>
    <w:rsid w:val="0017270C"/>
    <w:rsid w:val="00172A27"/>
    <w:rsid w:val="00173BBF"/>
    <w:rsid w:val="001741DB"/>
    <w:rsid w:val="00174443"/>
    <w:rsid w:val="001746BF"/>
    <w:rsid w:val="0017514E"/>
    <w:rsid w:val="001754D1"/>
    <w:rsid w:val="00175927"/>
    <w:rsid w:val="00175DB7"/>
    <w:rsid w:val="001763F2"/>
    <w:rsid w:val="00176428"/>
    <w:rsid w:val="00176585"/>
    <w:rsid w:val="00176815"/>
    <w:rsid w:val="0017689A"/>
    <w:rsid w:val="00176B4A"/>
    <w:rsid w:val="00176FCB"/>
    <w:rsid w:val="00177075"/>
    <w:rsid w:val="00177B50"/>
    <w:rsid w:val="00180451"/>
    <w:rsid w:val="001811C5"/>
    <w:rsid w:val="001814D0"/>
    <w:rsid w:val="00181C6F"/>
    <w:rsid w:val="00181E75"/>
    <w:rsid w:val="00182924"/>
    <w:rsid w:val="00182A28"/>
    <w:rsid w:val="00182C74"/>
    <w:rsid w:val="00183657"/>
    <w:rsid w:val="0018385C"/>
    <w:rsid w:val="00183F22"/>
    <w:rsid w:val="00184B95"/>
    <w:rsid w:val="001851D4"/>
    <w:rsid w:val="00185778"/>
    <w:rsid w:val="001858A9"/>
    <w:rsid w:val="00185EBC"/>
    <w:rsid w:val="00186335"/>
    <w:rsid w:val="001864F2"/>
    <w:rsid w:val="001865E2"/>
    <w:rsid w:val="00187188"/>
    <w:rsid w:val="0018722E"/>
    <w:rsid w:val="001901C5"/>
    <w:rsid w:val="0019031C"/>
    <w:rsid w:val="001909FD"/>
    <w:rsid w:val="00191121"/>
    <w:rsid w:val="00191347"/>
    <w:rsid w:val="001917D7"/>
    <w:rsid w:val="001919E4"/>
    <w:rsid w:val="00191D54"/>
    <w:rsid w:val="00192B5D"/>
    <w:rsid w:val="0019318B"/>
    <w:rsid w:val="00193F49"/>
    <w:rsid w:val="001947A8"/>
    <w:rsid w:val="00194F80"/>
    <w:rsid w:val="00195012"/>
    <w:rsid w:val="001952E5"/>
    <w:rsid w:val="001954E8"/>
    <w:rsid w:val="00195544"/>
    <w:rsid w:val="001959A4"/>
    <w:rsid w:val="001967C0"/>
    <w:rsid w:val="001969E7"/>
    <w:rsid w:val="00196ABA"/>
    <w:rsid w:val="00196FDB"/>
    <w:rsid w:val="001973D0"/>
    <w:rsid w:val="00197AF1"/>
    <w:rsid w:val="00197F64"/>
    <w:rsid w:val="00197F76"/>
    <w:rsid w:val="001A056C"/>
    <w:rsid w:val="001A074B"/>
    <w:rsid w:val="001A07EE"/>
    <w:rsid w:val="001A0B1B"/>
    <w:rsid w:val="001A0EBD"/>
    <w:rsid w:val="001A0EC4"/>
    <w:rsid w:val="001A122C"/>
    <w:rsid w:val="001A1299"/>
    <w:rsid w:val="001A1663"/>
    <w:rsid w:val="001A17C9"/>
    <w:rsid w:val="001A199F"/>
    <w:rsid w:val="001A1BC5"/>
    <w:rsid w:val="001A2799"/>
    <w:rsid w:val="001A2A8D"/>
    <w:rsid w:val="001A2E46"/>
    <w:rsid w:val="001A308F"/>
    <w:rsid w:val="001A351C"/>
    <w:rsid w:val="001A35CF"/>
    <w:rsid w:val="001A3EC3"/>
    <w:rsid w:val="001A3F75"/>
    <w:rsid w:val="001A4719"/>
    <w:rsid w:val="001A4879"/>
    <w:rsid w:val="001A4A03"/>
    <w:rsid w:val="001A4D57"/>
    <w:rsid w:val="001A4E9A"/>
    <w:rsid w:val="001A5060"/>
    <w:rsid w:val="001A510B"/>
    <w:rsid w:val="001A56D9"/>
    <w:rsid w:val="001A59CA"/>
    <w:rsid w:val="001A5CA0"/>
    <w:rsid w:val="001A601B"/>
    <w:rsid w:val="001A621B"/>
    <w:rsid w:val="001A62A8"/>
    <w:rsid w:val="001A6417"/>
    <w:rsid w:val="001A6D3B"/>
    <w:rsid w:val="001A6DF0"/>
    <w:rsid w:val="001A6F68"/>
    <w:rsid w:val="001A6FA9"/>
    <w:rsid w:val="001A73A0"/>
    <w:rsid w:val="001A744D"/>
    <w:rsid w:val="001A7792"/>
    <w:rsid w:val="001A7A22"/>
    <w:rsid w:val="001B0403"/>
    <w:rsid w:val="001B0864"/>
    <w:rsid w:val="001B0F99"/>
    <w:rsid w:val="001B1517"/>
    <w:rsid w:val="001B1AFF"/>
    <w:rsid w:val="001B27AB"/>
    <w:rsid w:val="001B28BB"/>
    <w:rsid w:val="001B29BE"/>
    <w:rsid w:val="001B3023"/>
    <w:rsid w:val="001B3833"/>
    <w:rsid w:val="001B3BAE"/>
    <w:rsid w:val="001B4228"/>
    <w:rsid w:val="001B42F8"/>
    <w:rsid w:val="001B45EC"/>
    <w:rsid w:val="001B4E4D"/>
    <w:rsid w:val="001B5009"/>
    <w:rsid w:val="001B536D"/>
    <w:rsid w:val="001B5D78"/>
    <w:rsid w:val="001B5E55"/>
    <w:rsid w:val="001B5F7A"/>
    <w:rsid w:val="001B5FFD"/>
    <w:rsid w:val="001B60F6"/>
    <w:rsid w:val="001B62B9"/>
    <w:rsid w:val="001B6392"/>
    <w:rsid w:val="001B71E3"/>
    <w:rsid w:val="001B767D"/>
    <w:rsid w:val="001B7768"/>
    <w:rsid w:val="001B7A64"/>
    <w:rsid w:val="001B7FE1"/>
    <w:rsid w:val="001C0755"/>
    <w:rsid w:val="001C090A"/>
    <w:rsid w:val="001C0CD6"/>
    <w:rsid w:val="001C13AD"/>
    <w:rsid w:val="001C170A"/>
    <w:rsid w:val="001C1BEB"/>
    <w:rsid w:val="001C225E"/>
    <w:rsid w:val="001C23AD"/>
    <w:rsid w:val="001C24BA"/>
    <w:rsid w:val="001C269A"/>
    <w:rsid w:val="001C2789"/>
    <w:rsid w:val="001C2DB8"/>
    <w:rsid w:val="001C3579"/>
    <w:rsid w:val="001C398F"/>
    <w:rsid w:val="001C44A7"/>
    <w:rsid w:val="001C44D6"/>
    <w:rsid w:val="001C4E64"/>
    <w:rsid w:val="001C532E"/>
    <w:rsid w:val="001C53EB"/>
    <w:rsid w:val="001C574D"/>
    <w:rsid w:val="001C5AAA"/>
    <w:rsid w:val="001C64E1"/>
    <w:rsid w:val="001C682E"/>
    <w:rsid w:val="001D07B6"/>
    <w:rsid w:val="001D0BB7"/>
    <w:rsid w:val="001D0BFB"/>
    <w:rsid w:val="001D0EDD"/>
    <w:rsid w:val="001D1897"/>
    <w:rsid w:val="001D19D7"/>
    <w:rsid w:val="001D1D32"/>
    <w:rsid w:val="001D2283"/>
    <w:rsid w:val="001D2EC7"/>
    <w:rsid w:val="001D3429"/>
    <w:rsid w:val="001D3599"/>
    <w:rsid w:val="001D35B3"/>
    <w:rsid w:val="001D3EB7"/>
    <w:rsid w:val="001D4032"/>
    <w:rsid w:val="001D42A4"/>
    <w:rsid w:val="001D435F"/>
    <w:rsid w:val="001D466E"/>
    <w:rsid w:val="001D4BE8"/>
    <w:rsid w:val="001D4C19"/>
    <w:rsid w:val="001D4EA0"/>
    <w:rsid w:val="001D4EEF"/>
    <w:rsid w:val="001D526B"/>
    <w:rsid w:val="001D61B9"/>
    <w:rsid w:val="001D69C6"/>
    <w:rsid w:val="001D6A11"/>
    <w:rsid w:val="001D6ABC"/>
    <w:rsid w:val="001D6E5D"/>
    <w:rsid w:val="001D7492"/>
    <w:rsid w:val="001D7759"/>
    <w:rsid w:val="001D77AD"/>
    <w:rsid w:val="001D7EE8"/>
    <w:rsid w:val="001E00E3"/>
    <w:rsid w:val="001E0137"/>
    <w:rsid w:val="001E0BE0"/>
    <w:rsid w:val="001E0C27"/>
    <w:rsid w:val="001E0C47"/>
    <w:rsid w:val="001E0DD0"/>
    <w:rsid w:val="001E1007"/>
    <w:rsid w:val="001E1353"/>
    <w:rsid w:val="001E1474"/>
    <w:rsid w:val="001E15BC"/>
    <w:rsid w:val="001E16F5"/>
    <w:rsid w:val="001E28D3"/>
    <w:rsid w:val="001E30B3"/>
    <w:rsid w:val="001E3431"/>
    <w:rsid w:val="001E386F"/>
    <w:rsid w:val="001E38AC"/>
    <w:rsid w:val="001E38B1"/>
    <w:rsid w:val="001E3C02"/>
    <w:rsid w:val="001E40F3"/>
    <w:rsid w:val="001E4679"/>
    <w:rsid w:val="001E4FE8"/>
    <w:rsid w:val="001E5940"/>
    <w:rsid w:val="001E5995"/>
    <w:rsid w:val="001E6075"/>
    <w:rsid w:val="001E6B9A"/>
    <w:rsid w:val="001E7065"/>
    <w:rsid w:val="001E775D"/>
    <w:rsid w:val="001E7A2B"/>
    <w:rsid w:val="001E7ACC"/>
    <w:rsid w:val="001F0039"/>
    <w:rsid w:val="001F00D6"/>
    <w:rsid w:val="001F0325"/>
    <w:rsid w:val="001F098C"/>
    <w:rsid w:val="001F0EA2"/>
    <w:rsid w:val="001F17BA"/>
    <w:rsid w:val="001F1991"/>
    <w:rsid w:val="001F215E"/>
    <w:rsid w:val="001F2627"/>
    <w:rsid w:val="001F298D"/>
    <w:rsid w:val="001F39CF"/>
    <w:rsid w:val="001F3BB3"/>
    <w:rsid w:val="001F3E6B"/>
    <w:rsid w:val="001F430F"/>
    <w:rsid w:val="001F494C"/>
    <w:rsid w:val="001F4D2F"/>
    <w:rsid w:val="001F5DD0"/>
    <w:rsid w:val="001F6A8F"/>
    <w:rsid w:val="001F71F3"/>
    <w:rsid w:val="001F73BF"/>
    <w:rsid w:val="001F7802"/>
    <w:rsid w:val="001F7EFC"/>
    <w:rsid w:val="0020043F"/>
    <w:rsid w:val="00200710"/>
    <w:rsid w:val="00200F46"/>
    <w:rsid w:val="0020107C"/>
    <w:rsid w:val="00201225"/>
    <w:rsid w:val="00201641"/>
    <w:rsid w:val="00202995"/>
    <w:rsid w:val="00202ACE"/>
    <w:rsid w:val="00202B3E"/>
    <w:rsid w:val="00202D86"/>
    <w:rsid w:val="002032C1"/>
    <w:rsid w:val="00204321"/>
    <w:rsid w:val="00204474"/>
    <w:rsid w:val="00204577"/>
    <w:rsid w:val="002049E4"/>
    <w:rsid w:val="00204BC4"/>
    <w:rsid w:val="00205BC6"/>
    <w:rsid w:val="00205C6E"/>
    <w:rsid w:val="00205E07"/>
    <w:rsid w:val="002070D2"/>
    <w:rsid w:val="002073A0"/>
    <w:rsid w:val="002073BC"/>
    <w:rsid w:val="002075E0"/>
    <w:rsid w:val="0020773A"/>
    <w:rsid w:val="002100B2"/>
    <w:rsid w:val="0021034A"/>
    <w:rsid w:val="002103DF"/>
    <w:rsid w:val="002104B2"/>
    <w:rsid w:val="0021075B"/>
    <w:rsid w:val="00210A9B"/>
    <w:rsid w:val="00210BB0"/>
    <w:rsid w:val="00210EDA"/>
    <w:rsid w:val="002111EC"/>
    <w:rsid w:val="00211B09"/>
    <w:rsid w:val="0021228C"/>
    <w:rsid w:val="00212471"/>
    <w:rsid w:val="00213D37"/>
    <w:rsid w:val="0021431F"/>
    <w:rsid w:val="0021444E"/>
    <w:rsid w:val="00214A94"/>
    <w:rsid w:val="00214FD0"/>
    <w:rsid w:val="00215416"/>
    <w:rsid w:val="0021546F"/>
    <w:rsid w:val="002155C1"/>
    <w:rsid w:val="00216159"/>
    <w:rsid w:val="002162C0"/>
    <w:rsid w:val="00216577"/>
    <w:rsid w:val="00217328"/>
    <w:rsid w:val="00217A87"/>
    <w:rsid w:val="00220375"/>
    <w:rsid w:val="00220902"/>
    <w:rsid w:val="00220ABD"/>
    <w:rsid w:val="00220C12"/>
    <w:rsid w:val="00220FD6"/>
    <w:rsid w:val="00221256"/>
    <w:rsid w:val="00222198"/>
    <w:rsid w:val="00223749"/>
    <w:rsid w:val="00223D9B"/>
    <w:rsid w:val="00224570"/>
    <w:rsid w:val="00224D4C"/>
    <w:rsid w:val="00224F88"/>
    <w:rsid w:val="00224F8F"/>
    <w:rsid w:val="00224FA5"/>
    <w:rsid w:val="00225070"/>
    <w:rsid w:val="0022709F"/>
    <w:rsid w:val="002279C5"/>
    <w:rsid w:val="0023023E"/>
    <w:rsid w:val="00230372"/>
    <w:rsid w:val="00230DE4"/>
    <w:rsid w:val="00230E84"/>
    <w:rsid w:val="00230F62"/>
    <w:rsid w:val="00231973"/>
    <w:rsid w:val="00231B4A"/>
    <w:rsid w:val="00231B55"/>
    <w:rsid w:val="00231C7A"/>
    <w:rsid w:val="00231D1F"/>
    <w:rsid w:val="00231E63"/>
    <w:rsid w:val="00231E89"/>
    <w:rsid w:val="00232244"/>
    <w:rsid w:val="00232295"/>
    <w:rsid w:val="00232A2D"/>
    <w:rsid w:val="00233451"/>
    <w:rsid w:val="002334CA"/>
    <w:rsid w:val="002335E8"/>
    <w:rsid w:val="00233DD7"/>
    <w:rsid w:val="00233F53"/>
    <w:rsid w:val="0023464F"/>
    <w:rsid w:val="002346CA"/>
    <w:rsid w:val="00234798"/>
    <w:rsid w:val="00234ABC"/>
    <w:rsid w:val="00234E86"/>
    <w:rsid w:val="00235216"/>
    <w:rsid w:val="00235BF6"/>
    <w:rsid w:val="00235D65"/>
    <w:rsid w:val="00235D91"/>
    <w:rsid w:val="00235FFB"/>
    <w:rsid w:val="0023672D"/>
    <w:rsid w:val="00237A86"/>
    <w:rsid w:val="00237DAF"/>
    <w:rsid w:val="00240018"/>
    <w:rsid w:val="002404F8"/>
    <w:rsid w:val="0024069E"/>
    <w:rsid w:val="0024073D"/>
    <w:rsid w:val="00240B2A"/>
    <w:rsid w:val="00240D71"/>
    <w:rsid w:val="0024107D"/>
    <w:rsid w:val="00241108"/>
    <w:rsid w:val="00241413"/>
    <w:rsid w:val="00241448"/>
    <w:rsid w:val="00241A5F"/>
    <w:rsid w:val="0024233C"/>
    <w:rsid w:val="002423FD"/>
    <w:rsid w:val="00242403"/>
    <w:rsid w:val="002424E7"/>
    <w:rsid w:val="002426C7"/>
    <w:rsid w:val="00242E58"/>
    <w:rsid w:val="00242F34"/>
    <w:rsid w:val="0024318B"/>
    <w:rsid w:val="00243469"/>
    <w:rsid w:val="002440A7"/>
    <w:rsid w:val="002441AE"/>
    <w:rsid w:val="00244247"/>
    <w:rsid w:val="00244957"/>
    <w:rsid w:val="00244A2C"/>
    <w:rsid w:val="0024511F"/>
    <w:rsid w:val="00245A3C"/>
    <w:rsid w:val="00245B94"/>
    <w:rsid w:val="00246034"/>
    <w:rsid w:val="002467C7"/>
    <w:rsid w:val="00246900"/>
    <w:rsid w:val="00246929"/>
    <w:rsid w:val="00247349"/>
    <w:rsid w:val="0024771C"/>
    <w:rsid w:val="0024775F"/>
    <w:rsid w:val="00250493"/>
    <w:rsid w:val="00250B82"/>
    <w:rsid w:val="00251A0A"/>
    <w:rsid w:val="0025204E"/>
    <w:rsid w:val="002520B1"/>
    <w:rsid w:val="00252456"/>
    <w:rsid w:val="00252619"/>
    <w:rsid w:val="002527E5"/>
    <w:rsid w:val="0025286C"/>
    <w:rsid w:val="00252E46"/>
    <w:rsid w:val="00252E69"/>
    <w:rsid w:val="00253A3B"/>
    <w:rsid w:val="00253BEB"/>
    <w:rsid w:val="00254460"/>
    <w:rsid w:val="002544BF"/>
    <w:rsid w:val="002547B9"/>
    <w:rsid w:val="00254AC8"/>
    <w:rsid w:val="002556C4"/>
    <w:rsid w:val="00255AC9"/>
    <w:rsid w:val="00256370"/>
    <w:rsid w:val="0025676D"/>
    <w:rsid w:val="0025759D"/>
    <w:rsid w:val="00257624"/>
    <w:rsid w:val="00257637"/>
    <w:rsid w:val="00257B67"/>
    <w:rsid w:val="00257C02"/>
    <w:rsid w:val="00257C3A"/>
    <w:rsid w:val="00257DC8"/>
    <w:rsid w:val="00257E28"/>
    <w:rsid w:val="00260290"/>
    <w:rsid w:val="0026048F"/>
    <w:rsid w:val="00260DCF"/>
    <w:rsid w:val="0026138E"/>
    <w:rsid w:val="002614A1"/>
    <w:rsid w:val="002617A0"/>
    <w:rsid w:val="00262607"/>
    <w:rsid w:val="0026273B"/>
    <w:rsid w:val="00262E95"/>
    <w:rsid w:val="00262E9D"/>
    <w:rsid w:val="0026374A"/>
    <w:rsid w:val="0026390F"/>
    <w:rsid w:val="00263ADB"/>
    <w:rsid w:val="00263E6A"/>
    <w:rsid w:val="00264010"/>
    <w:rsid w:val="002641BF"/>
    <w:rsid w:val="002643F6"/>
    <w:rsid w:val="00264AAD"/>
    <w:rsid w:val="00264FC0"/>
    <w:rsid w:val="002652EA"/>
    <w:rsid w:val="00265A07"/>
    <w:rsid w:val="00265B99"/>
    <w:rsid w:val="002661B0"/>
    <w:rsid w:val="00266468"/>
    <w:rsid w:val="002673BE"/>
    <w:rsid w:val="0027094F"/>
    <w:rsid w:val="00271825"/>
    <w:rsid w:val="00271835"/>
    <w:rsid w:val="00271EDC"/>
    <w:rsid w:val="002728FC"/>
    <w:rsid w:val="00272B90"/>
    <w:rsid w:val="00273B77"/>
    <w:rsid w:val="00273BF9"/>
    <w:rsid w:val="00273F66"/>
    <w:rsid w:val="0027404F"/>
    <w:rsid w:val="002749A4"/>
    <w:rsid w:val="00275140"/>
    <w:rsid w:val="00275727"/>
    <w:rsid w:val="00275C52"/>
    <w:rsid w:val="00275C90"/>
    <w:rsid w:val="00275F5F"/>
    <w:rsid w:val="00276481"/>
    <w:rsid w:val="00276EDD"/>
    <w:rsid w:val="00277145"/>
    <w:rsid w:val="002775AA"/>
    <w:rsid w:val="00277ACC"/>
    <w:rsid w:val="002800E2"/>
    <w:rsid w:val="002801AD"/>
    <w:rsid w:val="002802D6"/>
    <w:rsid w:val="002803A4"/>
    <w:rsid w:val="00280639"/>
    <w:rsid w:val="00280A1E"/>
    <w:rsid w:val="00280AF0"/>
    <w:rsid w:val="00281689"/>
    <w:rsid w:val="00281DE4"/>
    <w:rsid w:val="00281E67"/>
    <w:rsid w:val="00281F4B"/>
    <w:rsid w:val="00282279"/>
    <w:rsid w:val="00282432"/>
    <w:rsid w:val="0028243F"/>
    <w:rsid w:val="002824B0"/>
    <w:rsid w:val="002824BE"/>
    <w:rsid w:val="002827C1"/>
    <w:rsid w:val="0028297A"/>
    <w:rsid w:val="00282ADF"/>
    <w:rsid w:val="00282C84"/>
    <w:rsid w:val="00282CEB"/>
    <w:rsid w:val="002831A9"/>
    <w:rsid w:val="002836C0"/>
    <w:rsid w:val="0028385C"/>
    <w:rsid w:val="00283E53"/>
    <w:rsid w:val="0028459A"/>
    <w:rsid w:val="00284B89"/>
    <w:rsid w:val="00284F16"/>
    <w:rsid w:val="0028516F"/>
    <w:rsid w:val="002856CC"/>
    <w:rsid w:val="002856E8"/>
    <w:rsid w:val="00285713"/>
    <w:rsid w:val="00285A3D"/>
    <w:rsid w:val="00285D12"/>
    <w:rsid w:val="00286111"/>
    <w:rsid w:val="002861B5"/>
    <w:rsid w:val="00286247"/>
    <w:rsid w:val="0028680B"/>
    <w:rsid w:val="00286D81"/>
    <w:rsid w:val="00286F89"/>
    <w:rsid w:val="002870F0"/>
    <w:rsid w:val="00287601"/>
    <w:rsid w:val="00287827"/>
    <w:rsid w:val="0028792D"/>
    <w:rsid w:val="002905B6"/>
    <w:rsid w:val="0029087F"/>
    <w:rsid w:val="0029103E"/>
    <w:rsid w:val="002914F7"/>
    <w:rsid w:val="002921DB"/>
    <w:rsid w:val="0029295E"/>
    <w:rsid w:val="00292EFF"/>
    <w:rsid w:val="00293334"/>
    <w:rsid w:val="0029358E"/>
    <w:rsid w:val="00293978"/>
    <w:rsid w:val="00293DD9"/>
    <w:rsid w:val="00293F65"/>
    <w:rsid w:val="00293F6A"/>
    <w:rsid w:val="002940EA"/>
    <w:rsid w:val="00294384"/>
    <w:rsid w:val="00294530"/>
    <w:rsid w:val="00294A4B"/>
    <w:rsid w:val="00295080"/>
    <w:rsid w:val="00295171"/>
    <w:rsid w:val="0029549E"/>
    <w:rsid w:val="0029551B"/>
    <w:rsid w:val="00296316"/>
    <w:rsid w:val="00296658"/>
    <w:rsid w:val="00296F7D"/>
    <w:rsid w:val="00296FE0"/>
    <w:rsid w:val="00297DC5"/>
    <w:rsid w:val="00297DF3"/>
    <w:rsid w:val="00297FBC"/>
    <w:rsid w:val="002A000F"/>
    <w:rsid w:val="002A08C3"/>
    <w:rsid w:val="002A0FA8"/>
    <w:rsid w:val="002A136E"/>
    <w:rsid w:val="002A1736"/>
    <w:rsid w:val="002A1B45"/>
    <w:rsid w:val="002A1D1C"/>
    <w:rsid w:val="002A1E53"/>
    <w:rsid w:val="002A2451"/>
    <w:rsid w:val="002A32DB"/>
    <w:rsid w:val="002A3977"/>
    <w:rsid w:val="002A3ABC"/>
    <w:rsid w:val="002A3BC3"/>
    <w:rsid w:val="002A3CF7"/>
    <w:rsid w:val="002A43D9"/>
    <w:rsid w:val="002A4761"/>
    <w:rsid w:val="002A535F"/>
    <w:rsid w:val="002A6C52"/>
    <w:rsid w:val="002A7075"/>
    <w:rsid w:val="002A72BA"/>
    <w:rsid w:val="002A73B5"/>
    <w:rsid w:val="002A7AEC"/>
    <w:rsid w:val="002A7CB7"/>
    <w:rsid w:val="002B0590"/>
    <w:rsid w:val="002B05D6"/>
    <w:rsid w:val="002B0752"/>
    <w:rsid w:val="002B0F81"/>
    <w:rsid w:val="002B0FF4"/>
    <w:rsid w:val="002B1948"/>
    <w:rsid w:val="002B19F0"/>
    <w:rsid w:val="002B1B67"/>
    <w:rsid w:val="002B1C30"/>
    <w:rsid w:val="002B23F4"/>
    <w:rsid w:val="002B24D7"/>
    <w:rsid w:val="002B2930"/>
    <w:rsid w:val="002B2C83"/>
    <w:rsid w:val="002B2FEC"/>
    <w:rsid w:val="002B33F5"/>
    <w:rsid w:val="002B39EC"/>
    <w:rsid w:val="002B3EFF"/>
    <w:rsid w:val="002B4025"/>
    <w:rsid w:val="002B43E7"/>
    <w:rsid w:val="002B50F8"/>
    <w:rsid w:val="002B5ECD"/>
    <w:rsid w:val="002B69D7"/>
    <w:rsid w:val="002B773F"/>
    <w:rsid w:val="002B7863"/>
    <w:rsid w:val="002B7968"/>
    <w:rsid w:val="002B7E69"/>
    <w:rsid w:val="002B7E74"/>
    <w:rsid w:val="002C0667"/>
    <w:rsid w:val="002C0898"/>
    <w:rsid w:val="002C1BC4"/>
    <w:rsid w:val="002C1C34"/>
    <w:rsid w:val="002C2475"/>
    <w:rsid w:val="002C252C"/>
    <w:rsid w:val="002C2CA8"/>
    <w:rsid w:val="002C2F3B"/>
    <w:rsid w:val="002C352A"/>
    <w:rsid w:val="002C3941"/>
    <w:rsid w:val="002C3C3B"/>
    <w:rsid w:val="002C3E85"/>
    <w:rsid w:val="002C448D"/>
    <w:rsid w:val="002C4A75"/>
    <w:rsid w:val="002C4ACD"/>
    <w:rsid w:val="002C4EA8"/>
    <w:rsid w:val="002C5496"/>
    <w:rsid w:val="002C6182"/>
    <w:rsid w:val="002C61A1"/>
    <w:rsid w:val="002C6BBD"/>
    <w:rsid w:val="002C70B3"/>
    <w:rsid w:val="002C763E"/>
    <w:rsid w:val="002C7910"/>
    <w:rsid w:val="002C7DA8"/>
    <w:rsid w:val="002C7E05"/>
    <w:rsid w:val="002D0834"/>
    <w:rsid w:val="002D0B07"/>
    <w:rsid w:val="002D0C96"/>
    <w:rsid w:val="002D0D12"/>
    <w:rsid w:val="002D14C6"/>
    <w:rsid w:val="002D19CF"/>
    <w:rsid w:val="002D251D"/>
    <w:rsid w:val="002D27D9"/>
    <w:rsid w:val="002D2B4C"/>
    <w:rsid w:val="002D2D6C"/>
    <w:rsid w:val="002D32D5"/>
    <w:rsid w:val="002D354D"/>
    <w:rsid w:val="002D361C"/>
    <w:rsid w:val="002D3DEE"/>
    <w:rsid w:val="002D44EF"/>
    <w:rsid w:val="002D521C"/>
    <w:rsid w:val="002D5222"/>
    <w:rsid w:val="002D525F"/>
    <w:rsid w:val="002D5DF7"/>
    <w:rsid w:val="002D714B"/>
    <w:rsid w:val="002D7606"/>
    <w:rsid w:val="002D7893"/>
    <w:rsid w:val="002D79BB"/>
    <w:rsid w:val="002E022C"/>
    <w:rsid w:val="002E05B2"/>
    <w:rsid w:val="002E087C"/>
    <w:rsid w:val="002E09F8"/>
    <w:rsid w:val="002E0B91"/>
    <w:rsid w:val="002E1393"/>
    <w:rsid w:val="002E13ED"/>
    <w:rsid w:val="002E1AEC"/>
    <w:rsid w:val="002E232D"/>
    <w:rsid w:val="002E24BC"/>
    <w:rsid w:val="002E3768"/>
    <w:rsid w:val="002E3B46"/>
    <w:rsid w:val="002E3F59"/>
    <w:rsid w:val="002E4008"/>
    <w:rsid w:val="002E47DB"/>
    <w:rsid w:val="002E4918"/>
    <w:rsid w:val="002E50AB"/>
    <w:rsid w:val="002E5663"/>
    <w:rsid w:val="002E5BED"/>
    <w:rsid w:val="002E5EC9"/>
    <w:rsid w:val="002E68A7"/>
    <w:rsid w:val="002E6DD1"/>
    <w:rsid w:val="002E7231"/>
    <w:rsid w:val="002E74F9"/>
    <w:rsid w:val="002E7640"/>
    <w:rsid w:val="002E7B6D"/>
    <w:rsid w:val="002F027E"/>
    <w:rsid w:val="002F047D"/>
    <w:rsid w:val="002F05CB"/>
    <w:rsid w:val="002F1095"/>
    <w:rsid w:val="002F12B1"/>
    <w:rsid w:val="002F15F2"/>
    <w:rsid w:val="002F1E29"/>
    <w:rsid w:val="002F21B5"/>
    <w:rsid w:val="002F236C"/>
    <w:rsid w:val="002F2A1A"/>
    <w:rsid w:val="002F2D06"/>
    <w:rsid w:val="002F2E55"/>
    <w:rsid w:val="002F31FD"/>
    <w:rsid w:val="002F3857"/>
    <w:rsid w:val="002F415F"/>
    <w:rsid w:val="002F4257"/>
    <w:rsid w:val="002F4832"/>
    <w:rsid w:val="002F4DE5"/>
    <w:rsid w:val="002F501E"/>
    <w:rsid w:val="002F517B"/>
    <w:rsid w:val="002F5424"/>
    <w:rsid w:val="002F5C5D"/>
    <w:rsid w:val="002F61D0"/>
    <w:rsid w:val="002F64C0"/>
    <w:rsid w:val="002F68A3"/>
    <w:rsid w:val="002F718E"/>
    <w:rsid w:val="002F781D"/>
    <w:rsid w:val="002F7956"/>
    <w:rsid w:val="002F7993"/>
    <w:rsid w:val="002F7ACC"/>
    <w:rsid w:val="002F7B58"/>
    <w:rsid w:val="002F7DAF"/>
    <w:rsid w:val="002F7E4E"/>
    <w:rsid w:val="00300046"/>
    <w:rsid w:val="00300AC0"/>
    <w:rsid w:val="00301057"/>
    <w:rsid w:val="0030212C"/>
    <w:rsid w:val="00302151"/>
    <w:rsid w:val="00302427"/>
    <w:rsid w:val="003026AE"/>
    <w:rsid w:val="00302A7B"/>
    <w:rsid w:val="00302CD4"/>
    <w:rsid w:val="00302F67"/>
    <w:rsid w:val="00303034"/>
    <w:rsid w:val="0030309D"/>
    <w:rsid w:val="0030333F"/>
    <w:rsid w:val="00303424"/>
    <w:rsid w:val="00304388"/>
    <w:rsid w:val="0030453B"/>
    <w:rsid w:val="00304AAB"/>
    <w:rsid w:val="00304F57"/>
    <w:rsid w:val="00305223"/>
    <w:rsid w:val="00305345"/>
    <w:rsid w:val="0030543F"/>
    <w:rsid w:val="003059AA"/>
    <w:rsid w:val="00305C7B"/>
    <w:rsid w:val="00306187"/>
    <w:rsid w:val="00306416"/>
    <w:rsid w:val="00306942"/>
    <w:rsid w:val="00307024"/>
    <w:rsid w:val="0030704C"/>
    <w:rsid w:val="00307095"/>
    <w:rsid w:val="00307DB0"/>
    <w:rsid w:val="00307E61"/>
    <w:rsid w:val="003102D5"/>
    <w:rsid w:val="00310328"/>
    <w:rsid w:val="003105CE"/>
    <w:rsid w:val="0031077E"/>
    <w:rsid w:val="00310E5A"/>
    <w:rsid w:val="003110A6"/>
    <w:rsid w:val="00311291"/>
    <w:rsid w:val="003113AE"/>
    <w:rsid w:val="00311579"/>
    <w:rsid w:val="0031171F"/>
    <w:rsid w:val="00311999"/>
    <w:rsid w:val="00311C5D"/>
    <w:rsid w:val="00312492"/>
    <w:rsid w:val="003128C3"/>
    <w:rsid w:val="00312ACA"/>
    <w:rsid w:val="00312C21"/>
    <w:rsid w:val="00312D90"/>
    <w:rsid w:val="00312DE6"/>
    <w:rsid w:val="00313717"/>
    <w:rsid w:val="003141E8"/>
    <w:rsid w:val="00314775"/>
    <w:rsid w:val="0031490D"/>
    <w:rsid w:val="00314CAA"/>
    <w:rsid w:val="00315022"/>
    <w:rsid w:val="00315124"/>
    <w:rsid w:val="003154AB"/>
    <w:rsid w:val="00315B34"/>
    <w:rsid w:val="00315D42"/>
    <w:rsid w:val="0031619A"/>
    <w:rsid w:val="0031666C"/>
    <w:rsid w:val="00316D85"/>
    <w:rsid w:val="00317181"/>
    <w:rsid w:val="003171BE"/>
    <w:rsid w:val="003177C4"/>
    <w:rsid w:val="00317827"/>
    <w:rsid w:val="00317BB6"/>
    <w:rsid w:val="00320C50"/>
    <w:rsid w:val="00320D1A"/>
    <w:rsid w:val="00320F1C"/>
    <w:rsid w:val="00320FE7"/>
    <w:rsid w:val="00321BA2"/>
    <w:rsid w:val="003222EA"/>
    <w:rsid w:val="003226D9"/>
    <w:rsid w:val="00322D22"/>
    <w:rsid w:val="00323C88"/>
    <w:rsid w:val="003246AA"/>
    <w:rsid w:val="003247D4"/>
    <w:rsid w:val="00324AC9"/>
    <w:rsid w:val="00324C9B"/>
    <w:rsid w:val="00325015"/>
    <w:rsid w:val="0032541B"/>
    <w:rsid w:val="003254FF"/>
    <w:rsid w:val="00325646"/>
    <w:rsid w:val="00325660"/>
    <w:rsid w:val="003257D9"/>
    <w:rsid w:val="00325D57"/>
    <w:rsid w:val="00325DEE"/>
    <w:rsid w:val="00325E50"/>
    <w:rsid w:val="00325E69"/>
    <w:rsid w:val="003265C4"/>
    <w:rsid w:val="00326FB6"/>
    <w:rsid w:val="003273BF"/>
    <w:rsid w:val="0032768B"/>
    <w:rsid w:val="003300DB"/>
    <w:rsid w:val="0033013A"/>
    <w:rsid w:val="00330401"/>
    <w:rsid w:val="003307C2"/>
    <w:rsid w:val="00330DBC"/>
    <w:rsid w:val="00330EE4"/>
    <w:rsid w:val="003319CA"/>
    <w:rsid w:val="00331AB0"/>
    <w:rsid w:val="00331DA4"/>
    <w:rsid w:val="00332161"/>
    <w:rsid w:val="003323A9"/>
    <w:rsid w:val="0033261F"/>
    <w:rsid w:val="00332707"/>
    <w:rsid w:val="00332D86"/>
    <w:rsid w:val="00332E84"/>
    <w:rsid w:val="0033311E"/>
    <w:rsid w:val="00333658"/>
    <w:rsid w:val="0033460E"/>
    <w:rsid w:val="00335516"/>
    <w:rsid w:val="00335A08"/>
    <w:rsid w:val="003370C6"/>
    <w:rsid w:val="00337365"/>
    <w:rsid w:val="003373AF"/>
    <w:rsid w:val="00337BF7"/>
    <w:rsid w:val="00337FC0"/>
    <w:rsid w:val="003401AF"/>
    <w:rsid w:val="003401E6"/>
    <w:rsid w:val="003402AD"/>
    <w:rsid w:val="00340776"/>
    <w:rsid w:val="003409B2"/>
    <w:rsid w:val="00340BAB"/>
    <w:rsid w:val="0034105F"/>
    <w:rsid w:val="00341169"/>
    <w:rsid w:val="003411E9"/>
    <w:rsid w:val="003413B0"/>
    <w:rsid w:val="00341DD0"/>
    <w:rsid w:val="00341E75"/>
    <w:rsid w:val="00342223"/>
    <w:rsid w:val="00342482"/>
    <w:rsid w:val="00342E46"/>
    <w:rsid w:val="00342F15"/>
    <w:rsid w:val="00343038"/>
    <w:rsid w:val="00343434"/>
    <w:rsid w:val="00343EAD"/>
    <w:rsid w:val="00344169"/>
    <w:rsid w:val="00344EFD"/>
    <w:rsid w:val="00345A51"/>
    <w:rsid w:val="00345C30"/>
    <w:rsid w:val="00345EBD"/>
    <w:rsid w:val="00346468"/>
    <w:rsid w:val="0034649F"/>
    <w:rsid w:val="00346B8F"/>
    <w:rsid w:val="00347A0C"/>
    <w:rsid w:val="00347E5A"/>
    <w:rsid w:val="00347EF5"/>
    <w:rsid w:val="00347F2C"/>
    <w:rsid w:val="00347FE3"/>
    <w:rsid w:val="00350034"/>
    <w:rsid w:val="00350374"/>
    <w:rsid w:val="00351448"/>
    <w:rsid w:val="00351F93"/>
    <w:rsid w:val="003525CC"/>
    <w:rsid w:val="00352CF5"/>
    <w:rsid w:val="003531CB"/>
    <w:rsid w:val="003539D5"/>
    <w:rsid w:val="00353E46"/>
    <w:rsid w:val="0035462A"/>
    <w:rsid w:val="00354C0F"/>
    <w:rsid w:val="003556F3"/>
    <w:rsid w:val="0035654D"/>
    <w:rsid w:val="00356FD0"/>
    <w:rsid w:val="003570A1"/>
    <w:rsid w:val="00357946"/>
    <w:rsid w:val="00360DBD"/>
    <w:rsid w:val="0036112B"/>
    <w:rsid w:val="00361270"/>
    <w:rsid w:val="003612EE"/>
    <w:rsid w:val="003617DB"/>
    <w:rsid w:val="00361909"/>
    <w:rsid w:val="00362051"/>
    <w:rsid w:val="00362098"/>
    <w:rsid w:val="0036249E"/>
    <w:rsid w:val="003629DD"/>
    <w:rsid w:val="00362FD0"/>
    <w:rsid w:val="003630C7"/>
    <w:rsid w:val="00363421"/>
    <w:rsid w:val="003635B8"/>
    <w:rsid w:val="00363D41"/>
    <w:rsid w:val="003658B1"/>
    <w:rsid w:val="00365C46"/>
    <w:rsid w:val="00365F8E"/>
    <w:rsid w:val="00366556"/>
    <w:rsid w:val="00366CEA"/>
    <w:rsid w:val="003673CA"/>
    <w:rsid w:val="00367DA6"/>
    <w:rsid w:val="00367F49"/>
    <w:rsid w:val="003708C4"/>
    <w:rsid w:val="00370BFD"/>
    <w:rsid w:val="0037137A"/>
    <w:rsid w:val="00371885"/>
    <w:rsid w:val="00371A4E"/>
    <w:rsid w:val="00371BBF"/>
    <w:rsid w:val="003721E5"/>
    <w:rsid w:val="003728F4"/>
    <w:rsid w:val="0037297A"/>
    <w:rsid w:val="003729D4"/>
    <w:rsid w:val="00372BA4"/>
    <w:rsid w:val="00372BBC"/>
    <w:rsid w:val="00372EDF"/>
    <w:rsid w:val="00372F0C"/>
    <w:rsid w:val="00373413"/>
    <w:rsid w:val="00373D7E"/>
    <w:rsid w:val="00374344"/>
    <w:rsid w:val="003747CD"/>
    <w:rsid w:val="00374A2B"/>
    <w:rsid w:val="00375406"/>
    <w:rsid w:val="00375570"/>
    <w:rsid w:val="003755D1"/>
    <w:rsid w:val="0037567E"/>
    <w:rsid w:val="003757B1"/>
    <w:rsid w:val="00375C42"/>
    <w:rsid w:val="003763C8"/>
    <w:rsid w:val="00376E64"/>
    <w:rsid w:val="0037746C"/>
    <w:rsid w:val="0038010B"/>
    <w:rsid w:val="003819B9"/>
    <w:rsid w:val="00381DA1"/>
    <w:rsid w:val="003824A8"/>
    <w:rsid w:val="0038293F"/>
    <w:rsid w:val="00382E7F"/>
    <w:rsid w:val="003835C6"/>
    <w:rsid w:val="00383AA2"/>
    <w:rsid w:val="00383ACB"/>
    <w:rsid w:val="00383BD0"/>
    <w:rsid w:val="00384504"/>
    <w:rsid w:val="00384804"/>
    <w:rsid w:val="003848B1"/>
    <w:rsid w:val="00384EEB"/>
    <w:rsid w:val="003852DD"/>
    <w:rsid w:val="00385EA9"/>
    <w:rsid w:val="0038608B"/>
    <w:rsid w:val="00387003"/>
    <w:rsid w:val="0038736E"/>
    <w:rsid w:val="003904DB"/>
    <w:rsid w:val="0039101B"/>
    <w:rsid w:val="00391755"/>
    <w:rsid w:val="0039197C"/>
    <w:rsid w:val="00391C66"/>
    <w:rsid w:val="00391F8F"/>
    <w:rsid w:val="0039230E"/>
    <w:rsid w:val="00392565"/>
    <w:rsid w:val="003926C0"/>
    <w:rsid w:val="003931FA"/>
    <w:rsid w:val="003932DF"/>
    <w:rsid w:val="003934BF"/>
    <w:rsid w:val="00394046"/>
    <w:rsid w:val="003943C2"/>
    <w:rsid w:val="003944EC"/>
    <w:rsid w:val="003947F1"/>
    <w:rsid w:val="0039481E"/>
    <w:rsid w:val="00394855"/>
    <w:rsid w:val="00394AC2"/>
    <w:rsid w:val="00394B7E"/>
    <w:rsid w:val="00394C0B"/>
    <w:rsid w:val="00395468"/>
    <w:rsid w:val="00397022"/>
    <w:rsid w:val="003970F7"/>
    <w:rsid w:val="0039739E"/>
    <w:rsid w:val="003978BF"/>
    <w:rsid w:val="00397E01"/>
    <w:rsid w:val="00397E22"/>
    <w:rsid w:val="003A0290"/>
    <w:rsid w:val="003A1587"/>
    <w:rsid w:val="003A1612"/>
    <w:rsid w:val="003A20B9"/>
    <w:rsid w:val="003A2440"/>
    <w:rsid w:val="003A2501"/>
    <w:rsid w:val="003A281D"/>
    <w:rsid w:val="003A28CE"/>
    <w:rsid w:val="003A29E2"/>
    <w:rsid w:val="003A2AE0"/>
    <w:rsid w:val="003A2F68"/>
    <w:rsid w:val="003A3392"/>
    <w:rsid w:val="003A37E5"/>
    <w:rsid w:val="003A3A6A"/>
    <w:rsid w:val="003A3CE5"/>
    <w:rsid w:val="003A4103"/>
    <w:rsid w:val="003A43F1"/>
    <w:rsid w:val="003A4BAC"/>
    <w:rsid w:val="003A4DCD"/>
    <w:rsid w:val="003A5249"/>
    <w:rsid w:val="003A56DF"/>
    <w:rsid w:val="003A596B"/>
    <w:rsid w:val="003A5D5D"/>
    <w:rsid w:val="003A5DFD"/>
    <w:rsid w:val="003A5E9A"/>
    <w:rsid w:val="003A5E9B"/>
    <w:rsid w:val="003A65EB"/>
    <w:rsid w:val="003A6735"/>
    <w:rsid w:val="003A67B6"/>
    <w:rsid w:val="003A734D"/>
    <w:rsid w:val="003A750D"/>
    <w:rsid w:val="003A7D93"/>
    <w:rsid w:val="003A7EED"/>
    <w:rsid w:val="003A7F8D"/>
    <w:rsid w:val="003B0425"/>
    <w:rsid w:val="003B0460"/>
    <w:rsid w:val="003B1584"/>
    <w:rsid w:val="003B19EF"/>
    <w:rsid w:val="003B1A43"/>
    <w:rsid w:val="003B1C7E"/>
    <w:rsid w:val="003B2407"/>
    <w:rsid w:val="003B2C94"/>
    <w:rsid w:val="003B2CC2"/>
    <w:rsid w:val="003B3058"/>
    <w:rsid w:val="003B3167"/>
    <w:rsid w:val="003B39A0"/>
    <w:rsid w:val="003B406A"/>
    <w:rsid w:val="003B44E9"/>
    <w:rsid w:val="003B54C0"/>
    <w:rsid w:val="003B5AA5"/>
    <w:rsid w:val="003B6140"/>
    <w:rsid w:val="003B6715"/>
    <w:rsid w:val="003B68CE"/>
    <w:rsid w:val="003B6C6A"/>
    <w:rsid w:val="003B6C95"/>
    <w:rsid w:val="003B6E41"/>
    <w:rsid w:val="003B783E"/>
    <w:rsid w:val="003B7EF1"/>
    <w:rsid w:val="003C04ED"/>
    <w:rsid w:val="003C087A"/>
    <w:rsid w:val="003C0E83"/>
    <w:rsid w:val="003C1818"/>
    <w:rsid w:val="003C1CC8"/>
    <w:rsid w:val="003C1F1C"/>
    <w:rsid w:val="003C25F5"/>
    <w:rsid w:val="003C275F"/>
    <w:rsid w:val="003C2A04"/>
    <w:rsid w:val="003C2EED"/>
    <w:rsid w:val="003C3DED"/>
    <w:rsid w:val="003C440F"/>
    <w:rsid w:val="003C441B"/>
    <w:rsid w:val="003C4AD7"/>
    <w:rsid w:val="003C5307"/>
    <w:rsid w:val="003C54D5"/>
    <w:rsid w:val="003C5690"/>
    <w:rsid w:val="003C63C5"/>
    <w:rsid w:val="003C6AC1"/>
    <w:rsid w:val="003C6B0A"/>
    <w:rsid w:val="003C6D25"/>
    <w:rsid w:val="003C6DD6"/>
    <w:rsid w:val="003C6DF2"/>
    <w:rsid w:val="003C7291"/>
    <w:rsid w:val="003C7569"/>
    <w:rsid w:val="003D09B8"/>
    <w:rsid w:val="003D0AF1"/>
    <w:rsid w:val="003D0E47"/>
    <w:rsid w:val="003D0FD2"/>
    <w:rsid w:val="003D1313"/>
    <w:rsid w:val="003D1384"/>
    <w:rsid w:val="003D1493"/>
    <w:rsid w:val="003D1660"/>
    <w:rsid w:val="003D1C6C"/>
    <w:rsid w:val="003D2004"/>
    <w:rsid w:val="003D2289"/>
    <w:rsid w:val="003D23C9"/>
    <w:rsid w:val="003D24B4"/>
    <w:rsid w:val="003D29E3"/>
    <w:rsid w:val="003D2A25"/>
    <w:rsid w:val="003D34BA"/>
    <w:rsid w:val="003D369E"/>
    <w:rsid w:val="003D3995"/>
    <w:rsid w:val="003D3D77"/>
    <w:rsid w:val="003D413E"/>
    <w:rsid w:val="003D4D3B"/>
    <w:rsid w:val="003D5A3C"/>
    <w:rsid w:val="003D5DDA"/>
    <w:rsid w:val="003D67CB"/>
    <w:rsid w:val="003D6B07"/>
    <w:rsid w:val="003D70AF"/>
    <w:rsid w:val="003D7138"/>
    <w:rsid w:val="003D79C6"/>
    <w:rsid w:val="003E0356"/>
    <w:rsid w:val="003E07FA"/>
    <w:rsid w:val="003E18C7"/>
    <w:rsid w:val="003E1D40"/>
    <w:rsid w:val="003E1E12"/>
    <w:rsid w:val="003E255B"/>
    <w:rsid w:val="003E261E"/>
    <w:rsid w:val="003E2793"/>
    <w:rsid w:val="003E2D54"/>
    <w:rsid w:val="003E35B0"/>
    <w:rsid w:val="003E39D2"/>
    <w:rsid w:val="003E3A33"/>
    <w:rsid w:val="003E3A5E"/>
    <w:rsid w:val="003E42BE"/>
    <w:rsid w:val="003E4804"/>
    <w:rsid w:val="003E4BF7"/>
    <w:rsid w:val="003E578A"/>
    <w:rsid w:val="003E5F76"/>
    <w:rsid w:val="003E62BD"/>
    <w:rsid w:val="003E64BA"/>
    <w:rsid w:val="003E66CA"/>
    <w:rsid w:val="003E6A42"/>
    <w:rsid w:val="003E6FC1"/>
    <w:rsid w:val="003E74C3"/>
    <w:rsid w:val="003E767D"/>
    <w:rsid w:val="003E7A03"/>
    <w:rsid w:val="003F00C6"/>
    <w:rsid w:val="003F074B"/>
    <w:rsid w:val="003F1214"/>
    <w:rsid w:val="003F146C"/>
    <w:rsid w:val="003F161C"/>
    <w:rsid w:val="003F168D"/>
    <w:rsid w:val="003F17A9"/>
    <w:rsid w:val="003F1A3E"/>
    <w:rsid w:val="003F1EA2"/>
    <w:rsid w:val="003F2B42"/>
    <w:rsid w:val="003F31F0"/>
    <w:rsid w:val="003F3299"/>
    <w:rsid w:val="003F395F"/>
    <w:rsid w:val="003F3C16"/>
    <w:rsid w:val="003F4F77"/>
    <w:rsid w:val="003F5897"/>
    <w:rsid w:val="003F59A9"/>
    <w:rsid w:val="003F5A02"/>
    <w:rsid w:val="003F5BA2"/>
    <w:rsid w:val="003F6042"/>
    <w:rsid w:val="003F63D6"/>
    <w:rsid w:val="003F66B9"/>
    <w:rsid w:val="003F6779"/>
    <w:rsid w:val="003F680F"/>
    <w:rsid w:val="003F68B2"/>
    <w:rsid w:val="003F6A5F"/>
    <w:rsid w:val="003F73D3"/>
    <w:rsid w:val="003F74D8"/>
    <w:rsid w:val="003F7777"/>
    <w:rsid w:val="0040039A"/>
    <w:rsid w:val="004003D2"/>
    <w:rsid w:val="004013FD"/>
    <w:rsid w:val="0040147C"/>
    <w:rsid w:val="004014B6"/>
    <w:rsid w:val="0040180E"/>
    <w:rsid w:val="0040184D"/>
    <w:rsid w:val="00401C45"/>
    <w:rsid w:val="00401ED0"/>
    <w:rsid w:val="004021EE"/>
    <w:rsid w:val="004025FF"/>
    <w:rsid w:val="0040275C"/>
    <w:rsid w:val="00402C1B"/>
    <w:rsid w:val="0040350C"/>
    <w:rsid w:val="00403529"/>
    <w:rsid w:val="0040366C"/>
    <w:rsid w:val="004038B4"/>
    <w:rsid w:val="00404169"/>
    <w:rsid w:val="00404517"/>
    <w:rsid w:val="004048B4"/>
    <w:rsid w:val="004049CF"/>
    <w:rsid w:val="00404A4A"/>
    <w:rsid w:val="00404BDE"/>
    <w:rsid w:val="00405140"/>
    <w:rsid w:val="00405263"/>
    <w:rsid w:val="0040544C"/>
    <w:rsid w:val="00405849"/>
    <w:rsid w:val="0040599A"/>
    <w:rsid w:val="00405F02"/>
    <w:rsid w:val="004062C0"/>
    <w:rsid w:val="00410004"/>
    <w:rsid w:val="00410555"/>
    <w:rsid w:val="00410D3C"/>
    <w:rsid w:val="00410F2F"/>
    <w:rsid w:val="00410FAC"/>
    <w:rsid w:val="00410FB0"/>
    <w:rsid w:val="0041121A"/>
    <w:rsid w:val="00411668"/>
    <w:rsid w:val="004124BB"/>
    <w:rsid w:val="00412FD1"/>
    <w:rsid w:val="00413398"/>
    <w:rsid w:val="004133A5"/>
    <w:rsid w:val="004134F2"/>
    <w:rsid w:val="00413862"/>
    <w:rsid w:val="00413D38"/>
    <w:rsid w:val="00413EAE"/>
    <w:rsid w:val="00414307"/>
    <w:rsid w:val="004153CA"/>
    <w:rsid w:val="0041553E"/>
    <w:rsid w:val="00415BBA"/>
    <w:rsid w:val="00415CB0"/>
    <w:rsid w:val="00415FF1"/>
    <w:rsid w:val="004162C7"/>
    <w:rsid w:val="0041696B"/>
    <w:rsid w:val="0041697C"/>
    <w:rsid w:val="00416C5F"/>
    <w:rsid w:val="00417694"/>
    <w:rsid w:val="00417703"/>
    <w:rsid w:val="0042032E"/>
    <w:rsid w:val="00420340"/>
    <w:rsid w:val="00420358"/>
    <w:rsid w:val="004203E0"/>
    <w:rsid w:val="004206DB"/>
    <w:rsid w:val="00420A20"/>
    <w:rsid w:val="00420CAA"/>
    <w:rsid w:val="00421384"/>
    <w:rsid w:val="0042191D"/>
    <w:rsid w:val="00422BB3"/>
    <w:rsid w:val="004237FC"/>
    <w:rsid w:val="00423FF5"/>
    <w:rsid w:val="004242D8"/>
    <w:rsid w:val="00424396"/>
    <w:rsid w:val="00424BEC"/>
    <w:rsid w:val="00424FB1"/>
    <w:rsid w:val="00425AC4"/>
    <w:rsid w:val="004260F2"/>
    <w:rsid w:val="004267FF"/>
    <w:rsid w:val="00426CDF"/>
    <w:rsid w:val="004274D3"/>
    <w:rsid w:val="00427E08"/>
    <w:rsid w:val="00427F30"/>
    <w:rsid w:val="004311BD"/>
    <w:rsid w:val="0043129E"/>
    <w:rsid w:val="00431609"/>
    <w:rsid w:val="00431BD1"/>
    <w:rsid w:val="00431F41"/>
    <w:rsid w:val="00431F5E"/>
    <w:rsid w:val="00432D93"/>
    <w:rsid w:val="00433579"/>
    <w:rsid w:val="004343E7"/>
    <w:rsid w:val="0043476F"/>
    <w:rsid w:val="004347F7"/>
    <w:rsid w:val="00434D85"/>
    <w:rsid w:val="00434EAB"/>
    <w:rsid w:val="00435665"/>
    <w:rsid w:val="00435B2A"/>
    <w:rsid w:val="004361A4"/>
    <w:rsid w:val="00436363"/>
    <w:rsid w:val="00436365"/>
    <w:rsid w:val="004364CA"/>
    <w:rsid w:val="00436E48"/>
    <w:rsid w:val="004372BB"/>
    <w:rsid w:val="00437483"/>
    <w:rsid w:val="0043792E"/>
    <w:rsid w:val="00437B38"/>
    <w:rsid w:val="00437B8B"/>
    <w:rsid w:val="00440218"/>
    <w:rsid w:val="00440425"/>
    <w:rsid w:val="00440DC6"/>
    <w:rsid w:val="00441533"/>
    <w:rsid w:val="00441F09"/>
    <w:rsid w:val="00442C1A"/>
    <w:rsid w:val="0044302C"/>
    <w:rsid w:val="0044312D"/>
    <w:rsid w:val="0044314B"/>
    <w:rsid w:val="00443709"/>
    <w:rsid w:val="00443863"/>
    <w:rsid w:val="0044426C"/>
    <w:rsid w:val="00444527"/>
    <w:rsid w:val="00444DC7"/>
    <w:rsid w:val="00445125"/>
    <w:rsid w:val="00445182"/>
    <w:rsid w:val="00445328"/>
    <w:rsid w:val="004454A2"/>
    <w:rsid w:val="00445E47"/>
    <w:rsid w:val="00445F01"/>
    <w:rsid w:val="004464DB"/>
    <w:rsid w:val="00446EB6"/>
    <w:rsid w:val="00447081"/>
    <w:rsid w:val="00447155"/>
    <w:rsid w:val="00447263"/>
    <w:rsid w:val="0044771A"/>
    <w:rsid w:val="00447CA2"/>
    <w:rsid w:val="004510B8"/>
    <w:rsid w:val="0045246D"/>
    <w:rsid w:val="0045260D"/>
    <w:rsid w:val="00452916"/>
    <w:rsid w:val="00452988"/>
    <w:rsid w:val="0045306C"/>
    <w:rsid w:val="00453A8C"/>
    <w:rsid w:val="004544EB"/>
    <w:rsid w:val="004545E0"/>
    <w:rsid w:val="004547FE"/>
    <w:rsid w:val="00454AA0"/>
    <w:rsid w:val="0045651B"/>
    <w:rsid w:val="004568B0"/>
    <w:rsid w:val="004570BF"/>
    <w:rsid w:val="00457323"/>
    <w:rsid w:val="00457C5D"/>
    <w:rsid w:val="004603A4"/>
    <w:rsid w:val="0046046E"/>
    <w:rsid w:val="0046091F"/>
    <w:rsid w:val="00460E09"/>
    <w:rsid w:val="00461755"/>
    <w:rsid w:val="0046247B"/>
    <w:rsid w:val="004627BB"/>
    <w:rsid w:val="00462891"/>
    <w:rsid w:val="00462AA7"/>
    <w:rsid w:val="004631DB"/>
    <w:rsid w:val="00463396"/>
    <w:rsid w:val="0046375D"/>
    <w:rsid w:val="0046388A"/>
    <w:rsid w:val="00463BA8"/>
    <w:rsid w:val="00464E00"/>
    <w:rsid w:val="00465471"/>
    <w:rsid w:val="00465654"/>
    <w:rsid w:val="00465A18"/>
    <w:rsid w:val="00465B90"/>
    <w:rsid w:val="00466666"/>
    <w:rsid w:val="00466D78"/>
    <w:rsid w:val="00467564"/>
    <w:rsid w:val="00467D7C"/>
    <w:rsid w:val="00467FF9"/>
    <w:rsid w:val="00470404"/>
    <w:rsid w:val="004706FF"/>
    <w:rsid w:val="004707F2"/>
    <w:rsid w:val="004709A5"/>
    <w:rsid w:val="00470E95"/>
    <w:rsid w:val="00470F16"/>
    <w:rsid w:val="004713C4"/>
    <w:rsid w:val="004716CF"/>
    <w:rsid w:val="00471CA5"/>
    <w:rsid w:val="00471F19"/>
    <w:rsid w:val="00471FDE"/>
    <w:rsid w:val="00472947"/>
    <w:rsid w:val="00472D83"/>
    <w:rsid w:val="00473601"/>
    <w:rsid w:val="0047397A"/>
    <w:rsid w:val="00473BCF"/>
    <w:rsid w:val="00473CD0"/>
    <w:rsid w:val="004740FF"/>
    <w:rsid w:val="004743DC"/>
    <w:rsid w:val="00474549"/>
    <w:rsid w:val="0047464A"/>
    <w:rsid w:val="0047471C"/>
    <w:rsid w:val="00474CB9"/>
    <w:rsid w:val="00474CE3"/>
    <w:rsid w:val="00474EC1"/>
    <w:rsid w:val="00474F3A"/>
    <w:rsid w:val="00475307"/>
    <w:rsid w:val="0047533E"/>
    <w:rsid w:val="0047570D"/>
    <w:rsid w:val="004759D4"/>
    <w:rsid w:val="00476105"/>
    <w:rsid w:val="00476A37"/>
    <w:rsid w:val="00476CA7"/>
    <w:rsid w:val="00476D24"/>
    <w:rsid w:val="00477375"/>
    <w:rsid w:val="00477728"/>
    <w:rsid w:val="0047774E"/>
    <w:rsid w:val="0047776E"/>
    <w:rsid w:val="0047780C"/>
    <w:rsid w:val="00477E95"/>
    <w:rsid w:val="00477FEE"/>
    <w:rsid w:val="004803D2"/>
    <w:rsid w:val="0048055E"/>
    <w:rsid w:val="00481216"/>
    <w:rsid w:val="004817D7"/>
    <w:rsid w:val="00482ACC"/>
    <w:rsid w:val="00482AD1"/>
    <w:rsid w:val="00482C84"/>
    <w:rsid w:val="00483575"/>
    <w:rsid w:val="0048361B"/>
    <w:rsid w:val="00483B27"/>
    <w:rsid w:val="00483F4F"/>
    <w:rsid w:val="00484C09"/>
    <w:rsid w:val="00484FE8"/>
    <w:rsid w:val="00485462"/>
    <w:rsid w:val="004855F6"/>
    <w:rsid w:val="00485BD6"/>
    <w:rsid w:val="00485BF3"/>
    <w:rsid w:val="00485D01"/>
    <w:rsid w:val="00486C61"/>
    <w:rsid w:val="00487533"/>
    <w:rsid w:val="00487DBE"/>
    <w:rsid w:val="004901FB"/>
    <w:rsid w:val="00490569"/>
    <w:rsid w:val="00490F0B"/>
    <w:rsid w:val="004910FA"/>
    <w:rsid w:val="00491215"/>
    <w:rsid w:val="00491B29"/>
    <w:rsid w:val="00491B39"/>
    <w:rsid w:val="00491BDF"/>
    <w:rsid w:val="00491CA1"/>
    <w:rsid w:val="0049209D"/>
    <w:rsid w:val="004924CF"/>
    <w:rsid w:val="00492755"/>
    <w:rsid w:val="0049280A"/>
    <w:rsid w:val="00492C70"/>
    <w:rsid w:val="00494871"/>
    <w:rsid w:val="00495749"/>
    <w:rsid w:val="00495A84"/>
    <w:rsid w:val="00495B47"/>
    <w:rsid w:val="00495FBC"/>
    <w:rsid w:val="0049661C"/>
    <w:rsid w:val="00496688"/>
    <w:rsid w:val="004966F2"/>
    <w:rsid w:val="004968BB"/>
    <w:rsid w:val="00496C34"/>
    <w:rsid w:val="00496F68"/>
    <w:rsid w:val="004978BB"/>
    <w:rsid w:val="004A05CD"/>
    <w:rsid w:val="004A06BB"/>
    <w:rsid w:val="004A17BC"/>
    <w:rsid w:val="004A1808"/>
    <w:rsid w:val="004A18FC"/>
    <w:rsid w:val="004A1E74"/>
    <w:rsid w:val="004A1F41"/>
    <w:rsid w:val="004A1F71"/>
    <w:rsid w:val="004A21A0"/>
    <w:rsid w:val="004A2348"/>
    <w:rsid w:val="004A2DB5"/>
    <w:rsid w:val="004A3394"/>
    <w:rsid w:val="004A3508"/>
    <w:rsid w:val="004A38A6"/>
    <w:rsid w:val="004A3EE6"/>
    <w:rsid w:val="004A453A"/>
    <w:rsid w:val="004A49F1"/>
    <w:rsid w:val="004A4E45"/>
    <w:rsid w:val="004A533E"/>
    <w:rsid w:val="004A555F"/>
    <w:rsid w:val="004A6C30"/>
    <w:rsid w:val="004A6FD7"/>
    <w:rsid w:val="004A7190"/>
    <w:rsid w:val="004A7AF1"/>
    <w:rsid w:val="004A7B3D"/>
    <w:rsid w:val="004A7E2B"/>
    <w:rsid w:val="004B0573"/>
    <w:rsid w:val="004B06D6"/>
    <w:rsid w:val="004B116C"/>
    <w:rsid w:val="004B122F"/>
    <w:rsid w:val="004B12A8"/>
    <w:rsid w:val="004B1941"/>
    <w:rsid w:val="004B1A9A"/>
    <w:rsid w:val="004B1D12"/>
    <w:rsid w:val="004B1E88"/>
    <w:rsid w:val="004B2144"/>
    <w:rsid w:val="004B243D"/>
    <w:rsid w:val="004B2809"/>
    <w:rsid w:val="004B30E9"/>
    <w:rsid w:val="004B310A"/>
    <w:rsid w:val="004B33D8"/>
    <w:rsid w:val="004B36CF"/>
    <w:rsid w:val="004B3730"/>
    <w:rsid w:val="004B40FA"/>
    <w:rsid w:val="004B4CB3"/>
    <w:rsid w:val="004B5223"/>
    <w:rsid w:val="004B52CB"/>
    <w:rsid w:val="004B56B4"/>
    <w:rsid w:val="004B5ADF"/>
    <w:rsid w:val="004B67CE"/>
    <w:rsid w:val="004B6DC5"/>
    <w:rsid w:val="004B7377"/>
    <w:rsid w:val="004B74ED"/>
    <w:rsid w:val="004B7B88"/>
    <w:rsid w:val="004C0393"/>
    <w:rsid w:val="004C08D2"/>
    <w:rsid w:val="004C131A"/>
    <w:rsid w:val="004C22D4"/>
    <w:rsid w:val="004C22E9"/>
    <w:rsid w:val="004C232D"/>
    <w:rsid w:val="004C32F6"/>
    <w:rsid w:val="004C359D"/>
    <w:rsid w:val="004C364A"/>
    <w:rsid w:val="004C4387"/>
    <w:rsid w:val="004C497E"/>
    <w:rsid w:val="004C4A62"/>
    <w:rsid w:val="004C4ABA"/>
    <w:rsid w:val="004C5268"/>
    <w:rsid w:val="004C59EC"/>
    <w:rsid w:val="004C5BC1"/>
    <w:rsid w:val="004C5E9C"/>
    <w:rsid w:val="004C5FE1"/>
    <w:rsid w:val="004C6005"/>
    <w:rsid w:val="004C64F9"/>
    <w:rsid w:val="004C6AAD"/>
    <w:rsid w:val="004C6CBF"/>
    <w:rsid w:val="004C70C5"/>
    <w:rsid w:val="004C712B"/>
    <w:rsid w:val="004C7CF7"/>
    <w:rsid w:val="004C7F54"/>
    <w:rsid w:val="004D0759"/>
    <w:rsid w:val="004D0C61"/>
    <w:rsid w:val="004D1363"/>
    <w:rsid w:val="004D13A5"/>
    <w:rsid w:val="004D1ABE"/>
    <w:rsid w:val="004D22B8"/>
    <w:rsid w:val="004D2618"/>
    <w:rsid w:val="004D2913"/>
    <w:rsid w:val="004D30D9"/>
    <w:rsid w:val="004D41BF"/>
    <w:rsid w:val="004D4478"/>
    <w:rsid w:val="004D44CC"/>
    <w:rsid w:val="004D477D"/>
    <w:rsid w:val="004D50B4"/>
    <w:rsid w:val="004D566C"/>
    <w:rsid w:val="004D5940"/>
    <w:rsid w:val="004D5D28"/>
    <w:rsid w:val="004D63BA"/>
    <w:rsid w:val="004D668B"/>
    <w:rsid w:val="004D67DF"/>
    <w:rsid w:val="004D6814"/>
    <w:rsid w:val="004D6C06"/>
    <w:rsid w:val="004D6D28"/>
    <w:rsid w:val="004D772F"/>
    <w:rsid w:val="004D7863"/>
    <w:rsid w:val="004E02E2"/>
    <w:rsid w:val="004E04AE"/>
    <w:rsid w:val="004E0CBB"/>
    <w:rsid w:val="004E1347"/>
    <w:rsid w:val="004E1893"/>
    <w:rsid w:val="004E1B2F"/>
    <w:rsid w:val="004E1CA6"/>
    <w:rsid w:val="004E22C3"/>
    <w:rsid w:val="004E2551"/>
    <w:rsid w:val="004E27EE"/>
    <w:rsid w:val="004E2F82"/>
    <w:rsid w:val="004E34DD"/>
    <w:rsid w:val="004E3C68"/>
    <w:rsid w:val="004E45C3"/>
    <w:rsid w:val="004E4616"/>
    <w:rsid w:val="004E498D"/>
    <w:rsid w:val="004E4F49"/>
    <w:rsid w:val="004E583D"/>
    <w:rsid w:val="004E685D"/>
    <w:rsid w:val="004E6B0C"/>
    <w:rsid w:val="004E6CF8"/>
    <w:rsid w:val="004E6D62"/>
    <w:rsid w:val="004E7103"/>
    <w:rsid w:val="004E7A63"/>
    <w:rsid w:val="004F0020"/>
    <w:rsid w:val="004F0116"/>
    <w:rsid w:val="004F02B1"/>
    <w:rsid w:val="004F0526"/>
    <w:rsid w:val="004F07EC"/>
    <w:rsid w:val="004F0916"/>
    <w:rsid w:val="004F0D08"/>
    <w:rsid w:val="004F11F5"/>
    <w:rsid w:val="004F132D"/>
    <w:rsid w:val="004F189D"/>
    <w:rsid w:val="004F1963"/>
    <w:rsid w:val="004F1AB3"/>
    <w:rsid w:val="004F1BB5"/>
    <w:rsid w:val="004F1DE8"/>
    <w:rsid w:val="004F2008"/>
    <w:rsid w:val="004F29E1"/>
    <w:rsid w:val="004F2F98"/>
    <w:rsid w:val="004F306C"/>
    <w:rsid w:val="004F311A"/>
    <w:rsid w:val="004F38C5"/>
    <w:rsid w:val="004F3CC7"/>
    <w:rsid w:val="004F3D46"/>
    <w:rsid w:val="004F405B"/>
    <w:rsid w:val="004F57AE"/>
    <w:rsid w:val="004F5CB0"/>
    <w:rsid w:val="004F6069"/>
    <w:rsid w:val="004F6333"/>
    <w:rsid w:val="004F63FA"/>
    <w:rsid w:val="004F64F2"/>
    <w:rsid w:val="004F69E1"/>
    <w:rsid w:val="004F6A24"/>
    <w:rsid w:val="004F6C21"/>
    <w:rsid w:val="004F713E"/>
    <w:rsid w:val="004F755E"/>
    <w:rsid w:val="004F78E8"/>
    <w:rsid w:val="004F7918"/>
    <w:rsid w:val="004F7939"/>
    <w:rsid w:val="004F7B13"/>
    <w:rsid w:val="005000ED"/>
    <w:rsid w:val="00500244"/>
    <w:rsid w:val="00500552"/>
    <w:rsid w:val="005006B3"/>
    <w:rsid w:val="005011CB"/>
    <w:rsid w:val="00501479"/>
    <w:rsid w:val="00501673"/>
    <w:rsid w:val="00501771"/>
    <w:rsid w:val="005017A4"/>
    <w:rsid w:val="00502537"/>
    <w:rsid w:val="00502D27"/>
    <w:rsid w:val="00502D9A"/>
    <w:rsid w:val="00503241"/>
    <w:rsid w:val="005038E9"/>
    <w:rsid w:val="00503B32"/>
    <w:rsid w:val="0050492F"/>
    <w:rsid w:val="00504DE7"/>
    <w:rsid w:val="00504DFC"/>
    <w:rsid w:val="00505303"/>
    <w:rsid w:val="005058E5"/>
    <w:rsid w:val="00506033"/>
    <w:rsid w:val="005063D4"/>
    <w:rsid w:val="00506D6C"/>
    <w:rsid w:val="00506E80"/>
    <w:rsid w:val="005070AA"/>
    <w:rsid w:val="005075F1"/>
    <w:rsid w:val="005076AD"/>
    <w:rsid w:val="00507F7F"/>
    <w:rsid w:val="00510339"/>
    <w:rsid w:val="005103FF"/>
    <w:rsid w:val="00510895"/>
    <w:rsid w:val="00510F7D"/>
    <w:rsid w:val="0051134B"/>
    <w:rsid w:val="00511441"/>
    <w:rsid w:val="0051168C"/>
    <w:rsid w:val="00511E33"/>
    <w:rsid w:val="00511EC4"/>
    <w:rsid w:val="00511FA5"/>
    <w:rsid w:val="0051208F"/>
    <w:rsid w:val="005124E4"/>
    <w:rsid w:val="0051317F"/>
    <w:rsid w:val="0051343F"/>
    <w:rsid w:val="005137E4"/>
    <w:rsid w:val="00513963"/>
    <w:rsid w:val="00513ACB"/>
    <w:rsid w:val="00514221"/>
    <w:rsid w:val="005146D6"/>
    <w:rsid w:val="0051508F"/>
    <w:rsid w:val="00515400"/>
    <w:rsid w:val="00515C5A"/>
    <w:rsid w:val="005160FD"/>
    <w:rsid w:val="005164AA"/>
    <w:rsid w:val="005164E9"/>
    <w:rsid w:val="00517D5F"/>
    <w:rsid w:val="00520516"/>
    <w:rsid w:val="00520CE9"/>
    <w:rsid w:val="00521091"/>
    <w:rsid w:val="005213E5"/>
    <w:rsid w:val="00521707"/>
    <w:rsid w:val="00522378"/>
    <w:rsid w:val="005223C6"/>
    <w:rsid w:val="005228ED"/>
    <w:rsid w:val="00522D9C"/>
    <w:rsid w:val="00522E2D"/>
    <w:rsid w:val="005235AA"/>
    <w:rsid w:val="00524F9F"/>
    <w:rsid w:val="005251C5"/>
    <w:rsid w:val="00525438"/>
    <w:rsid w:val="00525B9E"/>
    <w:rsid w:val="00525E34"/>
    <w:rsid w:val="005268AD"/>
    <w:rsid w:val="00526D94"/>
    <w:rsid w:val="00527445"/>
    <w:rsid w:val="00527D98"/>
    <w:rsid w:val="00530B93"/>
    <w:rsid w:val="00530BFA"/>
    <w:rsid w:val="00531699"/>
    <w:rsid w:val="00531807"/>
    <w:rsid w:val="005322C6"/>
    <w:rsid w:val="005326FE"/>
    <w:rsid w:val="0053271B"/>
    <w:rsid w:val="00532911"/>
    <w:rsid w:val="005329A3"/>
    <w:rsid w:val="00532B16"/>
    <w:rsid w:val="0053313D"/>
    <w:rsid w:val="005341AA"/>
    <w:rsid w:val="00534597"/>
    <w:rsid w:val="00534C7E"/>
    <w:rsid w:val="00534CC3"/>
    <w:rsid w:val="005350F3"/>
    <w:rsid w:val="00535933"/>
    <w:rsid w:val="00535A31"/>
    <w:rsid w:val="00535C62"/>
    <w:rsid w:val="005368CE"/>
    <w:rsid w:val="005373F9"/>
    <w:rsid w:val="005376BC"/>
    <w:rsid w:val="005377DF"/>
    <w:rsid w:val="005377FC"/>
    <w:rsid w:val="00537A08"/>
    <w:rsid w:val="0054003B"/>
    <w:rsid w:val="00540089"/>
    <w:rsid w:val="00540472"/>
    <w:rsid w:val="00540677"/>
    <w:rsid w:val="00541553"/>
    <w:rsid w:val="00541931"/>
    <w:rsid w:val="00541C52"/>
    <w:rsid w:val="0054259E"/>
    <w:rsid w:val="00542BB5"/>
    <w:rsid w:val="00542E6A"/>
    <w:rsid w:val="005437B0"/>
    <w:rsid w:val="00543854"/>
    <w:rsid w:val="005439F8"/>
    <w:rsid w:val="00543A29"/>
    <w:rsid w:val="00543F92"/>
    <w:rsid w:val="005441DF"/>
    <w:rsid w:val="005442E6"/>
    <w:rsid w:val="00544993"/>
    <w:rsid w:val="00544B6D"/>
    <w:rsid w:val="00544D3F"/>
    <w:rsid w:val="00544EE2"/>
    <w:rsid w:val="00545AB6"/>
    <w:rsid w:val="005460D9"/>
    <w:rsid w:val="0054621A"/>
    <w:rsid w:val="005465C4"/>
    <w:rsid w:val="005466C0"/>
    <w:rsid w:val="00546C9F"/>
    <w:rsid w:val="00546D35"/>
    <w:rsid w:val="0054735C"/>
    <w:rsid w:val="00547456"/>
    <w:rsid w:val="0054796A"/>
    <w:rsid w:val="00547A4A"/>
    <w:rsid w:val="00547EF5"/>
    <w:rsid w:val="00550BD2"/>
    <w:rsid w:val="00551298"/>
    <w:rsid w:val="00551B85"/>
    <w:rsid w:val="00551C03"/>
    <w:rsid w:val="00552161"/>
    <w:rsid w:val="00552372"/>
    <w:rsid w:val="005525C6"/>
    <w:rsid w:val="005529EE"/>
    <w:rsid w:val="005529FF"/>
    <w:rsid w:val="00552B68"/>
    <w:rsid w:val="00553504"/>
    <w:rsid w:val="005536E4"/>
    <w:rsid w:val="00553AA0"/>
    <w:rsid w:val="00553B49"/>
    <w:rsid w:val="00553FE1"/>
    <w:rsid w:val="005540B5"/>
    <w:rsid w:val="00554DEE"/>
    <w:rsid w:val="0055516F"/>
    <w:rsid w:val="0055536A"/>
    <w:rsid w:val="0055561A"/>
    <w:rsid w:val="005556F9"/>
    <w:rsid w:val="00555D4E"/>
    <w:rsid w:val="00556125"/>
    <w:rsid w:val="0055715D"/>
    <w:rsid w:val="00557216"/>
    <w:rsid w:val="005574E5"/>
    <w:rsid w:val="00557547"/>
    <w:rsid w:val="005611CD"/>
    <w:rsid w:val="00561FE2"/>
    <w:rsid w:val="005621E3"/>
    <w:rsid w:val="005627EC"/>
    <w:rsid w:val="005633F2"/>
    <w:rsid w:val="005634AA"/>
    <w:rsid w:val="005638D0"/>
    <w:rsid w:val="00564429"/>
    <w:rsid w:val="00564A57"/>
    <w:rsid w:val="00564ADE"/>
    <w:rsid w:val="00564C85"/>
    <w:rsid w:val="005655B5"/>
    <w:rsid w:val="005655F4"/>
    <w:rsid w:val="0056579D"/>
    <w:rsid w:val="00565900"/>
    <w:rsid w:val="00565A1E"/>
    <w:rsid w:val="00565A30"/>
    <w:rsid w:val="00565D7B"/>
    <w:rsid w:val="00565E2E"/>
    <w:rsid w:val="00565F9F"/>
    <w:rsid w:val="0056608B"/>
    <w:rsid w:val="005666DB"/>
    <w:rsid w:val="0056683F"/>
    <w:rsid w:val="00566BA9"/>
    <w:rsid w:val="00566DD0"/>
    <w:rsid w:val="00566DD2"/>
    <w:rsid w:val="005671F6"/>
    <w:rsid w:val="0056751C"/>
    <w:rsid w:val="00567C61"/>
    <w:rsid w:val="00567E5A"/>
    <w:rsid w:val="0057023D"/>
    <w:rsid w:val="005707EB"/>
    <w:rsid w:val="00570822"/>
    <w:rsid w:val="00570DBD"/>
    <w:rsid w:val="0057151F"/>
    <w:rsid w:val="005715B5"/>
    <w:rsid w:val="005715FD"/>
    <w:rsid w:val="00571840"/>
    <w:rsid w:val="0057185D"/>
    <w:rsid w:val="005718BC"/>
    <w:rsid w:val="00571977"/>
    <w:rsid w:val="00571EF7"/>
    <w:rsid w:val="0057268E"/>
    <w:rsid w:val="00572CB3"/>
    <w:rsid w:val="0057315D"/>
    <w:rsid w:val="00573EEF"/>
    <w:rsid w:val="00574313"/>
    <w:rsid w:val="00575E0D"/>
    <w:rsid w:val="00575ED6"/>
    <w:rsid w:val="00575FD5"/>
    <w:rsid w:val="00576744"/>
    <w:rsid w:val="00576DE2"/>
    <w:rsid w:val="00576E56"/>
    <w:rsid w:val="00577012"/>
    <w:rsid w:val="00577282"/>
    <w:rsid w:val="0057740E"/>
    <w:rsid w:val="00577749"/>
    <w:rsid w:val="00577B3B"/>
    <w:rsid w:val="00577FFE"/>
    <w:rsid w:val="00580B37"/>
    <w:rsid w:val="00580BC5"/>
    <w:rsid w:val="00580F54"/>
    <w:rsid w:val="00581628"/>
    <w:rsid w:val="00581B77"/>
    <w:rsid w:val="00581D26"/>
    <w:rsid w:val="00581D5B"/>
    <w:rsid w:val="00581F07"/>
    <w:rsid w:val="0058229A"/>
    <w:rsid w:val="005822DA"/>
    <w:rsid w:val="00582411"/>
    <w:rsid w:val="0058294C"/>
    <w:rsid w:val="005829A7"/>
    <w:rsid w:val="00583902"/>
    <w:rsid w:val="0058396F"/>
    <w:rsid w:val="00583C28"/>
    <w:rsid w:val="00583DBB"/>
    <w:rsid w:val="00584109"/>
    <w:rsid w:val="005842CE"/>
    <w:rsid w:val="0058453E"/>
    <w:rsid w:val="00584C21"/>
    <w:rsid w:val="0058563C"/>
    <w:rsid w:val="00585B0D"/>
    <w:rsid w:val="0058662C"/>
    <w:rsid w:val="00586F0B"/>
    <w:rsid w:val="00587093"/>
    <w:rsid w:val="005874A8"/>
    <w:rsid w:val="00587837"/>
    <w:rsid w:val="00587A42"/>
    <w:rsid w:val="00587A9B"/>
    <w:rsid w:val="00587AED"/>
    <w:rsid w:val="005902FB"/>
    <w:rsid w:val="00590D5A"/>
    <w:rsid w:val="00591011"/>
    <w:rsid w:val="00591449"/>
    <w:rsid w:val="005915FA"/>
    <w:rsid w:val="00591DD3"/>
    <w:rsid w:val="00592A67"/>
    <w:rsid w:val="00592CB3"/>
    <w:rsid w:val="00592DFA"/>
    <w:rsid w:val="00593B52"/>
    <w:rsid w:val="00593E86"/>
    <w:rsid w:val="00594303"/>
    <w:rsid w:val="00594767"/>
    <w:rsid w:val="00594837"/>
    <w:rsid w:val="005952B7"/>
    <w:rsid w:val="005953D7"/>
    <w:rsid w:val="00595862"/>
    <w:rsid w:val="00595AD2"/>
    <w:rsid w:val="00595F7B"/>
    <w:rsid w:val="0059662D"/>
    <w:rsid w:val="00596D0A"/>
    <w:rsid w:val="00596DC2"/>
    <w:rsid w:val="005973C1"/>
    <w:rsid w:val="0059774F"/>
    <w:rsid w:val="00597CDD"/>
    <w:rsid w:val="005A06A5"/>
    <w:rsid w:val="005A0ADD"/>
    <w:rsid w:val="005A0D6D"/>
    <w:rsid w:val="005A117F"/>
    <w:rsid w:val="005A17F4"/>
    <w:rsid w:val="005A1AD1"/>
    <w:rsid w:val="005A24D7"/>
    <w:rsid w:val="005A2E94"/>
    <w:rsid w:val="005A2EBC"/>
    <w:rsid w:val="005A35E3"/>
    <w:rsid w:val="005A3BDC"/>
    <w:rsid w:val="005A3C70"/>
    <w:rsid w:val="005A436C"/>
    <w:rsid w:val="005A4826"/>
    <w:rsid w:val="005A4B2B"/>
    <w:rsid w:val="005A4E9D"/>
    <w:rsid w:val="005A5254"/>
    <w:rsid w:val="005A5345"/>
    <w:rsid w:val="005A5810"/>
    <w:rsid w:val="005A59BA"/>
    <w:rsid w:val="005A5F8D"/>
    <w:rsid w:val="005A6231"/>
    <w:rsid w:val="005A6630"/>
    <w:rsid w:val="005A67F9"/>
    <w:rsid w:val="005A69B2"/>
    <w:rsid w:val="005A733B"/>
    <w:rsid w:val="005A7F88"/>
    <w:rsid w:val="005B0BC9"/>
    <w:rsid w:val="005B1AA7"/>
    <w:rsid w:val="005B1D9E"/>
    <w:rsid w:val="005B2811"/>
    <w:rsid w:val="005B2ACA"/>
    <w:rsid w:val="005B2C07"/>
    <w:rsid w:val="005B2DB2"/>
    <w:rsid w:val="005B2F90"/>
    <w:rsid w:val="005B32BC"/>
    <w:rsid w:val="005B33EC"/>
    <w:rsid w:val="005B354F"/>
    <w:rsid w:val="005B35FB"/>
    <w:rsid w:val="005B375C"/>
    <w:rsid w:val="005B377B"/>
    <w:rsid w:val="005B3BDD"/>
    <w:rsid w:val="005B3F76"/>
    <w:rsid w:val="005B44E3"/>
    <w:rsid w:val="005B44E7"/>
    <w:rsid w:val="005B4AB5"/>
    <w:rsid w:val="005B4F1A"/>
    <w:rsid w:val="005B51BC"/>
    <w:rsid w:val="005B5B30"/>
    <w:rsid w:val="005B5F13"/>
    <w:rsid w:val="005B636D"/>
    <w:rsid w:val="005B6E9D"/>
    <w:rsid w:val="005B7230"/>
    <w:rsid w:val="005B7F3C"/>
    <w:rsid w:val="005C02C9"/>
    <w:rsid w:val="005C1352"/>
    <w:rsid w:val="005C1538"/>
    <w:rsid w:val="005C18BB"/>
    <w:rsid w:val="005C1B69"/>
    <w:rsid w:val="005C2BD3"/>
    <w:rsid w:val="005C3C1E"/>
    <w:rsid w:val="005C3F29"/>
    <w:rsid w:val="005C4BA8"/>
    <w:rsid w:val="005C514B"/>
    <w:rsid w:val="005C51D7"/>
    <w:rsid w:val="005C5E52"/>
    <w:rsid w:val="005C5F5F"/>
    <w:rsid w:val="005C61A4"/>
    <w:rsid w:val="005C62E1"/>
    <w:rsid w:val="005C6814"/>
    <w:rsid w:val="005C6B09"/>
    <w:rsid w:val="005C6F6B"/>
    <w:rsid w:val="005C7131"/>
    <w:rsid w:val="005C7EBD"/>
    <w:rsid w:val="005D00BE"/>
    <w:rsid w:val="005D047F"/>
    <w:rsid w:val="005D086D"/>
    <w:rsid w:val="005D0B01"/>
    <w:rsid w:val="005D0EB0"/>
    <w:rsid w:val="005D10BE"/>
    <w:rsid w:val="005D155F"/>
    <w:rsid w:val="005D160C"/>
    <w:rsid w:val="005D1F3B"/>
    <w:rsid w:val="005D30BA"/>
    <w:rsid w:val="005D3197"/>
    <w:rsid w:val="005D3A12"/>
    <w:rsid w:val="005D4082"/>
    <w:rsid w:val="005D44C0"/>
    <w:rsid w:val="005D478C"/>
    <w:rsid w:val="005D5C69"/>
    <w:rsid w:val="005D5DCB"/>
    <w:rsid w:val="005D6554"/>
    <w:rsid w:val="005D65C2"/>
    <w:rsid w:val="005D70EC"/>
    <w:rsid w:val="005D7568"/>
    <w:rsid w:val="005D7719"/>
    <w:rsid w:val="005D7ED9"/>
    <w:rsid w:val="005D7FDC"/>
    <w:rsid w:val="005E0ABD"/>
    <w:rsid w:val="005E1097"/>
    <w:rsid w:val="005E1131"/>
    <w:rsid w:val="005E1B78"/>
    <w:rsid w:val="005E1D88"/>
    <w:rsid w:val="005E20F9"/>
    <w:rsid w:val="005E23FC"/>
    <w:rsid w:val="005E2B38"/>
    <w:rsid w:val="005E315B"/>
    <w:rsid w:val="005E31F0"/>
    <w:rsid w:val="005E335D"/>
    <w:rsid w:val="005E355B"/>
    <w:rsid w:val="005E374C"/>
    <w:rsid w:val="005E3811"/>
    <w:rsid w:val="005E4396"/>
    <w:rsid w:val="005E4544"/>
    <w:rsid w:val="005E45CC"/>
    <w:rsid w:val="005E4A97"/>
    <w:rsid w:val="005E4E3E"/>
    <w:rsid w:val="005E51AE"/>
    <w:rsid w:val="005E5580"/>
    <w:rsid w:val="005E5CB1"/>
    <w:rsid w:val="005E5CBA"/>
    <w:rsid w:val="005E70FD"/>
    <w:rsid w:val="005E771B"/>
    <w:rsid w:val="005E7BE3"/>
    <w:rsid w:val="005E7D69"/>
    <w:rsid w:val="005F0576"/>
    <w:rsid w:val="005F05C5"/>
    <w:rsid w:val="005F0A33"/>
    <w:rsid w:val="005F0DAA"/>
    <w:rsid w:val="005F1732"/>
    <w:rsid w:val="005F2E97"/>
    <w:rsid w:val="005F2FD6"/>
    <w:rsid w:val="005F34B9"/>
    <w:rsid w:val="005F34FB"/>
    <w:rsid w:val="005F3720"/>
    <w:rsid w:val="005F37A1"/>
    <w:rsid w:val="005F3805"/>
    <w:rsid w:val="005F3C1A"/>
    <w:rsid w:val="005F3D18"/>
    <w:rsid w:val="005F3F3F"/>
    <w:rsid w:val="005F4CE9"/>
    <w:rsid w:val="005F4FC8"/>
    <w:rsid w:val="005F5841"/>
    <w:rsid w:val="005F6910"/>
    <w:rsid w:val="005F6965"/>
    <w:rsid w:val="005F6E13"/>
    <w:rsid w:val="005F6EB8"/>
    <w:rsid w:val="005F6EE2"/>
    <w:rsid w:val="006008D9"/>
    <w:rsid w:val="00600D1C"/>
    <w:rsid w:val="006016A4"/>
    <w:rsid w:val="0060187D"/>
    <w:rsid w:val="00601973"/>
    <w:rsid w:val="00601B5A"/>
    <w:rsid w:val="00601DF1"/>
    <w:rsid w:val="00602033"/>
    <w:rsid w:val="006022A6"/>
    <w:rsid w:val="0060232C"/>
    <w:rsid w:val="00602C49"/>
    <w:rsid w:val="00602D14"/>
    <w:rsid w:val="00603349"/>
    <w:rsid w:val="0060370C"/>
    <w:rsid w:val="00603EF0"/>
    <w:rsid w:val="00603F3E"/>
    <w:rsid w:val="00604490"/>
    <w:rsid w:val="00604528"/>
    <w:rsid w:val="00604D15"/>
    <w:rsid w:val="006050AB"/>
    <w:rsid w:val="0060524A"/>
    <w:rsid w:val="006052B5"/>
    <w:rsid w:val="006059D2"/>
    <w:rsid w:val="006067A9"/>
    <w:rsid w:val="00606C55"/>
    <w:rsid w:val="00606CB9"/>
    <w:rsid w:val="00606FD4"/>
    <w:rsid w:val="0060705C"/>
    <w:rsid w:val="006071A0"/>
    <w:rsid w:val="0060734E"/>
    <w:rsid w:val="00607657"/>
    <w:rsid w:val="00610D41"/>
    <w:rsid w:val="0061127F"/>
    <w:rsid w:val="006113CC"/>
    <w:rsid w:val="00611A07"/>
    <w:rsid w:val="006121A8"/>
    <w:rsid w:val="006122DF"/>
    <w:rsid w:val="00612360"/>
    <w:rsid w:val="006125F5"/>
    <w:rsid w:val="0061299F"/>
    <w:rsid w:val="00612C83"/>
    <w:rsid w:val="006135F5"/>
    <w:rsid w:val="00613719"/>
    <w:rsid w:val="00613F82"/>
    <w:rsid w:val="0061402E"/>
    <w:rsid w:val="006140B7"/>
    <w:rsid w:val="006145DE"/>
    <w:rsid w:val="006146C9"/>
    <w:rsid w:val="00615060"/>
    <w:rsid w:val="00615A9E"/>
    <w:rsid w:val="00615CD5"/>
    <w:rsid w:val="00616128"/>
    <w:rsid w:val="006163CD"/>
    <w:rsid w:val="00616969"/>
    <w:rsid w:val="00616F27"/>
    <w:rsid w:val="0061738E"/>
    <w:rsid w:val="00617413"/>
    <w:rsid w:val="00617BC1"/>
    <w:rsid w:val="006202EF"/>
    <w:rsid w:val="0062045F"/>
    <w:rsid w:val="00620E7E"/>
    <w:rsid w:val="00621626"/>
    <w:rsid w:val="006222C2"/>
    <w:rsid w:val="0062271C"/>
    <w:rsid w:val="00622E55"/>
    <w:rsid w:val="00622F02"/>
    <w:rsid w:val="00622F3A"/>
    <w:rsid w:val="006230ED"/>
    <w:rsid w:val="006239F6"/>
    <w:rsid w:val="00623AF3"/>
    <w:rsid w:val="00623F17"/>
    <w:rsid w:val="00624273"/>
    <w:rsid w:val="0062464E"/>
    <w:rsid w:val="00624BCE"/>
    <w:rsid w:val="00624FF0"/>
    <w:rsid w:val="006250B6"/>
    <w:rsid w:val="0062516F"/>
    <w:rsid w:val="00625CFE"/>
    <w:rsid w:val="00625DCE"/>
    <w:rsid w:val="006261E4"/>
    <w:rsid w:val="0062628C"/>
    <w:rsid w:val="006262DA"/>
    <w:rsid w:val="0062699C"/>
    <w:rsid w:val="00627041"/>
    <w:rsid w:val="00627C76"/>
    <w:rsid w:val="00627CD5"/>
    <w:rsid w:val="006301DC"/>
    <w:rsid w:val="0063020A"/>
    <w:rsid w:val="0063050F"/>
    <w:rsid w:val="0063059B"/>
    <w:rsid w:val="00630782"/>
    <w:rsid w:val="00630D51"/>
    <w:rsid w:val="00630D8F"/>
    <w:rsid w:val="00630EBF"/>
    <w:rsid w:val="00630F08"/>
    <w:rsid w:val="00631253"/>
    <w:rsid w:val="00631860"/>
    <w:rsid w:val="0063192C"/>
    <w:rsid w:val="00631A17"/>
    <w:rsid w:val="0063279A"/>
    <w:rsid w:val="00632CB6"/>
    <w:rsid w:val="00632ECA"/>
    <w:rsid w:val="0063323D"/>
    <w:rsid w:val="00633845"/>
    <w:rsid w:val="00633F3D"/>
    <w:rsid w:val="0063487B"/>
    <w:rsid w:val="0063487C"/>
    <w:rsid w:val="0063512F"/>
    <w:rsid w:val="00635222"/>
    <w:rsid w:val="00635540"/>
    <w:rsid w:val="00635CA9"/>
    <w:rsid w:val="006362E8"/>
    <w:rsid w:val="006365C1"/>
    <w:rsid w:val="00636618"/>
    <w:rsid w:val="0063712C"/>
    <w:rsid w:val="006375B9"/>
    <w:rsid w:val="00637B04"/>
    <w:rsid w:val="00640364"/>
    <w:rsid w:val="0064149E"/>
    <w:rsid w:val="006416D0"/>
    <w:rsid w:val="00642E2C"/>
    <w:rsid w:val="00642FDD"/>
    <w:rsid w:val="006439FF"/>
    <w:rsid w:val="00643A07"/>
    <w:rsid w:val="00644885"/>
    <w:rsid w:val="0064507C"/>
    <w:rsid w:val="00645180"/>
    <w:rsid w:val="00645569"/>
    <w:rsid w:val="00645616"/>
    <w:rsid w:val="0064568E"/>
    <w:rsid w:val="006456A8"/>
    <w:rsid w:val="00645AF1"/>
    <w:rsid w:val="00645D78"/>
    <w:rsid w:val="00646AB8"/>
    <w:rsid w:val="00646E3F"/>
    <w:rsid w:val="006470D2"/>
    <w:rsid w:val="006472D3"/>
    <w:rsid w:val="006472E0"/>
    <w:rsid w:val="0064767D"/>
    <w:rsid w:val="0064772E"/>
    <w:rsid w:val="006501B9"/>
    <w:rsid w:val="00650A21"/>
    <w:rsid w:val="0065110A"/>
    <w:rsid w:val="00651A8E"/>
    <w:rsid w:val="00651C7F"/>
    <w:rsid w:val="00651FA5"/>
    <w:rsid w:val="00652258"/>
    <w:rsid w:val="006523D7"/>
    <w:rsid w:val="006526BB"/>
    <w:rsid w:val="00652972"/>
    <w:rsid w:val="00652BDC"/>
    <w:rsid w:val="006530B0"/>
    <w:rsid w:val="006531F6"/>
    <w:rsid w:val="0065422F"/>
    <w:rsid w:val="006543FB"/>
    <w:rsid w:val="006545A9"/>
    <w:rsid w:val="00654A5C"/>
    <w:rsid w:val="00654E91"/>
    <w:rsid w:val="00654FB5"/>
    <w:rsid w:val="006554FE"/>
    <w:rsid w:val="00655A49"/>
    <w:rsid w:val="00655DAF"/>
    <w:rsid w:val="00655F6B"/>
    <w:rsid w:val="006560D6"/>
    <w:rsid w:val="0065631E"/>
    <w:rsid w:val="0065665E"/>
    <w:rsid w:val="00656D0A"/>
    <w:rsid w:val="00657341"/>
    <w:rsid w:val="00657DB0"/>
    <w:rsid w:val="00657F57"/>
    <w:rsid w:val="00660E0E"/>
    <w:rsid w:val="00660F91"/>
    <w:rsid w:val="00660FB6"/>
    <w:rsid w:val="006613C1"/>
    <w:rsid w:val="00661D14"/>
    <w:rsid w:val="0066321A"/>
    <w:rsid w:val="0066365D"/>
    <w:rsid w:val="00664AED"/>
    <w:rsid w:val="00665168"/>
    <w:rsid w:val="0066547A"/>
    <w:rsid w:val="00665997"/>
    <w:rsid w:val="00666EA1"/>
    <w:rsid w:val="006671E7"/>
    <w:rsid w:val="00667451"/>
    <w:rsid w:val="006674F6"/>
    <w:rsid w:val="006675F8"/>
    <w:rsid w:val="00670296"/>
    <w:rsid w:val="0067037F"/>
    <w:rsid w:val="0067170A"/>
    <w:rsid w:val="00671C98"/>
    <w:rsid w:val="00672034"/>
    <w:rsid w:val="006723EC"/>
    <w:rsid w:val="00672FC9"/>
    <w:rsid w:val="0067329F"/>
    <w:rsid w:val="00673B3C"/>
    <w:rsid w:val="00673DE4"/>
    <w:rsid w:val="006741B4"/>
    <w:rsid w:val="006741D8"/>
    <w:rsid w:val="006744B9"/>
    <w:rsid w:val="00674522"/>
    <w:rsid w:val="00674B00"/>
    <w:rsid w:val="00674BEC"/>
    <w:rsid w:val="00675F02"/>
    <w:rsid w:val="00676267"/>
    <w:rsid w:val="006774BE"/>
    <w:rsid w:val="00677597"/>
    <w:rsid w:val="00677642"/>
    <w:rsid w:val="0067776E"/>
    <w:rsid w:val="00677CF1"/>
    <w:rsid w:val="00677E4E"/>
    <w:rsid w:val="0068033D"/>
    <w:rsid w:val="0068065E"/>
    <w:rsid w:val="00680C30"/>
    <w:rsid w:val="00680C71"/>
    <w:rsid w:val="006810B1"/>
    <w:rsid w:val="00681559"/>
    <w:rsid w:val="00681BD0"/>
    <w:rsid w:val="00682425"/>
    <w:rsid w:val="006829F6"/>
    <w:rsid w:val="00682A95"/>
    <w:rsid w:val="00682C1B"/>
    <w:rsid w:val="00682D80"/>
    <w:rsid w:val="00682F6A"/>
    <w:rsid w:val="00682F8C"/>
    <w:rsid w:val="00683213"/>
    <w:rsid w:val="0068347F"/>
    <w:rsid w:val="006834DF"/>
    <w:rsid w:val="0068374E"/>
    <w:rsid w:val="006837F4"/>
    <w:rsid w:val="00683B0E"/>
    <w:rsid w:val="006842BD"/>
    <w:rsid w:val="0068440F"/>
    <w:rsid w:val="006845E2"/>
    <w:rsid w:val="00685C2D"/>
    <w:rsid w:val="00686298"/>
    <w:rsid w:val="0068675E"/>
    <w:rsid w:val="00686E7D"/>
    <w:rsid w:val="00686FED"/>
    <w:rsid w:val="006871A8"/>
    <w:rsid w:val="00687B0F"/>
    <w:rsid w:val="006904CE"/>
    <w:rsid w:val="006907D1"/>
    <w:rsid w:val="006909D5"/>
    <w:rsid w:val="00690CC6"/>
    <w:rsid w:val="0069132F"/>
    <w:rsid w:val="0069148E"/>
    <w:rsid w:val="006917E7"/>
    <w:rsid w:val="00691BC8"/>
    <w:rsid w:val="00691FB2"/>
    <w:rsid w:val="006923CC"/>
    <w:rsid w:val="006931D0"/>
    <w:rsid w:val="00693374"/>
    <w:rsid w:val="00693381"/>
    <w:rsid w:val="006939E7"/>
    <w:rsid w:val="00693AD7"/>
    <w:rsid w:val="00695437"/>
    <w:rsid w:val="0069562C"/>
    <w:rsid w:val="00695938"/>
    <w:rsid w:val="00695B5A"/>
    <w:rsid w:val="00695D17"/>
    <w:rsid w:val="00695DD9"/>
    <w:rsid w:val="00695FC7"/>
    <w:rsid w:val="0069695A"/>
    <w:rsid w:val="00696F26"/>
    <w:rsid w:val="00697835"/>
    <w:rsid w:val="00697FA3"/>
    <w:rsid w:val="006A0229"/>
    <w:rsid w:val="006A03B7"/>
    <w:rsid w:val="006A072A"/>
    <w:rsid w:val="006A09CB"/>
    <w:rsid w:val="006A0F00"/>
    <w:rsid w:val="006A0FCA"/>
    <w:rsid w:val="006A162B"/>
    <w:rsid w:val="006A181A"/>
    <w:rsid w:val="006A25FE"/>
    <w:rsid w:val="006A2E5F"/>
    <w:rsid w:val="006A3538"/>
    <w:rsid w:val="006A3A60"/>
    <w:rsid w:val="006A3BED"/>
    <w:rsid w:val="006A4CD1"/>
    <w:rsid w:val="006A4DF4"/>
    <w:rsid w:val="006A4F90"/>
    <w:rsid w:val="006A58DE"/>
    <w:rsid w:val="006A5914"/>
    <w:rsid w:val="006A5CEB"/>
    <w:rsid w:val="006A61A6"/>
    <w:rsid w:val="006A62D4"/>
    <w:rsid w:val="006A684E"/>
    <w:rsid w:val="006A7297"/>
    <w:rsid w:val="006B0394"/>
    <w:rsid w:val="006B053B"/>
    <w:rsid w:val="006B06D2"/>
    <w:rsid w:val="006B0956"/>
    <w:rsid w:val="006B0A3C"/>
    <w:rsid w:val="006B0A43"/>
    <w:rsid w:val="006B0B09"/>
    <w:rsid w:val="006B1396"/>
    <w:rsid w:val="006B139F"/>
    <w:rsid w:val="006B18FC"/>
    <w:rsid w:val="006B1B97"/>
    <w:rsid w:val="006B204A"/>
    <w:rsid w:val="006B2E6D"/>
    <w:rsid w:val="006B30CC"/>
    <w:rsid w:val="006B343C"/>
    <w:rsid w:val="006B46AF"/>
    <w:rsid w:val="006B4923"/>
    <w:rsid w:val="006B4E0C"/>
    <w:rsid w:val="006B4F3F"/>
    <w:rsid w:val="006B55D5"/>
    <w:rsid w:val="006B56D7"/>
    <w:rsid w:val="006B58AC"/>
    <w:rsid w:val="006B5B75"/>
    <w:rsid w:val="006B60ED"/>
    <w:rsid w:val="006B6129"/>
    <w:rsid w:val="006B6739"/>
    <w:rsid w:val="006B6DFA"/>
    <w:rsid w:val="006B6E4F"/>
    <w:rsid w:val="006B7028"/>
    <w:rsid w:val="006B7098"/>
    <w:rsid w:val="006B73AA"/>
    <w:rsid w:val="006B73F9"/>
    <w:rsid w:val="006B742A"/>
    <w:rsid w:val="006B7656"/>
    <w:rsid w:val="006B7D82"/>
    <w:rsid w:val="006B7E79"/>
    <w:rsid w:val="006C05C0"/>
    <w:rsid w:val="006C07B6"/>
    <w:rsid w:val="006C1011"/>
    <w:rsid w:val="006C1535"/>
    <w:rsid w:val="006C1830"/>
    <w:rsid w:val="006C1E08"/>
    <w:rsid w:val="006C1E23"/>
    <w:rsid w:val="006C2697"/>
    <w:rsid w:val="006C2AA4"/>
    <w:rsid w:val="006C3B9F"/>
    <w:rsid w:val="006C3FA8"/>
    <w:rsid w:val="006C425F"/>
    <w:rsid w:val="006C470F"/>
    <w:rsid w:val="006C47C9"/>
    <w:rsid w:val="006C503D"/>
    <w:rsid w:val="006C51C0"/>
    <w:rsid w:val="006C52B5"/>
    <w:rsid w:val="006C5320"/>
    <w:rsid w:val="006C5B23"/>
    <w:rsid w:val="006C5D7C"/>
    <w:rsid w:val="006C63FF"/>
    <w:rsid w:val="006C65D2"/>
    <w:rsid w:val="006C6917"/>
    <w:rsid w:val="006C6AD9"/>
    <w:rsid w:val="006C7295"/>
    <w:rsid w:val="006C72FD"/>
    <w:rsid w:val="006C7663"/>
    <w:rsid w:val="006C76B5"/>
    <w:rsid w:val="006D0530"/>
    <w:rsid w:val="006D0613"/>
    <w:rsid w:val="006D0886"/>
    <w:rsid w:val="006D0D8D"/>
    <w:rsid w:val="006D11D5"/>
    <w:rsid w:val="006D13F5"/>
    <w:rsid w:val="006D1841"/>
    <w:rsid w:val="006D1AD9"/>
    <w:rsid w:val="006D20EA"/>
    <w:rsid w:val="006D224E"/>
    <w:rsid w:val="006D25C9"/>
    <w:rsid w:val="006D3290"/>
    <w:rsid w:val="006D3471"/>
    <w:rsid w:val="006D3BA9"/>
    <w:rsid w:val="006D409B"/>
    <w:rsid w:val="006D40C6"/>
    <w:rsid w:val="006D4243"/>
    <w:rsid w:val="006D465A"/>
    <w:rsid w:val="006D55C6"/>
    <w:rsid w:val="006D5C49"/>
    <w:rsid w:val="006D61B4"/>
    <w:rsid w:val="006D61B9"/>
    <w:rsid w:val="006D68AE"/>
    <w:rsid w:val="006D6FB3"/>
    <w:rsid w:val="006D72C8"/>
    <w:rsid w:val="006D7D68"/>
    <w:rsid w:val="006E0EA1"/>
    <w:rsid w:val="006E1390"/>
    <w:rsid w:val="006E15A8"/>
    <w:rsid w:val="006E17E4"/>
    <w:rsid w:val="006E2081"/>
    <w:rsid w:val="006E228A"/>
    <w:rsid w:val="006E2D34"/>
    <w:rsid w:val="006E34AB"/>
    <w:rsid w:val="006E3741"/>
    <w:rsid w:val="006E379A"/>
    <w:rsid w:val="006E3B64"/>
    <w:rsid w:val="006E3C31"/>
    <w:rsid w:val="006E3DAB"/>
    <w:rsid w:val="006E42F2"/>
    <w:rsid w:val="006E4391"/>
    <w:rsid w:val="006E4569"/>
    <w:rsid w:val="006E4898"/>
    <w:rsid w:val="006E4923"/>
    <w:rsid w:val="006E4B17"/>
    <w:rsid w:val="006E4B59"/>
    <w:rsid w:val="006E4C06"/>
    <w:rsid w:val="006E5744"/>
    <w:rsid w:val="006E594F"/>
    <w:rsid w:val="006E5E0F"/>
    <w:rsid w:val="006E6811"/>
    <w:rsid w:val="006E6BA5"/>
    <w:rsid w:val="006E6EFB"/>
    <w:rsid w:val="006E78DD"/>
    <w:rsid w:val="006E798E"/>
    <w:rsid w:val="006E7D2B"/>
    <w:rsid w:val="006F0A7B"/>
    <w:rsid w:val="006F0CA7"/>
    <w:rsid w:val="006F1138"/>
    <w:rsid w:val="006F1E2D"/>
    <w:rsid w:val="006F1F5D"/>
    <w:rsid w:val="006F2072"/>
    <w:rsid w:val="006F21C0"/>
    <w:rsid w:val="006F26B5"/>
    <w:rsid w:val="006F2AA1"/>
    <w:rsid w:val="006F2AB6"/>
    <w:rsid w:val="006F2CBB"/>
    <w:rsid w:val="006F306D"/>
    <w:rsid w:val="006F346F"/>
    <w:rsid w:val="006F34EC"/>
    <w:rsid w:val="006F351A"/>
    <w:rsid w:val="006F35F6"/>
    <w:rsid w:val="006F3870"/>
    <w:rsid w:val="006F3B4F"/>
    <w:rsid w:val="006F4916"/>
    <w:rsid w:val="006F4DE8"/>
    <w:rsid w:val="006F4E0C"/>
    <w:rsid w:val="006F578C"/>
    <w:rsid w:val="006F5E0A"/>
    <w:rsid w:val="006F6303"/>
    <w:rsid w:val="006F632C"/>
    <w:rsid w:val="006F6F50"/>
    <w:rsid w:val="006F70A6"/>
    <w:rsid w:val="006F72B2"/>
    <w:rsid w:val="006F7416"/>
    <w:rsid w:val="006F7657"/>
    <w:rsid w:val="006F789D"/>
    <w:rsid w:val="006F78EF"/>
    <w:rsid w:val="006F7B8F"/>
    <w:rsid w:val="006F7BF2"/>
    <w:rsid w:val="0070018D"/>
    <w:rsid w:val="007003B3"/>
    <w:rsid w:val="007009F4"/>
    <w:rsid w:val="00700A38"/>
    <w:rsid w:val="007011B0"/>
    <w:rsid w:val="00701360"/>
    <w:rsid w:val="007014F5"/>
    <w:rsid w:val="00701596"/>
    <w:rsid w:val="007019EA"/>
    <w:rsid w:val="007024A5"/>
    <w:rsid w:val="007031B9"/>
    <w:rsid w:val="00703F4D"/>
    <w:rsid w:val="007041C6"/>
    <w:rsid w:val="007047C3"/>
    <w:rsid w:val="00704A4A"/>
    <w:rsid w:val="00705066"/>
    <w:rsid w:val="0070568D"/>
    <w:rsid w:val="007056A5"/>
    <w:rsid w:val="00705A3C"/>
    <w:rsid w:val="00705D32"/>
    <w:rsid w:val="007068DB"/>
    <w:rsid w:val="00707088"/>
    <w:rsid w:val="0070717D"/>
    <w:rsid w:val="0070722C"/>
    <w:rsid w:val="007077F1"/>
    <w:rsid w:val="00707899"/>
    <w:rsid w:val="00707BBB"/>
    <w:rsid w:val="00707C5D"/>
    <w:rsid w:val="0071038D"/>
    <w:rsid w:val="007104C0"/>
    <w:rsid w:val="00710573"/>
    <w:rsid w:val="00710821"/>
    <w:rsid w:val="00710C35"/>
    <w:rsid w:val="00710EEA"/>
    <w:rsid w:val="0071175B"/>
    <w:rsid w:val="00711C69"/>
    <w:rsid w:val="00711CC7"/>
    <w:rsid w:val="00711EF1"/>
    <w:rsid w:val="00711F75"/>
    <w:rsid w:val="0071241F"/>
    <w:rsid w:val="007127C2"/>
    <w:rsid w:val="007127CF"/>
    <w:rsid w:val="00712BE8"/>
    <w:rsid w:val="00713050"/>
    <w:rsid w:val="0071345E"/>
    <w:rsid w:val="007137DA"/>
    <w:rsid w:val="00714211"/>
    <w:rsid w:val="00714A6D"/>
    <w:rsid w:val="00714F1E"/>
    <w:rsid w:val="007152AC"/>
    <w:rsid w:val="007157CA"/>
    <w:rsid w:val="00715F2B"/>
    <w:rsid w:val="007160E2"/>
    <w:rsid w:val="00716175"/>
    <w:rsid w:val="00716627"/>
    <w:rsid w:val="007167EA"/>
    <w:rsid w:val="00716933"/>
    <w:rsid w:val="00716C51"/>
    <w:rsid w:val="00716F3B"/>
    <w:rsid w:val="00717070"/>
    <w:rsid w:val="0071710C"/>
    <w:rsid w:val="0071731C"/>
    <w:rsid w:val="00717338"/>
    <w:rsid w:val="00717755"/>
    <w:rsid w:val="00717C6E"/>
    <w:rsid w:val="00720074"/>
    <w:rsid w:val="007206BD"/>
    <w:rsid w:val="0072127C"/>
    <w:rsid w:val="007217CA"/>
    <w:rsid w:val="0072204B"/>
    <w:rsid w:val="00722C10"/>
    <w:rsid w:val="00722F16"/>
    <w:rsid w:val="00723C6E"/>
    <w:rsid w:val="00723D3A"/>
    <w:rsid w:val="0072437F"/>
    <w:rsid w:val="007245BD"/>
    <w:rsid w:val="00724656"/>
    <w:rsid w:val="00724E18"/>
    <w:rsid w:val="0072565D"/>
    <w:rsid w:val="007267F2"/>
    <w:rsid w:val="00726802"/>
    <w:rsid w:val="00726984"/>
    <w:rsid w:val="0072707B"/>
    <w:rsid w:val="00727402"/>
    <w:rsid w:val="007275B2"/>
    <w:rsid w:val="00727CF4"/>
    <w:rsid w:val="007302AF"/>
    <w:rsid w:val="00730542"/>
    <w:rsid w:val="0073106C"/>
    <w:rsid w:val="00731961"/>
    <w:rsid w:val="00731B6F"/>
    <w:rsid w:val="007325E3"/>
    <w:rsid w:val="00732848"/>
    <w:rsid w:val="00732EF0"/>
    <w:rsid w:val="0073307C"/>
    <w:rsid w:val="00733D6D"/>
    <w:rsid w:val="00734226"/>
    <w:rsid w:val="007343C5"/>
    <w:rsid w:val="00734C10"/>
    <w:rsid w:val="007353D9"/>
    <w:rsid w:val="007355E5"/>
    <w:rsid w:val="007359FD"/>
    <w:rsid w:val="0073612D"/>
    <w:rsid w:val="00736615"/>
    <w:rsid w:val="0073685C"/>
    <w:rsid w:val="00737551"/>
    <w:rsid w:val="0073798A"/>
    <w:rsid w:val="00737E37"/>
    <w:rsid w:val="0074000C"/>
    <w:rsid w:val="00740185"/>
    <w:rsid w:val="00740285"/>
    <w:rsid w:val="0074058D"/>
    <w:rsid w:val="007406A3"/>
    <w:rsid w:val="0074138F"/>
    <w:rsid w:val="00741817"/>
    <w:rsid w:val="00742A7C"/>
    <w:rsid w:val="00743235"/>
    <w:rsid w:val="00743A44"/>
    <w:rsid w:val="00743BA6"/>
    <w:rsid w:val="00743D9E"/>
    <w:rsid w:val="00744129"/>
    <w:rsid w:val="00744549"/>
    <w:rsid w:val="00744925"/>
    <w:rsid w:val="00744B30"/>
    <w:rsid w:val="007452B2"/>
    <w:rsid w:val="007453B0"/>
    <w:rsid w:val="00745993"/>
    <w:rsid w:val="007465F8"/>
    <w:rsid w:val="00746730"/>
    <w:rsid w:val="00747950"/>
    <w:rsid w:val="00747958"/>
    <w:rsid w:val="00747B85"/>
    <w:rsid w:val="0075069E"/>
    <w:rsid w:val="00751162"/>
    <w:rsid w:val="007512C4"/>
    <w:rsid w:val="00751348"/>
    <w:rsid w:val="007515C2"/>
    <w:rsid w:val="00751991"/>
    <w:rsid w:val="007519F6"/>
    <w:rsid w:val="007523A5"/>
    <w:rsid w:val="0075283A"/>
    <w:rsid w:val="00752EC5"/>
    <w:rsid w:val="007532A5"/>
    <w:rsid w:val="00753584"/>
    <w:rsid w:val="007536AA"/>
    <w:rsid w:val="00753822"/>
    <w:rsid w:val="00753831"/>
    <w:rsid w:val="007538DB"/>
    <w:rsid w:val="007539E9"/>
    <w:rsid w:val="00753FF3"/>
    <w:rsid w:val="00754312"/>
    <w:rsid w:val="00754389"/>
    <w:rsid w:val="00754D73"/>
    <w:rsid w:val="00755057"/>
    <w:rsid w:val="007553AB"/>
    <w:rsid w:val="007554FC"/>
    <w:rsid w:val="00755724"/>
    <w:rsid w:val="0075573E"/>
    <w:rsid w:val="007561AE"/>
    <w:rsid w:val="007565D0"/>
    <w:rsid w:val="00756686"/>
    <w:rsid w:val="00756ABD"/>
    <w:rsid w:val="0075702E"/>
    <w:rsid w:val="007573CC"/>
    <w:rsid w:val="00757B98"/>
    <w:rsid w:val="00757E06"/>
    <w:rsid w:val="00757EB6"/>
    <w:rsid w:val="00757FFB"/>
    <w:rsid w:val="00760230"/>
    <w:rsid w:val="0076035D"/>
    <w:rsid w:val="00760550"/>
    <w:rsid w:val="007609FD"/>
    <w:rsid w:val="00760D20"/>
    <w:rsid w:val="00760D99"/>
    <w:rsid w:val="00761033"/>
    <w:rsid w:val="00761259"/>
    <w:rsid w:val="00761518"/>
    <w:rsid w:val="007615A3"/>
    <w:rsid w:val="00762155"/>
    <w:rsid w:val="007628D2"/>
    <w:rsid w:val="00762936"/>
    <w:rsid w:val="00762B84"/>
    <w:rsid w:val="0076302E"/>
    <w:rsid w:val="007636F0"/>
    <w:rsid w:val="00763FA1"/>
    <w:rsid w:val="007648CA"/>
    <w:rsid w:val="00764B50"/>
    <w:rsid w:val="00764CE9"/>
    <w:rsid w:val="00764D1B"/>
    <w:rsid w:val="00765803"/>
    <w:rsid w:val="00765E83"/>
    <w:rsid w:val="007660AD"/>
    <w:rsid w:val="00766202"/>
    <w:rsid w:val="00766F53"/>
    <w:rsid w:val="00770032"/>
    <w:rsid w:val="007700C7"/>
    <w:rsid w:val="0077072F"/>
    <w:rsid w:val="00771D0D"/>
    <w:rsid w:val="00771DF6"/>
    <w:rsid w:val="0077203E"/>
    <w:rsid w:val="007734CD"/>
    <w:rsid w:val="007734DC"/>
    <w:rsid w:val="00773827"/>
    <w:rsid w:val="00773EA7"/>
    <w:rsid w:val="0077492A"/>
    <w:rsid w:val="00774C2E"/>
    <w:rsid w:val="00774DA4"/>
    <w:rsid w:val="007753DD"/>
    <w:rsid w:val="00775530"/>
    <w:rsid w:val="0077583D"/>
    <w:rsid w:val="00776007"/>
    <w:rsid w:val="0077705A"/>
    <w:rsid w:val="007773D4"/>
    <w:rsid w:val="00777979"/>
    <w:rsid w:val="00780034"/>
    <w:rsid w:val="007803FC"/>
    <w:rsid w:val="00780A58"/>
    <w:rsid w:val="00780A5C"/>
    <w:rsid w:val="007811A3"/>
    <w:rsid w:val="00781597"/>
    <w:rsid w:val="00781932"/>
    <w:rsid w:val="00781955"/>
    <w:rsid w:val="00781B00"/>
    <w:rsid w:val="00781CD8"/>
    <w:rsid w:val="00781E50"/>
    <w:rsid w:val="00782B79"/>
    <w:rsid w:val="00783306"/>
    <w:rsid w:val="00783527"/>
    <w:rsid w:val="0078358E"/>
    <w:rsid w:val="007837A9"/>
    <w:rsid w:val="00784417"/>
    <w:rsid w:val="007848B8"/>
    <w:rsid w:val="00784956"/>
    <w:rsid w:val="00785310"/>
    <w:rsid w:val="00785748"/>
    <w:rsid w:val="00785E8E"/>
    <w:rsid w:val="007860DC"/>
    <w:rsid w:val="0078621B"/>
    <w:rsid w:val="0078680D"/>
    <w:rsid w:val="007872AD"/>
    <w:rsid w:val="00787AAD"/>
    <w:rsid w:val="00790010"/>
    <w:rsid w:val="00790075"/>
    <w:rsid w:val="007905FA"/>
    <w:rsid w:val="00790642"/>
    <w:rsid w:val="00790C07"/>
    <w:rsid w:val="00790C2A"/>
    <w:rsid w:val="00790F32"/>
    <w:rsid w:val="00791056"/>
    <w:rsid w:val="00791236"/>
    <w:rsid w:val="007914EB"/>
    <w:rsid w:val="0079154D"/>
    <w:rsid w:val="007927BD"/>
    <w:rsid w:val="00792851"/>
    <w:rsid w:val="00792B0A"/>
    <w:rsid w:val="00792EA6"/>
    <w:rsid w:val="00793DD0"/>
    <w:rsid w:val="00793F51"/>
    <w:rsid w:val="00794662"/>
    <w:rsid w:val="007946A0"/>
    <w:rsid w:val="00794DBA"/>
    <w:rsid w:val="00795B1F"/>
    <w:rsid w:val="00796656"/>
    <w:rsid w:val="00796CE4"/>
    <w:rsid w:val="007976D4"/>
    <w:rsid w:val="007978C1"/>
    <w:rsid w:val="00797A40"/>
    <w:rsid w:val="007A08A9"/>
    <w:rsid w:val="007A11A5"/>
    <w:rsid w:val="007A1399"/>
    <w:rsid w:val="007A1EA9"/>
    <w:rsid w:val="007A26DA"/>
    <w:rsid w:val="007A2C99"/>
    <w:rsid w:val="007A2E4E"/>
    <w:rsid w:val="007A325B"/>
    <w:rsid w:val="007A39C1"/>
    <w:rsid w:val="007A3C8F"/>
    <w:rsid w:val="007A3F0D"/>
    <w:rsid w:val="007A44A0"/>
    <w:rsid w:val="007A53DD"/>
    <w:rsid w:val="007A54BE"/>
    <w:rsid w:val="007A596F"/>
    <w:rsid w:val="007A59B1"/>
    <w:rsid w:val="007A5D24"/>
    <w:rsid w:val="007A6106"/>
    <w:rsid w:val="007A6520"/>
    <w:rsid w:val="007A6BEE"/>
    <w:rsid w:val="007A6DC1"/>
    <w:rsid w:val="007A7727"/>
    <w:rsid w:val="007A78E9"/>
    <w:rsid w:val="007A7AA0"/>
    <w:rsid w:val="007A7BB1"/>
    <w:rsid w:val="007B01C1"/>
    <w:rsid w:val="007B07B3"/>
    <w:rsid w:val="007B0B1F"/>
    <w:rsid w:val="007B0C5D"/>
    <w:rsid w:val="007B13AB"/>
    <w:rsid w:val="007B1A3D"/>
    <w:rsid w:val="007B1A58"/>
    <w:rsid w:val="007B22E7"/>
    <w:rsid w:val="007B2726"/>
    <w:rsid w:val="007B35DA"/>
    <w:rsid w:val="007B41B8"/>
    <w:rsid w:val="007B4265"/>
    <w:rsid w:val="007B42FD"/>
    <w:rsid w:val="007B46F4"/>
    <w:rsid w:val="007B4E87"/>
    <w:rsid w:val="007B4F5B"/>
    <w:rsid w:val="007B568D"/>
    <w:rsid w:val="007B578D"/>
    <w:rsid w:val="007B59F8"/>
    <w:rsid w:val="007B5C42"/>
    <w:rsid w:val="007B6DC2"/>
    <w:rsid w:val="007B7519"/>
    <w:rsid w:val="007B768C"/>
    <w:rsid w:val="007C0C38"/>
    <w:rsid w:val="007C0E3D"/>
    <w:rsid w:val="007C185F"/>
    <w:rsid w:val="007C1EE5"/>
    <w:rsid w:val="007C21B7"/>
    <w:rsid w:val="007C223A"/>
    <w:rsid w:val="007C2613"/>
    <w:rsid w:val="007C3798"/>
    <w:rsid w:val="007C3D10"/>
    <w:rsid w:val="007C3F5B"/>
    <w:rsid w:val="007C42C4"/>
    <w:rsid w:val="007C43ED"/>
    <w:rsid w:val="007C52C6"/>
    <w:rsid w:val="007C5839"/>
    <w:rsid w:val="007C5E9A"/>
    <w:rsid w:val="007C6573"/>
    <w:rsid w:val="007C6A46"/>
    <w:rsid w:val="007C6AB3"/>
    <w:rsid w:val="007C6C29"/>
    <w:rsid w:val="007C7245"/>
    <w:rsid w:val="007C786B"/>
    <w:rsid w:val="007C7CD9"/>
    <w:rsid w:val="007D009A"/>
    <w:rsid w:val="007D0735"/>
    <w:rsid w:val="007D0990"/>
    <w:rsid w:val="007D1784"/>
    <w:rsid w:val="007D1A82"/>
    <w:rsid w:val="007D1AAE"/>
    <w:rsid w:val="007D249B"/>
    <w:rsid w:val="007D2AAD"/>
    <w:rsid w:val="007D306B"/>
    <w:rsid w:val="007D31F3"/>
    <w:rsid w:val="007D34CA"/>
    <w:rsid w:val="007D387D"/>
    <w:rsid w:val="007D45C2"/>
    <w:rsid w:val="007D4738"/>
    <w:rsid w:val="007D48F4"/>
    <w:rsid w:val="007D4EC0"/>
    <w:rsid w:val="007D50A3"/>
    <w:rsid w:val="007D5A1C"/>
    <w:rsid w:val="007D67FB"/>
    <w:rsid w:val="007D6A27"/>
    <w:rsid w:val="007D6A91"/>
    <w:rsid w:val="007D6B6A"/>
    <w:rsid w:val="007D6F07"/>
    <w:rsid w:val="007D71CB"/>
    <w:rsid w:val="007D7938"/>
    <w:rsid w:val="007E0097"/>
    <w:rsid w:val="007E02BE"/>
    <w:rsid w:val="007E0980"/>
    <w:rsid w:val="007E12CF"/>
    <w:rsid w:val="007E15E2"/>
    <w:rsid w:val="007E1C62"/>
    <w:rsid w:val="007E21B6"/>
    <w:rsid w:val="007E2F63"/>
    <w:rsid w:val="007E314E"/>
    <w:rsid w:val="007E317F"/>
    <w:rsid w:val="007E3C64"/>
    <w:rsid w:val="007E42E7"/>
    <w:rsid w:val="007E480B"/>
    <w:rsid w:val="007E547E"/>
    <w:rsid w:val="007E57DA"/>
    <w:rsid w:val="007E59F7"/>
    <w:rsid w:val="007E6E24"/>
    <w:rsid w:val="007E7147"/>
    <w:rsid w:val="007F045E"/>
    <w:rsid w:val="007F08E9"/>
    <w:rsid w:val="007F0DC6"/>
    <w:rsid w:val="007F0F7C"/>
    <w:rsid w:val="007F14F1"/>
    <w:rsid w:val="007F15DA"/>
    <w:rsid w:val="007F15F2"/>
    <w:rsid w:val="007F1B22"/>
    <w:rsid w:val="007F1FCD"/>
    <w:rsid w:val="007F22A6"/>
    <w:rsid w:val="007F236E"/>
    <w:rsid w:val="007F2684"/>
    <w:rsid w:val="007F29E9"/>
    <w:rsid w:val="007F2EDB"/>
    <w:rsid w:val="007F305D"/>
    <w:rsid w:val="007F31C0"/>
    <w:rsid w:val="007F34C4"/>
    <w:rsid w:val="007F36FD"/>
    <w:rsid w:val="007F38EF"/>
    <w:rsid w:val="007F3C17"/>
    <w:rsid w:val="007F3E6E"/>
    <w:rsid w:val="007F432B"/>
    <w:rsid w:val="007F4CFE"/>
    <w:rsid w:val="007F5A66"/>
    <w:rsid w:val="007F5A87"/>
    <w:rsid w:val="007F5D94"/>
    <w:rsid w:val="007F676A"/>
    <w:rsid w:val="007F6A12"/>
    <w:rsid w:val="007F6A6F"/>
    <w:rsid w:val="007F6B5C"/>
    <w:rsid w:val="007F6BCF"/>
    <w:rsid w:val="007F6D26"/>
    <w:rsid w:val="007F77B5"/>
    <w:rsid w:val="007F780C"/>
    <w:rsid w:val="007F7F46"/>
    <w:rsid w:val="00800139"/>
    <w:rsid w:val="008002C6"/>
    <w:rsid w:val="008003F6"/>
    <w:rsid w:val="00801445"/>
    <w:rsid w:val="00801702"/>
    <w:rsid w:val="00801936"/>
    <w:rsid w:val="00801962"/>
    <w:rsid w:val="00802293"/>
    <w:rsid w:val="00802E71"/>
    <w:rsid w:val="00802F0E"/>
    <w:rsid w:val="00803028"/>
    <w:rsid w:val="008032B0"/>
    <w:rsid w:val="00803B8E"/>
    <w:rsid w:val="0080420E"/>
    <w:rsid w:val="00804803"/>
    <w:rsid w:val="008048C5"/>
    <w:rsid w:val="0080496A"/>
    <w:rsid w:val="0080570E"/>
    <w:rsid w:val="00805765"/>
    <w:rsid w:val="00805E0D"/>
    <w:rsid w:val="0080636B"/>
    <w:rsid w:val="00806582"/>
    <w:rsid w:val="008065B2"/>
    <w:rsid w:val="0080700C"/>
    <w:rsid w:val="00807490"/>
    <w:rsid w:val="00807CEC"/>
    <w:rsid w:val="008108AA"/>
    <w:rsid w:val="008109DB"/>
    <w:rsid w:val="00810D88"/>
    <w:rsid w:val="00810DF1"/>
    <w:rsid w:val="0081138B"/>
    <w:rsid w:val="00811BB9"/>
    <w:rsid w:val="00811BEA"/>
    <w:rsid w:val="00812064"/>
    <w:rsid w:val="008122EA"/>
    <w:rsid w:val="008125E2"/>
    <w:rsid w:val="00812A6C"/>
    <w:rsid w:val="00812AA6"/>
    <w:rsid w:val="00812B17"/>
    <w:rsid w:val="00812D8B"/>
    <w:rsid w:val="00812F0F"/>
    <w:rsid w:val="008139AD"/>
    <w:rsid w:val="008140D5"/>
    <w:rsid w:val="00814549"/>
    <w:rsid w:val="00814669"/>
    <w:rsid w:val="0081495E"/>
    <w:rsid w:val="00814AB4"/>
    <w:rsid w:val="00814BE5"/>
    <w:rsid w:val="00814D7A"/>
    <w:rsid w:val="00814E07"/>
    <w:rsid w:val="00815141"/>
    <w:rsid w:val="0081665A"/>
    <w:rsid w:val="0081675B"/>
    <w:rsid w:val="00816E7D"/>
    <w:rsid w:val="00817214"/>
    <w:rsid w:val="00817222"/>
    <w:rsid w:val="0081783D"/>
    <w:rsid w:val="00820130"/>
    <w:rsid w:val="00820585"/>
    <w:rsid w:val="008206D7"/>
    <w:rsid w:val="008207A7"/>
    <w:rsid w:val="00820C26"/>
    <w:rsid w:val="008212AB"/>
    <w:rsid w:val="00821C63"/>
    <w:rsid w:val="00821E10"/>
    <w:rsid w:val="008224C8"/>
    <w:rsid w:val="008227EA"/>
    <w:rsid w:val="008229E6"/>
    <w:rsid w:val="00822D4D"/>
    <w:rsid w:val="0082327C"/>
    <w:rsid w:val="0082343A"/>
    <w:rsid w:val="0082357F"/>
    <w:rsid w:val="00823EEB"/>
    <w:rsid w:val="00823EF1"/>
    <w:rsid w:val="00824423"/>
    <w:rsid w:val="008249DA"/>
    <w:rsid w:val="00824B72"/>
    <w:rsid w:val="00824CA2"/>
    <w:rsid w:val="00825630"/>
    <w:rsid w:val="00825EBE"/>
    <w:rsid w:val="00826070"/>
    <w:rsid w:val="0082610F"/>
    <w:rsid w:val="0082614E"/>
    <w:rsid w:val="00826BE7"/>
    <w:rsid w:val="008273AE"/>
    <w:rsid w:val="0082791D"/>
    <w:rsid w:val="00827CC7"/>
    <w:rsid w:val="008305AD"/>
    <w:rsid w:val="008307F5"/>
    <w:rsid w:val="00831122"/>
    <w:rsid w:val="00831598"/>
    <w:rsid w:val="00831628"/>
    <w:rsid w:val="0083178F"/>
    <w:rsid w:val="00831CED"/>
    <w:rsid w:val="00832616"/>
    <w:rsid w:val="008327E5"/>
    <w:rsid w:val="00832986"/>
    <w:rsid w:val="008334CE"/>
    <w:rsid w:val="00833B10"/>
    <w:rsid w:val="00833CBD"/>
    <w:rsid w:val="00834765"/>
    <w:rsid w:val="00834852"/>
    <w:rsid w:val="00834D36"/>
    <w:rsid w:val="008354DF"/>
    <w:rsid w:val="00835B26"/>
    <w:rsid w:val="00835B8F"/>
    <w:rsid w:val="00836171"/>
    <w:rsid w:val="00836308"/>
    <w:rsid w:val="00836342"/>
    <w:rsid w:val="00836474"/>
    <w:rsid w:val="0083689A"/>
    <w:rsid w:val="00836DCF"/>
    <w:rsid w:val="00836DD1"/>
    <w:rsid w:val="00836F32"/>
    <w:rsid w:val="00837550"/>
    <w:rsid w:val="008378E9"/>
    <w:rsid w:val="00837CF8"/>
    <w:rsid w:val="00837F45"/>
    <w:rsid w:val="0084009C"/>
    <w:rsid w:val="008402CD"/>
    <w:rsid w:val="008404A8"/>
    <w:rsid w:val="008405C0"/>
    <w:rsid w:val="00840A81"/>
    <w:rsid w:val="0084119E"/>
    <w:rsid w:val="0084159B"/>
    <w:rsid w:val="008419CE"/>
    <w:rsid w:val="0084213A"/>
    <w:rsid w:val="00842650"/>
    <w:rsid w:val="00842A29"/>
    <w:rsid w:val="008436FF"/>
    <w:rsid w:val="00844168"/>
    <w:rsid w:val="00844879"/>
    <w:rsid w:val="00844BA3"/>
    <w:rsid w:val="0084526F"/>
    <w:rsid w:val="00845751"/>
    <w:rsid w:val="008457CA"/>
    <w:rsid w:val="00845B6E"/>
    <w:rsid w:val="0084636A"/>
    <w:rsid w:val="0084637A"/>
    <w:rsid w:val="008464C3"/>
    <w:rsid w:val="00846FCE"/>
    <w:rsid w:val="008477F7"/>
    <w:rsid w:val="00847A0F"/>
    <w:rsid w:val="00847EB6"/>
    <w:rsid w:val="00850026"/>
    <w:rsid w:val="00850548"/>
    <w:rsid w:val="008507E6"/>
    <w:rsid w:val="008509C9"/>
    <w:rsid w:val="008510CB"/>
    <w:rsid w:val="00851C6B"/>
    <w:rsid w:val="00852383"/>
    <w:rsid w:val="00852ECE"/>
    <w:rsid w:val="008534ED"/>
    <w:rsid w:val="00853AFB"/>
    <w:rsid w:val="00853B2D"/>
    <w:rsid w:val="00853D0C"/>
    <w:rsid w:val="00854107"/>
    <w:rsid w:val="00854190"/>
    <w:rsid w:val="00854194"/>
    <w:rsid w:val="00854481"/>
    <w:rsid w:val="0085459B"/>
    <w:rsid w:val="008549FC"/>
    <w:rsid w:val="00854DBE"/>
    <w:rsid w:val="00854F91"/>
    <w:rsid w:val="00855529"/>
    <w:rsid w:val="008558D5"/>
    <w:rsid w:val="008560FB"/>
    <w:rsid w:val="00856223"/>
    <w:rsid w:val="00856776"/>
    <w:rsid w:val="00856B49"/>
    <w:rsid w:val="00857571"/>
    <w:rsid w:val="0085792F"/>
    <w:rsid w:val="00857946"/>
    <w:rsid w:val="0085796A"/>
    <w:rsid w:val="00857DEA"/>
    <w:rsid w:val="00860254"/>
    <w:rsid w:val="0086030B"/>
    <w:rsid w:val="00860CEA"/>
    <w:rsid w:val="00860E43"/>
    <w:rsid w:val="0086146D"/>
    <w:rsid w:val="008618FC"/>
    <w:rsid w:val="00861991"/>
    <w:rsid w:val="008626FC"/>
    <w:rsid w:val="008628CA"/>
    <w:rsid w:val="008628FA"/>
    <w:rsid w:val="00863025"/>
    <w:rsid w:val="008633F1"/>
    <w:rsid w:val="00863833"/>
    <w:rsid w:val="00863C38"/>
    <w:rsid w:val="00864106"/>
    <w:rsid w:val="00864591"/>
    <w:rsid w:val="008645A2"/>
    <w:rsid w:val="00864BCE"/>
    <w:rsid w:val="00864F74"/>
    <w:rsid w:val="00865301"/>
    <w:rsid w:val="00865381"/>
    <w:rsid w:val="008656C4"/>
    <w:rsid w:val="008656EF"/>
    <w:rsid w:val="00865AEC"/>
    <w:rsid w:val="00865B01"/>
    <w:rsid w:val="00865E8F"/>
    <w:rsid w:val="00866091"/>
    <w:rsid w:val="0086617B"/>
    <w:rsid w:val="008665F7"/>
    <w:rsid w:val="008667E2"/>
    <w:rsid w:val="00866A0D"/>
    <w:rsid w:val="00867727"/>
    <w:rsid w:val="00867890"/>
    <w:rsid w:val="008678C3"/>
    <w:rsid w:val="0087017F"/>
    <w:rsid w:val="0087029C"/>
    <w:rsid w:val="008705E6"/>
    <w:rsid w:val="00870640"/>
    <w:rsid w:val="008706C1"/>
    <w:rsid w:val="00870F74"/>
    <w:rsid w:val="0087124D"/>
    <w:rsid w:val="008715EE"/>
    <w:rsid w:val="008723AE"/>
    <w:rsid w:val="008732C3"/>
    <w:rsid w:val="00873421"/>
    <w:rsid w:val="00873890"/>
    <w:rsid w:val="00873946"/>
    <w:rsid w:val="00873ABA"/>
    <w:rsid w:val="00873BCC"/>
    <w:rsid w:val="00874CDE"/>
    <w:rsid w:val="00874F25"/>
    <w:rsid w:val="008753F2"/>
    <w:rsid w:val="00875E4F"/>
    <w:rsid w:val="00876FFA"/>
    <w:rsid w:val="00880256"/>
    <w:rsid w:val="00880284"/>
    <w:rsid w:val="008802EC"/>
    <w:rsid w:val="00880329"/>
    <w:rsid w:val="00880D8B"/>
    <w:rsid w:val="00880FE2"/>
    <w:rsid w:val="00881083"/>
    <w:rsid w:val="008819C3"/>
    <w:rsid w:val="00881AB2"/>
    <w:rsid w:val="0088255E"/>
    <w:rsid w:val="00882963"/>
    <w:rsid w:val="00882FA5"/>
    <w:rsid w:val="008831F7"/>
    <w:rsid w:val="0088359C"/>
    <w:rsid w:val="00883E4F"/>
    <w:rsid w:val="008841AD"/>
    <w:rsid w:val="00884635"/>
    <w:rsid w:val="00884C3C"/>
    <w:rsid w:val="00884FF6"/>
    <w:rsid w:val="008850E6"/>
    <w:rsid w:val="00885228"/>
    <w:rsid w:val="00885793"/>
    <w:rsid w:val="00885AFE"/>
    <w:rsid w:val="008861A9"/>
    <w:rsid w:val="00887005"/>
    <w:rsid w:val="00887033"/>
    <w:rsid w:val="00887C9F"/>
    <w:rsid w:val="0089089E"/>
    <w:rsid w:val="0089090E"/>
    <w:rsid w:val="00890B1A"/>
    <w:rsid w:val="00890B55"/>
    <w:rsid w:val="0089121F"/>
    <w:rsid w:val="008916D8"/>
    <w:rsid w:val="008918FC"/>
    <w:rsid w:val="00891D23"/>
    <w:rsid w:val="00891D74"/>
    <w:rsid w:val="00892005"/>
    <w:rsid w:val="008922A1"/>
    <w:rsid w:val="00893097"/>
    <w:rsid w:val="008930EC"/>
    <w:rsid w:val="00893406"/>
    <w:rsid w:val="008938BA"/>
    <w:rsid w:val="00893FE6"/>
    <w:rsid w:val="008943F0"/>
    <w:rsid w:val="00894600"/>
    <w:rsid w:val="00894C53"/>
    <w:rsid w:val="00894C62"/>
    <w:rsid w:val="00895F36"/>
    <w:rsid w:val="00896300"/>
    <w:rsid w:val="0089649E"/>
    <w:rsid w:val="00896C82"/>
    <w:rsid w:val="008975B4"/>
    <w:rsid w:val="00897B79"/>
    <w:rsid w:val="008A014B"/>
    <w:rsid w:val="008A104E"/>
    <w:rsid w:val="008A1157"/>
    <w:rsid w:val="008A1592"/>
    <w:rsid w:val="008A17F0"/>
    <w:rsid w:val="008A1AD3"/>
    <w:rsid w:val="008A1C86"/>
    <w:rsid w:val="008A214A"/>
    <w:rsid w:val="008A30A8"/>
    <w:rsid w:val="008A3858"/>
    <w:rsid w:val="008A38A0"/>
    <w:rsid w:val="008A4451"/>
    <w:rsid w:val="008A4C00"/>
    <w:rsid w:val="008A4FAB"/>
    <w:rsid w:val="008A51A5"/>
    <w:rsid w:val="008A5BE8"/>
    <w:rsid w:val="008A604F"/>
    <w:rsid w:val="008A63BF"/>
    <w:rsid w:val="008A6769"/>
    <w:rsid w:val="008A687E"/>
    <w:rsid w:val="008A6AB1"/>
    <w:rsid w:val="008A6C04"/>
    <w:rsid w:val="008A6CBD"/>
    <w:rsid w:val="008A6CF5"/>
    <w:rsid w:val="008A7C9F"/>
    <w:rsid w:val="008B0528"/>
    <w:rsid w:val="008B0D5B"/>
    <w:rsid w:val="008B1167"/>
    <w:rsid w:val="008B1580"/>
    <w:rsid w:val="008B1B47"/>
    <w:rsid w:val="008B2560"/>
    <w:rsid w:val="008B2A90"/>
    <w:rsid w:val="008B2D77"/>
    <w:rsid w:val="008B34E4"/>
    <w:rsid w:val="008B380B"/>
    <w:rsid w:val="008B392E"/>
    <w:rsid w:val="008B3D67"/>
    <w:rsid w:val="008B3D73"/>
    <w:rsid w:val="008B4325"/>
    <w:rsid w:val="008B457C"/>
    <w:rsid w:val="008B4CA5"/>
    <w:rsid w:val="008B53FE"/>
    <w:rsid w:val="008B5954"/>
    <w:rsid w:val="008B5E73"/>
    <w:rsid w:val="008B61A1"/>
    <w:rsid w:val="008B6413"/>
    <w:rsid w:val="008B6FF9"/>
    <w:rsid w:val="008B73E0"/>
    <w:rsid w:val="008B7885"/>
    <w:rsid w:val="008B7D39"/>
    <w:rsid w:val="008C013F"/>
    <w:rsid w:val="008C103F"/>
    <w:rsid w:val="008C1820"/>
    <w:rsid w:val="008C18FD"/>
    <w:rsid w:val="008C23BD"/>
    <w:rsid w:val="008C25EA"/>
    <w:rsid w:val="008C29F0"/>
    <w:rsid w:val="008C2D23"/>
    <w:rsid w:val="008C305F"/>
    <w:rsid w:val="008C3522"/>
    <w:rsid w:val="008C41F4"/>
    <w:rsid w:val="008C51CD"/>
    <w:rsid w:val="008C5435"/>
    <w:rsid w:val="008C55CF"/>
    <w:rsid w:val="008C5645"/>
    <w:rsid w:val="008C5ADD"/>
    <w:rsid w:val="008C6A31"/>
    <w:rsid w:val="008C6EC6"/>
    <w:rsid w:val="008C736F"/>
    <w:rsid w:val="008C76B8"/>
    <w:rsid w:val="008C79B4"/>
    <w:rsid w:val="008C7F90"/>
    <w:rsid w:val="008D00B5"/>
    <w:rsid w:val="008D0180"/>
    <w:rsid w:val="008D0721"/>
    <w:rsid w:val="008D09A9"/>
    <w:rsid w:val="008D0A55"/>
    <w:rsid w:val="008D151F"/>
    <w:rsid w:val="008D1FBA"/>
    <w:rsid w:val="008D2053"/>
    <w:rsid w:val="008D24E0"/>
    <w:rsid w:val="008D25E2"/>
    <w:rsid w:val="008D2A30"/>
    <w:rsid w:val="008D2A96"/>
    <w:rsid w:val="008D2AFD"/>
    <w:rsid w:val="008D2D29"/>
    <w:rsid w:val="008D2EA8"/>
    <w:rsid w:val="008D30A8"/>
    <w:rsid w:val="008D33AB"/>
    <w:rsid w:val="008D3622"/>
    <w:rsid w:val="008D3665"/>
    <w:rsid w:val="008D3A8A"/>
    <w:rsid w:val="008D4119"/>
    <w:rsid w:val="008D443F"/>
    <w:rsid w:val="008D4D50"/>
    <w:rsid w:val="008D4EBA"/>
    <w:rsid w:val="008D62D9"/>
    <w:rsid w:val="008D6F83"/>
    <w:rsid w:val="008D7AA7"/>
    <w:rsid w:val="008D7EA6"/>
    <w:rsid w:val="008E0319"/>
    <w:rsid w:val="008E0862"/>
    <w:rsid w:val="008E0BDA"/>
    <w:rsid w:val="008E0F13"/>
    <w:rsid w:val="008E11B4"/>
    <w:rsid w:val="008E134C"/>
    <w:rsid w:val="008E17AF"/>
    <w:rsid w:val="008E1BD8"/>
    <w:rsid w:val="008E1D1C"/>
    <w:rsid w:val="008E2314"/>
    <w:rsid w:val="008E273D"/>
    <w:rsid w:val="008E2779"/>
    <w:rsid w:val="008E2920"/>
    <w:rsid w:val="008E3E9D"/>
    <w:rsid w:val="008E3FF4"/>
    <w:rsid w:val="008E467A"/>
    <w:rsid w:val="008E534C"/>
    <w:rsid w:val="008E5559"/>
    <w:rsid w:val="008E5908"/>
    <w:rsid w:val="008E5967"/>
    <w:rsid w:val="008E5C91"/>
    <w:rsid w:val="008E5DFE"/>
    <w:rsid w:val="008E5F91"/>
    <w:rsid w:val="008E6133"/>
    <w:rsid w:val="008E647A"/>
    <w:rsid w:val="008E69D2"/>
    <w:rsid w:val="008E6B02"/>
    <w:rsid w:val="008E6B39"/>
    <w:rsid w:val="008E6FD6"/>
    <w:rsid w:val="008E70E9"/>
    <w:rsid w:val="008E75CD"/>
    <w:rsid w:val="008E7B74"/>
    <w:rsid w:val="008E7BAC"/>
    <w:rsid w:val="008E7CA7"/>
    <w:rsid w:val="008E7CB6"/>
    <w:rsid w:val="008E7CEF"/>
    <w:rsid w:val="008F06A4"/>
    <w:rsid w:val="008F0A40"/>
    <w:rsid w:val="008F0B73"/>
    <w:rsid w:val="008F1369"/>
    <w:rsid w:val="008F1CA2"/>
    <w:rsid w:val="008F1CFF"/>
    <w:rsid w:val="008F2100"/>
    <w:rsid w:val="008F2829"/>
    <w:rsid w:val="008F2F55"/>
    <w:rsid w:val="008F305B"/>
    <w:rsid w:val="008F36B8"/>
    <w:rsid w:val="008F499F"/>
    <w:rsid w:val="008F4A92"/>
    <w:rsid w:val="008F4CDE"/>
    <w:rsid w:val="008F4D7B"/>
    <w:rsid w:val="008F5B73"/>
    <w:rsid w:val="008F604D"/>
    <w:rsid w:val="008F60CD"/>
    <w:rsid w:val="008F6249"/>
    <w:rsid w:val="008F64E5"/>
    <w:rsid w:val="008F7053"/>
    <w:rsid w:val="008F79BE"/>
    <w:rsid w:val="008F79F0"/>
    <w:rsid w:val="0090004E"/>
    <w:rsid w:val="009010F9"/>
    <w:rsid w:val="0090129C"/>
    <w:rsid w:val="00903328"/>
    <w:rsid w:val="009036A8"/>
    <w:rsid w:val="00903B09"/>
    <w:rsid w:val="009048F0"/>
    <w:rsid w:val="00904CBF"/>
    <w:rsid w:val="00904FE3"/>
    <w:rsid w:val="0090508B"/>
    <w:rsid w:val="00905885"/>
    <w:rsid w:val="00905F50"/>
    <w:rsid w:val="0090605D"/>
    <w:rsid w:val="00906AF9"/>
    <w:rsid w:val="00907220"/>
    <w:rsid w:val="00907297"/>
    <w:rsid w:val="00907326"/>
    <w:rsid w:val="00907933"/>
    <w:rsid w:val="00910263"/>
    <w:rsid w:val="00910421"/>
    <w:rsid w:val="00910574"/>
    <w:rsid w:val="00910F74"/>
    <w:rsid w:val="00911135"/>
    <w:rsid w:val="009111E9"/>
    <w:rsid w:val="009117EB"/>
    <w:rsid w:val="00911B5E"/>
    <w:rsid w:val="0091219C"/>
    <w:rsid w:val="00912901"/>
    <w:rsid w:val="00912945"/>
    <w:rsid w:val="00912C67"/>
    <w:rsid w:val="009131C4"/>
    <w:rsid w:val="0091354A"/>
    <w:rsid w:val="00913727"/>
    <w:rsid w:val="00913F7F"/>
    <w:rsid w:val="00914BEE"/>
    <w:rsid w:val="00914F10"/>
    <w:rsid w:val="00915624"/>
    <w:rsid w:val="0091562F"/>
    <w:rsid w:val="0091626D"/>
    <w:rsid w:val="0091655A"/>
    <w:rsid w:val="00916A5C"/>
    <w:rsid w:val="00916A7F"/>
    <w:rsid w:val="00916BF5"/>
    <w:rsid w:val="00920125"/>
    <w:rsid w:val="0092024D"/>
    <w:rsid w:val="00920559"/>
    <w:rsid w:val="00920C0A"/>
    <w:rsid w:val="00920C3A"/>
    <w:rsid w:val="00921179"/>
    <w:rsid w:val="00921BF7"/>
    <w:rsid w:val="0092226C"/>
    <w:rsid w:val="009230CE"/>
    <w:rsid w:val="0092340D"/>
    <w:rsid w:val="009237CA"/>
    <w:rsid w:val="00923A8A"/>
    <w:rsid w:val="00923D23"/>
    <w:rsid w:val="00923F3F"/>
    <w:rsid w:val="00924146"/>
    <w:rsid w:val="00924452"/>
    <w:rsid w:val="009249B2"/>
    <w:rsid w:val="009259CD"/>
    <w:rsid w:val="009266AD"/>
    <w:rsid w:val="00926C3D"/>
    <w:rsid w:val="00927011"/>
    <w:rsid w:val="0092766F"/>
    <w:rsid w:val="00927A83"/>
    <w:rsid w:val="00927B47"/>
    <w:rsid w:val="0093009C"/>
    <w:rsid w:val="009313D6"/>
    <w:rsid w:val="0093156F"/>
    <w:rsid w:val="009316FA"/>
    <w:rsid w:val="00931999"/>
    <w:rsid w:val="00931DB7"/>
    <w:rsid w:val="00931E3B"/>
    <w:rsid w:val="009321E9"/>
    <w:rsid w:val="009324E0"/>
    <w:rsid w:val="00932956"/>
    <w:rsid w:val="00932DC8"/>
    <w:rsid w:val="00932E68"/>
    <w:rsid w:val="0093309D"/>
    <w:rsid w:val="00933219"/>
    <w:rsid w:val="00933F6B"/>
    <w:rsid w:val="00934A6C"/>
    <w:rsid w:val="00934B1E"/>
    <w:rsid w:val="00934F66"/>
    <w:rsid w:val="00935A5F"/>
    <w:rsid w:val="00935CAF"/>
    <w:rsid w:val="00935EDA"/>
    <w:rsid w:val="0093645F"/>
    <w:rsid w:val="00936B4B"/>
    <w:rsid w:val="00936F6A"/>
    <w:rsid w:val="00937436"/>
    <w:rsid w:val="0094023F"/>
    <w:rsid w:val="00940919"/>
    <w:rsid w:val="009412F2"/>
    <w:rsid w:val="00941760"/>
    <w:rsid w:val="00941D46"/>
    <w:rsid w:val="00941DE9"/>
    <w:rsid w:val="00942059"/>
    <w:rsid w:val="00942392"/>
    <w:rsid w:val="009428BA"/>
    <w:rsid w:val="009430F8"/>
    <w:rsid w:val="00943247"/>
    <w:rsid w:val="0094350D"/>
    <w:rsid w:val="00943995"/>
    <w:rsid w:val="00943F1F"/>
    <w:rsid w:val="0094476D"/>
    <w:rsid w:val="00944F15"/>
    <w:rsid w:val="00945033"/>
    <w:rsid w:val="00945073"/>
    <w:rsid w:val="00945519"/>
    <w:rsid w:val="00945ADF"/>
    <w:rsid w:val="00945BFC"/>
    <w:rsid w:val="0094638C"/>
    <w:rsid w:val="0094765E"/>
    <w:rsid w:val="00947EBF"/>
    <w:rsid w:val="009502B1"/>
    <w:rsid w:val="0095038B"/>
    <w:rsid w:val="00950B66"/>
    <w:rsid w:val="00951A68"/>
    <w:rsid w:val="00951D29"/>
    <w:rsid w:val="00951F47"/>
    <w:rsid w:val="00952227"/>
    <w:rsid w:val="00952635"/>
    <w:rsid w:val="00953179"/>
    <w:rsid w:val="0095317A"/>
    <w:rsid w:val="00953653"/>
    <w:rsid w:val="00953776"/>
    <w:rsid w:val="00953D4B"/>
    <w:rsid w:val="00953EBB"/>
    <w:rsid w:val="00953FB6"/>
    <w:rsid w:val="0095468F"/>
    <w:rsid w:val="00954F61"/>
    <w:rsid w:val="00955A97"/>
    <w:rsid w:val="00955E1F"/>
    <w:rsid w:val="00956279"/>
    <w:rsid w:val="0095651A"/>
    <w:rsid w:val="0095657C"/>
    <w:rsid w:val="009565CA"/>
    <w:rsid w:val="00956E0E"/>
    <w:rsid w:val="0095720E"/>
    <w:rsid w:val="009577B3"/>
    <w:rsid w:val="00960480"/>
    <w:rsid w:val="00960960"/>
    <w:rsid w:val="00960BDD"/>
    <w:rsid w:val="00960D57"/>
    <w:rsid w:val="009611A4"/>
    <w:rsid w:val="00961BD9"/>
    <w:rsid w:val="00961CA6"/>
    <w:rsid w:val="0096218F"/>
    <w:rsid w:val="00962876"/>
    <w:rsid w:val="00962ABF"/>
    <w:rsid w:val="009632EA"/>
    <w:rsid w:val="00963305"/>
    <w:rsid w:val="009636B9"/>
    <w:rsid w:val="00963D43"/>
    <w:rsid w:val="00963DF0"/>
    <w:rsid w:val="00963EE8"/>
    <w:rsid w:val="00964348"/>
    <w:rsid w:val="00964CE2"/>
    <w:rsid w:val="00964D3E"/>
    <w:rsid w:val="00964D4F"/>
    <w:rsid w:val="00964EDC"/>
    <w:rsid w:val="0096570A"/>
    <w:rsid w:val="0096597E"/>
    <w:rsid w:val="00965FE4"/>
    <w:rsid w:val="009665FF"/>
    <w:rsid w:val="0096687C"/>
    <w:rsid w:val="00966A21"/>
    <w:rsid w:val="00967346"/>
    <w:rsid w:val="00967BC2"/>
    <w:rsid w:val="00970075"/>
    <w:rsid w:val="009700D6"/>
    <w:rsid w:val="009700FB"/>
    <w:rsid w:val="009703EA"/>
    <w:rsid w:val="00970DB7"/>
    <w:rsid w:val="00971118"/>
    <w:rsid w:val="0097125F"/>
    <w:rsid w:val="009717B3"/>
    <w:rsid w:val="009718D9"/>
    <w:rsid w:val="00972033"/>
    <w:rsid w:val="009722BA"/>
    <w:rsid w:val="00972449"/>
    <w:rsid w:val="00972EE1"/>
    <w:rsid w:val="00973051"/>
    <w:rsid w:val="0097306D"/>
    <w:rsid w:val="0097360B"/>
    <w:rsid w:val="0097386E"/>
    <w:rsid w:val="009738EC"/>
    <w:rsid w:val="00973E52"/>
    <w:rsid w:val="00974495"/>
    <w:rsid w:val="009744F7"/>
    <w:rsid w:val="00974D79"/>
    <w:rsid w:val="00975093"/>
    <w:rsid w:val="009757BA"/>
    <w:rsid w:val="009765C0"/>
    <w:rsid w:val="009766E7"/>
    <w:rsid w:val="009766EB"/>
    <w:rsid w:val="00976757"/>
    <w:rsid w:val="009769B2"/>
    <w:rsid w:val="00976D68"/>
    <w:rsid w:val="00976DFB"/>
    <w:rsid w:val="009777C1"/>
    <w:rsid w:val="009779F4"/>
    <w:rsid w:val="00977F1B"/>
    <w:rsid w:val="00980013"/>
    <w:rsid w:val="0098179A"/>
    <w:rsid w:val="0098209F"/>
    <w:rsid w:val="009825CA"/>
    <w:rsid w:val="00982967"/>
    <w:rsid w:val="00983817"/>
    <w:rsid w:val="00983C71"/>
    <w:rsid w:val="00983E46"/>
    <w:rsid w:val="009846F7"/>
    <w:rsid w:val="009848DB"/>
    <w:rsid w:val="009853A2"/>
    <w:rsid w:val="00985462"/>
    <w:rsid w:val="0098587E"/>
    <w:rsid w:val="0098591D"/>
    <w:rsid w:val="00985BEA"/>
    <w:rsid w:val="00985D9E"/>
    <w:rsid w:val="00986154"/>
    <w:rsid w:val="009871C9"/>
    <w:rsid w:val="0098763B"/>
    <w:rsid w:val="0098793C"/>
    <w:rsid w:val="00987BA3"/>
    <w:rsid w:val="0099012D"/>
    <w:rsid w:val="009909B8"/>
    <w:rsid w:val="00990F73"/>
    <w:rsid w:val="0099143D"/>
    <w:rsid w:val="00991AA3"/>
    <w:rsid w:val="009921E6"/>
    <w:rsid w:val="00992374"/>
    <w:rsid w:val="00992431"/>
    <w:rsid w:val="0099270F"/>
    <w:rsid w:val="009929B6"/>
    <w:rsid w:val="00992B01"/>
    <w:rsid w:val="00993053"/>
    <w:rsid w:val="0099333A"/>
    <w:rsid w:val="00993D03"/>
    <w:rsid w:val="00993F46"/>
    <w:rsid w:val="00994301"/>
    <w:rsid w:val="0099486C"/>
    <w:rsid w:val="009948C4"/>
    <w:rsid w:val="009951C0"/>
    <w:rsid w:val="00995713"/>
    <w:rsid w:val="00995B91"/>
    <w:rsid w:val="009967F3"/>
    <w:rsid w:val="009969AE"/>
    <w:rsid w:val="00996C9B"/>
    <w:rsid w:val="00996D24"/>
    <w:rsid w:val="009971AF"/>
    <w:rsid w:val="009977EF"/>
    <w:rsid w:val="009A0606"/>
    <w:rsid w:val="009A0671"/>
    <w:rsid w:val="009A0A8C"/>
    <w:rsid w:val="009A0AFE"/>
    <w:rsid w:val="009A0C34"/>
    <w:rsid w:val="009A0FBF"/>
    <w:rsid w:val="009A1430"/>
    <w:rsid w:val="009A2397"/>
    <w:rsid w:val="009A23EC"/>
    <w:rsid w:val="009A2A0F"/>
    <w:rsid w:val="009A2BA0"/>
    <w:rsid w:val="009A2C67"/>
    <w:rsid w:val="009A3482"/>
    <w:rsid w:val="009A3EF7"/>
    <w:rsid w:val="009A4077"/>
    <w:rsid w:val="009A4D3B"/>
    <w:rsid w:val="009A5A69"/>
    <w:rsid w:val="009A655A"/>
    <w:rsid w:val="009A67FC"/>
    <w:rsid w:val="009A6AB8"/>
    <w:rsid w:val="009A6EB8"/>
    <w:rsid w:val="009A70C4"/>
    <w:rsid w:val="009A7B93"/>
    <w:rsid w:val="009A7CE1"/>
    <w:rsid w:val="009A7E5C"/>
    <w:rsid w:val="009B013E"/>
    <w:rsid w:val="009B0237"/>
    <w:rsid w:val="009B03A5"/>
    <w:rsid w:val="009B097E"/>
    <w:rsid w:val="009B0D08"/>
    <w:rsid w:val="009B0E57"/>
    <w:rsid w:val="009B1371"/>
    <w:rsid w:val="009B1D72"/>
    <w:rsid w:val="009B1F76"/>
    <w:rsid w:val="009B25CD"/>
    <w:rsid w:val="009B2629"/>
    <w:rsid w:val="009B2F0F"/>
    <w:rsid w:val="009B3DF8"/>
    <w:rsid w:val="009B3F48"/>
    <w:rsid w:val="009B46C8"/>
    <w:rsid w:val="009B4F00"/>
    <w:rsid w:val="009B5528"/>
    <w:rsid w:val="009B5640"/>
    <w:rsid w:val="009B5AF3"/>
    <w:rsid w:val="009B5B2D"/>
    <w:rsid w:val="009B5D52"/>
    <w:rsid w:val="009B61DF"/>
    <w:rsid w:val="009B6AE9"/>
    <w:rsid w:val="009B7027"/>
    <w:rsid w:val="009B7028"/>
    <w:rsid w:val="009B7186"/>
    <w:rsid w:val="009B7231"/>
    <w:rsid w:val="009B7D7B"/>
    <w:rsid w:val="009C04A9"/>
    <w:rsid w:val="009C15F4"/>
    <w:rsid w:val="009C1971"/>
    <w:rsid w:val="009C1F55"/>
    <w:rsid w:val="009C25E7"/>
    <w:rsid w:val="009C2686"/>
    <w:rsid w:val="009C2ACE"/>
    <w:rsid w:val="009C30E2"/>
    <w:rsid w:val="009C33D2"/>
    <w:rsid w:val="009C3CF6"/>
    <w:rsid w:val="009C3E0A"/>
    <w:rsid w:val="009C3FEC"/>
    <w:rsid w:val="009C40CE"/>
    <w:rsid w:val="009C46A5"/>
    <w:rsid w:val="009C4A33"/>
    <w:rsid w:val="009C4A41"/>
    <w:rsid w:val="009C4B6B"/>
    <w:rsid w:val="009C516B"/>
    <w:rsid w:val="009C5966"/>
    <w:rsid w:val="009C6036"/>
    <w:rsid w:val="009C6867"/>
    <w:rsid w:val="009C77AF"/>
    <w:rsid w:val="009D045F"/>
    <w:rsid w:val="009D05BF"/>
    <w:rsid w:val="009D060D"/>
    <w:rsid w:val="009D07C3"/>
    <w:rsid w:val="009D0A8F"/>
    <w:rsid w:val="009D0EBC"/>
    <w:rsid w:val="009D0FF8"/>
    <w:rsid w:val="009D19E0"/>
    <w:rsid w:val="009D1A77"/>
    <w:rsid w:val="009D1B63"/>
    <w:rsid w:val="009D1BEC"/>
    <w:rsid w:val="009D1E9D"/>
    <w:rsid w:val="009D1F60"/>
    <w:rsid w:val="009D203E"/>
    <w:rsid w:val="009D227B"/>
    <w:rsid w:val="009D22E3"/>
    <w:rsid w:val="009D2EB9"/>
    <w:rsid w:val="009D2EBA"/>
    <w:rsid w:val="009D2FC6"/>
    <w:rsid w:val="009D3148"/>
    <w:rsid w:val="009D3702"/>
    <w:rsid w:val="009D388C"/>
    <w:rsid w:val="009D3993"/>
    <w:rsid w:val="009D3E01"/>
    <w:rsid w:val="009D435B"/>
    <w:rsid w:val="009D44D6"/>
    <w:rsid w:val="009D4C66"/>
    <w:rsid w:val="009D5283"/>
    <w:rsid w:val="009D5305"/>
    <w:rsid w:val="009D568A"/>
    <w:rsid w:val="009D5B8D"/>
    <w:rsid w:val="009D628D"/>
    <w:rsid w:val="009D6497"/>
    <w:rsid w:val="009D71FF"/>
    <w:rsid w:val="009D798A"/>
    <w:rsid w:val="009D7E3B"/>
    <w:rsid w:val="009E0097"/>
    <w:rsid w:val="009E0419"/>
    <w:rsid w:val="009E0557"/>
    <w:rsid w:val="009E0720"/>
    <w:rsid w:val="009E0970"/>
    <w:rsid w:val="009E0F3D"/>
    <w:rsid w:val="009E2426"/>
    <w:rsid w:val="009E25BC"/>
    <w:rsid w:val="009E304F"/>
    <w:rsid w:val="009E3553"/>
    <w:rsid w:val="009E3C2E"/>
    <w:rsid w:val="009E4AD6"/>
    <w:rsid w:val="009E4AE5"/>
    <w:rsid w:val="009E543F"/>
    <w:rsid w:val="009E5700"/>
    <w:rsid w:val="009E5BDB"/>
    <w:rsid w:val="009E5F82"/>
    <w:rsid w:val="009E6CCC"/>
    <w:rsid w:val="009E75BB"/>
    <w:rsid w:val="009E76BB"/>
    <w:rsid w:val="009E7CE5"/>
    <w:rsid w:val="009E7D99"/>
    <w:rsid w:val="009F01A8"/>
    <w:rsid w:val="009F033E"/>
    <w:rsid w:val="009F03F4"/>
    <w:rsid w:val="009F0675"/>
    <w:rsid w:val="009F0E49"/>
    <w:rsid w:val="009F1D17"/>
    <w:rsid w:val="009F2111"/>
    <w:rsid w:val="009F229A"/>
    <w:rsid w:val="009F233B"/>
    <w:rsid w:val="009F236D"/>
    <w:rsid w:val="009F2C35"/>
    <w:rsid w:val="009F2D7E"/>
    <w:rsid w:val="009F3405"/>
    <w:rsid w:val="009F35BF"/>
    <w:rsid w:val="009F3641"/>
    <w:rsid w:val="009F3EAF"/>
    <w:rsid w:val="009F4798"/>
    <w:rsid w:val="009F4E8E"/>
    <w:rsid w:val="009F4F0E"/>
    <w:rsid w:val="009F54A2"/>
    <w:rsid w:val="009F5754"/>
    <w:rsid w:val="009F585A"/>
    <w:rsid w:val="009F6072"/>
    <w:rsid w:val="009F65CC"/>
    <w:rsid w:val="009F671E"/>
    <w:rsid w:val="009F67BD"/>
    <w:rsid w:val="009F6816"/>
    <w:rsid w:val="009F68C2"/>
    <w:rsid w:val="009F6CB1"/>
    <w:rsid w:val="009F731E"/>
    <w:rsid w:val="009F7795"/>
    <w:rsid w:val="009F786B"/>
    <w:rsid w:val="009F797E"/>
    <w:rsid w:val="009F79CF"/>
    <w:rsid w:val="00A001FE"/>
    <w:rsid w:val="00A00322"/>
    <w:rsid w:val="00A00611"/>
    <w:rsid w:val="00A00944"/>
    <w:rsid w:val="00A0169A"/>
    <w:rsid w:val="00A01F0D"/>
    <w:rsid w:val="00A027BA"/>
    <w:rsid w:val="00A02C8D"/>
    <w:rsid w:val="00A02DD0"/>
    <w:rsid w:val="00A036A0"/>
    <w:rsid w:val="00A037A4"/>
    <w:rsid w:val="00A03C3A"/>
    <w:rsid w:val="00A040E8"/>
    <w:rsid w:val="00A0455D"/>
    <w:rsid w:val="00A046B0"/>
    <w:rsid w:val="00A04899"/>
    <w:rsid w:val="00A04950"/>
    <w:rsid w:val="00A04B51"/>
    <w:rsid w:val="00A04EA7"/>
    <w:rsid w:val="00A058AB"/>
    <w:rsid w:val="00A0606A"/>
    <w:rsid w:val="00A06F24"/>
    <w:rsid w:val="00A071AD"/>
    <w:rsid w:val="00A07267"/>
    <w:rsid w:val="00A0728A"/>
    <w:rsid w:val="00A0730C"/>
    <w:rsid w:val="00A07AE8"/>
    <w:rsid w:val="00A07B90"/>
    <w:rsid w:val="00A1035E"/>
    <w:rsid w:val="00A1102D"/>
    <w:rsid w:val="00A112DB"/>
    <w:rsid w:val="00A11343"/>
    <w:rsid w:val="00A11791"/>
    <w:rsid w:val="00A11829"/>
    <w:rsid w:val="00A11EC6"/>
    <w:rsid w:val="00A1281A"/>
    <w:rsid w:val="00A1370A"/>
    <w:rsid w:val="00A13B19"/>
    <w:rsid w:val="00A13DB2"/>
    <w:rsid w:val="00A13F70"/>
    <w:rsid w:val="00A141F8"/>
    <w:rsid w:val="00A142F3"/>
    <w:rsid w:val="00A14C03"/>
    <w:rsid w:val="00A14CC1"/>
    <w:rsid w:val="00A14E0C"/>
    <w:rsid w:val="00A1537F"/>
    <w:rsid w:val="00A15BA0"/>
    <w:rsid w:val="00A15C20"/>
    <w:rsid w:val="00A15C66"/>
    <w:rsid w:val="00A16FFF"/>
    <w:rsid w:val="00A176A9"/>
    <w:rsid w:val="00A17B4E"/>
    <w:rsid w:val="00A17C8D"/>
    <w:rsid w:val="00A200E2"/>
    <w:rsid w:val="00A20208"/>
    <w:rsid w:val="00A20619"/>
    <w:rsid w:val="00A20EA7"/>
    <w:rsid w:val="00A2149B"/>
    <w:rsid w:val="00A214CC"/>
    <w:rsid w:val="00A21722"/>
    <w:rsid w:val="00A21807"/>
    <w:rsid w:val="00A22001"/>
    <w:rsid w:val="00A2267B"/>
    <w:rsid w:val="00A226D5"/>
    <w:rsid w:val="00A2285F"/>
    <w:rsid w:val="00A22B3B"/>
    <w:rsid w:val="00A22CFA"/>
    <w:rsid w:val="00A23026"/>
    <w:rsid w:val="00A23492"/>
    <w:rsid w:val="00A23B8F"/>
    <w:rsid w:val="00A23F77"/>
    <w:rsid w:val="00A24004"/>
    <w:rsid w:val="00A24779"/>
    <w:rsid w:val="00A248CF"/>
    <w:rsid w:val="00A24A55"/>
    <w:rsid w:val="00A24A85"/>
    <w:rsid w:val="00A24F1A"/>
    <w:rsid w:val="00A25AE4"/>
    <w:rsid w:val="00A25E9A"/>
    <w:rsid w:val="00A27A5B"/>
    <w:rsid w:val="00A301A6"/>
    <w:rsid w:val="00A3045D"/>
    <w:rsid w:val="00A308CE"/>
    <w:rsid w:val="00A30CEE"/>
    <w:rsid w:val="00A31749"/>
    <w:rsid w:val="00A31796"/>
    <w:rsid w:val="00A317A1"/>
    <w:rsid w:val="00A31823"/>
    <w:rsid w:val="00A31AFB"/>
    <w:rsid w:val="00A3215D"/>
    <w:rsid w:val="00A321A0"/>
    <w:rsid w:val="00A3225A"/>
    <w:rsid w:val="00A32321"/>
    <w:rsid w:val="00A327C0"/>
    <w:rsid w:val="00A32DC9"/>
    <w:rsid w:val="00A331D7"/>
    <w:rsid w:val="00A33751"/>
    <w:rsid w:val="00A337AE"/>
    <w:rsid w:val="00A33B1A"/>
    <w:rsid w:val="00A3458A"/>
    <w:rsid w:val="00A3475C"/>
    <w:rsid w:val="00A354E0"/>
    <w:rsid w:val="00A35C0C"/>
    <w:rsid w:val="00A3647F"/>
    <w:rsid w:val="00A3710D"/>
    <w:rsid w:val="00A3724A"/>
    <w:rsid w:val="00A372E9"/>
    <w:rsid w:val="00A37575"/>
    <w:rsid w:val="00A379A1"/>
    <w:rsid w:val="00A402A4"/>
    <w:rsid w:val="00A405CF"/>
    <w:rsid w:val="00A40C38"/>
    <w:rsid w:val="00A4100F"/>
    <w:rsid w:val="00A41673"/>
    <w:rsid w:val="00A41698"/>
    <w:rsid w:val="00A4174B"/>
    <w:rsid w:val="00A41A4F"/>
    <w:rsid w:val="00A41B59"/>
    <w:rsid w:val="00A41BA7"/>
    <w:rsid w:val="00A41C09"/>
    <w:rsid w:val="00A41F7D"/>
    <w:rsid w:val="00A41F99"/>
    <w:rsid w:val="00A42194"/>
    <w:rsid w:val="00A42278"/>
    <w:rsid w:val="00A42338"/>
    <w:rsid w:val="00A4292C"/>
    <w:rsid w:val="00A429F9"/>
    <w:rsid w:val="00A42DBA"/>
    <w:rsid w:val="00A4343E"/>
    <w:rsid w:val="00A4355A"/>
    <w:rsid w:val="00A43701"/>
    <w:rsid w:val="00A43F2D"/>
    <w:rsid w:val="00A43F82"/>
    <w:rsid w:val="00A44414"/>
    <w:rsid w:val="00A4463F"/>
    <w:rsid w:val="00A44E4F"/>
    <w:rsid w:val="00A45145"/>
    <w:rsid w:val="00A45375"/>
    <w:rsid w:val="00A458E0"/>
    <w:rsid w:val="00A45C5B"/>
    <w:rsid w:val="00A45FE6"/>
    <w:rsid w:val="00A464FD"/>
    <w:rsid w:val="00A46D65"/>
    <w:rsid w:val="00A46DCD"/>
    <w:rsid w:val="00A509FF"/>
    <w:rsid w:val="00A50AD4"/>
    <w:rsid w:val="00A50E21"/>
    <w:rsid w:val="00A51159"/>
    <w:rsid w:val="00A51646"/>
    <w:rsid w:val="00A5275E"/>
    <w:rsid w:val="00A528BF"/>
    <w:rsid w:val="00A52BE0"/>
    <w:rsid w:val="00A53203"/>
    <w:rsid w:val="00A53220"/>
    <w:rsid w:val="00A53735"/>
    <w:rsid w:val="00A53C6A"/>
    <w:rsid w:val="00A549B9"/>
    <w:rsid w:val="00A54A0D"/>
    <w:rsid w:val="00A54C21"/>
    <w:rsid w:val="00A550E4"/>
    <w:rsid w:val="00A5540A"/>
    <w:rsid w:val="00A5566F"/>
    <w:rsid w:val="00A557BE"/>
    <w:rsid w:val="00A55DFD"/>
    <w:rsid w:val="00A56472"/>
    <w:rsid w:val="00A5662C"/>
    <w:rsid w:val="00A56DA3"/>
    <w:rsid w:val="00A57003"/>
    <w:rsid w:val="00A5730D"/>
    <w:rsid w:val="00A5785F"/>
    <w:rsid w:val="00A57C93"/>
    <w:rsid w:val="00A60100"/>
    <w:rsid w:val="00A601AF"/>
    <w:rsid w:val="00A6087B"/>
    <w:rsid w:val="00A6090E"/>
    <w:rsid w:val="00A61ED1"/>
    <w:rsid w:val="00A62904"/>
    <w:rsid w:val="00A63513"/>
    <w:rsid w:val="00A63A82"/>
    <w:rsid w:val="00A63EF6"/>
    <w:rsid w:val="00A64272"/>
    <w:rsid w:val="00A646FD"/>
    <w:rsid w:val="00A6471B"/>
    <w:rsid w:val="00A64C91"/>
    <w:rsid w:val="00A64E5A"/>
    <w:rsid w:val="00A65353"/>
    <w:rsid w:val="00A657BD"/>
    <w:rsid w:val="00A65D60"/>
    <w:rsid w:val="00A65D9F"/>
    <w:rsid w:val="00A66A8C"/>
    <w:rsid w:val="00A66B80"/>
    <w:rsid w:val="00A6716D"/>
    <w:rsid w:val="00A67658"/>
    <w:rsid w:val="00A67B89"/>
    <w:rsid w:val="00A67CA2"/>
    <w:rsid w:val="00A67DAD"/>
    <w:rsid w:val="00A67DB8"/>
    <w:rsid w:val="00A70159"/>
    <w:rsid w:val="00A70938"/>
    <w:rsid w:val="00A70B31"/>
    <w:rsid w:val="00A70C29"/>
    <w:rsid w:val="00A7175D"/>
    <w:rsid w:val="00A719AF"/>
    <w:rsid w:val="00A719C1"/>
    <w:rsid w:val="00A72C41"/>
    <w:rsid w:val="00A73193"/>
    <w:rsid w:val="00A73716"/>
    <w:rsid w:val="00A73827"/>
    <w:rsid w:val="00A74A9D"/>
    <w:rsid w:val="00A75FE8"/>
    <w:rsid w:val="00A762A1"/>
    <w:rsid w:val="00A76D35"/>
    <w:rsid w:val="00A77268"/>
    <w:rsid w:val="00A77A84"/>
    <w:rsid w:val="00A77E3C"/>
    <w:rsid w:val="00A77E8A"/>
    <w:rsid w:val="00A8061F"/>
    <w:rsid w:val="00A8068F"/>
    <w:rsid w:val="00A80BCC"/>
    <w:rsid w:val="00A80D2D"/>
    <w:rsid w:val="00A80DCB"/>
    <w:rsid w:val="00A81977"/>
    <w:rsid w:val="00A81D70"/>
    <w:rsid w:val="00A8212E"/>
    <w:rsid w:val="00A8229D"/>
    <w:rsid w:val="00A828A2"/>
    <w:rsid w:val="00A82970"/>
    <w:rsid w:val="00A82E22"/>
    <w:rsid w:val="00A82FE0"/>
    <w:rsid w:val="00A8498A"/>
    <w:rsid w:val="00A84B86"/>
    <w:rsid w:val="00A84CA5"/>
    <w:rsid w:val="00A84E94"/>
    <w:rsid w:val="00A85157"/>
    <w:rsid w:val="00A853B0"/>
    <w:rsid w:val="00A85CA9"/>
    <w:rsid w:val="00A868AA"/>
    <w:rsid w:val="00A875E7"/>
    <w:rsid w:val="00A878AE"/>
    <w:rsid w:val="00A87AE0"/>
    <w:rsid w:val="00A87C2D"/>
    <w:rsid w:val="00A87D5D"/>
    <w:rsid w:val="00A903EB"/>
    <w:rsid w:val="00A9079B"/>
    <w:rsid w:val="00A917BC"/>
    <w:rsid w:val="00A9219F"/>
    <w:rsid w:val="00A92BCC"/>
    <w:rsid w:val="00A932E8"/>
    <w:rsid w:val="00A93955"/>
    <w:rsid w:val="00A93B28"/>
    <w:rsid w:val="00A93CDD"/>
    <w:rsid w:val="00A93D07"/>
    <w:rsid w:val="00A941DD"/>
    <w:rsid w:val="00A9435D"/>
    <w:rsid w:val="00A94D25"/>
    <w:rsid w:val="00A94FE2"/>
    <w:rsid w:val="00A94FF9"/>
    <w:rsid w:val="00A95186"/>
    <w:rsid w:val="00A95527"/>
    <w:rsid w:val="00A959EB"/>
    <w:rsid w:val="00A95A25"/>
    <w:rsid w:val="00A9694A"/>
    <w:rsid w:val="00A96D8E"/>
    <w:rsid w:val="00A97306"/>
    <w:rsid w:val="00A97800"/>
    <w:rsid w:val="00A9792B"/>
    <w:rsid w:val="00A979AD"/>
    <w:rsid w:val="00A97D91"/>
    <w:rsid w:val="00A97FF2"/>
    <w:rsid w:val="00AA0184"/>
    <w:rsid w:val="00AA0419"/>
    <w:rsid w:val="00AA044A"/>
    <w:rsid w:val="00AA052B"/>
    <w:rsid w:val="00AA0779"/>
    <w:rsid w:val="00AA0782"/>
    <w:rsid w:val="00AA0968"/>
    <w:rsid w:val="00AA0E4E"/>
    <w:rsid w:val="00AA0EC4"/>
    <w:rsid w:val="00AA11D0"/>
    <w:rsid w:val="00AA19C1"/>
    <w:rsid w:val="00AA24C1"/>
    <w:rsid w:val="00AA2671"/>
    <w:rsid w:val="00AA2ABE"/>
    <w:rsid w:val="00AA2B39"/>
    <w:rsid w:val="00AA2C48"/>
    <w:rsid w:val="00AA36F1"/>
    <w:rsid w:val="00AA3864"/>
    <w:rsid w:val="00AA38A9"/>
    <w:rsid w:val="00AA399A"/>
    <w:rsid w:val="00AA3A6B"/>
    <w:rsid w:val="00AA3A9E"/>
    <w:rsid w:val="00AA3E93"/>
    <w:rsid w:val="00AA44FF"/>
    <w:rsid w:val="00AA4565"/>
    <w:rsid w:val="00AA4BE4"/>
    <w:rsid w:val="00AA55D4"/>
    <w:rsid w:val="00AA5ABD"/>
    <w:rsid w:val="00AA614B"/>
    <w:rsid w:val="00AA61F2"/>
    <w:rsid w:val="00AA6C5A"/>
    <w:rsid w:val="00AA6D3C"/>
    <w:rsid w:val="00AA6F9D"/>
    <w:rsid w:val="00AA6FCF"/>
    <w:rsid w:val="00AA748E"/>
    <w:rsid w:val="00AA781B"/>
    <w:rsid w:val="00AA79CB"/>
    <w:rsid w:val="00AA7CAD"/>
    <w:rsid w:val="00AB06D9"/>
    <w:rsid w:val="00AB0E3A"/>
    <w:rsid w:val="00AB2323"/>
    <w:rsid w:val="00AB2A4A"/>
    <w:rsid w:val="00AB2F5E"/>
    <w:rsid w:val="00AB34FA"/>
    <w:rsid w:val="00AB364A"/>
    <w:rsid w:val="00AB3FAD"/>
    <w:rsid w:val="00AB4772"/>
    <w:rsid w:val="00AB546C"/>
    <w:rsid w:val="00AB546E"/>
    <w:rsid w:val="00AB5D99"/>
    <w:rsid w:val="00AB6560"/>
    <w:rsid w:val="00AB6B3E"/>
    <w:rsid w:val="00AB7413"/>
    <w:rsid w:val="00AB75F4"/>
    <w:rsid w:val="00AB78C4"/>
    <w:rsid w:val="00AB7DC1"/>
    <w:rsid w:val="00AC038E"/>
    <w:rsid w:val="00AC06DA"/>
    <w:rsid w:val="00AC23A5"/>
    <w:rsid w:val="00AC28BB"/>
    <w:rsid w:val="00AC2976"/>
    <w:rsid w:val="00AC2A72"/>
    <w:rsid w:val="00AC2B90"/>
    <w:rsid w:val="00AC2D58"/>
    <w:rsid w:val="00AC2F64"/>
    <w:rsid w:val="00AC32F8"/>
    <w:rsid w:val="00AC35E0"/>
    <w:rsid w:val="00AC3E7B"/>
    <w:rsid w:val="00AC4A56"/>
    <w:rsid w:val="00AC4B5A"/>
    <w:rsid w:val="00AC4DF4"/>
    <w:rsid w:val="00AC5AE8"/>
    <w:rsid w:val="00AC5F63"/>
    <w:rsid w:val="00AC641D"/>
    <w:rsid w:val="00AC66F8"/>
    <w:rsid w:val="00AC6830"/>
    <w:rsid w:val="00AC6D1B"/>
    <w:rsid w:val="00AC6DFF"/>
    <w:rsid w:val="00AC6F48"/>
    <w:rsid w:val="00AC701E"/>
    <w:rsid w:val="00AC74DA"/>
    <w:rsid w:val="00AC7FD5"/>
    <w:rsid w:val="00AD0512"/>
    <w:rsid w:val="00AD112D"/>
    <w:rsid w:val="00AD1170"/>
    <w:rsid w:val="00AD1345"/>
    <w:rsid w:val="00AD1722"/>
    <w:rsid w:val="00AD1917"/>
    <w:rsid w:val="00AD1BDB"/>
    <w:rsid w:val="00AD1C83"/>
    <w:rsid w:val="00AD25D0"/>
    <w:rsid w:val="00AD2771"/>
    <w:rsid w:val="00AD2AAC"/>
    <w:rsid w:val="00AD2D74"/>
    <w:rsid w:val="00AD33CB"/>
    <w:rsid w:val="00AD3A86"/>
    <w:rsid w:val="00AD3AAE"/>
    <w:rsid w:val="00AD3B62"/>
    <w:rsid w:val="00AD3F01"/>
    <w:rsid w:val="00AD42D5"/>
    <w:rsid w:val="00AD49E6"/>
    <w:rsid w:val="00AD4FDE"/>
    <w:rsid w:val="00AD5080"/>
    <w:rsid w:val="00AD50C1"/>
    <w:rsid w:val="00AD5515"/>
    <w:rsid w:val="00AD58A6"/>
    <w:rsid w:val="00AD62A9"/>
    <w:rsid w:val="00AD65E7"/>
    <w:rsid w:val="00AD67BE"/>
    <w:rsid w:val="00AD6D19"/>
    <w:rsid w:val="00AD6D75"/>
    <w:rsid w:val="00AD76C8"/>
    <w:rsid w:val="00AD777F"/>
    <w:rsid w:val="00AD7A91"/>
    <w:rsid w:val="00AE04CA"/>
    <w:rsid w:val="00AE0CD6"/>
    <w:rsid w:val="00AE0E3F"/>
    <w:rsid w:val="00AE1543"/>
    <w:rsid w:val="00AE1669"/>
    <w:rsid w:val="00AE16A2"/>
    <w:rsid w:val="00AE1BD4"/>
    <w:rsid w:val="00AE1C6A"/>
    <w:rsid w:val="00AE22B7"/>
    <w:rsid w:val="00AE2314"/>
    <w:rsid w:val="00AE284F"/>
    <w:rsid w:val="00AE2A3A"/>
    <w:rsid w:val="00AE2DD7"/>
    <w:rsid w:val="00AE319C"/>
    <w:rsid w:val="00AE3D22"/>
    <w:rsid w:val="00AE3D82"/>
    <w:rsid w:val="00AE438F"/>
    <w:rsid w:val="00AE4415"/>
    <w:rsid w:val="00AE4538"/>
    <w:rsid w:val="00AE4C03"/>
    <w:rsid w:val="00AE5436"/>
    <w:rsid w:val="00AE5690"/>
    <w:rsid w:val="00AE57B3"/>
    <w:rsid w:val="00AE57F5"/>
    <w:rsid w:val="00AE5DF2"/>
    <w:rsid w:val="00AE612E"/>
    <w:rsid w:val="00AE6848"/>
    <w:rsid w:val="00AE69BF"/>
    <w:rsid w:val="00AE6A4F"/>
    <w:rsid w:val="00AE6D17"/>
    <w:rsid w:val="00AE6D5A"/>
    <w:rsid w:val="00AE72F3"/>
    <w:rsid w:val="00AE72F7"/>
    <w:rsid w:val="00AE7309"/>
    <w:rsid w:val="00AF0240"/>
    <w:rsid w:val="00AF05BC"/>
    <w:rsid w:val="00AF05CB"/>
    <w:rsid w:val="00AF0795"/>
    <w:rsid w:val="00AF0861"/>
    <w:rsid w:val="00AF0A53"/>
    <w:rsid w:val="00AF0BD3"/>
    <w:rsid w:val="00AF0FCF"/>
    <w:rsid w:val="00AF1046"/>
    <w:rsid w:val="00AF12AA"/>
    <w:rsid w:val="00AF1CE1"/>
    <w:rsid w:val="00AF29A8"/>
    <w:rsid w:val="00AF2AAF"/>
    <w:rsid w:val="00AF30A5"/>
    <w:rsid w:val="00AF33EB"/>
    <w:rsid w:val="00AF3429"/>
    <w:rsid w:val="00AF37AC"/>
    <w:rsid w:val="00AF3A14"/>
    <w:rsid w:val="00AF3CD0"/>
    <w:rsid w:val="00AF403A"/>
    <w:rsid w:val="00AF483F"/>
    <w:rsid w:val="00AF610E"/>
    <w:rsid w:val="00AF623B"/>
    <w:rsid w:val="00AF6340"/>
    <w:rsid w:val="00AF6821"/>
    <w:rsid w:val="00AF6B60"/>
    <w:rsid w:val="00AF6F25"/>
    <w:rsid w:val="00AF7950"/>
    <w:rsid w:val="00AF7977"/>
    <w:rsid w:val="00B0077D"/>
    <w:rsid w:val="00B0099E"/>
    <w:rsid w:val="00B01951"/>
    <w:rsid w:val="00B019AF"/>
    <w:rsid w:val="00B0298F"/>
    <w:rsid w:val="00B02A82"/>
    <w:rsid w:val="00B0312C"/>
    <w:rsid w:val="00B03156"/>
    <w:rsid w:val="00B03224"/>
    <w:rsid w:val="00B03273"/>
    <w:rsid w:val="00B03A2C"/>
    <w:rsid w:val="00B041FC"/>
    <w:rsid w:val="00B0481D"/>
    <w:rsid w:val="00B0509A"/>
    <w:rsid w:val="00B050E4"/>
    <w:rsid w:val="00B055F1"/>
    <w:rsid w:val="00B05D41"/>
    <w:rsid w:val="00B06163"/>
    <w:rsid w:val="00B0650B"/>
    <w:rsid w:val="00B066B0"/>
    <w:rsid w:val="00B06B3D"/>
    <w:rsid w:val="00B06BD0"/>
    <w:rsid w:val="00B06D92"/>
    <w:rsid w:val="00B06F85"/>
    <w:rsid w:val="00B06FA9"/>
    <w:rsid w:val="00B07122"/>
    <w:rsid w:val="00B07250"/>
    <w:rsid w:val="00B0731A"/>
    <w:rsid w:val="00B0767F"/>
    <w:rsid w:val="00B07D67"/>
    <w:rsid w:val="00B07E05"/>
    <w:rsid w:val="00B07F1A"/>
    <w:rsid w:val="00B10288"/>
    <w:rsid w:val="00B10350"/>
    <w:rsid w:val="00B104A5"/>
    <w:rsid w:val="00B1101F"/>
    <w:rsid w:val="00B1134F"/>
    <w:rsid w:val="00B11377"/>
    <w:rsid w:val="00B11EFE"/>
    <w:rsid w:val="00B12437"/>
    <w:rsid w:val="00B1313A"/>
    <w:rsid w:val="00B13675"/>
    <w:rsid w:val="00B1368E"/>
    <w:rsid w:val="00B150CF"/>
    <w:rsid w:val="00B1574A"/>
    <w:rsid w:val="00B16344"/>
    <w:rsid w:val="00B16E5A"/>
    <w:rsid w:val="00B17B47"/>
    <w:rsid w:val="00B17D03"/>
    <w:rsid w:val="00B20080"/>
    <w:rsid w:val="00B20149"/>
    <w:rsid w:val="00B20402"/>
    <w:rsid w:val="00B204F2"/>
    <w:rsid w:val="00B20734"/>
    <w:rsid w:val="00B20E85"/>
    <w:rsid w:val="00B2181C"/>
    <w:rsid w:val="00B2186F"/>
    <w:rsid w:val="00B218A4"/>
    <w:rsid w:val="00B21AFF"/>
    <w:rsid w:val="00B21B8B"/>
    <w:rsid w:val="00B22156"/>
    <w:rsid w:val="00B2218F"/>
    <w:rsid w:val="00B22FD3"/>
    <w:rsid w:val="00B23677"/>
    <w:rsid w:val="00B23A25"/>
    <w:rsid w:val="00B243B5"/>
    <w:rsid w:val="00B2494B"/>
    <w:rsid w:val="00B24CAB"/>
    <w:rsid w:val="00B254DE"/>
    <w:rsid w:val="00B25AF0"/>
    <w:rsid w:val="00B260BB"/>
    <w:rsid w:val="00B27341"/>
    <w:rsid w:val="00B27899"/>
    <w:rsid w:val="00B27B34"/>
    <w:rsid w:val="00B27D60"/>
    <w:rsid w:val="00B3004D"/>
    <w:rsid w:val="00B30549"/>
    <w:rsid w:val="00B306FC"/>
    <w:rsid w:val="00B30B9E"/>
    <w:rsid w:val="00B30CE5"/>
    <w:rsid w:val="00B30D54"/>
    <w:rsid w:val="00B30D6E"/>
    <w:rsid w:val="00B30F41"/>
    <w:rsid w:val="00B3126C"/>
    <w:rsid w:val="00B314F2"/>
    <w:rsid w:val="00B3155E"/>
    <w:rsid w:val="00B31731"/>
    <w:rsid w:val="00B31A7E"/>
    <w:rsid w:val="00B3209B"/>
    <w:rsid w:val="00B3254A"/>
    <w:rsid w:val="00B32EEF"/>
    <w:rsid w:val="00B33340"/>
    <w:rsid w:val="00B3337B"/>
    <w:rsid w:val="00B33CE5"/>
    <w:rsid w:val="00B33EB2"/>
    <w:rsid w:val="00B34053"/>
    <w:rsid w:val="00B343F3"/>
    <w:rsid w:val="00B344C0"/>
    <w:rsid w:val="00B3572B"/>
    <w:rsid w:val="00B362A5"/>
    <w:rsid w:val="00B363F6"/>
    <w:rsid w:val="00B36841"/>
    <w:rsid w:val="00B36C3A"/>
    <w:rsid w:val="00B3766F"/>
    <w:rsid w:val="00B40093"/>
    <w:rsid w:val="00B40726"/>
    <w:rsid w:val="00B40A1A"/>
    <w:rsid w:val="00B40BE5"/>
    <w:rsid w:val="00B40C32"/>
    <w:rsid w:val="00B4109D"/>
    <w:rsid w:val="00B4168B"/>
    <w:rsid w:val="00B41F55"/>
    <w:rsid w:val="00B42493"/>
    <w:rsid w:val="00B42AEF"/>
    <w:rsid w:val="00B42C17"/>
    <w:rsid w:val="00B433BD"/>
    <w:rsid w:val="00B43C37"/>
    <w:rsid w:val="00B43EA8"/>
    <w:rsid w:val="00B45F9F"/>
    <w:rsid w:val="00B46117"/>
    <w:rsid w:val="00B465B2"/>
    <w:rsid w:val="00B467FA"/>
    <w:rsid w:val="00B46A7F"/>
    <w:rsid w:val="00B46C2A"/>
    <w:rsid w:val="00B46D13"/>
    <w:rsid w:val="00B47A82"/>
    <w:rsid w:val="00B47D06"/>
    <w:rsid w:val="00B47EE2"/>
    <w:rsid w:val="00B50446"/>
    <w:rsid w:val="00B50694"/>
    <w:rsid w:val="00B514DF"/>
    <w:rsid w:val="00B51743"/>
    <w:rsid w:val="00B51F34"/>
    <w:rsid w:val="00B521CF"/>
    <w:rsid w:val="00B52716"/>
    <w:rsid w:val="00B52740"/>
    <w:rsid w:val="00B527DE"/>
    <w:rsid w:val="00B52B4C"/>
    <w:rsid w:val="00B52B4D"/>
    <w:rsid w:val="00B52CA0"/>
    <w:rsid w:val="00B52E3D"/>
    <w:rsid w:val="00B52FF3"/>
    <w:rsid w:val="00B53037"/>
    <w:rsid w:val="00B53670"/>
    <w:rsid w:val="00B53D06"/>
    <w:rsid w:val="00B53F36"/>
    <w:rsid w:val="00B54188"/>
    <w:rsid w:val="00B543A1"/>
    <w:rsid w:val="00B54B44"/>
    <w:rsid w:val="00B55068"/>
    <w:rsid w:val="00B550F2"/>
    <w:rsid w:val="00B5564B"/>
    <w:rsid w:val="00B559CF"/>
    <w:rsid w:val="00B55D4E"/>
    <w:rsid w:val="00B5634A"/>
    <w:rsid w:val="00B565F5"/>
    <w:rsid w:val="00B565F6"/>
    <w:rsid w:val="00B56FFC"/>
    <w:rsid w:val="00B5744B"/>
    <w:rsid w:val="00B5751B"/>
    <w:rsid w:val="00B57A5C"/>
    <w:rsid w:val="00B57C12"/>
    <w:rsid w:val="00B57F71"/>
    <w:rsid w:val="00B60442"/>
    <w:rsid w:val="00B60C1A"/>
    <w:rsid w:val="00B61727"/>
    <w:rsid w:val="00B61737"/>
    <w:rsid w:val="00B61D66"/>
    <w:rsid w:val="00B61DC1"/>
    <w:rsid w:val="00B627F7"/>
    <w:rsid w:val="00B62B92"/>
    <w:rsid w:val="00B62D8C"/>
    <w:rsid w:val="00B63206"/>
    <w:rsid w:val="00B63E8B"/>
    <w:rsid w:val="00B63F0F"/>
    <w:rsid w:val="00B63F2E"/>
    <w:rsid w:val="00B63F97"/>
    <w:rsid w:val="00B6484C"/>
    <w:rsid w:val="00B6487C"/>
    <w:rsid w:val="00B64951"/>
    <w:rsid w:val="00B64969"/>
    <w:rsid w:val="00B65022"/>
    <w:rsid w:val="00B6589D"/>
    <w:rsid w:val="00B65C32"/>
    <w:rsid w:val="00B6631F"/>
    <w:rsid w:val="00B66918"/>
    <w:rsid w:val="00B66BC8"/>
    <w:rsid w:val="00B675B8"/>
    <w:rsid w:val="00B676A3"/>
    <w:rsid w:val="00B6793D"/>
    <w:rsid w:val="00B67BCD"/>
    <w:rsid w:val="00B7032E"/>
    <w:rsid w:val="00B705C8"/>
    <w:rsid w:val="00B70719"/>
    <w:rsid w:val="00B707CD"/>
    <w:rsid w:val="00B70B4A"/>
    <w:rsid w:val="00B71162"/>
    <w:rsid w:val="00B71163"/>
    <w:rsid w:val="00B71166"/>
    <w:rsid w:val="00B712C5"/>
    <w:rsid w:val="00B7137A"/>
    <w:rsid w:val="00B7181D"/>
    <w:rsid w:val="00B718A9"/>
    <w:rsid w:val="00B71AC5"/>
    <w:rsid w:val="00B71BE0"/>
    <w:rsid w:val="00B71F30"/>
    <w:rsid w:val="00B727A4"/>
    <w:rsid w:val="00B743C3"/>
    <w:rsid w:val="00B7523B"/>
    <w:rsid w:val="00B75AB6"/>
    <w:rsid w:val="00B76445"/>
    <w:rsid w:val="00B76564"/>
    <w:rsid w:val="00B76B7D"/>
    <w:rsid w:val="00B7743A"/>
    <w:rsid w:val="00B7760C"/>
    <w:rsid w:val="00B77713"/>
    <w:rsid w:val="00B77C7F"/>
    <w:rsid w:val="00B77D78"/>
    <w:rsid w:val="00B77F28"/>
    <w:rsid w:val="00B80422"/>
    <w:rsid w:val="00B80489"/>
    <w:rsid w:val="00B8059E"/>
    <w:rsid w:val="00B805A8"/>
    <w:rsid w:val="00B81132"/>
    <w:rsid w:val="00B81BCA"/>
    <w:rsid w:val="00B81E73"/>
    <w:rsid w:val="00B82011"/>
    <w:rsid w:val="00B82214"/>
    <w:rsid w:val="00B82E6C"/>
    <w:rsid w:val="00B830A3"/>
    <w:rsid w:val="00B83593"/>
    <w:rsid w:val="00B83B6C"/>
    <w:rsid w:val="00B83C90"/>
    <w:rsid w:val="00B83F58"/>
    <w:rsid w:val="00B84044"/>
    <w:rsid w:val="00B842E4"/>
    <w:rsid w:val="00B848E9"/>
    <w:rsid w:val="00B8530C"/>
    <w:rsid w:val="00B85397"/>
    <w:rsid w:val="00B85ACA"/>
    <w:rsid w:val="00B85D59"/>
    <w:rsid w:val="00B8601D"/>
    <w:rsid w:val="00B86393"/>
    <w:rsid w:val="00B86564"/>
    <w:rsid w:val="00B86910"/>
    <w:rsid w:val="00B86D45"/>
    <w:rsid w:val="00B86F7C"/>
    <w:rsid w:val="00B8701F"/>
    <w:rsid w:val="00B8709B"/>
    <w:rsid w:val="00B87207"/>
    <w:rsid w:val="00B876F9"/>
    <w:rsid w:val="00B87784"/>
    <w:rsid w:val="00B9057F"/>
    <w:rsid w:val="00B90580"/>
    <w:rsid w:val="00B90716"/>
    <w:rsid w:val="00B908F6"/>
    <w:rsid w:val="00B90FBB"/>
    <w:rsid w:val="00B918C4"/>
    <w:rsid w:val="00B919E3"/>
    <w:rsid w:val="00B91CDD"/>
    <w:rsid w:val="00B927D6"/>
    <w:rsid w:val="00B92F0A"/>
    <w:rsid w:val="00B93042"/>
    <w:rsid w:val="00B93971"/>
    <w:rsid w:val="00B93A2E"/>
    <w:rsid w:val="00B93AB8"/>
    <w:rsid w:val="00B93B3A"/>
    <w:rsid w:val="00B93C00"/>
    <w:rsid w:val="00B93C0A"/>
    <w:rsid w:val="00B94558"/>
    <w:rsid w:val="00B94807"/>
    <w:rsid w:val="00B94E22"/>
    <w:rsid w:val="00B954BD"/>
    <w:rsid w:val="00B958CF"/>
    <w:rsid w:val="00B959DE"/>
    <w:rsid w:val="00B9637B"/>
    <w:rsid w:val="00B96A0E"/>
    <w:rsid w:val="00B96DBA"/>
    <w:rsid w:val="00B96E8A"/>
    <w:rsid w:val="00B96EBE"/>
    <w:rsid w:val="00B97417"/>
    <w:rsid w:val="00B977F9"/>
    <w:rsid w:val="00B9785B"/>
    <w:rsid w:val="00BA02DA"/>
    <w:rsid w:val="00BA1243"/>
    <w:rsid w:val="00BA1405"/>
    <w:rsid w:val="00BA14AD"/>
    <w:rsid w:val="00BA168E"/>
    <w:rsid w:val="00BA19D8"/>
    <w:rsid w:val="00BA1BA6"/>
    <w:rsid w:val="00BA1CD0"/>
    <w:rsid w:val="00BA1EEF"/>
    <w:rsid w:val="00BA222C"/>
    <w:rsid w:val="00BA26B4"/>
    <w:rsid w:val="00BA3D40"/>
    <w:rsid w:val="00BA42E9"/>
    <w:rsid w:val="00BA4BB9"/>
    <w:rsid w:val="00BA54EB"/>
    <w:rsid w:val="00BA57B6"/>
    <w:rsid w:val="00BA5CBC"/>
    <w:rsid w:val="00BA6ED6"/>
    <w:rsid w:val="00BA720A"/>
    <w:rsid w:val="00BA747F"/>
    <w:rsid w:val="00BA78FB"/>
    <w:rsid w:val="00BB04DE"/>
    <w:rsid w:val="00BB05CF"/>
    <w:rsid w:val="00BB0B30"/>
    <w:rsid w:val="00BB1C85"/>
    <w:rsid w:val="00BB3082"/>
    <w:rsid w:val="00BB30A5"/>
    <w:rsid w:val="00BB3764"/>
    <w:rsid w:val="00BB3FF3"/>
    <w:rsid w:val="00BB44AD"/>
    <w:rsid w:val="00BB45AB"/>
    <w:rsid w:val="00BB48AF"/>
    <w:rsid w:val="00BB4A92"/>
    <w:rsid w:val="00BB4DBD"/>
    <w:rsid w:val="00BB4DFC"/>
    <w:rsid w:val="00BB5105"/>
    <w:rsid w:val="00BB5475"/>
    <w:rsid w:val="00BB5749"/>
    <w:rsid w:val="00BB5DB4"/>
    <w:rsid w:val="00BB5E30"/>
    <w:rsid w:val="00BB745E"/>
    <w:rsid w:val="00BB7529"/>
    <w:rsid w:val="00BB7F3C"/>
    <w:rsid w:val="00BC04CA"/>
    <w:rsid w:val="00BC0855"/>
    <w:rsid w:val="00BC0C52"/>
    <w:rsid w:val="00BC0CC4"/>
    <w:rsid w:val="00BC0EF9"/>
    <w:rsid w:val="00BC10C3"/>
    <w:rsid w:val="00BC143B"/>
    <w:rsid w:val="00BC16F1"/>
    <w:rsid w:val="00BC1E10"/>
    <w:rsid w:val="00BC2133"/>
    <w:rsid w:val="00BC269B"/>
    <w:rsid w:val="00BC2932"/>
    <w:rsid w:val="00BC2AB7"/>
    <w:rsid w:val="00BC3092"/>
    <w:rsid w:val="00BC35EB"/>
    <w:rsid w:val="00BC3DD8"/>
    <w:rsid w:val="00BC4AF0"/>
    <w:rsid w:val="00BC5128"/>
    <w:rsid w:val="00BC5193"/>
    <w:rsid w:val="00BC5366"/>
    <w:rsid w:val="00BC5613"/>
    <w:rsid w:val="00BC5C0C"/>
    <w:rsid w:val="00BC5E4B"/>
    <w:rsid w:val="00BC613D"/>
    <w:rsid w:val="00BC64E0"/>
    <w:rsid w:val="00BC69EE"/>
    <w:rsid w:val="00BC72B2"/>
    <w:rsid w:val="00BC7403"/>
    <w:rsid w:val="00BD006F"/>
    <w:rsid w:val="00BD0423"/>
    <w:rsid w:val="00BD1A7D"/>
    <w:rsid w:val="00BD1AAE"/>
    <w:rsid w:val="00BD227B"/>
    <w:rsid w:val="00BD2727"/>
    <w:rsid w:val="00BD2A63"/>
    <w:rsid w:val="00BD2A6C"/>
    <w:rsid w:val="00BD2B17"/>
    <w:rsid w:val="00BD324B"/>
    <w:rsid w:val="00BD37A6"/>
    <w:rsid w:val="00BD43F9"/>
    <w:rsid w:val="00BD4451"/>
    <w:rsid w:val="00BD4AD2"/>
    <w:rsid w:val="00BD4ADB"/>
    <w:rsid w:val="00BD4D87"/>
    <w:rsid w:val="00BD5202"/>
    <w:rsid w:val="00BD5C37"/>
    <w:rsid w:val="00BD603C"/>
    <w:rsid w:val="00BD62AD"/>
    <w:rsid w:val="00BD6677"/>
    <w:rsid w:val="00BD6AE5"/>
    <w:rsid w:val="00BD6E79"/>
    <w:rsid w:val="00BD71B1"/>
    <w:rsid w:val="00BD768F"/>
    <w:rsid w:val="00BE0080"/>
    <w:rsid w:val="00BE053F"/>
    <w:rsid w:val="00BE06B6"/>
    <w:rsid w:val="00BE096D"/>
    <w:rsid w:val="00BE09C5"/>
    <w:rsid w:val="00BE0E28"/>
    <w:rsid w:val="00BE104B"/>
    <w:rsid w:val="00BE1473"/>
    <w:rsid w:val="00BE179E"/>
    <w:rsid w:val="00BE1D99"/>
    <w:rsid w:val="00BE1F75"/>
    <w:rsid w:val="00BE2285"/>
    <w:rsid w:val="00BE2486"/>
    <w:rsid w:val="00BE251E"/>
    <w:rsid w:val="00BE2819"/>
    <w:rsid w:val="00BE2AB0"/>
    <w:rsid w:val="00BE3228"/>
    <w:rsid w:val="00BE3923"/>
    <w:rsid w:val="00BE4138"/>
    <w:rsid w:val="00BE44BF"/>
    <w:rsid w:val="00BE4DE3"/>
    <w:rsid w:val="00BE5024"/>
    <w:rsid w:val="00BE55D2"/>
    <w:rsid w:val="00BE5D77"/>
    <w:rsid w:val="00BE5D94"/>
    <w:rsid w:val="00BE6049"/>
    <w:rsid w:val="00BE69B0"/>
    <w:rsid w:val="00BE6E5F"/>
    <w:rsid w:val="00BE76C3"/>
    <w:rsid w:val="00BE76D1"/>
    <w:rsid w:val="00BE77EE"/>
    <w:rsid w:val="00BE7ADE"/>
    <w:rsid w:val="00BF0A51"/>
    <w:rsid w:val="00BF16F6"/>
    <w:rsid w:val="00BF1C5B"/>
    <w:rsid w:val="00BF1FF3"/>
    <w:rsid w:val="00BF23D7"/>
    <w:rsid w:val="00BF325C"/>
    <w:rsid w:val="00BF36F7"/>
    <w:rsid w:val="00BF3B2C"/>
    <w:rsid w:val="00BF3B94"/>
    <w:rsid w:val="00BF3D45"/>
    <w:rsid w:val="00BF3DD6"/>
    <w:rsid w:val="00BF5F86"/>
    <w:rsid w:val="00BF6C13"/>
    <w:rsid w:val="00BF702E"/>
    <w:rsid w:val="00BF77E0"/>
    <w:rsid w:val="00BF793C"/>
    <w:rsid w:val="00BF79D9"/>
    <w:rsid w:val="00BF7CB6"/>
    <w:rsid w:val="00C00428"/>
    <w:rsid w:val="00C008BC"/>
    <w:rsid w:val="00C01408"/>
    <w:rsid w:val="00C015F4"/>
    <w:rsid w:val="00C0174D"/>
    <w:rsid w:val="00C0194C"/>
    <w:rsid w:val="00C01AAA"/>
    <w:rsid w:val="00C01D77"/>
    <w:rsid w:val="00C02929"/>
    <w:rsid w:val="00C02933"/>
    <w:rsid w:val="00C029A2"/>
    <w:rsid w:val="00C02AD1"/>
    <w:rsid w:val="00C02BD7"/>
    <w:rsid w:val="00C032D4"/>
    <w:rsid w:val="00C03692"/>
    <w:rsid w:val="00C03A9E"/>
    <w:rsid w:val="00C03E9E"/>
    <w:rsid w:val="00C0408A"/>
    <w:rsid w:val="00C05B0D"/>
    <w:rsid w:val="00C05BDD"/>
    <w:rsid w:val="00C05CFA"/>
    <w:rsid w:val="00C0676D"/>
    <w:rsid w:val="00C070BF"/>
    <w:rsid w:val="00C07146"/>
    <w:rsid w:val="00C07362"/>
    <w:rsid w:val="00C07ECA"/>
    <w:rsid w:val="00C07FBE"/>
    <w:rsid w:val="00C10D65"/>
    <w:rsid w:val="00C10D78"/>
    <w:rsid w:val="00C114A1"/>
    <w:rsid w:val="00C12D12"/>
    <w:rsid w:val="00C12D15"/>
    <w:rsid w:val="00C12F86"/>
    <w:rsid w:val="00C1352D"/>
    <w:rsid w:val="00C135DF"/>
    <w:rsid w:val="00C13707"/>
    <w:rsid w:val="00C14673"/>
    <w:rsid w:val="00C14C69"/>
    <w:rsid w:val="00C14D2B"/>
    <w:rsid w:val="00C14EA7"/>
    <w:rsid w:val="00C14F54"/>
    <w:rsid w:val="00C1570A"/>
    <w:rsid w:val="00C1578D"/>
    <w:rsid w:val="00C15806"/>
    <w:rsid w:val="00C15F3D"/>
    <w:rsid w:val="00C1619B"/>
    <w:rsid w:val="00C16434"/>
    <w:rsid w:val="00C1677B"/>
    <w:rsid w:val="00C1687D"/>
    <w:rsid w:val="00C16B56"/>
    <w:rsid w:val="00C171C7"/>
    <w:rsid w:val="00C1733C"/>
    <w:rsid w:val="00C17808"/>
    <w:rsid w:val="00C17A8F"/>
    <w:rsid w:val="00C20059"/>
    <w:rsid w:val="00C204FE"/>
    <w:rsid w:val="00C2056D"/>
    <w:rsid w:val="00C2095D"/>
    <w:rsid w:val="00C20B23"/>
    <w:rsid w:val="00C20D8A"/>
    <w:rsid w:val="00C20FAA"/>
    <w:rsid w:val="00C21267"/>
    <w:rsid w:val="00C214DD"/>
    <w:rsid w:val="00C215DD"/>
    <w:rsid w:val="00C22512"/>
    <w:rsid w:val="00C230D4"/>
    <w:rsid w:val="00C23482"/>
    <w:rsid w:val="00C2397D"/>
    <w:rsid w:val="00C23BE6"/>
    <w:rsid w:val="00C23C02"/>
    <w:rsid w:val="00C24862"/>
    <w:rsid w:val="00C24C46"/>
    <w:rsid w:val="00C24FFF"/>
    <w:rsid w:val="00C25348"/>
    <w:rsid w:val="00C2581A"/>
    <w:rsid w:val="00C25CD0"/>
    <w:rsid w:val="00C26518"/>
    <w:rsid w:val="00C265C3"/>
    <w:rsid w:val="00C267D1"/>
    <w:rsid w:val="00C26EBA"/>
    <w:rsid w:val="00C270DD"/>
    <w:rsid w:val="00C27DF1"/>
    <w:rsid w:val="00C3105E"/>
    <w:rsid w:val="00C3147E"/>
    <w:rsid w:val="00C318C9"/>
    <w:rsid w:val="00C32E7A"/>
    <w:rsid w:val="00C331D3"/>
    <w:rsid w:val="00C331E8"/>
    <w:rsid w:val="00C333F6"/>
    <w:rsid w:val="00C33A45"/>
    <w:rsid w:val="00C34501"/>
    <w:rsid w:val="00C346A1"/>
    <w:rsid w:val="00C34875"/>
    <w:rsid w:val="00C34905"/>
    <w:rsid w:val="00C349A0"/>
    <w:rsid w:val="00C34A1B"/>
    <w:rsid w:val="00C34A52"/>
    <w:rsid w:val="00C34D64"/>
    <w:rsid w:val="00C34E1B"/>
    <w:rsid w:val="00C35245"/>
    <w:rsid w:val="00C355F2"/>
    <w:rsid w:val="00C35D1B"/>
    <w:rsid w:val="00C35F3A"/>
    <w:rsid w:val="00C3615D"/>
    <w:rsid w:val="00C3644A"/>
    <w:rsid w:val="00C364C5"/>
    <w:rsid w:val="00C36CD0"/>
    <w:rsid w:val="00C36CFD"/>
    <w:rsid w:val="00C37204"/>
    <w:rsid w:val="00C373C0"/>
    <w:rsid w:val="00C374E2"/>
    <w:rsid w:val="00C37A1C"/>
    <w:rsid w:val="00C4086E"/>
    <w:rsid w:val="00C40D38"/>
    <w:rsid w:val="00C40EB9"/>
    <w:rsid w:val="00C4168A"/>
    <w:rsid w:val="00C41E56"/>
    <w:rsid w:val="00C41EBF"/>
    <w:rsid w:val="00C422CF"/>
    <w:rsid w:val="00C4281A"/>
    <w:rsid w:val="00C4320E"/>
    <w:rsid w:val="00C433AF"/>
    <w:rsid w:val="00C4343B"/>
    <w:rsid w:val="00C43B36"/>
    <w:rsid w:val="00C441E7"/>
    <w:rsid w:val="00C4422D"/>
    <w:rsid w:val="00C442B3"/>
    <w:rsid w:val="00C442D6"/>
    <w:rsid w:val="00C444B4"/>
    <w:rsid w:val="00C45038"/>
    <w:rsid w:val="00C4616C"/>
    <w:rsid w:val="00C461FD"/>
    <w:rsid w:val="00C46EE3"/>
    <w:rsid w:val="00C4765B"/>
    <w:rsid w:val="00C4794F"/>
    <w:rsid w:val="00C47C24"/>
    <w:rsid w:val="00C47F0B"/>
    <w:rsid w:val="00C5004C"/>
    <w:rsid w:val="00C505BD"/>
    <w:rsid w:val="00C506C1"/>
    <w:rsid w:val="00C50D0B"/>
    <w:rsid w:val="00C50EDE"/>
    <w:rsid w:val="00C51164"/>
    <w:rsid w:val="00C51420"/>
    <w:rsid w:val="00C51545"/>
    <w:rsid w:val="00C51AC1"/>
    <w:rsid w:val="00C5244C"/>
    <w:rsid w:val="00C52677"/>
    <w:rsid w:val="00C52733"/>
    <w:rsid w:val="00C52FE8"/>
    <w:rsid w:val="00C539A4"/>
    <w:rsid w:val="00C53B5A"/>
    <w:rsid w:val="00C53C5E"/>
    <w:rsid w:val="00C54006"/>
    <w:rsid w:val="00C54047"/>
    <w:rsid w:val="00C545EB"/>
    <w:rsid w:val="00C54897"/>
    <w:rsid w:val="00C5528F"/>
    <w:rsid w:val="00C55AE3"/>
    <w:rsid w:val="00C56444"/>
    <w:rsid w:val="00C56627"/>
    <w:rsid w:val="00C56ED6"/>
    <w:rsid w:val="00C57215"/>
    <w:rsid w:val="00C574BD"/>
    <w:rsid w:val="00C5790C"/>
    <w:rsid w:val="00C57D50"/>
    <w:rsid w:val="00C6043A"/>
    <w:rsid w:val="00C60448"/>
    <w:rsid w:val="00C6070A"/>
    <w:rsid w:val="00C60B83"/>
    <w:rsid w:val="00C61A51"/>
    <w:rsid w:val="00C61A5F"/>
    <w:rsid w:val="00C61C2C"/>
    <w:rsid w:val="00C61FAA"/>
    <w:rsid w:val="00C620FE"/>
    <w:rsid w:val="00C62613"/>
    <w:rsid w:val="00C627F1"/>
    <w:rsid w:val="00C62AFB"/>
    <w:rsid w:val="00C62F0C"/>
    <w:rsid w:val="00C640FA"/>
    <w:rsid w:val="00C6460A"/>
    <w:rsid w:val="00C6499F"/>
    <w:rsid w:val="00C64BAC"/>
    <w:rsid w:val="00C64BC1"/>
    <w:rsid w:val="00C64F2F"/>
    <w:rsid w:val="00C65868"/>
    <w:rsid w:val="00C65D72"/>
    <w:rsid w:val="00C65D79"/>
    <w:rsid w:val="00C65E92"/>
    <w:rsid w:val="00C65F1D"/>
    <w:rsid w:val="00C66291"/>
    <w:rsid w:val="00C664C7"/>
    <w:rsid w:val="00C6682F"/>
    <w:rsid w:val="00C66B94"/>
    <w:rsid w:val="00C66F0B"/>
    <w:rsid w:val="00C67734"/>
    <w:rsid w:val="00C6776D"/>
    <w:rsid w:val="00C677AE"/>
    <w:rsid w:val="00C67A3C"/>
    <w:rsid w:val="00C67C32"/>
    <w:rsid w:val="00C703DE"/>
    <w:rsid w:val="00C703E9"/>
    <w:rsid w:val="00C70580"/>
    <w:rsid w:val="00C70E5C"/>
    <w:rsid w:val="00C70E8E"/>
    <w:rsid w:val="00C71069"/>
    <w:rsid w:val="00C71CD4"/>
    <w:rsid w:val="00C71D86"/>
    <w:rsid w:val="00C71D8A"/>
    <w:rsid w:val="00C72033"/>
    <w:rsid w:val="00C72743"/>
    <w:rsid w:val="00C727B0"/>
    <w:rsid w:val="00C73411"/>
    <w:rsid w:val="00C73583"/>
    <w:rsid w:val="00C73613"/>
    <w:rsid w:val="00C73975"/>
    <w:rsid w:val="00C73E5D"/>
    <w:rsid w:val="00C746BF"/>
    <w:rsid w:val="00C74A23"/>
    <w:rsid w:val="00C74B46"/>
    <w:rsid w:val="00C74F68"/>
    <w:rsid w:val="00C755C3"/>
    <w:rsid w:val="00C758E0"/>
    <w:rsid w:val="00C760CE"/>
    <w:rsid w:val="00C76122"/>
    <w:rsid w:val="00C76E83"/>
    <w:rsid w:val="00C76E9C"/>
    <w:rsid w:val="00C77A34"/>
    <w:rsid w:val="00C77CEB"/>
    <w:rsid w:val="00C80B82"/>
    <w:rsid w:val="00C80BCF"/>
    <w:rsid w:val="00C80DAB"/>
    <w:rsid w:val="00C810C9"/>
    <w:rsid w:val="00C81201"/>
    <w:rsid w:val="00C812B5"/>
    <w:rsid w:val="00C81392"/>
    <w:rsid w:val="00C81540"/>
    <w:rsid w:val="00C81FD2"/>
    <w:rsid w:val="00C827F2"/>
    <w:rsid w:val="00C83A5F"/>
    <w:rsid w:val="00C83E68"/>
    <w:rsid w:val="00C84569"/>
    <w:rsid w:val="00C846B0"/>
    <w:rsid w:val="00C84EB8"/>
    <w:rsid w:val="00C85005"/>
    <w:rsid w:val="00C85750"/>
    <w:rsid w:val="00C858C2"/>
    <w:rsid w:val="00C85CB9"/>
    <w:rsid w:val="00C866C2"/>
    <w:rsid w:val="00C86940"/>
    <w:rsid w:val="00C86996"/>
    <w:rsid w:val="00C86A44"/>
    <w:rsid w:val="00C87B76"/>
    <w:rsid w:val="00C87FED"/>
    <w:rsid w:val="00C900E3"/>
    <w:rsid w:val="00C90299"/>
    <w:rsid w:val="00C908E2"/>
    <w:rsid w:val="00C91136"/>
    <w:rsid w:val="00C9126E"/>
    <w:rsid w:val="00C914B9"/>
    <w:rsid w:val="00C91692"/>
    <w:rsid w:val="00C91A36"/>
    <w:rsid w:val="00C92614"/>
    <w:rsid w:val="00C92779"/>
    <w:rsid w:val="00C92BF9"/>
    <w:rsid w:val="00C92FC9"/>
    <w:rsid w:val="00C93376"/>
    <w:rsid w:val="00C93945"/>
    <w:rsid w:val="00C93AB6"/>
    <w:rsid w:val="00C94627"/>
    <w:rsid w:val="00C94D30"/>
    <w:rsid w:val="00C94ECA"/>
    <w:rsid w:val="00C9562A"/>
    <w:rsid w:val="00C95ADE"/>
    <w:rsid w:val="00C95DC2"/>
    <w:rsid w:val="00C966EE"/>
    <w:rsid w:val="00C96783"/>
    <w:rsid w:val="00C96FF2"/>
    <w:rsid w:val="00C97565"/>
    <w:rsid w:val="00C97C9B"/>
    <w:rsid w:val="00CA008E"/>
    <w:rsid w:val="00CA01A5"/>
    <w:rsid w:val="00CA0799"/>
    <w:rsid w:val="00CA0A27"/>
    <w:rsid w:val="00CA0DAC"/>
    <w:rsid w:val="00CA1126"/>
    <w:rsid w:val="00CA144C"/>
    <w:rsid w:val="00CA1451"/>
    <w:rsid w:val="00CA14D5"/>
    <w:rsid w:val="00CA1A88"/>
    <w:rsid w:val="00CA1B69"/>
    <w:rsid w:val="00CA204A"/>
    <w:rsid w:val="00CA210E"/>
    <w:rsid w:val="00CA255E"/>
    <w:rsid w:val="00CA2837"/>
    <w:rsid w:val="00CA3525"/>
    <w:rsid w:val="00CA3C12"/>
    <w:rsid w:val="00CA41C5"/>
    <w:rsid w:val="00CA490A"/>
    <w:rsid w:val="00CA4D4E"/>
    <w:rsid w:val="00CA53BD"/>
    <w:rsid w:val="00CA60F0"/>
    <w:rsid w:val="00CA62BD"/>
    <w:rsid w:val="00CA65A4"/>
    <w:rsid w:val="00CA66A0"/>
    <w:rsid w:val="00CA67FD"/>
    <w:rsid w:val="00CA7655"/>
    <w:rsid w:val="00CA7984"/>
    <w:rsid w:val="00CA7A83"/>
    <w:rsid w:val="00CA7C8A"/>
    <w:rsid w:val="00CB0299"/>
    <w:rsid w:val="00CB0DC7"/>
    <w:rsid w:val="00CB0E5C"/>
    <w:rsid w:val="00CB1453"/>
    <w:rsid w:val="00CB14F4"/>
    <w:rsid w:val="00CB1696"/>
    <w:rsid w:val="00CB16E9"/>
    <w:rsid w:val="00CB16F6"/>
    <w:rsid w:val="00CB19D5"/>
    <w:rsid w:val="00CB19F0"/>
    <w:rsid w:val="00CB1AB3"/>
    <w:rsid w:val="00CB1D31"/>
    <w:rsid w:val="00CB24E8"/>
    <w:rsid w:val="00CB2551"/>
    <w:rsid w:val="00CB255F"/>
    <w:rsid w:val="00CB2B53"/>
    <w:rsid w:val="00CB2E1E"/>
    <w:rsid w:val="00CB32E5"/>
    <w:rsid w:val="00CB3AB4"/>
    <w:rsid w:val="00CB3B05"/>
    <w:rsid w:val="00CB3BD5"/>
    <w:rsid w:val="00CB4128"/>
    <w:rsid w:val="00CB4141"/>
    <w:rsid w:val="00CB4247"/>
    <w:rsid w:val="00CB446A"/>
    <w:rsid w:val="00CB4564"/>
    <w:rsid w:val="00CB48FE"/>
    <w:rsid w:val="00CB4BDC"/>
    <w:rsid w:val="00CB4FB8"/>
    <w:rsid w:val="00CB55BE"/>
    <w:rsid w:val="00CB5843"/>
    <w:rsid w:val="00CB5DA3"/>
    <w:rsid w:val="00CB65F2"/>
    <w:rsid w:val="00CB6656"/>
    <w:rsid w:val="00CB7D33"/>
    <w:rsid w:val="00CC0A63"/>
    <w:rsid w:val="00CC0CAE"/>
    <w:rsid w:val="00CC1587"/>
    <w:rsid w:val="00CC1EE2"/>
    <w:rsid w:val="00CC2861"/>
    <w:rsid w:val="00CC2BDC"/>
    <w:rsid w:val="00CC2F5D"/>
    <w:rsid w:val="00CC3093"/>
    <w:rsid w:val="00CC31F9"/>
    <w:rsid w:val="00CC3B25"/>
    <w:rsid w:val="00CC4226"/>
    <w:rsid w:val="00CC4255"/>
    <w:rsid w:val="00CC45A5"/>
    <w:rsid w:val="00CC4FC0"/>
    <w:rsid w:val="00CC5035"/>
    <w:rsid w:val="00CC5B7E"/>
    <w:rsid w:val="00CC5F00"/>
    <w:rsid w:val="00CC6D09"/>
    <w:rsid w:val="00CC7800"/>
    <w:rsid w:val="00CC79CE"/>
    <w:rsid w:val="00CC7A4F"/>
    <w:rsid w:val="00CD0131"/>
    <w:rsid w:val="00CD02EA"/>
    <w:rsid w:val="00CD07CD"/>
    <w:rsid w:val="00CD0B81"/>
    <w:rsid w:val="00CD11AB"/>
    <w:rsid w:val="00CD15A0"/>
    <w:rsid w:val="00CD1A01"/>
    <w:rsid w:val="00CD1AC5"/>
    <w:rsid w:val="00CD1C9C"/>
    <w:rsid w:val="00CD1EEC"/>
    <w:rsid w:val="00CD2767"/>
    <w:rsid w:val="00CD2A54"/>
    <w:rsid w:val="00CD2BEE"/>
    <w:rsid w:val="00CD2D7F"/>
    <w:rsid w:val="00CD3AF1"/>
    <w:rsid w:val="00CD3C43"/>
    <w:rsid w:val="00CD441E"/>
    <w:rsid w:val="00CD4496"/>
    <w:rsid w:val="00CD4CCF"/>
    <w:rsid w:val="00CD59CF"/>
    <w:rsid w:val="00CD5BBE"/>
    <w:rsid w:val="00CD5BF0"/>
    <w:rsid w:val="00CD60AC"/>
    <w:rsid w:val="00CD630E"/>
    <w:rsid w:val="00CD7D7A"/>
    <w:rsid w:val="00CE0946"/>
    <w:rsid w:val="00CE0C38"/>
    <w:rsid w:val="00CE0D51"/>
    <w:rsid w:val="00CE0E87"/>
    <w:rsid w:val="00CE0F29"/>
    <w:rsid w:val="00CE10A8"/>
    <w:rsid w:val="00CE1665"/>
    <w:rsid w:val="00CE2A41"/>
    <w:rsid w:val="00CE33B0"/>
    <w:rsid w:val="00CE33C3"/>
    <w:rsid w:val="00CE3749"/>
    <w:rsid w:val="00CE3A5E"/>
    <w:rsid w:val="00CE3C20"/>
    <w:rsid w:val="00CE4131"/>
    <w:rsid w:val="00CE4311"/>
    <w:rsid w:val="00CE459E"/>
    <w:rsid w:val="00CE4B34"/>
    <w:rsid w:val="00CE4FC8"/>
    <w:rsid w:val="00CE5087"/>
    <w:rsid w:val="00CE5170"/>
    <w:rsid w:val="00CE5588"/>
    <w:rsid w:val="00CE5F93"/>
    <w:rsid w:val="00CE6373"/>
    <w:rsid w:val="00CE673C"/>
    <w:rsid w:val="00CE7ABF"/>
    <w:rsid w:val="00CE7ADB"/>
    <w:rsid w:val="00CE7C10"/>
    <w:rsid w:val="00CE7FF3"/>
    <w:rsid w:val="00CF0418"/>
    <w:rsid w:val="00CF0573"/>
    <w:rsid w:val="00CF165C"/>
    <w:rsid w:val="00CF1761"/>
    <w:rsid w:val="00CF1861"/>
    <w:rsid w:val="00CF26A5"/>
    <w:rsid w:val="00CF29C8"/>
    <w:rsid w:val="00CF350F"/>
    <w:rsid w:val="00CF37C4"/>
    <w:rsid w:val="00CF390B"/>
    <w:rsid w:val="00CF3927"/>
    <w:rsid w:val="00CF3EA5"/>
    <w:rsid w:val="00CF4ABF"/>
    <w:rsid w:val="00CF51A2"/>
    <w:rsid w:val="00CF5412"/>
    <w:rsid w:val="00CF5AF0"/>
    <w:rsid w:val="00CF68B3"/>
    <w:rsid w:val="00CF6B1F"/>
    <w:rsid w:val="00CF6BA5"/>
    <w:rsid w:val="00CF6FDA"/>
    <w:rsid w:val="00CF724E"/>
    <w:rsid w:val="00CF7B9E"/>
    <w:rsid w:val="00D0138E"/>
    <w:rsid w:val="00D02732"/>
    <w:rsid w:val="00D033D9"/>
    <w:rsid w:val="00D034F5"/>
    <w:rsid w:val="00D03AB2"/>
    <w:rsid w:val="00D03E1B"/>
    <w:rsid w:val="00D048FD"/>
    <w:rsid w:val="00D04A7D"/>
    <w:rsid w:val="00D05177"/>
    <w:rsid w:val="00D05667"/>
    <w:rsid w:val="00D056D3"/>
    <w:rsid w:val="00D0596E"/>
    <w:rsid w:val="00D05B06"/>
    <w:rsid w:val="00D06701"/>
    <w:rsid w:val="00D069FA"/>
    <w:rsid w:val="00D07DD8"/>
    <w:rsid w:val="00D07F97"/>
    <w:rsid w:val="00D1005A"/>
    <w:rsid w:val="00D10809"/>
    <w:rsid w:val="00D1085F"/>
    <w:rsid w:val="00D1095C"/>
    <w:rsid w:val="00D11091"/>
    <w:rsid w:val="00D1140E"/>
    <w:rsid w:val="00D115B0"/>
    <w:rsid w:val="00D116F9"/>
    <w:rsid w:val="00D11E6C"/>
    <w:rsid w:val="00D11FBD"/>
    <w:rsid w:val="00D126E5"/>
    <w:rsid w:val="00D12789"/>
    <w:rsid w:val="00D128A6"/>
    <w:rsid w:val="00D12B1F"/>
    <w:rsid w:val="00D12E2D"/>
    <w:rsid w:val="00D12EF8"/>
    <w:rsid w:val="00D130A3"/>
    <w:rsid w:val="00D138CD"/>
    <w:rsid w:val="00D13AF5"/>
    <w:rsid w:val="00D13E2E"/>
    <w:rsid w:val="00D14B59"/>
    <w:rsid w:val="00D155AA"/>
    <w:rsid w:val="00D15646"/>
    <w:rsid w:val="00D1591C"/>
    <w:rsid w:val="00D15958"/>
    <w:rsid w:val="00D15B30"/>
    <w:rsid w:val="00D16090"/>
    <w:rsid w:val="00D16295"/>
    <w:rsid w:val="00D162CD"/>
    <w:rsid w:val="00D16571"/>
    <w:rsid w:val="00D168B2"/>
    <w:rsid w:val="00D175B7"/>
    <w:rsid w:val="00D17A58"/>
    <w:rsid w:val="00D17AEE"/>
    <w:rsid w:val="00D17B45"/>
    <w:rsid w:val="00D17E76"/>
    <w:rsid w:val="00D203CF"/>
    <w:rsid w:val="00D21136"/>
    <w:rsid w:val="00D22A91"/>
    <w:rsid w:val="00D22B1C"/>
    <w:rsid w:val="00D22D42"/>
    <w:rsid w:val="00D22DC1"/>
    <w:rsid w:val="00D23001"/>
    <w:rsid w:val="00D233EB"/>
    <w:rsid w:val="00D238D4"/>
    <w:rsid w:val="00D2425A"/>
    <w:rsid w:val="00D24451"/>
    <w:rsid w:val="00D24EF0"/>
    <w:rsid w:val="00D25D70"/>
    <w:rsid w:val="00D25E39"/>
    <w:rsid w:val="00D262B3"/>
    <w:rsid w:val="00D269E7"/>
    <w:rsid w:val="00D26F4D"/>
    <w:rsid w:val="00D26FF3"/>
    <w:rsid w:val="00D271AD"/>
    <w:rsid w:val="00D27D1B"/>
    <w:rsid w:val="00D27EAB"/>
    <w:rsid w:val="00D30759"/>
    <w:rsid w:val="00D30FEC"/>
    <w:rsid w:val="00D31727"/>
    <w:rsid w:val="00D31AEF"/>
    <w:rsid w:val="00D31BC6"/>
    <w:rsid w:val="00D31E4E"/>
    <w:rsid w:val="00D32ACC"/>
    <w:rsid w:val="00D32C7E"/>
    <w:rsid w:val="00D33087"/>
    <w:rsid w:val="00D330B2"/>
    <w:rsid w:val="00D3402B"/>
    <w:rsid w:val="00D34702"/>
    <w:rsid w:val="00D34EDF"/>
    <w:rsid w:val="00D350FB"/>
    <w:rsid w:val="00D3587F"/>
    <w:rsid w:val="00D35F82"/>
    <w:rsid w:val="00D36274"/>
    <w:rsid w:val="00D367B2"/>
    <w:rsid w:val="00D36A78"/>
    <w:rsid w:val="00D36B8D"/>
    <w:rsid w:val="00D37430"/>
    <w:rsid w:val="00D37A7B"/>
    <w:rsid w:val="00D37B45"/>
    <w:rsid w:val="00D4011C"/>
    <w:rsid w:val="00D404B3"/>
    <w:rsid w:val="00D407A0"/>
    <w:rsid w:val="00D40B08"/>
    <w:rsid w:val="00D4194D"/>
    <w:rsid w:val="00D41A4D"/>
    <w:rsid w:val="00D41CE6"/>
    <w:rsid w:val="00D41DC0"/>
    <w:rsid w:val="00D42A48"/>
    <w:rsid w:val="00D42B94"/>
    <w:rsid w:val="00D4415D"/>
    <w:rsid w:val="00D44199"/>
    <w:rsid w:val="00D4419B"/>
    <w:rsid w:val="00D443B9"/>
    <w:rsid w:val="00D443E0"/>
    <w:rsid w:val="00D445B2"/>
    <w:rsid w:val="00D44B1B"/>
    <w:rsid w:val="00D44F2F"/>
    <w:rsid w:val="00D45572"/>
    <w:rsid w:val="00D45F77"/>
    <w:rsid w:val="00D46363"/>
    <w:rsid w:val="00D464F5"/>
    <w:rsid w:val="00D4717C"/>
    <w:rsid w:val="00D47C39"/>
    <w:rsid w:val="00D504A0"/>
    <w:rsid w:val="00D50A89"/>
    <w:rsid w:val="00D50C96"/>
    <w:rsid w:val="00D50F36"/>
    <w:rsid w:val="00D51923"/>
    <w:rsid w:val="00D51DFD"/>
    <w:rsid w:val="00D51E62"/>
    <w:rsid w:val="00D522B1"/>
    <w:rsid w:val="00D52DAF"/>
    <w:rsid w:val="00D53B48"/>
    <w:rsid w:val="00D53DFA"/>
    <w:rsid w:val="00D5436D"/>
    <w:rsid w:val="00D54378"/>
    <w:rsid w:val="00D54865"/>
    <w:rsid w:val="00D54889"/>
    <w:rsid w:val="00D54D6C"/>
    <w:rsid w:val="00D55275"/>
    <w:rsid w:val="00D553BC"/>
    <w:rsid w:val="00D555F0"/>
    <w:rsid w:val="00D556E3"/>
    <w:rsid w:val="00D556EA"/>
    <w:rsid w:val="00D55D33"/>
    <w:rsid w:val="00D55E0A"/>
    <w:rsid w:val="00D55FE7"/>
    <w:rsid w:val="00D5618C"/>
    <w:rsid w:val="00D56735"/>
    <w:rsid w:val="00D57447"/>
    <w:rsid w:val="00D60169"/>
    <w:rsid w:val="00D609B2"/>
    <w:rsid w:val="00D60F4F"/>
    <w:rsid w:val="00D60FE3"/>
    <w:rsid w:val="00D611E0"/>
    <w:rsid w:val="00D61BF9"/>
    <w:rsid w:val="00D6201A"/>
    <w:rsid w:val="00D62186"/>
    <w:rsid w:val="00D624FD"/>
    <w:rsid w:val="00D6264E"/>
    <w:rsid w:val="00D62E69"/>
    <w:rsid w:val="00D64559"/>
    <w:rsid w:val="00D64650"/>
    <w:rsid w:val="00D64AFE"/>
    <w:rsid w:val="00D64B0C"/>
    <w:rsid w:val="00D64EBE"/>
    <w:rsid w:val="00D64F9C"/>
    <w:rsid w:val="00D6522B"/>
    <w:rsid w:val="00D6534C"/>
    <w:rsid w:val="00D656CF"/>
    <w:rsid w:val="00D65719"/>
    <w:rsid w:val="00D65830"/>
    <w:rsid w:val="00D659EA"/>
    <w:rsid w:val="00D660D4"/>
    <w:rsid w:val="00D66632"/>
    <w:rsid w:val="00D6669F"/>
    <w:rsid w:val="00D670C5"/>
    <w:rsid w:val="00D67257"/>
    <w:rsid w:val="00D673C5"/>
    <w:rsid w:val="00D67469"/>
    <w:rsid w:val="00D67883"/>
    <w:rsid w:val="00D67BD7"/>
    <w:rsid w:val="00D67C51"/>
    <w:rsid w:val="00D70E3F"/>
    <w:rsid w:val="00D71877"/>
    <w:rsid w:val="00D71DF9"/>
    <w:rsid w:val="00D72154"/>
    <w:rsid w:val="00D723AC"/>
    <w:rsid w:val="00D72C22"/>
    <w:rsid w:val="00D732FC"/>
    <w:rsid w:val="00D7370B"/>
    <w:rsid w:val="00D73E84"/>
    <w:rsid w:val="00D747CD"/>
    <w:rsid w:val="00D75FBF"/>
    <w:rsid w:val="00D75FC3"/>
    <w:rsid w:val="00D75FE8"/>
    <w:rsid w:val="00D76ED1"/>
    <w:rsid w:val="00D77474"/>
    <w:rsid w:val="00D77B63"/>
    <w:rsid w:val="00D805A7"/>
    <w:rsid w:val="00D80C0E"/>
    <w:rsid w:val="00D81149"/>
    <w:rsid w:val="00D812FB"/>
    <w:rsid w:val="00D816AC"/>
    <w:rsid w:val="00D81B7D"/>
    <w:rsid w:val="00D820DF"/>
    <w:rsid w:val="00D825DC"/>
    <w:rsid w:val="00D82608"/>
    <w:rsid w:val="00D82820"/>
    <w:rsid w:val="00D8285C"/>
    <w:rsid w:val="00D82A0C"/>
    <w:rsid w:val="00D82CAF"/>
    <w:rsid w:val="00D82F60"/>
    <w:rsid w:val="00D82F85"/>
    <w:rsid w:val="00D8302C"/>
    <w:rsid w:val="00D8337B"/>
    <w:rsid w:val="00D8349A"/>
    <w:rsid w:val="00D83659"/>
    <w:rsid w:val="00D83894"/>
    <w:rsid w:val="00D83EE4"/>
    <w:rsid w:val="00D84ABE"/>
    <w:rsid w:val="00D84C29"/>
    <w:rsid w:val="00D85027"/>
    <w:rsid w:val="00D85D5A"/>
    <w:rsid w:val="00D86149"/>
    <w:rsid w:val="00D862F6"/>
    <w:rsid w:val="00D8651E"/>
    <w:rsid w:val="00D86924"/>
    <w:rsid w:val="00D869DD"/>
    <w:rsid w:val="00D86D33"/>
    <w:rsid w:val="00D86E50"/>
    <w:rsid w:val="00D8723C"/>
    <w:rsid w:val="00D87455"/>
    <w:rsid w:val="00D90219"/>
    <w:rsid w:val="00D90BB9"/>
    <w:rsid w:val="00D90C6D"/>
    <w:rsid w:val="00D92864"/>
    <w:rsid w:val="00D928E2"/>
    <w:rsid w:val="00D92DF3"/>
    <w:rsid w:val="00D9343E"/>
    <w:rsid w:val="00D936D7"/>
    <w:rsid w:val="00D939D1"/>
    <w:rsid w:val="00D939DB"/>
    <w:rsid w:val="00D93F0D"/>
    <w:rsid w:val="00D93FB3"/>
    <w:rsid w:val="00D9413F"/>
    <w:rsid w:val="00D948D7"/>
    <w:rsid w:val="00D94B4B"/>
    <w:rsid w:val="00D953A0"/>
    <w:rsid w:val="00D9599F"/>
    <w:rsid w:val="00D95F57"/>
    <w:rsid w:val="00D961D9"/>
    <w:rsid w:val="00D9630F"/>
    <w:rsid w:val="00D96CF8"/>
    <w:rsid w:val="00D96ED0"/>
    <w:rsid w:val="00D96FF1"/>
    <w:rsid w:val="00D97370"/>
    <w:rsid w:val="00D9738C"/>
    <w:rsid w:val="00DA046C"/>
    <w:rsid w:val="00DA0B17"/>
    <w:rsid w:val="00DA0CB6"/>
    <w:rsid w:val="00DA1257"/>
    <w:rsid w:val="00DA16F7"/>
    <w:rsid w:val="00DA1B15"/>
    <w:rsid w:val="00DA1D08"/>
    <w:rsid w:val="00DA1DC8"/>
    <w:rsid w:val="00DA248B"/>
    <w:rsid w:val="00DA2754"/>
    <w:rsid w:val="00DA2BBD"/>
    <w:rsid w:val="00DA30F3"/>
    <w:rsid w:val="00DA3692"/>
    <w:rsid w:val="00DA3BB5"/>
    <w:rsid w:val="00DA3FC6"/>
    <w:rsid w:val="00DA4C7B"/>
    <w:rsid w:val="00DA4E24"/>
    <w:rsid w:val="00DA55E3"/>
    <w:rsid w:val="00DA6262"/>
    <w:rsid w:val="00DA645F"/>
    <w:rsid w:val="00DA6802"/>
    <w:rsid w:val="00DA6CA4"/>
    <w:rsid w:val="00DA7FEE"/>
    <w:rsid w:val="00DB01D9"/>
    <w:rsid w:val="00DB02FF"/>
    <w:rsid w:val="00DB0DCF"/>
    <w:rsid w:val="00DB0FFE"/>
    <w:rsid w:val="00DB1465"/>
    <w:rsid w:val="00DB16B1"/>
    <w:rsid w:val="00DB17DB"/>
    <w:rsid w:val="00DB1E01"/>
    <w:rsid w:val="00DB220D"/>
    <w:rsid w:val="00DB30A8"/>
    <w:rsid w:val="00DB332E"/>
    <w:rsid w:val="00DB33F9"/>
    <w:rsid w:val="00DB3E3C"/>
    <w:rsid w:val="00DB4225"/>
    <w:rsid w:val="00DB436E"/>
    <w:rsid w:val="00DB4E9C"/>
    <w:rsid w:val="00DB51DA"/>
    <w:rsid w:val="00DB5205"/>
    <w:rsid w:val="00DB5597"/>
    <w:rsid w:val="00DB5693"/>
    <w:rsid w:val="00DB5717"/>
    <w:rsid w:val="00DB5A7D"/>
    <w:rsid w:val="00DB5AE6"/>
    <w:rsid w:val="00DB5AFC"/>
    <w:rsid w:val="00DB5E79"/>
    <w:rsid w:val="00DB6409"/>
    <w:rsid w:val="00DB674A"/>
    <w:rsid w:val="00DB681D"/>
    <w:rsid w:val="00DB6B69"/>
    <w:rsid w:val="00DB706D"/>
    <w:rsid w:val="00DB709A"/>
    <w:rsid w:val="00DB7893"/>
    <w:rsid w:val="00DC00B5"/>
    <w:rsid w:val="00DC05C7"/>
    <w:rsid w:val="00DC090E"/>
    <w:rsid w:val="00DC0D44"/>
    <w:rsid w:val="00DC0DBF"/>
    <w:rsid w:val="00DC1448"/>
    <w:rsid w:val="00DC1FB7"/>
    <w:rsid w:val="00DC2367"/>
    <w:rsid w:val="00DC2B46"/>
    <w:rsid w:val="00DC2B78"/>
    <w:rsid w:val="00DC2C5F"/>
    <w:rsid w:val="00DC3377"/>
    <w:rsid w:val="00DC35B8"/>
    <w:rsid w:val="00DC3DDA"/>
    <w:rsid w:val="00DC4116"/>
    <w:rsid w:val="00DC4486"/>
    <w:rsid w:val="00DC4912"/>
    <w:rsid w:val="00DC4A12"/>
    <w:rsid w:val="00DC5341"/>
    <w:rsid w:val="00DC54A3"/>
    <w:rsid w:val="00DC5940"/>
    <w:rsid w:val="00DC5EB3"/>
    <w:rsid w:val="00DC6114"/>
    <w:rsid w:val="00DC6EF3"/>
    <w:rsid w:val="00DC6FE6"/>
    <w:rsid w:val="00DC7CA6"/>
    <w:rsid w:val="00DC7F90"/>
    <w:rsid w:val="00DD0678"/>
    <w:rsid w:val="00DD14FE"/>
    <w:rsid w:val="00DD15D2"/>
    <w:rsid w:val="00DD1DD5"/>
    <w:rsid w:val="00DD1F38"/>
    <w:rsid w:val="00DD20EF"/>
    <w:rsid w:val="00DD232B"/>
    <w:rsid w:val="00DD2776"/>
    <w:rsid w:val="00DD2EF6"/>
    <w:rsid w:val="00DD2F85"/>
    <w:rsid w:val="00DD344D"/>
    <w:rsid w:val="00DD39FD"/>
    <w:rsid w:val="00DD41CD"/>
    <w:rsid w:val="00DD429F"/>
    <w:rsid w:val="00DD461C"/>
    <w:rsid w:val="00DD4B85"/>
    <w:rsid w:val="00DD5402"/>
    <w:rsid w:val="00DD57A9"/>
    <w:rsid w:val="00DD586F"/>
    <w:rsid w:val="00DD5E0B"/>
    <w:rsid w:val="00DD6702"/>
    <w:rsid w:val="00DD6A73"/>
    <w:rsid w:val="00DD6CCC"/>
    <w:rsid w:val="00DD715C"/>
    <w:rsid w:val="00DD7469"/>
    <w:rsid w:val="00DD7539"/>
    <w:rsid w:val="00DD78EC"/>
    <w:rsid w:val="00DD7C09"/>
    <w:rsid w:val="00DD7F1E"/>
    <w:rsid w:val="00DE01B6"/>
    <w:rsid w:val="00DE07AD"/>
    <w:rsid w:val="00DE0D4B"/>
    <w:rsid w:val="00DE1B1C"/>
    <w:rsid w:val="00DE29C0"/>
    <w:rsid w:val="00DE2EA5"/>
    <w:rsid w:val="00DE311C"/>
    <w:rsid w:val="00DE343B"/>
    <w:rsid w:val="00DE3E10"/>
    <w:rsid w:val="00DE40AA"/>
    <w:rsid w:val="00DE415F"/>
    <w:rsid w:val="00DE490B"/>
    <w:rsid w:val="00DE5926"/>
    <w:rsid w:val="00DE5B36"/>
    <w:rsid w:val="00DE6935"/>
    <w:rsid w:val="00DE6A6D"/>
    <w:rsid w:val="00DE76CC"/>
    <w:rsid w:val="00DE777D"/>
    <w:rsid w:val="00DE7BE2"/>
    <w:rsid w:val="00DE7F13"/>
    <w:rsid w:val="00DE7F9A"/>
    <w:rsid w:val="00DF076D"/>
    <w:rsid w:val="00DF0928"/>
    <w:rsid w:val="00DF0C99"/>
    <w:rsid w:val="00DF102E"/>
    <w:rsid w:val="00DF1136"/>
    <w:rsid w:val="00DF12BD"/>
    <w:rsid w:val="00DF1588"/>
    <w:rsid w:val="00DF182D"/>
    <w:rsid w:val="00DF18EE"/>
    <w:rsid w:val="00DF1AF7"/>
    <w:rsid w:val="00DF1B2E"/>
    <w:rsid w:val="00DF1ED1"/>
    <w:rsid w:val="00DF1FCC"/>
    <w:rsid w:val="00DF2069"/>
    <w:rsid w:val="00DF258F"/>
    <w:rsid w:val="00DF25DF"/>
    <w:rsid w:val="00DF2794"/>
    <w:rsid w:val="00DF395C"/>
    <w:rsid w:val="00DF459B"/>
    <w:rsid w:val="00DF47DB"/>
    <w:rsid w:val="00DF4873"/>
    <w:rsid w:val="00DF4E31"/>
    <w:rsid w:val="00DF5675"/>
    <w:rsid w:val="00DF5BAA"/>
    <w:rsid w:val="00DF5EA3"/>
    <w:rsid w:val="00DF6DF8"/>
    <w:rsid w:val="00DF6FB9"/>
    <w:rsid w:val="00DF70E5"/>
    <w:rsid w:val="00DF75AB"/>
    <w:rsid w:val="00DF77BD"/>
    <w:rsid w:val="00DF7886"/>
    <w:rsid w:val="00DF7959"/>
    <w:rsid w:val="00DF7BB6"/>
    <w:rsid w:val="00DF7CEB"/>
    <w:rsid w:val="00E0001E"/>
    <w:rsid w:val="00E000B1"/>
    <w:rsid w:val="00E00C6E"/>
    <w:rsid w:val="00E00EC4"/>
    <w:rsid w:val="00E01429"/>
    <w:rsid w:val="00E018D0"/>
    <w:rsid w:val="00E01DF6"/>
    <w:rsid w:val="00E01F1E"/>
    <w:rsid w:val="00E02BEA"/>
    <w:rsid w:val="00E02F63"/>
    <w:rsid w:val="00E03C26"/>
    <w:rsid w:val="00E03D8C"/>
    <w:rsid w:val="00E04783"/>
    <w:rsid w:val="00E04CE7"/>
    <w:rsid w:val="00E052BE"/>
    <w:rsid w:val="00E0575F"/>
    <w:rsid w:val="00E05D98"/>
    <w:rsid w:val="00E0626C"/>
    <w:rsid w:val="00E06492"/>
    <w:rsid w:val="00E06764"/>
    <w:rsid w:val="00E06FF0"/>
    <w:rsid w:val="00E10677"/>
    <w:rsid w:val="00E106B0"/>
    <w:rsid w:val="00E10ADD"/>
    <w:rsid w:val="00E10C3C"/>
    <w:rsid w:val="00E10C88"/>
    <w:rsid w:val="00E11883"/>
    <w:rsid w:val="00E11FFF"/>
    <w:rsid w:val="00E1201F"/>
    <w:rsid w:val="00E12079"/>
    <w:rsid w:val="00E12EE7"/>
    <w:rsid w:val="00E13285"/>
    <w:rsid w:val="00E1376B"/>
    <w:rsid w:val="00E138F3"/>
    <w:rsid w:val="00E13950"/>
    <w:rsid w:val="00E13978"/>
    <w:rsid w:val="00E15355"/>
    <w:rsid w:val="00E1550C"/>
    <w:rsid w:val="00E15D1A"/>
    <w:rsid w:val="00E161F7"/>
    <w:rsid w:val="00E16315"/>
    <w:rsid w:val="00E16A1A"/>
    <w:rsid w:val="00E1744D"/>
    <w:rsid w:val="00E17712"/>
    <w:rsid w:val="00E206BE"/>
    <w:rsid w:val="00E20723"/>
    <w:rsid w:val="00E21174"/>
    <w:rsid w:val="00E21B8D"/>
    <w:rsid w:val="00E2277F"/>
    <w:rsid w:val="00E22825"/>
    <w:rsid w:val="00E229CC"/>
    <w:rsid w:val="00E23618"/>
    <w:rsid w:val="00E238F6"/>
    <w:rsid w:val="00E23AF9"/>
    <w:rsid w:val="00E23F3A"/>
    <w:rsid w:val="00E24E0E"/>
    <w:rsid w:val="00E24F15"/>
    <w:rsid w:val="00E252BE"/>
    <w:rsid w:val="00E256F0"/>
    <w:rsid w:val="00E258B1"/>
    <w:rsid w:val="00E25A2A"/>
    <w:rsid w:val="00E25AD8"/>
    <w:rsid w:val="00E2740F"/>
    <w:rsid w:val="00E27508"/>
    <w:rsid w:val="00E277DA"/>
    <w:rsid w:val="00E27A3E"/>
    <w:rsid w:val="00E27F1D"/>
    <w:rsid w:val="00E27F2D"/>
    <w:rsid w:val="00E30870"/>
    <w:rsid w:val="00E30F9B"/>
    <w:rsid w:val="00E31529"/>
    <w:rsid w:val="00E31813"/>
    <w:rsid w:val="00E3198C"/>
    <w:rsid w:val="00E31E0C"/>
    <w:rsid w:val="00E31E1A"/>
    <w:rsid w:val="00E31F6B"/>
    <w:rsid w:val="00E3240B"/>
    <w:rsid w:val="00E324EB"/>
    <w:rsid w:val="00E326C2"/>
    <w:rsid w:val="00E3287A"/>
    <w:rsid w:val="00E32D1D"/>
    <w:rsid w:val="00E33989"/>
    <w:rsid w:val="00E339AD"/>
    <w:rsid w:val="00E33B3E"/>
    <w:rsid w:val="00E33CD1"/>
    <w:rsid w:val="00E33D30"/>
    <w:rsid w:val="00E33F53"/>
    <w:rsid w:val="00E33F62"/>
    <w:rsid w:val="00E344C2"/>
    <w:rsid w:val="00E34999"/>
    <w:rsid w:val="00E349F9"/>
    <w:rsid w:val="00E34B22"/>
    <w:rsid w:val="00E34C22"/>
    <w:rsid w:val="00E34ED4"/>
    <w:rsid w:val="00E3541C"/>
    <w:rsid w:val="00E35ED3"/>
    <w:rsid w:val="00E36B06"/>
    <w:rsid w:val="00E375B4"/>
    <w:rsid w:val="00E37645"/>
    <w:rsid w:val="00E37C02"/>
    <w:rsid w:val="00E4066C"/>
    <w:rsid w:val="00E40782"/>
    <w:rsid w:val="00E40ADC"/>
    <w:rsid w:val="00E41517"/>
    <w:rsid w:val="00E4164F"/>
    <w:rsid w:val="00E41FA5"/>
    <w:rsid w:val="00E42048"/>
    <w:rsid w:val="00E42AEB"/>
    <w:rsid w:val="00E42EA0"/>
    <w:rsid w:val="00E43A3A"/>
    <w:rsid w:val="00E44586"/>
    <w:rsid w:val="00E44748"/>
    <w:rsid w:val="00E44A20"/>
    <w:rsid w:val="00E4511E"/>
    <w:rsid w:val="00E45663"/>
    <w:rsid w:val="00E45EF1"/>
    <w:rsid w:val="00E46001"/>
    <w:rsid w:val="00E46126"/>
    <w:rsid w:val="00E46A36"/>
    <w:rsid w:val="00E46EE7"/>
    <w:rsid w:val="00E47E77"/>
    <w:rsid w:val="00E501E7"/>
    <w:rsid w:val="00E5020D"/>
    <w:rsid w:val="00E50925"/>
    <w:rsid w:val="00E50EF3"/>
    <w:rsid w:val="00E51335"/>
    <w:rsid w:val="00E517EB"/>
    <w:rsid w:val="00E52BA6"/>
    <w:rsid w:val="00E53631"/>
    <w:rsid w:val="00E53C37"/>
    <w:rsid w:val="00E53E69"/>
    <w:rsid w:val="00E54078"/>
    <w:rsid w:val="00E54336"/>
    <w:rsid w:val="00E543BE"/>
    <w:rsid w:val="00E550B1"/>
    <w:rsid w:val="00E561BB"/>
    <w:rsid w:val="00E572CE"/>
    <w:rsid w:val="00E574F3"/>
    <w:rsid w:val="00E60140"/>
    <w:rsid w:val="00E604B2"/>
    <w:rsid w:val="00E60862"/>
    <w:rsid w:val="00E61846"/>
    <w:rsid w:val="00E61F51"/>
    <w:rsid w:val="00E62082"/>
    <w:rsid w:val="00E62084"/>
    <w:rsid w:val="00E6224F"/>
    <w:rsid w:val="00E626D1"/>
    <w:rsid w:val="00E62D84"/>
    <w:rsid w:val="00E63179"/>
    <w:rsid w:val="00E6330D"/>
    <w:rsid w:val="00E6352F"/>
    <w:rsid w:val="00E63F65"/>
    <w:rsid w:val="00E64098"/>
    <w:rsid w:val="00E64508"/>
    <w:rsid w:val="00E6474E"/>
    <w:rsid w:val="00E65107"/>
    <w:rsid w:val="00E6583C"/>
    <w:rsid w:val="00E659C8"/>
    <w:rsid w:val="00E65A50"/>
    <w:rsid w:val="00E665BE"/>
    <w:rsid w:val="00E66761"/>
    <w:rsid w:val="00E667E9"/>
    <w:rsid w:val="00E66C25"/>
    <w:rsid w:val="00E66D84"/>
    <w:rsid w:val="00E67638"/>
    <w:rsid w:val="00E67C35"/>
    <w:rsid w:val="00E67DF4"/>
    <w:rsid w:val="00E700F6"/>
    <w:rsid w:val="00E70137"/>
    <w:rsid w:val="00E70905"/>
    <w:rsid w:val="00E70E9E"/>
    <w:rsid w:val="00E70F0D"/>
    <w:rsid w:val="00E71119"/>
    <w:rsid w:val="00E728F0"/>
    <w:rsid w:val="00E72EE6"/>
    <w:rsid w:val="00E730AB"/>
    <w:rsid w:val="00E730D7"/>
    <w:rsid w:val="00E73151"/>
    <w:rsid w:val="00E731A4"/>
    <w:rsid w:val="00E7394E"/>
    <w:rsid w:val="00E74757"/>
    <w:rsid w:val="00E74D89"/>
    <w:rsid w:val="00E74EBC"/>
    <w:rsid w:val="00E751D1"/>
    <w:rsid w:val="00E7593E"/>
    <w:rsid w:val="00E75A31"/>
    <w:rsid w:val="00E75BE6"/>
    <w:rsid w:val="00E7600B"/>
    <w:rsid w:val="00E76190"/>
    <w:rsid w:val="00E762D2"/>
    <w:rsid w:val="00E76B85"/>
    <w:rsid w:val="00E76C2D"/>
    <w:rsid w:val="00E76F8D"/>
    <w:rsid w:val="00E7765C"/>
    <w:rsid w:val="00E80014"/>
    <w:rsid w:val="00E8007C"/>
    <w:rsid w:val="00E803B7"/>
    <w:rsid w:val="00E805E3"/>
    <w:rsid w:val="00E807C9"/>
    <w:rsid w:val="00E810C1"/>
    <w:rsid w:val="00E81491"/>
    <w:rsid w:val="00E817DF"/>
    <w:rsid w:val="00E82150"/>
    <w:rsid w:val="00E8230D"/>
    <w:rsid w:val="00E8299C"/>
    <w:rsid w:val="00E82BC0"/>
    <w:rsid w:val="00E8344E"/>
    <w:rsid w:val="00E83645"/>
    <w:rsid w:val="00E83877"/>
    <w:rsid w:val="00E84203"/>
    <w:rsid w:val="00E84276"/>
    <w:rsid w:val="00E842FD"/>
    <w:rsid w:val="00E84ABC"/>
    <w:rsid w:val="00E84AD0"/>
    <w:rsid w:val="00E8500A"/>
    <w:rsid w:val="00E853C7"/>
    <w:rsid w:val="00E8573C"/>
    <w:rsid w:val="00E85817"/>
    <w:rsid w:val="00E85AF4"/>
    <w:rsid w:val="00E860B7"/>
    <w:rsid w:val="00E86157"/>
    <w:rsid w:val="00E864BF"/>
    <w:rsid w:val="00E86600"/>
    <w:rsid w:val="00E86CEA"/>
    <w:rsid w:val="00E86CF9"/>
    <w:rsid w:val="00E86EE6"/>
    <w:rsid w:val="00E87015"/>
    <w:rsid w:val="00E8791E"/>
    <w:rsid w:val="00E87F32"/>
    <w:rsid w:val="00E907A3"/>
    <w:rsid w:val="00E9082B"/>
    <w:rsid w:val="00E90D87"/>
    <w:rsid w:val="00E925D9"/>
    <w:rsid w:val="00E92C1D"/>
    <w:rsid w:val="00E92F60"/>
    <w:rsid w:val="00E93233"/>
    <w:rsid w:val="00E935BA"/>
    <w:rsid w:val="00E93A7C"/>
    <w:rsid w:val="00E93D1F"/>
    <w:rsid w:val="00E93E57"/>
    <w:rsid w:val="00E946A9"/>
    <w:rsid w:val="00E94C99"/>
    <w:rsid w:val="00E94CAC"/>
    <w:rsid w:val="00E9501E"/>
    <w:rsid w:val="00E951C2"/>
    <w:rsid w:val="00E958F0"/>
    <w:rsid w:val="00E95B80"/>
    <w:rsid w:val="00E96448"/>
    <w:rsid w:val="00E96596"/>
    <w:rsid w:val="00E969BD"/>
    <w:rsid w:val="00E96A72"/>
    <w:rsid w:val="00E96AD3"/>
    <w:rsid w:val="00E97266"/>
    <w:rsid w:val="00E978D6"/>
    <w:rsid w:val="00E978F0"/>
    <w:rsid w:val="00EA0184"/>
    <w:rsid w:val="00EA0391"/>
    <w:rsid w:val="00EA0518"/>
    <w:rsid w:val="00EA0664"/>
    <w:rsid w:val="00EA0FFA"/>
    <w:rsid w:val="00EA1459"/>
    <w:rsid w:val="00EA1966"/>
    <w:rsid w:val="00EA2197"/>
    <w:rsid w:val="00EA2340"/>
    <w:rsid w:val="00EA26C8"/>
    <w:rsid w:val="00EA2724"/>
    <w:rsid w:val="00EA2E69"/>
    <w:rsid w:val="00EA301F"/>
    <w:rsid w:val="00EA3900"/>
    <w:rsid w:val="00EA42E3"/>
    <w:rsid w:val="00EA44B5"/>
    <w:rsid w:val="00EA4B65"/>
    <w:rsid w:val="00EA53DD"/>
    <w:rsid w:val="00EA56A1"/>
    <w:rsid w:val="00EA5E85"/>
    <w:rsid w:val="00EA5EDB"/>
    <w:rsid w:val="00EA6F74"/>
    <w:rsid w:val="00EA6FB2"/>
    <w:rsid w:val="00EA7404"/>
    <w:rsid w:val="00EA7739"/>
    <w:rsid w:val="00EA7FBA"/>
    <w:rsid w:val="00EB0068"/>
    <w:rsid w:val="00EB05A6"/>
    <w:rsid w:val="00EB0ADE"/>
    <w:rsid w:val="00EB106D"/>
    <w:rsid w:val="00EB154B"/>
    <w:rsid w:val="00EB1B57"/>
    <w:rsid w:val="00EB1FA1"/>
    <w:rsid w:val="00EB2141"/>
    <w:rsid w:val="00EB2A26"/>
    <w:rsid w:val="00EB2DBC"/>
    <w:rsid w:val="00EB39EC"/>
    <w:rsid w:val="00EB3A3D"/>
    <w:rsid w:val="00EB3B99"/>
    <w:rsid w:val="00EB3C38"/>
    <w:rsid w:val="00EB3CD5"/>
    <w:rsid w:val="00EB3E66"/>
    <w:rsid w:val="00EB4209"/>
    <w:rsid w:val="00EB47DE"/>
    <w:rsid w:val="00EB4F07"/>
    <w:rsid w:val="00EB4F13"/>
    <w:rsid w:val="00EB554C"/>
    <w:rsid w:val="00EB55C6"/>
    <w:rsid w:val="00EB5939"/>
    <w:rsid w:val="00EB5CB3"/>
    <w:rsid w:val="00EB603D"/>
    <w:rsid w:val="00EB62E8"/>
    <w:rsid w:val="00EB6517"/>
    <w:rsid w:val="00EB67A5"/>
    <w:rsid w:val="00EB6DED"/>
    <w:rsid w:val="00EB6EF7"/>
    <w:rsid w:val="00EB7053"/>
    <w:rsid w:val="00EB7175"/>
    <w:rsid w:val="00EB747A"/>
    <w:rsid w:val="00EB78C9"/>
    <w:rsid w:val="00EB79C2"/>
    <w:rsid w:val="00EC011E"/>
    <w:rsid w:val="00EC142E"/>
    <w:rsid w:val="00EC192B"/>
    <w:rsid w:val="00EC1A9E"/>
    <w:rsid w:val="00EC208C"/>
    <w:rsid w:val="00EC2256"/>
    <w:rsid w:val="00EC2AB2"/>
    <w:rsid w:val="00EC2E58"/>
    <w:rsid w:val="00EC2FF1"/>
    <w:rsid w:val="00EC32C7"/>
    <w:rsid w:val="00EC3415"/>
    <w:rsid w:val="00EC3666"/>
    <w:rsid w:val="00EC3A70"/>
    <w:rsid w:val="00EC3B9F"/>
    <w:rsid w:val="00EC3DA5"/>
    <w:rsid w:val="00EC4BC7"/>
    <w:rsid w:val="00EC4DC0"/>
    <w:rsid w:val="00EC5BD0"/>
    <w:rsid w:val="00EC5D9D"/>
    <w:rsid w:val="00EC5EBF"/>
    <w:rsid w:val="00EC60C9"/>
    <w:rsid w:val="00EC6540"/>
    <w:rsid w:val="00EC73C9"/>
    <w:rsid w:val="00EC7621"/>
    <w:rsid w:val="00EC77C7"/>
    <w:rsid w:val="00EC7A79"/>
    <w:rsid w:val="00EC7EB2"/>
    <w:rsid w:val="00ED00A0"/>
    <w:rsid w:val="00ED04DC"/>
    <w:rsid w:val="00ED12BC"/>
    <w:rsid w:val="00ED1FBC"/>
    <w:rsid w:val="00ED204D"/>
    <w:rsid w:val="00ED223C"/>
    <w:rsid w:val="00ED2816"/>
    <w:rsid w:val="00ED2989"/>
    <w:rsid w:val="00ED2F30"/>
    <w:rsid w:val="00ED34C3"/>
    <w:rsid w:val="00ED3853"/>
    <w:rsid w:val="00ED3C64"/>
    <w:rsid w:val="00ED55F9"/>
    <w:rsid w:val="00ED5E05"/>
    <w:rsid w:val="00ED67E4"/>
    <w:rsid w:val="00ED685E"/>
    <w:rsid w:val="00ED691E"/>
    <w:rsid w:val="00ED7521"/>
    <w:rsid w:val="00ED78D5"/>
    <w:rsid w:val="00ED7CCC"/>
    <w:rsid w:val="00ED7FD1"/>
    <w:rsid w:val="00EE001E"/>
    <w:rsid w:val="00EE037F"/>
    <w:rsid w:val="00EE070C"/>
    <w:rsid w:val="00EE0CF9"/>
    <w:rsid w:val="00EE1594"/>
    <w:rsid w:val="00EE1E7F"/>
    <w:rsid w:val="00EE1F57"/>
    <w:rsid w:val="00EE2148"/>
    <w:rsid w:val="00EE232B"/>
    <w:rsid w:val="00EE26B2"/>
    <w:rsid w:val="00EE2AC3"/>
    <w:rsid w:val="00EE30FA"/>
    <w:rsid w:val="00EE355C"/>
    <w:rsid w:val="00EE3C29"/>
    <w:rsid w:val="00EE421C"/>
    <w:rsid w:val="00EE437C"/>
    <w:rsid w:val="00EE4BE9"/>
    <w:rsid w:val="00EE4DF0"/>
    <w:rsid w:val="00EE52A7"/>
    <w:rsid w:val="00EE55ED"/>
    <w:rsid w:val="00EE56EC"/>
    <w:rsid w:val="00EE5C1C"/>
    <w:rsid w:val="00EE63DB"/>
    <w:rsid w:val="00EE66D6"/>
    <w:rsid w:val="00EE6891"/>
    <w:rsid w:val="00EE705B"/>
    <w:rsid w:val="00EE72D0"/>
    <w:rsid w:val="00EF03B4"/>
    <w:rsid w:val="00EF07FA"/>
    <w:rsid w:val="00EF089D"/>
    <w:rsid w:val="00EF0CB6"/>
    <w:rsid w:val="00EF11B6"/>
    <w:rsid w:val="00EF1472"/>
    <w:rsid w:val="00EF1584"/>
    <w:rsid w:val="00EF1688"/>
    <w:rsid w:val="00EF1A52"/>
    <w:rsid w:val="00EF1D64"/>
    <w:rsid w:val="00EF1E0F"/>
    <w:rsid w:val="00EF1FB7"/>
    <w:rsid w:val="00EF2556"/>
    <w:rsid w:val="00EF26D8"/>
    <w:rsid w:val="00EF2C30"/>
    <w:rsid w:val="00EF2D6E"/>
    <w:rsid w:val="00EF368F"/>
    <w:rsid w:val="00EF371F"/>
    <w:rsid w:val="00EF3B44"/>
    <w:rsid w:val="00EF3C90"/>
    <w:rsid w:val="00EF3C9E"/>
    <w:rsid w:val="00EF47E3"/>
    <w:rsid w:val="00EF502B"/>
    <w:rsid w:val="00EF5291"/>
    <w:rsid w:val="00EF539B"/>
    <w:rsid w:val="00EF5CE8"/>
    <w:rsid w:val="00EF5E3C"/>
    <w:rsid w:val="00EF6263"/>
    <w:rsid w:val="00EF6395"/>
    <w:rsid w:val="00EF6595"/>
    <w:rsid w:val="00EF6825"/>
    <w:rsid w:val="00EF6929"/>
    <w:rsid w:val="00EF6EBE"/>
    <w:rsid w:val="00EF6F15"/>
    <w:rsid w:val="00EF7670"/>
    <w:rsid w:val="00F00345"/>
    <w:rsid w:val="00F00CF7"/>
    <w:rsid w:val="00F01277"/>
    <w:rsid w:val="00F01853"/>
    <w:rsid w:val="00F02D2D"/>
    <w:rsid w:val="00F0314E"/>
    <w:rsid w:val="00F032F6"/>
    <w:rsid w:val="00F03410"/>
    <w:rsid w:val="00F03925"/>
    <w:rsid w:val="00F047D7"/>
    <w:rsid w:val="00F049B9"/>
    <w:rsid w:val="00F052D6"/>
    <w:rsid w:val="00F0533E"/>
    <w:rsid w:val="00F05A78"/>
    <w:rsid w:val="00F05C1E"/>
    <w:rsid w:val="00F05D91"/>
    <w:rsid w:val="00F06E09"/>
    <w:rsid w:val="00F06E47"/>
    <w:rsid w:val="00F073BE"/>
    <w:rsid w:val="00F07541"/>
    <w:rsid w:val="00F075AC"/>
    <w:rsid w:val="00F07EEB"/>
    <w:rsid w:val="00F07EFF"/>
    <w:rsid w:val="00F101D6"/>
    <w:rsid w:val="00F102E1"/>
    <w:rsid w:val="00F103D4"/>
    <w:rsid w:val="00F106F6"/>
    <w:rsid w:val="00F10C2B"/>
    <w:rsid w:val="00F10CCB"/>
    <w:rsid w:val="00F1116C"/>
    <w:rsid w:val="00F114DE"/>
    <w:rsid w:val="00F11A6F"/>
    <w:rsid w:val="00F120EF"/>
    <w:rsid w:val="00F12153"/>
    <w:rsid w:val="00F121F5"/>
    <w:rsid w:val="00F128BE"/>
    <w:rsid w:val="00F12C6F"/>
    <w:rsid w:val="00F12CC7"/>
    <w:rsid w:val="00F12EF9"/>
    <w:rsid w:val="00F1378A"/>
    <w:rsid w:val="00F1383A"/>
    <w:rsid w:val="00F14009"/>
    <w:rsid w:val="00F14175"/>
    <w:rsid w:val="00F14439"/>
    <w:rsid w:val="00F14456"/>
    <w:rsid w:val="00F1459D"/>
    <w:rsid w:val="00F146E9"/>
    <w:rsid w:val="00F14B3A"/>
    <w:rsid w:val="00F14EC9"/>
    <w:rsid w:val="00F156C1"/>
    <w:rsid w:val="00F16967"/>
    <w:rsid w:val="00F17124"/>
    <w:rsid w:val="00F2090F"/>
    <w:rsid w:val="00F211E1"/>
    <w:rsid w:val="00F21243"/>
    <w:rsid w:val="00F21358"/>
    <w:rsid w:val="00F21830"/>
    <w:rsid w:val="00F21DB3"/>
    <w:rsid w:val="00F22859"/>
    <w:rsid w:val="00F231EF"/>
    <w:rsid w:val="00F231F9"/>
    <w:rsid w:val="00F2341C"/>
    <w:rsid w:val="00F23588"/>
    <w:rsid w:val="00F23C3B"/>
    <w:rsid w:val="00F23DB3"/>
    <w:rsid w:val="00F243A2"/>
    <w:rsid w:val="00F24889"/>
    <w:rsid w:val="00F2519A"/>
    <w:rsid w:val="00F25A11"/>
    <w:rsid w:val="00F25A4E"/>
    <w:rsid w:val="00F26150"/>
    <w:rsid w:val="00F261AB"/>
    <w:rsid w:val="00F26422"/>
    <w:rsid w:val="00F26923"/>
    <w:rsid w:val="00F27108"/>
    <w:rsid w:val="00F27C1F"/>
    <w:rsid w:val="00F30246"/>
    <w:rsid w:val="00F30C37"/>
    <w:rsid w:val="00F31045"/>
    <w:rsid w:val="00F31073"/>
    <w:rsid w:val="00F31E5C"/>
    <w:rsid w:val="00F31F26"/>
    <w:rsid w:val="00F3229A"/>
    <w:rsid w:val="00F32A15"/>
    <w:rsid w:val="00F34059"/>
    <w:rsid w:val="00F3464C"/>
    <w:rsid w:val="00F3471C"/>
    <w:rsid w:val="00F34DCC"/>
    <w:rsid w:val="00F35254"/>
    <w:rsid w:val="00F35B5A"/>
    <w:rsid w:val="00F35B99"/>
    <w:rsid w:val="00F35CD3"/>
    <w:rsid w:val="00F36390"/>
    <w:rsid w:val="00F364C9"/>
    <w:rsid w:val="00F36940"/>
    <w:rsid w:val="00F36976"/>
    <w:rsid w:val="00F369BD"/>
    <w:rsid w:val="00F36FC3"/>
    <w:rsid w:val="00F371E8"/>
    <w:rsid w:val="00F377E4"/>
    <w:rsid w:val="00F37B30"/>
    <w:rsid w:val="00F4074F"/>
    <w:rsid w:val="00F407B6"/>
    <w:rsid w:val="00F408E2"/>
    <w:rsid w:val="00F40ABD"/>
    <w:rsid w:val="00F40F31"/>
    <w:rsid w:val="00F416A4"/>
    <w:rsid w:val="00F41799"/>
    <w:rsid w:val="00F41B55"/>
    <w:rsid w:val="00F4221A"/>
    <w:rsid w:val="00F423E7"/>
    <w:rsid w:val="00F42882"/>
    <w:rsid w:val="00F42DE8"/>
    <w:rsid w:val="00F43098"/>
    <w:rsid w:val="00F435CB"/>
    <w:rsid w:val="00F439F4"/>
    <w:rsid w:val="00F43A6F"/>
    <w:rsid w:val="00F44100"/>
    <w:rsid w:val="00F443A6"/>
    <w:rsid w:val="00F4459B"/>
    <w:rsid w:val="00F44B75"/>
    <w:rsid w:val="00F45A56"/>
    <w:rsid w:val="00F45C6B"/>
    <w:rsid w:val="00F45D3D"/>
    <w:rsid w:val="00F46245"/>
    <w:rsid w:val="00F469C8"/>
    <w:rsid w:val="00F46A8D"/>
    <w:rsid w:val="00F47A16"/>
    <w:rsid w:val="00F47D41"/>
    <w:rsid w:val="00F51346"/>
    <w:rsid w:val="00F52089"/>
    <w:rsid w:val="00F523D8"/>
    <w:rsid w:val="00F52AFF"/>
    <w:rsid w:val="00F52BA7"/>
    <w:rsid w:val="00F53409"/>
    <w:rsid w:val="00F5358E"/>
    <w:rsid w:val="00F53967"/>
    <w:rsid w:val="00F53ABF"/>
    <w:rsid w:val="00F53BF9"/>
    <w:rsid w:val="00F54091"/>
    <w:rsid w:val="00F54FBF"/>
    <w:rsid w:val="00F5523D"/>
    <w:rsid w:val="00F55245"/>
    <w:rsid w:val="00F566E1"/>
    <w:rsid w:val="00F56B35"/>
    <w:rsid w:val="00F56CDA"/>
    <w:rsid w:val="00F57190"/>
    <w:rsid w:val="00F5722E"/>
    <w:rsid w:val="00F57276"/>
    <w:rsid w:val="00F57A9F"/>
    <w:rsid w:val="00F57C50"/>
    <w:rsid w:val="00F57DC8"/>
    <w:rsid w:val="00F604F3"/>
    <w:rsid w:val="00F6050F"/>
    <w:rsid w:val="00F60523"/>
    <w:rsid w:val="00F606F8"/>
    <w:rsid w:val="00F60E37"/>
    <w:rsid w:val="00F60F33"/>
    <w:rsid w:val="00F612DB"/>
    <w:rsid w:val="00F61778"/>
    <w:rsid w:val="00F61ABA"/>
    <w:rsid w:val="00F61BBA"/>
    <w:rsid w:val="00F61CE8"/>
    <w:rsid w:val="00F61F09"/>
    <w:rsid w:val="00F62A9C"/>
    <w:rsid w:val="00F62CF9"/>
    <w:rsid w:val="00F62F43"/>
    <w:rsid w:val="00F6375C"/>
    <w:rsid w:val="00F63C10"/>
    <w:rsid w:val="00F64726"/>
    <w:rsid w:val="00F65927"/>
    <w:rsid w:val="00F65A0B"/>
    <w:rsid w:val="00F65C05"/>
    <w:rsid w:val="00F65C21"/>
    <w:rsid w:val="00F66073"/>
    <w:rsid w:val="00F66512"/>
    <w:rsid w:val="00F6681D"/>
    <w:rsid w:val="00F66BB5"/>
    <w:rsid w:val="00F66C8C"/>
    <w:rsid w:val="00F66EE8"/>
    <w:rsid w:val="00F670CB"/>
    <w:rsid w:val="00F67769"/>
    <w:rsid w:val="00F67A1B"/>
    <w:rsid w:val="00F67E0C"/>
    <w:rsid w:val="00F703B4"/>
    <w:rsid w:val="00F704B5"/>
    <w:rsid w:val="00F70769"/>
    <w:rsid w:val="00F71169"/>
    <w:rsid w:val="00F713FB"/>
    <w:rsid w:val="00F72061"/>
    <w:rsid w:val="00F72AFF"/>
    <w:rsid w:val="00F72D07"/>
    <w:rsid w:val="00F72EB6"/>
    <w:rsid w:val="00F73295"/>
    <w:rsid w:val="00F737BE"/>
    <w:rsid w:val="00F73C19"/>
    <w:rsid w:val="00F744C0"/>
    <w:rsid w:val="00F7463A"/>
    <w:rsid w:val="00F74ED5"/>
    <w:rsid w:val="00F7514E"/>
    <w:rsid w:val="00F75329"/>
    <w:rsid w:val="00F75588"/>
    <w:rsid w:val="00F755ED"/>
    <w:rsid w:val="00F756A1"/>
    <w:rsid w:val="00F75811"/>
    <w:rsid w:val="00F75B88"/>
    <w:rsid w:val="00F76DC8"/>
    <w:rsid w:val="00F7733A"/>
    <w:rsid w:val="00F7778F"/>
    <w:rsid w:val="00F8000A"/>
    <w:rsid w:val="00F802AD"/>
    <w:rsid w:val="00F80778"/>
    <w:rsid w:val="00F807CE"/>
    <w:rsid w:val="00F809DE"/>
    <w:rsid w:val="00F80D3B"/>
    <w:rsid w:val="00F80F92"/>
    <w:rsid w:val="00F81A3D"/>
    <w:rsid w:val="00F81D49"/>
    <w:rsid w:val="00F81E74"/>
    <w:rsid w:val="00F82293"/>
    <w:rsid w:val="00F82A54"/>
    <w:rsid w:val="00F82AC3"/>
    <w:rsid w:val="00F82C63"/>
    <w:rsid w:val="00F83404"/>
    <w:rsid w:val="00F83C8B"/>
    <w:rsid w:val="00F84157"/>
    <w:rsid w:val="00F8523F"/>
    <w:rsid w:val="00F85A94"/>
    <w:rsid w:val="00F85D26"/>
    <w:rsid w:val="00F8659A"/>
    <w:rsid w:val="00F86FE0"/>
    <w:rsid w:val="00F87007"/>
    <w:rsid w:val="00F871DB"/>
    <w:rsid w:val="00F87321"/>
    <w:rsid w:val="00F8740E"/>
    <w:rsid w:val="00F8750E"/>
    <w:rsid w:val="00F879FA"/>
    <w:rsid w:val="00F87C58"/>
    <w:rsid w:val="00F90208"/>
    <w:rsid w:val="00F905E1"/>
    <w:rsid w:val="00F90761"/>
    <w:rsid w:val="00F90DBF"/>
    <w:rsid w:val="00F91432"/>
    <w:rsid w:val="00F91771"/>
    <w:rsid w:val="00F920B8"/>
    <w:rsid w:val="00F92462"/>
    <w:rsid w:val="00F92C77"/>
    <w:rsid w:val="00F93C51"/>
    <w:rsid w:val="00F93E6A"/>
    <w:rsid w:val="00F94505"/>
    <w:rsid w:val="00F9502C"/>
    <w:rsid w:val="00F95982"/>
    <w:rsid w:val="00F95AA5"/>
    <w:rsid w:val="00F95C3F"/>
    <w:rsid w:val="00F95D85"/>
    <w:rsid w:val="00F9600A"/>
    <w:rsid w:val="00F96101"/>
    <w:rsid w:val="00F961AE"/>
    <w:rsid w:val="00F96635"/>
    <w:rsid w:val="00F966B6"/>
    <w:rsid w:val="00F96B01"/>
    <w:rsid w:val="00F9744D"/>
    <w:rsid w:val="00F977D2"/>
    <w:rsid w:val="00FA06F5"/>
    <w:rsid w:val="00FA07EC"/>
    <w:rsid w:val="00FA1045"/>
    <w:rsid w:val="00FA1470"/>
    <w:rsid w:val="00FA1980"/>
    <w:rsid w:val="00FA1A03"/>
    <w:rsid w:val="00FA1B0D"/>
    <w:rsid w:val="00FA1B76"/>
    <w:rsid w:val="00FA1C10"/>
    <w:rsid w:val="00FA22A8"/>
    <w:rsid w:val="00FA2458"/>
    <w:rsid w:val="00FA273F"/>
    <w:rsid w:val="00FA277F"/>
    <w:rsid w:val="00FA2AF3"/>
    <w:rsid w:val="00FA2B3B"/>
    <w:rsid w:val="00FA2CE4"/>
    <w:rsid w:val="00FA30AF"/>
    <w:rsid w:val="00FA3AA6"/>
    <w:rsid w:val="00FA4520"/>
    <w:rsid w:val="00FA466C"/>
    <w:rsid w:val="00FA4F30"/>
    <w:rsid w:val="00FA4FF6"/>
    <w:rsid w:val="00FA530F"/>
    <w:rsid w:val="00FA5D4F"/>
    <w:rsid w:val="00FA649D"/>
    <w:rsid w:val="00FA6AF2"/>
    <w:rsid w:val="00FA6BC2"/>
    <w:rsid w:val="00FA6C01"/>
    <w:rsid w:val="00FA6C9B"/>
    <w:rsid w:val="00FA7025"/>
    <w:rsid w:val="00FA72E8"/>
    <w:rsid w:val="00FA753E"/>
    <w:rsid w:val="00FB0590"/>
    <w:rsid w:val="00FB05BB"/>
    <w:rsid w:val="00FB0BC0"/>
    <w:rsid w:val="00FB0C66"/>
    <w:rsid w:val="00FB0E77"/>
    <w:rsid w:val="00FB1673"/>
    <w:rsid w:val="00FB1C79"/>
    <w:rsid w:val="00FB1E46"/>
    <w:rsid w:val="00FB2241"/>
    <w:rsid w:val="00FB2CDD"/>
    <w:rsid w:val="00FB2DD6"/>
    <w:rsid w:val="00FB3B14"/>
    <w:rsid w:val="00FB3BEC"/>
    <w:rsid w:val="00FB3EC5"/>
    <w:rsid w:val="00FB4190"/>
    <w:rsid w:val="00FB41A1"/>
    <w:rsid w:val="00FB4304"/>
    <w:rsid w:val="00FB4A7E"/>
    <w:rsid w:val="00FB51D3"/>
    <w:rsid w:val="00FB5393"/>
    <w:rsid w:val="00FB5A62"/>
    <w:rsid w:val="00FB5D55"/>
    <w:rsid w:val="00FB6A69"/>
    <w:rsid w:val="00FB6FD5"/>
    <w:rsid w:val="00FB7739"/>
    <w:rsid w:val="00FB7EE1"/>
    <w:rsid w:val="00FC0B07"/>
    <w:rsid w:val="00FC0CD9"/>
    <w:rsid w:val="00FC10D1"/>
    <w:rsid w:val="00FC1FF9"/>
    <w:rsid w:val="00FC2424"/>
    <w:rsid w:val="00FC2B5B"/>
    <w:rsid w:val="00FC2B62"/>
    <w:rsid w:val="00FC2F92"/>
    <w:rsid w:val="00FC32AB"/>
    <w:rsid w:val="00FC34E5"/>
    <w:rsid w:val="00FC3FC7"/>
    <w:rsid w:val="00FC42DA"/>
    <w:rsid w:val="00FC4351"/>
    <w:rsid w:val="00FC438B"/>
    <w:rsid w:val="00FC453D"/>
    <w:rsid w:val="00FC46C9"/>
    <w:rsid w:val="00FC4D35"/>
    <w:rsid w:val="00FC5211"/>
    <w:rsid w:val="00FC54DC"/>
    <w:rsid w:val="00FC6144"/>
    <w:rsid w:val="00FC6211"/>
    <w:rsid w:val="00FC66FF"/>
    <w:rsid w:val="00FC6A52"/>
    <w:rsid w:val="00FC6C6F"/>
    <w:rsid w:val="00FC6FD8"/>
    <w:rsid w:val="00FC741D"/>
    <w:rsid w:val="00FC7841"/>
    <w:rsid w:val="00FC7875"/>
    <w:rsid w:val="00FC7F83"/>
    <w:rsid w:val="00FD1280"/>
    <w:rsid w:val="00FD1899"/>
    <w:rsid w:val="00FD2658"/>
    <w:rsid w:val="00FD2D82"/>
    <w:rsid w:val="00FD3031"/>
    <w:rsid w:val="00FD3375"/>
    <w:rsid w:val="00FD361B"/>
    <w:rsid w:val="00FD36E3"/>
    <w:rsid w:val="00FD4812"/>
    <w:rsid w:val="00FD530D"/>
    <w:rsid w:val="00FD5327"/>
    <w:rsid w:val="00FD5500"/>
    <w:rsid w:val="00FD5F47"/>
    <w:rsid w:val="00FD6467"/>
    <w:rsid w:val="00FD76B0"/>
    <w:rsid w:val="00FD7AEB"/>
    <w:rsid w:val="00FD7BDB"/>
    <w:rsid w:val="00FD7DEF"/>
    <w:rsid w:val="00FD7DFA"/>
    <w:rsid w:val="00FD7EF1"/>
    <w:rsid w:val="00FD7F9B"/>
    <w:rsid w:val="00FE0317"/>
    <w:rsid w:val="00FE11AA"/>
    <w:rsid w:val="00FE12BD"/>
    <w:rsid w:val="00FE192C"/>
    <w:rsid w:val="00FE1CA7"/>
    <w:rsid w:val="00FE1D86"/>
    <w:rsid w:val="00FE1F45"/>
    <w:rsid w:val="00FE1F64"/>
    <w:rsid w:val="00FE2372"/>
    <w:rsid w:val="00FE2B4C"/>
    <w:rsid w:val="00FE3553"/>
    <w:rsid w:val="00FE4356"/>
    <w:rsid w:val="00FE4757"/>
    <w:rsid w:val="00FE4C70"/>
    <w:rsid w:val="00FE5669"/>
    <w:rsid w:val="00FE5D3C"/>
    <w:rsid w:val="00FE5D61"/>
    <w:rsid w:val="00FE5F1D"/>
    <w:rsid w:val="00FE5FC8"/>
    <w:rsid w:val="00FE725C"/>
    <w:rsid w:val="00FE76AB"/>
    <w:rsid w:val="00FE7821"/>
    <w:rsid w:val="00FE7C86"/>
    <w:rsid w:val="00FF04EE"/>
    <w:rsid w:val="00FF0A80"/>
    <w:rsid w:val="00FF0B12"/>
    <w:rsid w:val="00FF0D40"/>
    <w:rsid w:val="00FF0E05"/>
    <w:rsid w:val="00FF0EE6"/>
    <w:rsid w:val="00FF20A5"/>
    <w:rsid w:val="00FF21D7"/>
    <w:rsid w:val="00FF26B0"/>
    <w:rsid w:val="00FF2720"/>
    <w:rsid w:val="00FF2BBB"/>
    <w:rsid w:val="00FF2CB1"/>
    <w:rsid w:val="00FF2CBC"/>
    <w:rsid w:val="00FF2F91"/>
    <w:rsid w:val="00FF3811"/>
    <w:rsid w:val="00FF38C4"/>
    <w:rsid w:val="00FF4168"/>
    <w:rsid w:val="00FF4A88"/>
    <w:rsid w:val="00FF54DB"/>
    <w:rsid w:val="00FF5525"/>
    <w:rsid w:val="00FF57DF"/>
    <w:rsid w:val="00FF57FB"/>
    <w:rsid w:val="00FF5ADE"/>
    <w:rsid w:val="00FF6233"/>
    <w:rsid w:val="00FF6527"/>
    <w:rsid w:val="00FF654F"/>
    <w:rsid w:val="00FF67B9"/>
    <w:rsid w:val="00FF68DF"/>
    <w:rsid w:val="00FF6919"/>
    <w:rsid w:val="00FF6C53"/>
    <w:rsid w:val="00FF70B1"/>
    <w:rsid w:val="00FF723B"/>
    <w:rsid w:val="00FF72A1"/>
    <w:rsid w:val="00FF7545"/>
    <w:rsid w:val="00FF7903"/>
    <w:rsid w:val="00FF7D42"/>
    <w:rsid w:val="00FF7D79"/>
    <w:rsid w:val="70213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73FA022"/>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52411">
      <w:bodyDiv w:val="1"/>
      <w:marLeft w:val="0"/>
      <w:marRight w:val="0"/>
      <w:marTop w:val="0"/>
      <w:marBottom w:val="0"/>
      <w:divBdr>
        <w:top w:val="none" w:sz="0" w:space="0" w:color="auto"/>
        <w:left w:val="none" w:sz="0" w:space="0" w:color="auto"/>
        <w:bottom w:val="none" w:sz="0" w:space="0" w:color="auto"/>
        <w:right w:val="none" w:sz="0" w:space="0" w:color="auto"/>
      </w:divBdr>
    </w:div>
    <w:div w:id="31737516">
      <w:bodyDiv w:val="1"/>
      <w:marLeft w:val="0"/>
      <w:marRight w:val="0"/>
      <w:marTop w:val="0"/>
      <w:marBottom w:val="0"/>
      <w:divBdr>
        <w:top w:val="none" w:sz="0" w:space="0" w:color="auto"/>
        <w:left w:val="none" w:sz="0" w:space="0" w:color="auto"/>
        <w:bottom w:val="none" w:sz="0" w:space="0" w:color="auto"/>
        <w:right w:val="none" w:sz="0" w:space="0" w:color="auto"/>
      </w:divBdr>
    </w:div>
    <w:div w:id="42102807">
      <w:bodyDiv w:val="1"/>
      <w:marLeft w:val="0"/>
      <w:marRight w:val="0"/>
      <w:marTop w:val="0"/>
      <w:marBottom w:val="0"/>
      <w:divBdr>
        <w:top w:val="none" w:sz="0" w:space="0" w:color="auto"/>
        <w:left w:val="none" w:sz="0" w:space="0" w:color="auto"/>
        <w:bottom w:val="none" w:sz="0" w:space="0" w:color="auto"/>
        <w:right w:val="none" w:sz="0" w:space="0" w:color="auto"/>
      </w:divBdr>
    </w:div>
    <w:div w:id="49765581">
      <w:bodyDiv w:val="1"/>
      <w:marLeft w:val="0"/>
      <w:marRight w:val="0"/>
      <w:marTop w:val="0"/>
      <w:marBottom w:val="0"/>
      <w:divBdr>
        <w:top w:val="none" w:sz="0" w:space="0" w:color="auto"/>
        <w:left w:val="none" w:sz="0" w:space="0" w:color="auto"/>
        <w:bottom w:val="none" w:sz="0" w:space="0" w:color="auto"/>
        <w:right w:val="none" w:sz="0" w:space="0" w:color="auto"/>
      </w:divBdr>
    </w:div>
    <w:div w:id="70808911">
      <w:bodyDiv w:val="1"/>
      <w:marLeft w:val="0"/>
      <w:marRight w:val="0"/>
      <w:marTop w:val="0"/>
      <w:marBottom w:val="0"/>
      <w:divBdr>
        <w:top w:val="none" w:sz="0" w:space="0" w:color="auto"/>
        <w:left w:val="none" w:sz="0" w:space="0" w:color="auto"/>
        <w:bottom w:val="none" w:sz="0" w:space="0" w:color="auto"/>
        <w:right w:val="none" w:sz="0" w:space="0" w:color="auto"/>
      </w:divBdr>
    </w:div>
    <w:div w:id="107822524">
      <w:bodyDiv w:val="1"/>
      <w:marLeft w:val="0"/>
      <w:marRight w:val="0"/>
      <w:marTop w:val="0"/>
      <w:marBottom w:val="0"/>
      <w:divBdr>
        <w:top w:val="none" w:sz="0" w:space="0" w:color="auto"/>
        <w:left w:val="none" w:sz="0" w:space="0" w:color="auto"/>
        <w:bottom w:val="none" w:sz="0" w:space="0" w:color="auto"/>
        <w:right w:val="none" w:sz="0" w:space="0" w:color="auto"/>
      </w:divBdr>
    </w:div>
    <w:div w:id="113797640">
      <w:bodyDiv w:val="1"/>
      <w:marLeft w:val="0"/>
      <w:marRight w:val="0"/>
      <w:marTop w:val="0"/>
      <w:marBottom w:val="0"/>
      <w:divBdr>
        <w:top w:val="none" w:sz="0" w:space="0" w:color="auto"/>
        <w:left w:val="none" w:sz="0" w:space="0" w:color="auto"/>
        <w:bottom w:val="none" w:sz="0" w:space="0" w:color="auto"/>
        <w:right w:val="none" w:sz="0" w:space="0" w:color="auto"/>
      </w:divBdr>
    </w:div>
    <w:div w:id="114254364">
      <w:bodyDiv w:val="1"/>
      <w:marLeft w:val="0"/>
      <w:marRight w:val="0"/>
      <w:marTop w:val="0"/>
      <w:marBottom w:val="0"/>
      <w:divBdr>
        <w:top w:val="none" w:sz="0" w:space="0" w:color="auto"/>
        <w:left w:val="none" w:sz="0" w:space="0" w:color="auto"/>
        <w:bottom w:val="none" w:sz="0" w:space="0" w:color="auto"/>
        <w:right w:val="none" w:sz="0" w:space="0" w:color="auto"/>
      </w:divBdr>
    </w:div>
    <w:div w:id="128478330">
      <w:bodyDiv w:val="1"/>
      <w:marLeft w:val="0"/>
      <w:marRight w:val="0"/>
      <w:marTop w:val="0"/>
      <w:marBottom w:val="0"/>
      <w:divBdr>
        <w:top w:val="none" w:sz="0" w:space="0" w:color="auto"/>
        <w:left w:val="none" w:sz="0" w:space="0" w:color="auto"/>
        <w:bottom w:val="none" w:sz="0" w:space="0" w:color="auto"/>
        <w:right w:val="none" w:sz="0" w:space="0" w:color="auto"/>
      </w:divBdr>
    </w:div>
    <w:div w:id="140318787">
      <w:bodyDiv w:val="1"/>
      <w:marLeft w:val="0"/>
      <w:marRight w:val="0"/>
      <w:marTop w:val="0"/>
      <w:marBottom w:val="0"/>
      <w:divBdr>
        <w:top w:val="none" w:sz="0" w:space="0" w:color="auto"/>
        <w:left w:val="none" w:sz="0" w:space="0" w:color="auto"/>
        <w:bottom w:val="none" w:sz="0" w:space="0" w:color="auto"/>
        <w:right w:val="none" w:sz="0" w:space="0" w:color="auto"/>
      </w:divBdr>
    </w:div>
    <w:div w:id="149105645">
      <w:bodyDiv w:val="1"/>
      <w:marLeft w:val="0"/>
      <w:marRight w:val="0"/>
      <w:marTop w:val="0"/>
      <w:marBottom w:val="0"/>
      <w:divBdr>
        <w:top w:val="none" w:sz="0" w:space="0" w:color="auto"/>
        <w:left w:val="none" w:sz="0" w:space="0" w:color="auto"/>
        <w:bottom w:val="none" w:sz="0" w:space="0" w:color="auto"/>
        <w:right w:val="none" w:sz="0" w:space="0" w:color="auto"/>
      </w:divBdr>
    </w:div>
    <w:div w:id="197862177">
      <w:bodyDiv w:val="1"/>
      <w:marLeft w:val="0"/>
      <w:marRight w:val="0"/>
      <w:marTop w:val="0"/>
      <w:marBottom w:val="0"/>
      <w:divBdr>
        <w:top w:val="none" w:sz="0" w:space="0" w:color="auto"/>
        <w:left w:val="none" w:sz="0" w:space="0" w:color="auto"/>
        <w:bottom w:val="none" w:sz="0" w:space="0" w:color="auto"/>
        <w:right w:val="none" w:sz="0" w:space="0" w:color="auto"/>
      </w:divBdr>
    </w:div>
    <w:div w:id="207493660">
      <w:bodyDiv w:val="1"/>
      <w:marLeft w:val="0"/>
      <w:marRight w:val="0"/>
      <w:marTop w:val="0"/>
      <w:marBottom w:val="0"/>
      <w:divBdr>
        <w:top w:val="none" w:sz="0" w:space="0" w:color="auto"/>
        <w:left w:val="none" w:sz="0" w:space="0" w:color="auto"/>
        <w:bottom w:val="none" w:sz="0" w:space="0" w:color="auto"/>
        <w:right w:val="none" w:sz="0" w:space="0" w:color="auto"/>
      </w:divBdr>
    </w:div>
    <w:div w:id="210503464">
      <w:bodyDiv w:val="1"/>
      <w:marLeft w:val="0"/>
      <w:marRight w:val="0"/>
      <w:marTop w:val="0"/>
      <w:marBottom w:val="0"/>
      <w:divBdr>
        <w:top w:val="none" w:sz="0" w:space="0" w:color="auto"/>
        <w:left w:val="none" w:sz="0" w:space="0" w:color="auto"/>
        <w:bottom w:val="none" w:sz="0" w:space="0" w:color="auto"/>
        <w:right w:val="none" w:sz="0" w:space="0" w:color="auto"/>
      </w:divBdr>
    </w:div>
    <w:div w:id="219052149">
      <w:bodyDiv w:val="1"/>
      <w:marLeft w:val="0"/>
      <w:marRight w:val="0"/>
      <w:marTop w:val="0"/>
      <w:marBottom w:val="0"/>
      <w:divBdr>
        <w:top w:val="none" w:sz="0" w:space="0" w:color="auto"/>
        <w:left w:val="none" w:sz="0" w:space="0" w:color="auto"/>
        <w:bottom w:val="none" w:sz="0" w:space="0" w:color="auto"/>
        <w:right w:val="none" w:sz="0" w:space="0" w:color="auto"/>
      </w:divBdr>
    </w:div>
    <w:div w:id="219944870">
      <w:bodyDiv w:val="1"/>
      <w:marLeft w:val="0"/>
      <w:marRight w:val="0"/>
      <w:marTop w:val="0"/>
      <w:marBottom w:val="0"/>
      <w:divBdr>
        <w:top w:val="none" w:sz="0" w:space="0" w:color="auto"/>
        <w:left w:val="none" w:sz="0" w:space="0" w:color="auto"/>
        <w:bottom w:val="none" w:sz="0" w:space="0" w:color="auto"/>
        <w:right w:val="none" w:sz="0" w:space="0" w:color="auto"/>
      </w:divBdr>
    </w:div>
    <w:div w:id="227425062">
      <w:bodyDiv w:val="1"/>
      <w:marLeft w:val="0"/>
      <w:marRight w:val="0"/>
      <w:marTop w:val="0"/>
      <w:marBottom w:val="0"/>
      <w:divBdr>
        <w:top w:val="none" w:sz="0" w:space="0" w:color="auto"/>
        <w:left w:val="none" w:sz="0" w:space="0" w:color="auto"/>
        <w:bottom w:val="none" w:sz="0" w:space="0" w:color="auto"/>
        <w:right w:val="none" w:sz="0" w:space="0" w:color="auto"/>
      </w:divBdr>
    </w:div>
    <w:div w:id="234555626">
      <w:bodyDiv w:val="1"/>
      <w:marLeft w:val="0"/>
      <w:marRight w:val="0"/>
      <w:marTop w:val="0"/>
      <w:marBottom w:val="0"/>
      <w:divBdr>
        <w:top w:val="none" w:sz="0" w:space="0" w:color="auto"/>
        <w:left w:val="none" w:sz="0" w:space="0" w:color="auto"/>
        <w:bottom w:val="none" w:sz="0" w:space="0" w:color="auto"/>
        <w:right w:val="none" w:sz="0" w:space="0" w:color="auto"/>
      </w:divBdr>
    </w:div>
    <w:div w:id="241332597">
      <w:bodyDiv w:val="1"/>
      <w:marLeft w:val="0"/>
      <w:marRight w:val="0"/>
      <w:marTop w:val="0"/>
      <w:marBottom w:val="0"/>
      <w:divBdr>
        <w:top w:val="none" w:sz="0" w:space="0" w:color="auto"/>
        <w:left w:val="none" w:sz="0" w:space="0" w:color="auto"/>
        <w:bottom w:val="none" w:sz="0" w:space="0" w:color="auto"/>
        <w:right w:val="none" w:sz="0" w:space="0" w:color="auto"/>
      </w:divBdr>
      <w:divsChild>
        <w:div w:id="324869102">
          <w:marLeft w:val="533"/>
          <w:marRight w:val="0"/>
          <w:marTop w:val="120"/>
          <w:marBottom w:val="0"/>
          <w:divBdr>
            <w:top w:val="none" w:sz="0" w:space="0" w:color="auto"/>
            <w:left w:val="none" w:sz="0" w:space="0" w:color="auto"/>
            <w:bottom w:val="none" w:sz="0" w:space="0" w:color="auto"/>
            <w:right w:val="none" w:sz="0" w:space="0" w:color="auto"/>
          </w:divBdr>
        </w:div>
      </w:divsChild>
    </w:div>
    <w:div w:id="266085068">
      <w:bodyDiv w:val="1"/>
      <w:marLeft w:val="0"/>
      <w:marRight w:val="0"/>
      <w:marTop w:val="0"/>
      <w:marBottom w:val="0"/>
      <w:divBdr>
        <w:top w:val="none" w:sz="0" w:space="0" w:color="auto"/>
        <w:left w:val="none" w:sz="0" w:space="0" w:color="auto"/>
        <w:bottom w:val="none" w:sz="0" w:space="0" w:color="auto"/>
        <w:right w:val="none" w:sz="0" w:space="0" w:color="auto"/>
      </w:divBdr>
      <w:divsChild>
        <w:div w:id="977614478">
          <w:marLeft w:val="533"/>
          <w:marRight w:val="0"/>
          <w:marTop w:val="120"/>
          <w:marBottom w:val="0"/>
          <w:divBdr>
            <w:top w:val="none" w:sz="0" w:space="0" w:color="auto"/>
            <w:left w:val="none" w:sz="0" w:space="0" w:color="auto"/>
            <w:bottom w:val="none" w:sz="0" w:space="0" w:color="auto"/>
            <w:right w:val="none" w:sz="0" w:space="0" w:color="auto"/>
          </w:divBdr>
        </w:div>
      </w:divsChild>
    </w:div>
    <w:div w:id="274336025">
      <w:bodyDiv w:val="1"/>
      <w:marLeft w:val="0"/>
      <w:marRight w:val="0"/>
      <w:marTop w:val="0"/>
      <w:marBottom w:val="0"/>
      <w:divBdr>
        <w:top w:val="none" w:sz="0" w:space="0" w:color="auto"/>
        <w:left w:val="none" w:sz="0" w:space="0" w:color="auto"/>
        <w:bottom w:val="none" w:sz="0" w:space="0" w:color="auto"/>
        <w:right w:val="none" w:sz="0" w:space="0" w:color="auto"/>
      </w:divBdr>
      <w:divsChild>
        <w:div w:id="1430197797">
          <w:marLeft w:val="0"/>
          <w:marRight w:val="0"/>
          <w:marTop w:val="0"/>
          <w:marBottom w:val="0"/>
          <w:divBdr>
            <w:top w:val="none" w:sz="0" w:space="0" w:color="auto"/>
            <w:left w:val="none" w:sz="0" w:space="0" w:color="auto"/>
            <w:bottom w:val="none" w:sz="0" w:space="0" w:color="auto"/>
            <w:right w:val="none" w:sz="0" w:space="0" w:color="auto"/>
          </w:divBdr>
          <w:divsChild>
            <w:div w:id="1872303054">
              <w:marLeft w:val="0"/>
              <w:marRight w:val="0"/>
              <w:marTop w:val="465"/>
              <w:marBottom w:val="300"/>
              <w:divBdr>
                <w:top w:val="none" w:sz="0" w:space="0" w:color="auto"/>
                <w:left w:val="none" w:sz="0" w:space="0" w:color="auto"/>
                <w:bottom w:val="none" w:sz="0" w:space="0" w:color="auto"/>
                <w:right w:val="none" w:sz="0" w:space="0" w:color="auto"/>
              </w:divBdr>
            </w:div>
          </w:divsChild>
        </w:div>
      </w:divsChild>
    </w:div>
    <w:div w:id="288633107">
      <w:bodyDiv w:val="1"/>
      <w:marLeft w:val="0"/>
      <w:marRight w:val="0"/>
      <w:marTop w:val="0"/>
      <w:marBottom w:val="0"/>
      <w:divBdr>
        <w:top w:val="none" w:sz="0" w:space="0" w:color="auto"/>
        <w:left w:val="none" w:sz="0" w:space="0" w:color="auto"/>
        <w:bottom w:val="none" w:sz="0" w:space="0" w:color="auto"/>
        <w:right w:val="none" w:sz="0" w:space="0" w:color="auto"/>
      </w:divBdr>
      <w:divsChild>
        <w:div w:id="715466554">
          <w:marLeft w:val="533"/>
          <w:marRight w:val="0"/>
          <w:marTop w:val="120"/>
          <w:marBottom w:val="0"/>
          <w:divBdr>
            <w:top w:val="none" w:sz="0" w:space="0" w:color="auto"/>
            <w:left w:val="none" w:sz="0" w:space="0" w:color="auto"/>
            <w:bottom w:val="none" w:sz="0" w:space="0" w:color="auto"/>
            <w:right w:val="none" w:sz="0" w:space="0" w:color="auto"/>
          </w:divBdr>
        </w:div>
        <w:div w:id="1716269990">
          <w:marLeft w:val="533"/>
          <w:marRight w:val="0"/>
          <w:marTop w:val="120"/>
          <w:marBottom w:val="0"/>
          <w:divBdr>
            <w:top w:val="none" w:sz="0" w:space="0" w:color="auto"/>
            <w:left w:val="none" w:sz="0" w:space="0" w:color="auto"/>
            <w:bottom w:val="none" w:sz="0" w:space="0" w:color="auto"/>
            <w:right w:val="none" w:sz="0" w:space="0" w:color="auto"/>
          </w:divBdr>
        </w:div>
      </w:divsChild>
    </w:div>
    <w:div w:id="325741675">
      <w:bodyDiv w:val="1"/>
      <w:marLeft w:val="0"/>
      <w:marRight w:val="0"/>
      <w:marTop w:val="0"/>
      <w:marBottom w:val="0"/>
      <w:divBdr>
        <w:top w:val="none" w:sz="0" w:space="0" w:color="auto"/>
        <w:left w:val="none" w:sz="0" w:space="0" w:color="auto"/>
        <w:bottom w:val="none" w:sz="0" w:space="0" w:color="auto"/>
        <w:right w:val="none" w:sz="0" w:space="0" w:color="auto"/>
      </w:divBdr>
    </w:div>
    <w:div w:id="345716027">
      <w:bodyDiv w:val="1"/>
      <w:marLeft w:val="0"/>
      <w:marRight w:val="0"/>
      <w:marTop w:val="0"/>
      <w:marBottom w:val="0"/>
      <w:divBdr>
        <w:top w:val="none" w:sz="0" w:space="0" w:color="auto"/>
        <w:left w:val="none" w:sz="0" w:space="0" w:color="auto"/>
        <w:bottom w:val="none" w:sz="0" w:space="0" w:color="auto"/>
        <w:right w:val="none" w:sz="0" w:space="0" w:color="auto"/>
      </w:divBdr>
    </w:div>
    <w:div w:id="350567264">
      <w:bodyDiv w:val="1"/>
      <w:marLeft w:val="0"/>
      <w:marRight w:val="0"/>
      <w:marTop w:val="0"/>
      <w:marBottom w:val="0"/>
      <w:divBdr>
        <w:top w:val="none" w:sz="0" w:space="0" w:color="auto"/>
        <w:left w:val="none" w:sz="0" w:space="0" w:color="auto"/>
        <w:bottom w:val="none" w:sz="0" w:space="0" w:color="auto"/>
        <w:right w:val="none" w:sz="0" w:space="0" w:color="auto"/>
      </w:divBdr>
    </w:div>
    <w:div w:id="353922964">
      <w:bodyDiv w:val="1"/>
      <w:marLeft w:val="0"/>
      <w:marRight w:val="0"/>
      <w:marTop w:val="0"/>
      <w:marBottom w:val="0"/>
      <w:divBdr>
        <w:top w:val="none" w:sz="0" w:space="0" w:color="auto"/>
        <w:left w:val="none" w:sz="0" w:space="0" w:color="auto"/>
        <w:bottom w:val="none" w:sz="0" w:space="0" w:color="auto"/>
        <w:right w:val="none" w:sz="0" w:space="0" w:color="auto"/>
      </w:divBdr>
    </w:div>
    <w:div w:id="381635052">
      <w:bodyDiv w:val="1"/>
      <w:marLeft w:val="0"/>
      <w:marRight w:val="0"/>
      <w:marTop w:val="0"/>
      <w:marBottom w:val="0"/>
      <w:divBdr>
        <w:top w:val="none" w:sz="0" w:space="0" w:color="auto"/>
        <w:left w:val="none" w:sz="0" w:space="0" w:color="auto"/>
        <w:bottom w:val="none" w:sz="0" w:space="0" w:color="auto"/>
        <w:right w:val="none" w:sz="0" w:space="0" w:color="auto"/>
      </w:divBdr>
    </w:div>
    <w:div w:id="384717838">
      <w:bodyDiv w:val="1"/>
      <w:marLeft w:val="0"/>
      <w:marRight w:val="0"/>
      <w:marTop w:val="0"/>
      <w:marBottom w:val="0"/>
      <w:divBdr>
        <w:top w:val="none" w:sz="0" w:space="0" w:color="auto"/>
        <w:left w:val="none" w:sz="0" w:space="0" w:color="auto"/>
        <w:bottom w:val="none" w:sz="0" w:space="0" w:color="auto"/>
        <w:right w:val="none" w:sz="0" w:space="0" w:color="auto"/>
      </w:divBdr>
    </w:div>
    <w:div w:id="393937312">
      <w:bodyDiv w:val="1"/>
      <w:marLeft w:val="0"/>
      <w:marRight w:val="0"/>
      <w:marTop w:val="0"/>
      <w:marBottom w:val="0"/>
      <w:divBdr>
        <w:top w:val="none" w:sz="0" w:space="0" w:color="auto"/>
        <w:left w:val="none" w:sz="0" w:space="0" w:color="auto"/>
        <w:bottom w:val="none" w:sz="0" w:space="0" w:color="auto"/>
        <w:right w:val="none" w:sz="0" w:space="0" w:color="auto"/>
      </w:divBdr>
      <w:divsChild>
        <w:div w:id="2069374055">
          <w:marLeft w:val="0"/>
          <w:marRight w:val="0"/>
          <w:marTop w:val="0"/>
          <w:marBottom w:val="0"/>
          <w:divBdr>
            <w:top w:val="none" w:sz="0" w:space="0" w:color="auto"/>
            <w:left w:val="none" w:sz="0" w:space="0" w:color="auto"/>
            <w:bottom w:val="none" w:sz="0" w:space="0" w:color="auto"/>
            <w:right w:val="none" w:sz="0" w:space="0" w:color="auto"/>
          </w:divBdr>
        </w:div>
      </w:divsChild>
    </w:div>
    <w:div w:id="394743066">
      <w:bodyDiv w:val="1"/>
      <w:marLeft w:val="0"/>
      <w:marRight w:val="0"/>
      <w:marTop w:val="0"/>
      <w:marBottom w:val="0"/>
      <w:divBdr>
        <w:top w:val="none" w:sz="0" w:space="0" w:color="auto"/>
        <w:left w:val="none" w:sz="0" w:space="0" w:color="auto"/>
        <w:bottom w:val="none" w:sz="0" w:space="0" w:color="auto"/>
        <w:right w:val="none" w:sz="0" w:space="0" w:color="auto"/>
      </w:divBdr>
    </w:div>
    <w:div w:id="394743696">
      <w:bodyDiv w:val="1"/>
      <w:marLeft w:val="0"/>
      <w:marRight w:val="0"/>
      <w:marTop w:val="0"/>
      <w:marBottom w:val="0"/>
      <w:divBdr>
        <w:top w:val="none" w:sz="0" w:space="0" w:color="auto"/>
        <w:left w:val="none" w:sz="0" w:space="0" w:color="auto"/>
        <w:bottom w:val="none" w:sz="0" w:space="0" w:color="auto"/>
        <w:right w:val="none" w:sz="0" w:space="0" w:color="auto"/>
      </w:divBdr>
    </w:div>
    <w:div w:id="401829362">
      <w:bodyDiv w:val="1"/>
      <w:marLeft w:val="0"/>
      <w:marRight w:val="0"/>
      <w:marTop w:val="0"/>
      <w:marBottom w:val="0"/>
      <w:divBdr>
        <w:top w:val="none" w:sz="0" w:space="0" w:color="auto"/>
        <w:left w:val="none" w:sz="0" w:space="0" w:color="auto"/>
        <w:bottom w:val="none" w:sz="0" w:space="0" w:color="auto"/>
        <w:right w:val="none" w:sz="0" w:space="0" w:color="auto"/>
      </w:divBdr>
    </w:div>
    <w:div w:id="408768525">
      <w:bodyDiv w:val="1"/>
      <w:marLeft w:val="0"/>
      <w:marRight w:val="0"/>
      <w:marTop w:val="0"/>
      <w:marBottom w:val="0"/>
      <w:divBdr>
        <w:top w:val="none" w:sz="0" w:space="0" w:color="auto"/>
        <w:left w:val="none" w:sz="0" w:space="0" w:color="auto"/>
        <w:bottom w:val="none" w:sz="0" w:space="0" w:color="auto"/>
        <w:right w:val="none" w:sz="0" w:space="0" w:color="auto"/>
      </w:divBdr>
      <w:divsChild>
        <w:div w:id="89787644">
          <w:marLeft w:val="0"/>
          <w:marRight w:val="0"/>
          <w:marTop w:val="0"/>
          <w:marBottom w:val="0"/>
          <w:divBdr>
            <w:top w:val="none" w:sz="0" w:space="0" w:color="auto"/>
            <w:left w:val="none" w:sz="0" w:space="0" w:color="auto"/>
            <w:bottom w:val="none" w:sz="0" w:space="0" w:color="auto"/>
            <w:right w:val="none" w:sz="0" w:space="0" w:color="auto"/>
          </w:divBdr>
        </w:div>
      </w:divsChild>
    </w:div>
    <w:div w:id="422344079">
      <w:bodyDiv w:val="1"/>
      <w:marLeft w:val="0"/>
      <w:marRight w:val="0"/>
      <w:marTop w:val="0"/>
      <w:marBottom w:val="0"/>
      <w:divBdr>
        <w:top w:val="none" w:sz="0" w:space="0" w:color="auto"/>
        <w:left w:val="none" w:sz="0" w:space="0" w:color="auto"/>
        <w:bottom w:val="none" w:sz="0" w:space="0" w:color="auto"/>
        <w:right w:val="none" w:sz="0" w:space="0" w:color="auto"/>
      </w:divBdr>
      <w:divsChild>
        <w:div w:id="700126991">
          <w:marLeft w:val="533"/>
          <w:marRight w:val="0"/>
          <w:marTop w:val="120"/>
          <w:marBottom w:val="0"/>
          <w:divBdr>
            <w:top w:val="none" w:sz="0" w:space="0" w:color="auto"/>
            <w:left w:val="none" w:sz="0" w:space="0" w:color="auto"/>
            <w:bottom w:val="none" w:sz="0" w:space="0" w:color="auto"/>
            <w:right w:val="none" w:sz="0" w:space="0" w:color="auto"/>
          </w:divBdr>
        </w:div>
      </w:divsChild>
    </w:div>
    <w:div w:id="430392436">
      <w:bodyDiv w:val="1"/>
      <w:marLeft w:val="0"/>
      <w:marRight w:val="0"/>
      <w:marTop w:val="0"/>
      <w:marBottom w:val="0"/>
      <w:divBdr>
        <w:top w:val="none" w:sz="0" w:space="0" w:color="auto"/>
        <w:left w:val="none" w:sz="0" w:space="0" w:color="auto"/>
        <w:bottom w:val="none" w:sz="0" w:space="0" w:color="auto"/>
        <w:right w:val="none" w:sz="0" w:space="0" w:color="auto"/>
      </w:divBdr>
    </w:div>
    <w:div w:id="430667084">
      <w:bodyDiv w:val="1"/>
      <w:marLeft w:val="0"/>
      <w:marRight w:val="0"/>
      <w:marTop w:val="0"/>
      <w:marBottom w:val="0"/>
      <w:divBdr>
        <w:top w:val="none" w:sz="0" w:space="0" w:color="auto"/>
        <w:left w:val="none" w:sz="0" w:space="0" w:color="auto"/>
        <w:bottom w:val="none" w:sz="0" w:space="0" w:color="auto"/>
        <w:right w:val="none" w:sz="0" w:space="0" w:color="auto"/>
      </w:divBdr>
    </w:div>
    <w:div w:id="452286922">
      <w:bodyDiv w:val="1"/>
      <w:marLeft w:val="0"/>
      <w:marRight w:val="0"/>
      <w:marTop w:val="0"/>
      <w:marBottom w:val="0"/>
      <w:divBdr>
        <w:top w:val="none" w:sz="0" w:space="0" w:color="auto"/>
        <w:left w:val="none" w:sz="0" w:space="0" w:color="auto"/>
        <w:bottom w:val="none" w:sz="0" w:space="0" w:color="auto"/>
        <w:right w:val="none" w:sz="0" w:space="0" w:color="auto"/>
      </w:divBdr>
    </w:div>
    <w:div w:id="458954733">
      <w:bodyDiv w:val="1"/>
      <w:marLeft w:val="0"/>
      <w:marRight w:val="0"/>
      <w:marTop w:val="0"/>
      <w:marBottom w:val="0"/>
      <w:divBdr>
        <w:top w:val="none" w:sz="0" w:space="0" w:color="auto"/>
        <w:left w:val="none" w:sz="0" w:space="0" w:color="auto"/>
        <w:bottom w:val="none" w:sz="0" w:space="0" w:color="auto"/>
        <w:right w:val="none" w:sz="0" w:space="0" w:color="auto"/>
      </w:divBdr>
    </w:div>
    <w:div w:id="564724038">
      <w:bodyDiv w:val="1"/>
      <w:marLeft w:val="0"/>
      <w:marRight w:val="0"/>
      <w:marTop w:val="0"/>
      <w:marBottom w:val="0"/>
      <w:divBdr>
        <w:top w:val="none" w:sz="0" w:space="0" w:color="auto"/>
        <w:left w:val="none" w:sz="0" w:space="0" w:color="auto"/>
        <w:bottom w:val="none" w:sz="0" w:space="0" w:color="auto"/>
        <w:right w:val="none" w:sz="0" w:space="0" w:color="auto"/>
      </w:divBdr>
    </w:div>
    <w:div w:id="568535509">
      <w:bodyDiv w:val="1"/>
      <w:marLeft w:val="0"/>
      <w:marRight w:val="0"/>
      <w:marTop w:val="0"/>
      <w:marBottom w:val="0"/>
      <w:divBdr>
        <w:top w:val="none" w:sz="0" w:space="0" w:color="auto"/>
        <w:left w:val="none" w:sz="0" w:space="0" w:color="auto"/>
        <w:bottom w:val="none" w:sz="0" w:space="0" w:color="auto"/>
        <w:right w:val="none" w:sz="0" w:space="0" w:color="auto"/>
      </w:divBdr>
    </w:div>
    <w:div w:id="573977461">
      <w:bodyDiv w:val="1"/>
      <w:marLeft w:val="0"/>
      <w:marRight w:val="0"/>
      <w:marTop w:val="0"/>
      <w:marBottom w:val="0"/>
      <w:divBdr>
        <w:top w:val="none" w:sz="0" w:space="0" w:color="auto"/>
        <w:left w:val="none" w:sz="0" w:space="0" w:color="auto"/>
        <w:bottom w:val="none" w:sz="0" w:space="0" w:color="auto"/>
        <w:right w:val="none" w:sz="0" w:space="0" w:color="auto"/>
      </w:divBdr>
    </w:div>
    <w:div w:id="586579262">
      <w:bodyDiv w:val="1"/>
      <w:marLeft w:val="0"/>
      <w:marRight w:val="0"/>
      <w:marTop w:val="0"/>
      <w:marBottom w:val="0"/>
      <w:divBdr>
        <w:top w:val="none" w:sz="0" w:space="0" w:color="auto"/>
        <w:left w:val="none" w:sz="0" w:space="0" w:color="auto"/>
        <w:bottom w:val="none" w:sz="0" w:space="0" w:color="auto"/>
        <w:right w:val="none" w:sz="0" w:space="0" w:color="auto"/>
      </w:divBdr>
    </w:div>
    <w:div w:id="592320557">
      <w:bodyDiv w:val="1"/>
      <w:marLeft w:val="0"/>
      <w:marRight w:val="0"/>
      <w:marTop w:val="0"/>
      <w:marBottom w:val="0"/>
      <w:divBdr>
        <w:top w:val="none" w:sz="0" w:space="0" w:color="auto"/>
        <w:left w:val="none" w:sz="0" w:space="0" w:color="auto"/>
        <w:bottom w:val="none" w:sz="0" w:space="0" w:color="auto"/>
        <w:right w:val="none" w:sz="0" w:space="0" w:color="auto"/>
      </w:divBdr>
    </w:div>
    <w:div w:id="669910974">
      <w:bodyDiv w:val="1"/>
      <w:marLeft w:val="0"/>
      <w:marRight w:val="0"/>
      <w:marTop w:val="0"/>
      <w:marBottom w:val="0"/>
      <w:divBdr>
        <w:top w:val="none" w:sz="0" w:space="0" w:color="auto"/>
        <w:left w:val="none" w:sz="0" w:space="0" w:color="auto"/>
        <w:bottom w:val="none" w:sz="0" w:space="0" w:color="auto"/>
        <w:right w:val="none" w:sz="0" w:space="0" w:color="auto"/>
      </w:divBdr>
    </w:div>
    <w:div w:id="671227921">
      <w:bodyDiv w:val="1"/>
      <w:marLeft w:val="0"/>
      <w:marRight w:val="0"/>
      <w:marTop w:val="0"/>
      <w:marBottom w:val="0"/>
      <w:divBdr>
        <w:top w:val="none" w:sz="0" w:space="0" w:color="auto"/>
        <w:left w:val="none" w:sz="0" w:space="0" w:color="auto"/>
        <w:bottom w:val="none" w:sz="0" w:space="0" w:color="auto"/>
        <w:right w:val="none" w:sz="0" w:space="0" w:color="auto"/>
      </w:divBdr>
    </w:div>
    <w:div w:id="687369066">
      <w:bodyDiv w:val="1"/>
      <w:marLeft w:val="0"/>
      <w:marRight w:val="0"/>
      <w:marTop w:val="0"/>
      <w:marBottom w:val="0"/>
      <w:divBdr>
        <w:top w:val="none" w:sz="0" w:space="0" w:color="auto"/>
        <w:left w:val="none" w:sz="0" w:space="0" w:color="auto"/>
        <w:bottom w:val="none" w:sz="0" w:space="0" w:color="auto"/>
        <w:right w:val="none" w:sz="0" w:space="0" w:color="auto"/>
      </w:divBdr>
    </w:div>
    <w:div w:id="725839819">
      <w:bodyDiv w:val="1"/>
      <w:marLeft w:val="0"/>
      <w:marRight w:val="0"/>
      <w:marTop w:val="0"/>
      <w:marBottom w:val="0"/>
      <w:divBdr>
        <w:top w:val="none" w:sz="0" w:space="0" w:color="auto"/>
        <w:left w:val="none" w:sz="0" w:space="0" w:color="auto"/>
        <w:bottom w:val="none" w:sz="0" w:space="0" w:color="auto"/>
        <w:right w:val="none" w:sz="0" w:space="0" w:color="auto"/>
      </w:divBdr>
    </w:div>
    <w:div w:id="751194676">
      <w:bodyDiv w:val="1"/>
      <w:marLeft w:val="0"/>
      <w:marRight w:val="0"/>
      <w:marTop w:val="0"/>
      <w:marBottom w:val="0"/>
      <w:divBdr>
        <w:top w:val="none" w:sz="0" w:space="0" w:color="auto"/>
        <w:left w:val="none" w:sz="0" w:space="0" w:color="auto"/>
        <w:bottom w:val="none" w:sz="0" w:space="0" w:color="auto"/>
        <w:right w:val="none" w:sz="0" w:space="0" w:color="auto"/>
      </w:divBdr>
    </w:div>
    <w:div w:id="763692169">
      <w:bodyDiv w:val="1"/>
      <w:marLeft w:val="0"/>
      <w:marRight w:val="0"/>
      <w:marTop w:val="0"/>
      <w:marBottom w:val="0"/>
      <w:divBdr>
        <w:top w:val="none" w:sz="0" w:space="0" w:color="auto"/>
        <w:left w:val="none" w:sz="0" w:space="0" w:color="auto"/>
        <w:bottom w:val="none" w:sz="0" w:space="0" w:color="auto"/>
        <w:right w:val="none" w:sz="0" w:space="0" w:color="auto"/>
      </w:divBdr>
    </w:div>
    <w:div w:id="828517260">
      <w:bodyDiv w:val="1"/>
      <w:marLeft w:val="0"/>
      <w:marRight w:val="0"/>
      <w:marTop w:val="0"/>
      <w:marBottom w:val="0"/>
      <w:divBdr>
        <w:top w:val="none" w:sz="0" w:space="0" w:color="auto"/>
        <w:left w:val="none" w:sz="0" w:space="0" w:color="auto"/>
        <w:bottom w:val="none" w:sz="0" w:space="0" w:color="auto"/>
        <w:right w:val="none" w:sz="0" w:space="0" w:color="auto"/>
      </w:divBdr>
    </w:div>
    <w:div w:id="831338932">
      <w:bodyDiv w:val="1"/>
      <w:marLeft w:val="0"/>
      <w:marRight w:val="0"/>
      <w:marTop w:val="0"/>
      <w:marBottom w:val="0"/>
      <w:divBdr>
        <w:top w:val="none" w:sz="0" w:space="0" w:color="auto"/>
        <w:left w:val="none" w:sz="0" w:space="0" w:color="auto"/>
        <w:bottom w:val="none" w:sz="0" w:space="0" w:color="auto"/>
        <w:right w:val="none" w:sz="0" w:space="0" w:color="auto"/>
      </w:divBdr>
    </w:div>
    <w:div w:id="839350559">
      <w:bodyDiv w:val="1"/>
      <w:marLeft w:val="0"/>
      <w:marRight w:val="0"/>
      <w:marTop w:val="0"/>
      <w:marBottom w:val="0"/>
      <w:divBdr>
        <w:top w:val="none" w:sz="0" w:space="0" w:color="auto"/>
        <w:left w:val="none" w:sz="0" w:space="0" w:color="auto"/>
        <w:bottom w:val="none" w:sz="0" w:space="0" w:color="auto"/>
        <w:right w:val="none" w:sz="0" w:space="0" w:color="auto"/>
      </w:divBdr>
    </w:div>
    <w:div w:id="865557369">
      <w:bodyDiv w:val="1"/>
      <w:marLeft w:val="0"/>
      <w:marRight w:val="0"/>
      <w:marTop w:val="0"/>
      <w:marBottom w:val="0"/>
      <w:divBdr>
        <w:top w:val="none" w:sz="0" w:space="0" w:color="auto"/>
        <w:left w:val="none" w:sz="0" w:space="0" w:color="auto"/>
        <w:bottom w:val="none" w:sz="0" w:space="0" w:color="auto"/>
        <w:right w:val="none" w:sz="0" w:space="0" w:color="auto"/>
      </w:divBdr>
    </w:div>
    <w:div w:id="866721256">
      <w:bodyDiv w:val="1"/>
      <w:marLeft w:val="0"/>
      <w:marRight w:val="0"/>
      <w:marTop w:val="0"/>
      <w:marBottom w:val="0"/>
      <w:divBdr>
        <w:top w:val="none" w:sz="0" w:space="0" w:color="auto"/>
        <w:left w:val="none" w:sz="0" w:space="0" w:color="auto"/>
        <w:bottom w:val="none" w:sz="0" w:space="0" w:color="auto"/>
        <w:right w:val="none" w:sz="0" w:space="0" w:color="auto"/>
      </w:divBdr>
    </w:div>
    <w:div w:id="870651888">
      <w:bodyDiv w:val="1"/>
      <w:marLeft w:val="0"/>
      <w:marRight w:val="0"/>
      <w:marTop w:val="0"/>
      <w:marBottom w:val="0"/>
      <w:divBdr>
        <w:top w:val="none" w:sz="0" w:space="0" w:color="auto"/>
        <w:left w:val="none" w:sz="0" w:space="0" w:color="auto"/>
        <w:bottom w:val="none" w:sz="0" w:space="0" w:color="auto"/>
        <w:right w:val="none" w:sz="0" w:space="0" w:color="auto"/>
      </w:divBdr>
      <w:divsChild>
        <w:div w:id="949974996">
          <w:marLeft w:val="533"/>
          <w:marRight w:val="0"/>
          <w:marTop w:val="120"/>
          <w:marBottom w:val="0"/>
          <w:divBdr>
            <w:top w:val="none" w:sz="0" w:space="0" w:color="auto"/>
            <w:left w:val="none" w:sz="0" w:space="0" w:color="auto"/>
            <w:bottom w:val="none" w:sz="0" w:space="0" w:color="auto"/>
            <w:right w:val="none" w:sz="0" w:space="0" w:color="auto"/>
          </w:divBdr>
        </w:div>
      </w:divsChild>
    </w:div>
    <w:div w:id="871725927">
      <w:bodyDiv w:val="1"/>
      <w:marLeft w:val="0"/>
      <w:marRight w:val="0"/>
      <w:marTop w:val="0"/>
      <w:marBottom w:val="0"/>
      <w:divBdr>
        <w:top w:val="none" w:sz="0" w:space="0" w:color="auto"/>
        <w:left w:val="none" w:sz="0" w:space="0" w:color="auto"/>
        <w:bottom w:val="none" w:sz="0" w:space="0" w:color="auto"/>
        <w:right w:val="none" w:sz="0" w:space="0" w:color="auto"/>
      </w:divBdr>
    </w:div>
    <w:div w:id="872114340">
      <w:bodyDiv w:val="1"/>
      <w:marLeft w:val="0"/>
      <w:marRight w:val="0"/>
      <w:marTop w:val="0"/>
      <w:marBottom w:val="0"/>
      <w:divBdr>
        <w:top w:val="none" w:sz="0" w:space="0" w:color="auto"/>
        <w:left w:val="none" w:sz="0" w:space="0" w:color="auto"/>
        <w:bottom w:val="none" w:sz="0" w:space="0" w:color="auto"/>
        <w:right w:val="none" w:sz="0" w:space="0" w:color="auto"/>
      </w:divBdr>
    </w:div>
    <w:div w:id="885725113">
      <w:bodyDiv w:val="1"/>
      <w:marLeft w:val="0"/>
      <w:marRight w:val="0"/>
      <w:marTop w:val="0"/>
      <w:marBottom w:val="0"/>
      <w:divBdr>
        <w:top w:val="none" w:sz="0" w:space="0" w:color="auto"/>
        <w:left w:val="none" w:sz="0" w:space="0" w:color="auto"/>
        <w:bottom w:val="none" w:sz="0" w:space="0" w:color="auto"/>
        <w:right w:val="none" w:sz="0" w:space="0" w:color="auto"/>
      </w:divBdr>
    </w:div>
    <w:div w:id="894007863">
      <w:bodyDiv w:val="1"/>
      <w:marLeft w:val="0"/>
      <w:marRight w:val="0"/>
      <w:marTop w:val="0"/>
      <w:marBottom w:val="0"/>
      <w:divBdr>
        <w:top w:val="none" w:sz="0" w:space="0" w:color="auto"/>
        <w:left w:val="none" w:sz="0" w:space="0" w:color="auto"/>
        <w:bottom w:val="none" w:sz="0" w:space="0" w:color="auto"/>
        <w:right w:val="none" w:sz="0" w:space="0" w:color="auto"/>
      </w:divBdr>
      <w:divsChild>
        <w:div w:id="962273013">
          <w:marLeft w:val="0"/>
          <w:marRight w:val="0"/>
          <w:marTop w:val="0"/>
          <w:marBottom w:val="0"/>
          <w:divBdr>
            <w:top w:val="none" w:sz="0" w:space="0" w:color="auto"/>
            <w:left w:val="none" w:sz="0" w:space="0" w:color="auto"/>
            <w:bottom w:val="none" w:sz="0" w:space="0" w:color="auto"/>
            <w:right w:val="none" w:sz="0" w:space="0" w:color="auto"/>
          </w:divBdr>
        </w:div>
      </w:divsChild>
    </w:div>
    <w:div w:id="916091457">
      <w:bodyDiv w:val="1"/>
      <w:marLeft w:val="0"/>
      <w:marRight w:val="0"/>
      <w:marTop w:val="0"/>
      <w:marBottom w:val="0"/>
      <w:divBdr>
        <w:top w:val="none" w:sz="0" w:space="0" w:color="auto"/>
        <w:left w:val="none" w:sz="0" w:space="0" w:color="auto"/>
        <w:bottom w:val="none" w:sz="0" w:space="0" w:color="auto"/>
        <w:right w:val="none" w:sz="0" w:space="0" w:color="auto"/>
      </w:divBdr>
    </w:div>
    <w:div w:id="931162208">
      <w:bodyDiv w:val="1"/>
      <w:marLeft w:val="0"/>
      <w:marRight w:val="0"/>
      <w:marTop w:val="0"/>
      <w:marBottom w:val="0"/>
      <w:divBdr>
        <w:top w:val="none" w:sz="0" w:space="0" w:color="auto"/>
        <w:left w:val="none" w:sz="0" w:space="0" w:color="auto"/>
        <w:bottom w:val="none" w:sz="0" w:space="0" w:color="auto"/>
        <w:right w:val="none" w:sz="0" w:space="0" w:color="auto"/>
      </w:divBdr>
      <w:divsChild>
        <w:div w:id="1223178686">
          <w:marLeft w:val="0"/>
          <w:marRight w:val="0"/>
          <w:marTop w:val="0"/>
          <w:marBottom w:val="0"/>
          <w:divBdr>
            <w:top w:val="none" w:sz="0" w:space="0" w:color="auto"/>
            <w:left w:val="none" w:sz="0" w:space="0" w:color="auto"/>
            <w:bottom w:val="none" w:sz="0" w:space="0" w:color="auto"/>
            <w:right w:val="none" w:sz="0" w:space="0" w:color="auto"/>
          </w:divBdr>
        </w:div>
      </w:divsChild>
    </w:div>
    <w:div w:id="937643826">
      <w:bodyDiv w:val="1"/>
      <w:marLeft w:val="0"/>
      <w:marRight w:val="0"/>
      <w:marTop w:val="0"/>
      <w:marBottom w:val="0"/>
      <w:divBdr>
        <w:top w:val="none" w:sz="0" w:space="0" w:color="auto"/>
        <w:left w:val="none" w:sz="0" w:space="0" w:color="auto"/>
        <w:bottom w:val="none" w:sz="0" w:space="0" w:color="auto"/>
        <w:right w:val="none" w:sz="0" w:space="0" w:color="auto"/>
      </w:divBdr>
    </w:div>
    <w:div w:id="995649443">
      <w:bodyDiv w:val="1"/>
      <w:marLeft w:val="0"/>
      <w:marRight w:val="0"/>
      <w:marTop w:val="0"/>
      <w:marBottom w:val="0"/>
      <w:divBdr>
        <w:top w:val="none" w:sz="0" w:space="0" w:color="auto"/>
        <w:left w:val="none" w:sz="0" w:space="0" w:color="auto"/>
        <w:bottom w:val="none" w:sz="0" w:space="0" w:color="auto"/>
        <w:right w:val="none" w:sz="0" w:space="0" w:color="auto"/>
      </w:divBdr>
      <w:divsChild>
        <w:div w:id="842208820">
          <w:marLeft w:val="533"/>
          <w:marRight w:val="0"/>
          <w:marTop w:val="120"/>
          <w:marBottom w:val="0"/>
          <w:divBdr>
            <w:top w:val="none" w:sz="0" w:space="0" w:color="auto"/>
            <w:left w:val="none" w:sz="0" w:space="0" w:color="auto"/>
            <w:bottom w:val="none" w:sz="0" w:space="0" w:color="auto"/>
            <w:right w:val="none" w:sz="0" w:space="0" w:color="auto"/>
          </w:divBdr>
        </w:div>
        <w:div w:id="951858792">
          <w:marLeft w:val="533"/>
          <w:marRight w:val="0"/>
          <w:marTop w:val="120"/>
          <w:marBottom w:val="0"/>
          <w:divBdr>
            <w:top w:val="none" w:sz="0" w:space="0" w:color="auto"/>
            <w:left w:val="none" w:sz="0" w:space="0" w:color="auto"/>
            <w:bottom w:val="none" w:sz="0" w:space="0" w:color="auto"/>
            <w:right w:val="none" w:sz="0" w:space="0" w:color="auto"/>
          </w:divBdr>
        </w:div>
      </w:divsChild>
    </w:div>
    <w:div w:id="1008754583">
      <w:bodyDiv w:val="1"/>
      <w:marLeft w:val="0"/>
      <w:marRight w:val="0"/>
      <w:marTop w:val="0"/>
      <w:marBottom w:val="0"/>
      <w:divBdr>
        <w:top w:val="none" w:sz="0" w:space="0" w:color="auto"/>
        <w:left w:val="none" w:sz="0" w:space="0" w:color="auto"/>
        <w:bottom w:val="none" w:sz="0" w:space="0" w:color="auto"/>
        <w:right w:val="none" w:sz="0" w:space="0" w:color="auto"/>
      </w:divBdr>
    </w:div>
    <w:div w:id="1035233045">
      <w:bodyDiv w:val="1"/>
      <w:marLeft w:val="0"/>
      <w:marRight w:val="0"/>
      <w:marTop w:val="0"/>
      <w:marBottom w:val="0"/>
      <w:divBdr>
        <w:top w:val="none" w:sz="0" w:space="0" w:color="auto"/>
        <w:left w:val="none" w:sz="0" w:space="0" w:color="auto"/>
        <w:bottom w:val="none" w:sz="0" w:space="0" w:color="auto"/>
        <w:right w:val="none" w:sz="0" w:space="0" w:color="auto"/>
      </w:divBdr>
    </w:div>
    <w:div w:id="1043362787">
      <w:bodyDiv w:val="1"/>
      <w:marLeft w:val="0"/>
      <w:marRight w:val="0"/>
      <w:marTop w:val="0"/>
      <w:marBottom w:val="0"/>
      <w:divBdr>
        <w:top w:val="none" w:sz="0" w:space="0" w:color="auto"/>
        <w:left w:val="none" w:sz="0" w:space="0" w:color="auto"/>
        <w:bottom w:val="none" w:sz="0" w:space="0" w:color="auto"/>
        <w:right w:val="none" w:sz="0" w:space="0" w:color="auto"/>
      </w:divBdr>
    </w:div>
    <w:div w:id="1064645468">
      <w:bodyDiv w:val="1"/>
      <w:marLeft w:val="0"/>
      <w:marRight w:val="0"/>
      <w:marTop w:val="0"/>
      <w:marBottom w:val="0"/>
      <w:divBdr>
        <w:top w:val="none" w:sz="0" w:space="0" w:color="auto"/>
        <w:left w:val="none" w:sz="0" w:space="0" w:color="auto"/>
        <w:bottom w:val="none" w:sz="0" w:space="0" w:color="auto"/>
        <w:right w:val="none" w:sz="0" w:space="0" w:color="auto"/>
      </w:divBdr>
    </w:div>
    <w:div w:id="1073352238">
      <w:bodyDiv w:val="1"/>
      <w:marLeft w:val="0"/>
      <w:marRight w:val="0"/>
      <w:marTop w:val="0"/>
      <w:marBottom w:val="0"/>
      <w:divBdr>
        <w:top w:val="none" w:sz="0" w:space="0" w:color="auto"/>
        <w:left w:val="none" w:sz="0" w:space="0" w:color="auto"/>
        <w:bottom w:val="none" w:sz="0" w:space="0" w:color="auto"/>
        <w:right w:val="none" w:sz="0" w:space="0" w:color="auto"/>
      </w:divBdr>
      <w:divsChild>
        <w:div w:id="799302574">
          <w:marLeft w:val="0"/>
          <w:marRight w:val="0"/>
          <w:marTop w:val="0"/>
          <w:marBottom w:val="0"/>
          <w:divBdr>
            <w:top w:val="none" w:sz="0" w:space="0" w:color="auto"/>
            <w:left w:val="none" w:sz="0" w:space="0" w:color="auto"/>
            <w:bottom w:val="none" w:sz="0" w:space="0" w:color="auto"/>
            <w:right w:val="none" w:sz="0" w:space="0" w:color="auto"/>
          </w:divBdr>
        </w:div>
      </w:divsChild>
    </w:div>
    <w:div w:id="1080910377">
      <w:bodyDiv w:val="1"/>
      <w:marLeft w:val="0"/>
      <w:marRight w:val="0"/>
      <w:marTop w:val="0"/>
      <w:marBottom w:val="0"/>
      <w:divBdr>
        <w:top w:val="none" w:sz="0" w:space="0" w:color="auto"/>
        <w:left w:val="none" w:sz="0" w:space="0" w:color="auto"/>
        <w:bottom w:val="none" w:sz="0" w:space="0" w:color="auto"/>
        <w:right w:val="none" w:sz="0" w:space="0" w:color="auto"/>
      </w:divBdr>
    </w:div>
    <w:div w:id="1085613295">
      <w:bodyDiv w:val="1"/>
      <w:marLeft w:val="0"/>
      <w:marRight w:val="0"/>
      <w:marTop w:val="0"/>
      <w:marBottom w:val="0"/>
      <w:divBdr>
        <w:top w:val="none" w:sz="0" w:space="0" w:color="auto"/>
        <w:left w:val="none" w:sz="0" w:space="0" w:color="auto"/>
        <w:bottom w:val="none" w:sz="0" w:space="0" w:color="auto"/>
        <w:right w:val="none" w:sz="0" w:space="0" w:color="auto"/>
      </w:divBdr>
    </w:div>
    <w:div w:id="1086150425">
      <w:bodyDiv w:val="1"/>
      <w:marLeft w:val="0"/>
      <w:marRight w:val="0"/>
      <w:marTop w:val="0"/>
      <w:marBottom w:val="0"/>
      <w:divBdr>
        <w:top w:val="none" w:sz="0" w:space="0" w:color="auto"/>
        <w:left w:val="none" w:sz="0" w:space="0" w:color="auto"/>
        <w:bottom w:val="none" w:sz="0" w:space="0" w:color="auto"/>
        <w:right w:val="none" w:sz="0" w:space="0" w:color="auto"/>
      </w:divBdr>
    </w:div>
    <w:div w:id="1094664281">
      <w:bodyDiv w:val="1"/>
      <w:marLeft w:val="0"/>
      <w:marRight w:val="0"/>
      <w:marTop w:val="0"/>
      <w:marBottom w:val="0"/>
      <w:divBdr>
        <w:top w:val="none" w:sz="0" w:space="0" w:color="auto"/>
        <w:left w:val="none" w:sz="0" w:space="0" w:color="auto"/>
        <w:bottom w:val="none" w:sz="0" w:space="0" w:color="auto"/>
        <w:right w:val="none" w:sz="0" w:space="0" w:color="auto"/>
      </w:divBdr>
      <w:divsChild>
        <w:div w:id="382607494">
          <w:marLeft w:val="0"/>
          <w:marRight w:val="0"/>
          <w:marTop w:val="0"/>
          <w:marBottom w:val="0"/>
          <w:divBdr>
            <w:top w:val="none" w:sz="0" w:space="0" w:color="auto"/>
            <w:left w:val="none" w:sz="0" w:space="0" w:color="auto"/>
            <w:bottom w:val="none" w:sz="0" w:space="0" w:color="auto"/>
            <w:right w:val="none" w:sz="0" w:space="0" w:color="auto"/>
          </w:divBdr>
        </w:div>
      </w:divsChild>
    </w:div>
    <w:div w:id="1105463493">
      <w:bodyDiv w:val="1"/>
      <w:marLeft w:val="0"/>
      <w:marRight w:val="0"/>
      <w:marTop w:val="0"/>
      <w:marBottom w:val="0"/>
      <w:divBdr>
        <w:top w:val="none" w:sz="0" w:space="0" w:color="auto"/>
        <w:left w:val="none" w:sz="0" w:space="0" w:color="auto"/>
        <w:bottom w:val="none" w:sz="0" w:space="0" w:color="auto"/>
        <w:right w:val="none" w:sz="0" w:space="0" w:color="auto"/>
      </w:divBdr>
    </w:div>
    <w:div w:id="1106272689">
      <w:bodyDiv w:val="1"/>
      <w:marLeft w:val="0"/>
      <w:marRight w:val="0"/>
      <w:marTop w:val="0"/>
      <w:marBottom w:val="0"/>
      <w:divBdr>
        <w:top w:val="none" w:sz="0" w:space="0" w:color="auto"/>
        <w:left w:val="none" w:sz="0" w:space="0" w:color="auto"/>
        <w:bottom w:val="none" w:sz="0" w:space="0" w:color="auto"/>
        <w:right w:val="none" w:sz="0" w:space="0" w:color="auto"/>
      </w:divBdr>
    </w:div>
    <w:div w:id="1114053025">
      <w:bodyDiv w:val="1"/>
      <w:marLeft w:val="0"/>
      <w:marRight w:val="0"/>
      <w:marTop w:val="0"/>
      <w:marBottom w:val="0"/>
      <w:divBdr>
        <w:top w:val="none" w:sz="0" w:space="0" w:color="auto"/>
        <w:left w:val="none" w:sz="0" w:space="0" w:color="auto"/>
        <w:bottom w:val="none" w:sz="0" w:space="0" w:color="auto"/>
        <w:right w:val="none" w:sz="0" w:space="0" w:color="auto"/>
      </w:divBdr>
    </w:div>
    <w:div w:id="1119765097">
      <w:bodyDiv w:val="1"/>
      <w:marLeft w:val="0"/>
      <w:marRight w:val="0"/>
      <w:marTop w:val="0"/>
      <w:marBottom w:val="0"/>
      <w:divBdr>
        <w:top w:val="none" w:sz="0" w:space="0" w:color="auto"/>
        <w:left w:val="none" w:sz="0" w:space="0" w:color="auto"/>
        <w:bottom w:val="none" w:sz="0" w:space="0" w:color="auto"/>
        <w:right w:val="none" w:sz="0" w:space="0" w:color="auto"/>
      </w:divBdr>
    </w:div>
    <w:div w:id="1126582156">
      <w:bodyDiv w:val="1"/>
      <w:marLeft w:val="0"/>
      <w:marRight w:val="0"/>
      <w:marTop w:val="0"/>
      <w:marBottom w:val="0"/>
      <w:divBdr>
        <w:top w:val="none" w:sz="0" w:space="0" w:color="auto"/>
        <w:left w:val="none" w:sz="0" w:space="0" w:color="auto"/>
        <w:bottom w:val="none" w:sz="0" w:space="0" w:color="auto"/>
        <w:right w:val="none" w:sz="0" w:space="0" w:color="auto"/>
      </w:divBdr>
    </w:div>
    <w:div w:id="1138767164">
      <w:bodyDiv w:val="1"/>
      <w:marLeft w:val="0"/>
      <w:marRight w:val="0"/>
      <w:marTop w:val="0"/>
      <w:marBottom w:val="0"/>
      <w:divBdr>
        <w:top w:val="none" w:sz="0" w:space="0" w:color="auto"/>
        <w:left w:val="none" w:sz="0" w:space="0" w:color="auto"/>
        <w:bottom w:val="none" w:sz="0" w:space="0" w:color="auto"/>
        <w:right w:val="none" w:sz="0" w:space="0" w:color="auto"/>
      </w:divBdr>
    </w:div>
    <w:div w:id="1159541317">
      <w:bodyDiv w:val="1"/>
      <w:marLeft w:val="0"/>
      <w:marRight w:val="0"/>
      <w:marTop w:val="0"/>
      <w:marBottom w:val="0"/>
      <w:divBdr>
        <w:top w:val="none" w:sz="0" w:space="0" w:color="auto"/>
        <w:left w:val="none" w:sz="0" w:space="0" w:color="auto"/>
        <w:bottom w:val="none" w:sz="0" w:space="0" w:color="auto"/>
        <w:right w:val="none" w:sz="0" w:space="0" w:color="auto"/>
      </w:divBdr>
    </w:div>
    <w:div w:id="1174347117">
      <w:bodyDiv w:val="1"/>
      <w:marLeft w:val="0"/>
      <w:marRight w:val="0"/>
      <w:marTop w:val="0"/>
      <w:marBottom w:val="0"/>
      <w:divBdr>
        <w:top w:val="none" w:sz="0" w:space="0" w:color="auto"/>
        <w:left w:val="none" w:sz="0" w:space="0" w:color="auto"/>
        <w:bottom w:val="none" w:sz="0" w:space="0" w:color="auto"/>
        <w:right w:val="none" w:sz="0" w:space="0" w:color="auto"/>
      </w:divBdr>
      <w:divsChild>
        <w:div w:id="623077532">
          <w:marLeft w:val="0"/>
          <w:marRight w:val="0"/>
          <w:marTop w:val="0"/>
          <w:marBottom w:val="0"/>
          <w:divBdr>
            <w:top w:val="none" w:sz="0" w:space="0" w:color="auto"/>
            <w:left w:val="none" w:sz="0" w:space="0" w:color="auto"/>
            <w:bottom w:val="none" w:sz="0" w:space="0" w:color="auto"/>
            <w:right w:val="none" w:sz="0" w:space="0" w:color="auto"/>
          </w:divBdr>
        </w:div>
      </w:divsChild>
    </w:div>
    <w:div w:id="1184172945">
      <w:bodyDiv w:val="1"/>
      <w:marLeft w:val="0"/>
      <w:marRight w:val="0"/>
      <w:marTop w:val="0"/>
      <w:marBottom w:val="0"/>
      <w:divBdr>
        <w:top w:val="none" w:sz="0" w:space="0" w:color="auto"/>
        <w:left w:val="none" w:sz="0" w:space="0" w:color="auto"/>
        <w:bottom w:val="none" w:sz="0" w:space="0" w:color="auto"/>
        <w:right w:val="none" w:sz="0" w:space="0" w:color="auto"/>
      </w:divBdr>
    </w:div>
    <w:div w:id="1207570485">
      <w:bodyDiv w:val="1"/>
      <w:marLeft w:val="0"/>
      <w:marRight w:val="0"/>
      <w:marTop w:val="0"/>
      <w:marBottom w:val="0"/>
      <w:divBdr>
        <w:top w:val="none" w:sz="0" w:space="0" w:color="auto"/>
        <w:left w:val="none" w:sz="0" w:space="0" w:color="auto"/>
        <w:bottom w:val="none" w:sz="0" w:space="0" w:color="auto"/>
        <w:right w:val="none" w:sz="0" w:space="0" w:color="auto"/>
      </w:divBdr>
    </w:div>
    <w:div w:id="1207909033">
      <w:bodyDiv w:val="1"/>
      <w:marLeft w:val="0"/>
      <w:marRight w:val="0"/>
      <w:marTop w:val="0"/>
      <w:marBottom w:val="0"/>
      <w:divBdr>
        <w:top w:val="none" w:sz="0" w:space="0" w:color="auto"/>
        <w:left w:val="none" w:sz="0" w:space="0" w:color="auto"/>
        <w:bottom w:val="none" w:sz="0" w:space="0" w:color="auto"/>
        <w:right w:val="none" w:sz="0" w:space="0" w:color="auto"/>
      </w:divBdr>
    </w:div>
    <w:div w:id="1266577147">
      <w:bodyDiv w:val="1"/>
      <w:marLeft w:val="0"/>
      <w:marRight w:val="0"/>
      <w:marTop w:val="0"/>
      <w:marBottom w:val="0"/>
      <w:divBdr>
        <w:top w:val="none" w:sz="0" w:space="0" w:color="auto"/>
        <w:left w:val="none" w:sz="0" w:space="0" w:color="auto"/>
        <w:bottom w:val="none" w:sz="0" w:space="0" w:color="auto"/>
        <w:right w:val="none" w:sz="0" w:space="0" w:color="auto"/>
      </w:divBdr>
    </w:div>
    <w:div w:id="1280796680">
      <w:bodyDiv w:val="1"/>
      <w:marLeft w:val="0"/>
      <w:marRight w:val="0"/>
      <w:marTop w:val="0"/>
      <w:marBottom w:val="0"/>
      <w:divBdr>
        <w:top w:val="none" w:sz="0" w:space="0" w:color="auto"/>
        <w:left w:val="none" w:sz="0" w:space="0" w:color="auto"/>
        <w:bottom w:val="none" w:sz="0" w:space="0" w:color="auto"/>
        <w:right w:val="none" w:sz="0" w:space="0" w:color="auto"/>
      </w:divBdr>
    </w:div>
    <w:div w:id="1298413024">
      <w:bodyDiv w:val="1"/>
      <w:marLeft w:val="0"/>
      <w:marRight w:val="0"/>
      <w:marTop w:val="0"/>
      <w:marBottom w:val="0"/>
      <w:divBdr>
        <w:top w:val="none" w:sz="0" w:space="0" w:color="auto"/>
        <w:left w:val="none" w:sz="0" w:space="0" w:color="auto"/>
        <w:bottom w:val="none" w:sz="0" w:space="0" w:color="auto"/>
        <w:right w:val="none" w:sz="0" w:space="0" w:color="auto"/>
      </w:divBdr>
      <w:divsChild>
        <w:div w:id="1017848379">
          <w:marLeft w:val="533"/>
          <w:marRight w:val="0"/>
          <w:marTop w:val="120"/>
          <w:marBottom w:val="0"/>
          <w:divBdr>
            <w:top w:val="none" w:sz="0" w:space="0" w:color="auto"/>
            <w:left w:val="none" w:sz="0" w:space="0" w:color="auto"/>
            <w:bottom w:val="none" w:sz="0" w:space="0" w:color="auto"/>
            <w:right w:val="none" w:sz="0" w:space="0" w:color="auto"/>
          </w:divBdr>
        </w:div>
      </w:divsChild>
    </w:div>
    <w:div w:id="1304964852">
      <w:bodyDiv w:val="1"/>
      <w:marLeft w:val="0"/>
      <w:marRight w:val="0"/>
      <w:marTop w:val="0"/>
      <w:marBottom w:val="0"/>
      <w:divBdr>
        <w:top w:val="none" w:sz="0" w:space="0" w:color="auto"/>
        <w:left w:val="none" w:sz="0" w:space="0" w:color="auto"/>
        <w:bottom w:val="none" w:sz="0" w:space="0" w:color="auto"/>
        <w:right w:val="none" w:sz="0" w:space="0" w:color="auto"/>
      </w:divBdr>
    </w:div>
    <w:div w:id="1344165116">
      <w:bodyDiv w:val="1"/>
      <w:marLeft w:val="0"/>
      <w:marRight w:val="0"/>
      <w:marTop w:val="0"/>
      <w:marBottom w:val="0"/>
      <w:divBdr>
        <w:top w:val="none" w:sz="0" w:space="0" w:color="auto"/>
        <w:left w:val="none" w:sz="0" w:space="0" w:color="auto"/>
        <w:bottom w:val="none" w:sz="0" w:space="0" w:color="auto"/>
        <w:right w:val="none" w:sz="0" w:space="0" w:color="auto"/>
      </w:divBdr>
    </w:div>
    <w:div w:id="1347027026">
      <w:bodyDiv w:val="1"/>
      <w:marLeft w:val="0"/>
      <w:marRight w:val="0"/>
      <w:marTop w:val="0"/>
      <w:marBottom w:val="0"/>
      <w:divBdr>
        <w:top w:val="none" w:sz="0" w:space="0" w:color="auto"/>
        <w:left w:val="none" w:sz="0" w:space="0" w:color="auto"/>
        <w:bottom w:val="none" w:sz="0" w:space="0" w:color="auto"/>
        <w:right w:val="none" w:sz="0" w:space="0" w:color="auto"/>
      </w:divBdr>
    </w:div>
    <w:div w:id="1357196507">
      <w:bodyDiv w:val="1"/>
      <w:marLeft w:val="0"/>
      <w:marRight w:val="0"/>
      <w:marTop w:val="0"/>
      <w:marBottom w:val="0"/>
      <w:divBdr>
        <w:top w:val="none" w:sz="0" w:space="0" w:color="auto"/>
        <w:left w:val="none" w:sz="0" w:space="0" w:color="auto"/>
        <w:bottom w:val="none" w:sz="0" w:space="0" w:color="auto"/>
        <w:right w:val="none" w:sz="0" w:space="0" w:color="auto"/>
      </w:divBdr>
      <w:divsChild>
        <w:div w:id="133068627">
          <w:marLeft w:val="0"/>
          <w:marRight w:val="0"/>
          <w:marTop w:val="0"/>
          <w:marBottom w:val="0"/>
          <w:divBdr>
            <w:top w:val="none" w:sz="0" w:space="0" w:color="auto"/>
            <w:left w:val="none" w:sz="0" w:space="0" w:color="auto"/>
            <w:bottom w:val="none" w:sz="0" w:space="0" w:color="auto"/>
            <w:right w:val="none" w:sz="0" w:space="0" w:color="auto"/>
          </w:divBdr>
        </w:div>
      </w:divsChild>
    </w:div>
    <w:div w:id="1370494342">
      <w:bodyDiv w:val="1"/>
      <w:marLeft w:val="0"/>
      <w:marRight w:val="0"/>
      <w:marTop w:val="0"/>
      <w:marBottom w:val="0"/>
      <w:divBdr>
        <w:top w:val="none" w:sz="0" w:space="0" w:color="auto"/>
        <w:left w:val="none" w:sz="0" w:space="0" w:color="auto"/>
        <w:bottom w:val="none" w:sz="0" w:space="0" w:color="auto"/>
        <w:right w:val="none" w:sz="0" w:space="0" w:color="auto"/>
      </w:divBdr>
    </w:div>
    <w:div w:id="1371341028">
      <w:bodyDiv w:val="1"/>
      <w:marLeft w:val="0"/>
      <w:marRight w:val="0"/>
      <w:marTop w:val="0"/>
      <w:marBottom w:val="0"/>
      <w:divBdr>
        <w:top w:val="none" w:sz="0" w:space="0" w:color="auto"/>
        <w:left w:val="none" w:sz="0" w:space="0" w:color="auto"/>
        <w:bottom w:val="none" w:sz="0" w:space="0" w:color="auto"/>
        <w:right w:val="none" w:sz="0" w:space="0" w:color="auto"/>
      </w:divBdr>
    </w:div>
    <w:div w:id="1389497229">
      <w:bodyDiv w:val="1"/>
      <w:marLeft w:val="0"/>
      <w:marRight w:val="0"/>
      <w:marTop w:val="0"/>
      <w:marBottom w:val="0"/>
      <w:divBdr>
        <w:top w:val="none" w:sz="0" w:space="0" w:color="auto"/>
        <w:left w:val="none" w:sz="0" w:space="0" w:color="auto"/>
        <w:bottom w:val="none" w:sz="0" w:space="0" w:color="auto"/>
        <w:right w:val="none" w:sz="0" w:space="0" w:color="auto"/>
      </w:divBdr>
    </w:div>
    <w:div w:id="1392999421">
      <w:bodyDiv w:val="1"/>
      <w:marLeft w:val="0"/>
      <w:marRight w:val="0"/>
      <w:marTop w:val="0"/>
      <w:marBottom w:val="0"/>
      <w:divBdr>
        <w:top w:val="none" w:sz="0" w:space="0" w:color="auto"/>
        <w:left w:val="none" w:sz="0" w:space="0" w:color="auto"/>
        <w:bottom w:val="none" w:sz="0" w:space="0" w:color="auto"/>
        <w:right w:val="none" w:sz="0" w:space="0" w:color="auto"/>
      </w:divBdr>
    </w:div>
    <w:div w:id="1406148580">
      <w:bodyDiv w:val="1"/>
      <w:marLeft w:val="0"/>
      <w:marRight w:val="0"/>
      <w:marTop w:val="0"/>
      <w:marBottom w:val="0"/>
      <w:divBdr>
        <w:top w:val="none" w:sz="0" w:space="0" w:color="auto"/>
        <w:left w:val="none" w:sz="0" w:space="0" w:color="auto"/>
        <w:bottom w:val="none" w:sz="0" w:space="0" w:color="auto"/>
        <w:right w:val="none" w:sz="0" w:space="0" w:color="auto"/>
      </w:divBdr>
      <w:divsChild>
        <w:div w:id="2091074360">
          <w:marLeft w:val="533"/>
          <w:marRight w:val="0"/>
          <w:marTop w:val="120"/>
          <w:marBottom w:val="0"/>
          <w:divBdr>
            <w:top w:val="none" w:sz="0" w:space="0" w:color="auto"/>
            <w:left w:val="none" w:sz="0" w:space="0" w:color="auto"/>
            <w:bottom w:val="none" w:sz="0" w:space="0" w:color="auto"/>
            <w:right w:val="none" w:sz="0" w:space="0" w:color="auto"/>
          </w:divBdr>
        </w:div>
      </w:divsChild>
    </w:div>
    <w:div w:id="1503739994">
      <w:bodyDiv w:val="1"/>
      <w:marLeft w:val="0"/>
      <w:marRight w:val="0"/>
      <w:marTop w:val="0"/>
      <w:marBottom w:val="0"/>
      <w:divBdr>
        <w:top w:val="none" w:sz="0" w:space="0" w:color="auto"/>
        <w:left w:val="none" w:sz="0" w:space="0" w:color="auto"/>
        <w:bottom w:val="none" w:sz="0" w:space="0" w:color="auto"/>
        <w:right w:val="none" w:sz="0" w:space="0" w:color="auto"/>
      </w:divBdr>
    </w:div>
    <w:div w:id="1525437365">
      <w:bodyDiv w:val="1"/>
      <w:marLeft w:val="0"/>
      <w:marRight w:val="0"/>
      <w:marTop w:val="0"/>
      <w:marBottom w:val="0"/>
      <w:divBdr>
        <w:top w:val="none" w:sz="0" w:space="0" w:color="auto"/>
        <w:left w:val="none" w:sz="0" w:space="0" w:color="auto"/>
        <w:bottom w:val="none" w:sz="0" w:space="0" w:color="auto"/>
        <w:right w:val="none" w:sz="0" w:space="0" w:color="auto"/>
      </w:divBdr>
    </w:div>
    <w:div w:id="1533687695">
      <w:bodyDiv w:val="1"/>
      <w:marLeft w:val="0"/>
      <w:marRight w:val="0"/>
      <w:marTop w:val="0"/>
      <w:marBottom w:val="0"/>
      <w:divBdr>
        <w:top w:val="none" w:sz="0" w:space="0" w:color="auto"/>
        <w:left w:val="none" w:sz="0" w:space="0" w:color="auto"/>
        <w:bottom w:val="none" w:sz="0" w:space="0" w:color="auto"/>
        <w:right w:val="none" w:sz="0" w:space="0" w:color="auto"/>
      </w:divBdr>
    </w:div>
    <w:div w:id="1547526740">
      <w:bodyDiv w:val="1"/>
      <w:marLeft w:val="0"/>
      <w:marRight w:val="0"/>
      <w:marTop w:val="0"/>
      <w:marBottom w:val="0"/>
      <w:divBdr>
        <w:top w:val="none" w:sz="0" w:space="0" w:color="auto"/>
        <w:left w:val="none" w:sz="0" w:space="0" w:color="auto"/>
        <w:bottom w:val="none" w:sz="0" w:space="0" w:color="auto"/>
        <w:right w:val="none" w:sz="0" w:space="0" w:color="auto"/>
      </w:divBdr>
      <w:divsChild>
        <w:div w:id="463549119">
          <w:marLeft w:val="0"/>
          <w:marRight w:val="0"/>
          <w:marTop w:val="0"/>
          <w:marBottom w:val="0"/>
          <w:divBdr>
            <w:top w:val="none" w:sz="0" w:space="0" w:color="auto"/>
            <w:left w:val="none" w:sz="0" w:space="0" w:color="auto"/>
            <w:bottom w:val="none" w:sz="0" w:space="0" w:color="auto"/>
            <w:right w:val="none" w:sz="0" w:space="0" w:color="auto"/>
          </w:divBdr>
        </w:div>
      </w:divsChild>
    </w:div>
    <w:div w:id="1554346420">
      <w:bodyDiv w:val="1"/>
      <w:marLeft w:val="0"/>
      <w:marRight w:val="0"/>
      <w:marTop w:val="0"/>
      <w:marBottom w:val="0"/>
      <w:divBdr>
        <w:top w:val="none" w:sz="0" w:space="0" w:color="auto"/>
        <w:left w:val="none" w:sz="0" w:space="0" w:color="auto"/>
        <w:bottom w:val="none" w:sz="0" w:space="0" w:color="auto"/>
        <w:right w:val="none" w:sz="0" w:space="0" w:color="auto"/>
      </w:divBdr>
    </w:div>
    <w:div w:id="1567452836">
      <w:bodyDiv w:val="1"/>
      <w:marLeft w:val="0"/>
      <w:marRight w:val="0"/>
      <w:marTop w:val="0"/>
      <w:marBottom w:val="0"/>
      <w:divBdr>
        <w:top w:val="none" w:sz="0" w:space="0" w:color="auto"/>
        <w:left w:val="none" w:sz="0" w:space="0" w:color="auto"/>
        <w:bottom w:val="none" w:sz="0" w:space="0" w:color="auto"/>
        <w:right w:val="none" w:sz="0" w:space="0" w:color="auto"/>
      </w:divBdr>
    </w:div>
    <w:div w:id="1570067966">
      <w:bodyDiv w:val="1"/>
      <w:marLeft w:val="0"/>
      <w:marRight w:val="0"/>
      <w:marTop w:val="0"/>
      <w:marBottom w:val="0"/>
      <w:divBdr>
        <w:top w:val="none" w:sz="0" w:space="0" w:color="auto"/>
        <w:left w:val="none" w:sz="0" w:space="0" w:color="auto"/>
        <w:bottom w:val="none" w:sz="0" w:space="0" w:color="auto"/>
        <w:right w:val="none" w:sz="0" w:space="0" w:color="auto"/>
      </w:divBdr>
      <w:divsChild>
        <w:div w:id="524945384">
          <w:marLeft w:val="0"/>
          <w:marRight w:val="0"/>
          <w:marTop w:val="0"/>
          <w:marBottom w:val="0"/>
          <w:divBdr>
            <w:top w:val="none" w:sz="0" w:space="0" w:color="auto"/>
            <w:left w:val="none" w:sz="0" w:space="0" w:color="auto"/>
            <w:bottom w:val="none" w:sz="0" w:space="0" w:color="auto"/>
            <w:right w:val="none" w:sz="0" w:space="0" w:color="auto"/>
          </w:divBdr>
        </w:div>
      </w:divsChild>
    </w:div>
    <w:div w:id="1587768524">
      <w:bodyDiv w:val="1"/>
      <w:marLeft w:val="0"/>
      <w:marRight w:val="0"/>
      <w:marTop w:val="0"/>
      <w:marBottom w:val="0"/>
      <w:divBdr>
        <w:top w:val="none" w:sz="0" w:space="0" w:color="auto"/>
        <w:left w:val="none" w:sz="0" w:space="0" w:color="auto"/>
        <w:bottom w:val="none" w:sz="0" w:space="0" w:color="auto"/>
        <w:right w:val="none" w:sz="0" w:space="0" w:color="auto"/>
      </w:divBdr>
    </w:div>
    <w:div w:id="1589848901">
      <w:bodyDiv w:val="1"/>
      <w:marLeft w:val="0"/>
      <w:marRight w:val="0"/>
      <w:marTop w:val="0"/>
      <w:marBottom w:val="0"/>
      <w:divBdr>
        <w:top w:val="none" w:sz="0" w:space="0" w:color="auto"/>
        <w:left w:val="none" w:sz="0" w:space="0" w:color="auto"/>
        <w:bottom w:val="none" w:sz="0" w:space="0" w:color="auto"/>
        <w:right w:val="none" w:sz="0" w:space="0" w:color="auto"/>
      </w:divBdr>
    </w:div>
    <w:div w:id="1607690740">
      <w:bodyDiv w:val="1"/>
      <w:marLeft w:val="0"/>
      <w:marRight w:val="0"/>
      <w:marTop w:val="0"/>
      <w:marBottom w:val="0"/>
      <w:divBdr>
        <w:top w:val="none" w:sz="0" w:space="0" w:color="auto"/>
        <w:left w:val="none" w:sz="0" w:space="0" w:color="auto"/>
        <w:bottom w:val="none" w:sz="0" w:space="0" w:color="auto"/>
        <w:right w:val="none" w:sz="0" w:space="0" w:color="auto"/>
      </w:divBdr>
    </w:div>
    <w:div w:id="1643121107">
      <w:bodyDiv w:val="1"/>
      <w:marLeft w:val="0"/>
      <w:marRight w:val="0"/>
      <w:marTop w:val="0"/>
      <w:marBottom w:val="0"/>
      <w:divBdr>
        <w:top w:val="none" w:sz="0" w:space="0" w:color="auto"/>
        <w:left w:val="none" w:sz="0" w:space="0" w:color="auto"/>
        <w:bottom w:val="none" w:sz="0" w:space="0" w:color="auto"/>
        <w:right w:val="none" w:sz="0" w:space="0" w:color="auto"/>
      </w:divBdr>
    </w:div>
    <w:div w:id="1689597116">
      <w:bodyDiv w:val="1"/>
      <w:marLeft w:val="0"/>
      <w:marRight w:val="0"/>
      <w:marTop w:val="0"/>
      <w:marBottom w:val="0"/>
      <w:divBdr>
        <w:top w:val="none" w:sz="0" w:space="0" w:color="auto"/>
        <w:left w:val="none" w:sz="0" w:space="0" w:color="auto"/>
        <w:bottom w:val="none" w:sz="0" w:space="0" w:color="auto"/>
        <w:right w:val="none" w:sz="0" w:space="0" w:color="auto"/>
      </w:divBdr>
    </w:div>
    <w:div w:id="1715813210">
      <w:bodyDiv w:val="1"/>
      <w:marLeft w:val="0"/>
      <w:marRight w:val="0"/>
      <w:marTop w:val="0"/>
      <w:marBottom w:val="0"/>
      <w:divBdr>
        <w:top w:val="none" w:sz="0" w:space="0" w:color="auto"/>
        <w:left w:val="none" w:sz="0" w:space="0" w:color="auto"/>
        <w:bottom w:val="none" w:sz="0" w:space="0" w:color="auto"/>
        <w:right w:val="none" w:sz="0" w:space="0" w:color="auto"/>
      </w:divBdr>
    </w:div>
    <w:div w:id="1768649751">
      <w:bodyDiv w:val="1"/>
      <w:marLeft w:val="0"/>
      <w:marRight w:val="0"/>
      <w:marTop w:val="0"/>
      <w:marBottom w:val="0"/>
      <w:divBdr>
        <w:top w:val="none" w:sz="0" w:space="0" w:color="auto"/>
        <w:left w:val="none" w:sz="0" w:space="0" w:color="auto"/>
        <w:bottom w:val="none" w:sz="0" w:space="0" w:color="auto"/>
        <w:right w:val="none" w:sz="0" w:space="0" w:color="auto"/>
      </w:divBdr>
    </w:div>
    <w:div w:id="1778795599">
      <w:bodyDiv w:val="1"/>
      <w:marLeft w:val="0"/>
      <w:marRight w:val="0"/>
      <w:marTop w:val="0"/>
      <w:marBottom w:val="0"/>
      <w:divBdr>
        <w:top w:val="none" w:sz="0" w:space="0" w:color="auto"/>
        <w:left w:val="none" w:sz="0" w:space="0" w:color="auto"/>
        <w:bottom w:val="none" w:sz="0" w:space="0" w:color="auto"/>
        <w:right w:val="none" w:sz="0" w:space="0" w:color="auto"/>
      </w:divBdr>
    </w:div>
    <w:div w:id="1792163722">
      <w:bodyDiv w:val="1"/>
      <w:marLeft w:val="0"/>
      <w:marRight w:val="0"/>
      <w:marTop w:val="0"/>
      <w:marBottom w:val="0"/>
      <w:divBdr>
        <w:top w:val="none" w:sz="0" w:space="0" w:color="auto"/>
        <w:left w:val="none" w:sz="0" w:space="0" w:color="auto"/>
        <w:bottom w:val="none" w:sz="0" w:space="0" w:color="auto"/>
        <w:right w:val="none" w:sz="0" w:space="0" w:color="auto"/>
      </w:divBdr>
    </w:div>
    <w:div w:id="1802070609">
      <w:bodyDiv w:val="1"/>
      <w:marLeft w:val="0"/>
      <w:marRight w:val="0"/>
      <w:marTop w:val="0"/>
      <w:marBottom w:val="0"/>
      <w:divBdr>
        <w:top w:val="none" w:sz="0" w:space="0" w:color="auto"/>
        <w:left w:val="none" w:sz="0" w:space="0" w:color="auto"/>
        <w:bottom w:val="none" w:sz="0" w:space="0" w:color="auto"/>
        <w:right w:val="none" w:sz="0" w:space="0" w:color="auto"/>
      </w:divBdr>
    </w:div>
    <w:div w:id="1810707997">
      <w:bodyDiv w:val="1"/>
      <w:marLeft w:val="0"/>
      <w:marRight w:val="0"/>
      <w:marTop w:val="0"/>
      <w:marBottom w:val="0"/>
      <w:divBdr>
        <w:top w:val="none" w:sz="0" w:space="0" w:color="auto"/>
        <w:left w:val="none" w:sz="0" w:space="0" w:color="auto"/>
        <w:bottom w:val="none" w:sz="0" w:space="0" w:color="auto"/>
        <w:right w:val="none" w:sz="0" w:space="0" w:color="auto"/>
      </w:divBdr>
    </w:div>
    <w:div w:id="1814761323">
      <w:bodyDiv w:val="1"/>
      <w:marLeft w:val="0"/>
      <w:marRight w:val="0"/>
      <w:marTop w:val="0"/>
      <w:marBottom w:val="0"/>
      <w:divBdr>
        <w:top w:val="none" w:sz="0" w:space="0" w:color="auto"/>
        <w:left w:val="none" w:sz="0" w:space="0" w:color="auto"/>
        <w:bottom w:val="none" w:sz="0" w:space="0" w:color="auto"/>
        <w:right w:val="none" w:sz="0" w:space="0" w:color="auto"/>
      </w:divBdr>
    </w:div>
    <w:div w:id="1816945865">
      <w:bodyDiv w:val="1"/>
      <w:marLeft w:val="0"/>
      <w:marRight w:val="0"/>
      <w:marTop w:val="0"/>
      <w:marBottom w:val="0"/>
      <w:divBdr>
        <w:top w:val="none" w:sz="0" w:space="0" w:color="auto"/>
        <w:left w:val="none" w:sz="0" w:space="0" w:color="auto"/>
        <w:bottom w:val="none" w:sz="0" w:space="0" w:color="auto"/>
        <w:right w:val="none" w:sz="0" w:space="0" w:color="auto"/>
      </w:divBdr>
    </w:div>
    <w:div w:id="1819304187">
      <w:bodyDiv w:val="1"/>
      <w:marLeft w:val="0"/>
      <w:marRight w:val="0"/>
      <w:marTop w:val="0"/>
      <w:marBottom w:val="0"/>
      <w:divBdr>
        <w:top w:val="none" w:sz="0" w:space="0" w:color="auto"/>
        <w:left w:val="none" w:sz="0" w:space="0" w:color="auto"/>
        <w:bottom w:val="none" w:sz="0" w:space="0" w:color="auto"/>
        <w:right w:val="none" w:sz="0" w:space="0" w:color="auto"/>
      </w:divBdr>
    </w:div>
    <w:div w:id="1827938263">
      <w:bodyDiv w:val="1"/>
      <w:marLeft w:val="0"/>
      <w:marRight w:val="0"/>
      <w:marTop w:val="0"/>
      <w:marBottom w:val="0"/>
      <w:divBdr>
        <w:top w:val="none" w:sz="0" w:space="0" w:color="auto"/>
        <w:left w:val="none" w:sz="0" w:space="0" w:color="auto"/>
        <w:bottom w:val="none" w:sz="0" w:space="0" w:color="auto"/>
        <w:right w:val="none" w:sz="0" w:space="0" w:color="auto"/>
      </w:divBdr>
    </w:div>
    <w:div w:id="1844273121">
      <w:bodyDiv w:val="1"/>
      <w:marLeft w:val="0"/>
      <w:marRight w:val="0"/>
      <w:marTop w:val="0"/>
      <w:marBottom w:val="0"/>
      <w:divBdr>
        <w:top w:val="none" w:sz="0" w:space="0" w:color="auto"/>
        <w:left w:val="none" w:sz="0" w:space="0" w:color="auto"/>
        <w:bottom w:val="none" w:sz="0" w:space="0" w:color="auto"/>
        <w:right w:val="none" w:sz="0" w:space="0" w:color="auto"/>
      </w:divBdr>
    </w:div>
    <w:div w:id="1879973795">
      <w:bodyDiv w:val="1"/>
      <w:marLeft w:val="0"/>
      <w:marRight w:val="0"/>
      <w:marTop w:val="0"/>
      <w:marBottom w:val="0"/>
      <w:divBdr>
        <w:top w:val="none" w:sz="0" w:space="0" w:color="auto"/>
        <w:left w:val="none" w:sz="0" w:space="0" w:color="auto"/>
        <w:bottom w:val="none" w:sz="0" w:space="0" w:color="auto"/>
        <w:right w:val="none" w:sz="0" w:space="0" w:color="auto"/>
      </w:divBdr>
    </w:div>
    <w:div w:id="1895311162">
      <w:bodyDiv w:val="1"/>
      <w:marLeft w:val="0"/>
      <w:marRight w:val="0"/>
      <w:marTop w:val="0"/>
      <w:marBottom w:val="0"/>
      <w:divBdr>
        <w:top w:val="none" w:sz="0" w:space="0" w:color="auto"/>
        <w:left w:val="none" w:sz="0" w:space="0" w:color="auto"/>
        <w:bottom w:val="none" w:sz="0" w:space="0" w:color="auto"/>
        <w:right w:val="none" w:sz="0" w:space="0" w:color="auto"/>
      </w:divBdr>
      <w:divsChild>
        <w:div w:id="1065958894">
          <w:marLeft w:val="0"/>
          <w:marRight w:val="0"/>
          <w:marTop w:val="0"/>
          <w:marBottom w:val="0"/>
          <w:divBdr>
            <w:top w:val="none" w:sz="0" w:space="0" w:color="auto"/>
            <w:left w:val="none" w:sz="0" w:space="0" w:color="auto"/>
            <w:bottom w:val="none" w:sz="0" w:space="0" w:color="auto"/>
            <w:right w:val="none" w:sz="0" w:space="0" w:color="auto"/>
          </w:divBdr>
        </w:div>
      </w:divsChild>
    </w:div>
    <w:div w:id="1904098233">
      <w:bodyDiv w:val="1"/>
      <w:marLeft w:val="0"/>
      <w:marRight w:val="0"/>
      <w:marTop w:val="0"/>
      <w:marBottom w:val="0"/>
      <w:divBdr>
        <w:top w:val="none" w:sz="0" w:space="0" w:color="auto"/>
        <w:left w:val="none" w:sz="0" w:space="0" w:color="auto"/>
        <w:bottom w:val="none" w:sz="0" w:space="0" w:color="auto"/>
        <w:right w:val="none" w:sz="0" w:space="0" w:color="auto"/>
      </w:divBdr>
      <w:divsChild>
        <w:div w:id="369652213">
          <w:marLeft w:val="533"/>
          <w:marRight w:val="0"/>
          <w:marTop w:val="120"/>
          <w:marBottom w:val="0"/>
          <w:divBdr>
            <w:top w:val="none" w:sz="0" w:space="0" w:color="auto"/>
            <w:left w:val="none" w:sz="0" w:space="0" w:color="auto"/>
            <w:bottom w:val="none" w:sz="0" w:space="0" w:color="auto"/>
            <w:right w:val="none" w:sz="0" w:space="0" w:color="auto"/>
          </w:divBdr>
        </w:div>
      </w:divsChild>
    </w:div>
    <w:div w:id="1908686704">
      <w:bodyDiv w:val="1"/>
      <w:marLeft w:val="0"/>
      <w:marRight w:val="0"/>
      <w:marTop w:val="0"/>
      <w:marBottom w:val="0"/>
      <w:divBdr>
        <w:top w:val="none" w:sz="0" w:space="0" w:color="auto"/>
        <w:left w:val="none" w:sz="0" w:space="0" w:color="auto"/>
        <w:bottom w:val="none" w:sz="0" w:space="0" w:color="auto"/>
        <w:right w:val="none" w:sz="0" w:space="0" w:color="auto"/>
      </w:divBdr>
    </w:div>
    <w:div w:id="1929970459">
      <w:bodyDiv w:val="1"/>
      <w:marLeft w:val="0"/>
      <w:marRight w:val="0"/>
      <w:marTop w:val="0"/>
      <w:marBottom w:val="0"/>
      <w:divBdr>
        <w:top w:val="none" w:sz="0" w:space="0" w:color="auto"/>
        <w:left w:val="none" w:sz="0" w:space="0" w:color="auto"/>
        <w:bottom w:val="none" w:sz="0" w:space="0" w:color="auto"/>
        <w:right w:val="none" w:sz="0" w:space="0" w:color="auto"/>
      </w:divBdr>
    </w:div>
    <w:div w:id="1946769948">
      <w:bodyDiv w:val="1"/>
      <w:marLeft w:val="0"/>
      <w:marRight w:val="0"/>
      <w:marTop w:val="0"/>
      <w:marBottom w:val="0"/>
      <w:divBdr>
        <w:top w:val="none" w:sz="0" w:space="0" w:color="auto"/>
        <w:left w:val="none" w:sz="0" w:space="0" w:color="auto"/>
        <w:bottom w:val="none" w:sz="0" w:space="0" w:color="auto"/>
        <w:right w:val="none" w:sz="0" w:space="0" w:color="auto"/>
      </w:divBdr>
    </w:div>
    <w:div w:id="1964118590">
      <w:bodyDiv w:val="1"/>
      <w:marLeft w:val="0"/>
      <w:marRight w:val="0"/>
      <w:marTop w:val="0"/>
      <w:marBottom w:val="0"/>
      <w:divBdr>
        <w:top w:val="none" w:sz="0" w:space="0" w:color="auto"/>
        <w:left w:val="none" w:sz="0" w:space="0" w:color="auto"/>
        <w:bottom w:val="none" w:sz="0" w:space="0" w:color="auto"/>
        <w:right w:val="none" w:sz="0" w:space="0" w:color="auto"/>
      </w:divBdr>
      <w:divsChild>
        <w:div w:id="2129353941">
          <w:marLeft w:val="533"/>
          <w:marRight w:val="0"/>
          <w:marTop w:val="120"/>
          <w:marBottom w:val="0"/>
          <w:divBdr>
            <w:top w:val="none" w:sz="0" w:space="0" w:color="auto"/>
            <w:left w:val="none" w:sz="0" w:space="0" w:color="auto"/>
            <w:bottom w:val="none" w:sz="0" w:space="0" w:color="auto"/>
            <w:right w:val="none" w:sz="0" w:space="0" w:color="auto"/>
          </w:divBdr>
        </w:div>
      </w:divsChild>
    </w:div>
    <w:div w:id="1971666467">
      <w:bodyDiv w:val="1"/>
      <w:marLeft w:val="0"/>
      <w:marRight w:val="0"/>
      <w:marTop w:val="0"/>
      <w:marBottom w:val="0"/>
      <w:divBdr>
        <w:top w:val="none" w:sz="0" w:space="0" w:color="auto"/>
        <w:left w:val="none" w:sz="0" w:space="0" w:color="auto"/>
        <w:bottom w:val="none" w:sz="0" w:space="0" w:color="auto"/>
        <w:right w:val="none" w:sz="0" w:space="0" w:color="auto"/>
      </w:divBdr>
    </w:div>
    <w:div w:id="1980376270">
      <w:bodyDiv w:val="1"/>
      <w:marLeft w:val="0"/>
      <w:marRight w:val="0"/>
      <w:marTop w:val="0"/>
      <w:marBottom w:val="0"/>
      <w:divBdr>
        <w:top w:val="none" w:sz="0" w:space="0" w:color="auto"/>
        <w:left w:val="none" w:sz="0" w:space="0" w:color="auto"/>
        <w:bottom w:val="none" w:sz="0" w:space="0" w:color="auto"/>
        <w:right w:val="none" w:sz="0" w:space="0" w:color="auto"/>
      </w:divBdr>
    </w:div>
    <w:div w:id="2011062938">
      <w:bodyDiv w:val="1"/>
      <w:marLeft w:val="0"/>
      <w:marRight w:val="0"/>
      <w:marTop w:val="0"/>
      <w:marBottom w:val="0"/>
      <w:divBdr>
        <w:top w:val="none" w:sz="0" w:space="0" w:color="auto"/>
        <w:left w:val="none" w:sz="0" w:space="0" w:color="auto"/>
        <w:bottom w:val="none" w:sz="0" w:space="0" w:color="auto"/>
        <w:right w:val="none" w:sz="0" w:space="0" w:color="auto"/>
      </w:divBdr>
      <w:divsChild>
        <w:div w:id="750197585">
          <w:marLeft w:val="533"/>
          <w:marRight w:val="0"/>
          <w:marTop w:val="120"/>
          <w:marBottom w:val="0"/>
          <w:divBdr>
            <w:top w:val="none" w:sz="0" w:space="0" w:color="auto"/>
            <w:left w:val="none" w:sz="0" w:space="0" w:color="auto"/>
            <w:bottom w:val="none" w:sz="0" w:space="0" w:color="auto"/>
            <w:right w:val="none" w:sz="0" w:space="0" w:color="auto"/>
          </w:divBdr>
        </w:div>
      </w:divsChild>
    </w:div>
    <w:div w:id="2029015173">
      <w:bodyDiv w:val="1"/>
      <w:marLeft w:val="0"/>
      <w:marRight w:val="0"/>
      <w:marTop w:val="0"/>
      <w:marBottom w:val="0"/>
      <w:divBdr>
        <w:top w:val="none" w:sz="0" w:space="0" w:color="auto"/>
        <w:left w:val="none" w:sz="0" w:space="0" w:color="auto"/>
        <w:bottom w:val="none" w:sz="0" w:space="0" w:color="auto"/>
        <w:right w:val="none" w:sz="0" w:space="0" w:color="auto"/>
      </w:divBdr>
    </w:div>
    <w:div w:id="2045788401">
      <w:bodyDiv w:val="1"/>
      <w:marLeft w:val="0"/>
      <w:marRight w:val="0"/>
      <w:marTop w:val="0"/>
      <w:marBottom w:val="0"/>
      <w:divBdr>
        <w:top w:val="none" w:sz="0" w:space="0" w:color="auto"/>
        <w:left w:val="none" w:sz="0" w:space="0" w:color="auto"/>
        <w:bottom w:val="none" w:sz="0" w:space="0" w:color="auto"/>
        <w:right w:val="none" w:sz="0" w:space="0" w:color="auto"/>
      </w:divBdr>
    </w:div>
    <w:div w:id="2062752289">
      <w:bodyDiv w:val="1"/>
      <w:marLeft w:val="0"/>
      <w:marRight w:val="0"/>
      <w:marTop w:val="0"/>
      <w:marBottom w:val="0"/>
      <w:divBdr>
        <w:top w:val="none" w:sz="0" w:space="0" w:color="auto"/>
        <w:left w:val="none" w:sz="0" w:space="0" w:color="auto"/>
        <w:bottom w:val="none" w:sz="0" w:space="0" w:color="auto"/>
        <w:right w:val="none" w:sz="0" w:space="0" w:color="auto"/>
      </w:divBdr>
      <w:divsChild>
        <w:div w:id="840705970">
          <w:marLeft w:val="0"/>
          <w:marRight w:val="0"/>
          <w:marTop w:val="0"/>
          <w:marBottom w:val="0"/>
          <w:divBdr>
            <w:top w:val="none" w:sz="0" w:space="0" w:color="auto"/>
            <w:left w:val="none" w:sz="0" w:space="0" w:color="auto"/>
            <w:bottom w:val="none" w:sz="0" w:space="0" w:color="auto"/>
            <w:right w:val="none" w:sz="0" w:space="0" w:color="auto"/>
          </w:divBdr>
        </w:div>
      </w:divsChild>
    </w:div>
    <w:div w:id="2071031973">
      <w:bodyDiv w:val="1"/>
      <w:marLeft w:val="0"/>
      <w:marRight w:val="0"/>
      <w:marTop w:val="0"/>
      <w:marBottom w:val="0"/>
      <w:divBdr>
        <w:top w:val="none" w:sz="0" w:space="0" w:color="auto"/>
        <w:left w:val="none" w:sz="0" w:space="0" w:color="auto"/>
        <w:bottom w:val="none" w:sz="0" w:space="0" w:color="auto"/>
        <w:right w:val="none" w:sz="0" w:space="0" w:color="auto"/>
      </w:divBdr>
    </w:div>
    <w:div w:id="2072653167">
      <w:bodyDiv w:val="1"/>
      <w:marLeft w:val="0"/>
      <w:marRight w:val="0"/>
      <w:marTop w:val="0"/>
      <w:marBottom w:val="0"/>
      <w:divBdr>
        <w:top w:val="none" w:sz="0" w:space="0" w:color="auto"/>
        <w:left w:val="none" w:sz="0" w:space="0" w:color="auto"/>
        <w:bottom w:val="none" w:sz="0" w:space="0" w:color="auto"/>
        <w:right w:val="none" w:sz="0" w:space="0" w:color="auto"/>
      </w:divBdr>
    </w:div>
    <w:div w:id="2077632041">
      <w:bodyDiv w:val="1"/>
      <w:marLeft w:val="0"/>
      <w:marRight w:val="0"/>
      <w:marTop w:val="0"/>
      <w:marBottom w:val="0"/>
      <w:divBdr>
        <w:top w:val="none" w:sz="0" w:space="0" w:color="auto"/>
        <w:left w:val="none" w:sz="0" w:space="0" w:color="auto"/>
        <w:bottom w:val="none" w:sz="0" w:space="0" w:color="auto"/>
        <w:right w:val="none" w:sz="0" w:space="0" w:color="auto"/>
      </w:divBdr>
    </w:div>
    <w:div w:id="2077891924">
      <w:bodyDiv w:val="1"/>
      <w:marLeft w:val="0"/>
      <w:marRight w:val="0"/>
      <w:marTop w:val="0"/>
      <w:marBottom w:val="0"/>
      <w:divBdr>
        <w:top w:val="none" w:sz="0" w:space="0" w:color="auto"/>
        <w:left w:val="none" w:sz="0" w:space="0" w:color="auto"/>
        <w:bottom w:val="none" w:sz="0" w:space="0" w:color="auto"/>
        <w:right w:val="none" w:sz="0" w:space="0" w:color="auto"/>
      </w:divBdr>
    </w:div>
    <w:div w:id="2089034774">
      <w:bodyDiv w:val="1"/>
      <w:marLeft w:val="0"/>
      <w:marRight w:val="0"/>
      <w:marTop w:val="0"/>
      <w:marBottom w:val="0"/>
      <w:divBdr>
        <w:top w:val="none" w:sz="0" w:space="0" w:color="auto"/>
        <w:left w:val="none" w:sz="0" w:space="0" w:color="auto"/>
        <w:bottom w:val="none" w:sz="0" w:space="0" w:color="auto"/>
        <w:right w:val="none" w:sz="0" w:space="0" w:color="auto"/>
      </w:divBdr>
      <w:divsChild>
        <w:div w:id="700591324">
          <w:marLeft w:val="0"/>
          <w:marRight w:val="0"/>
          <w:marTop w:val="0"/>
          <w:marBottom w:val="0"/>
          <w:divBdr>
            <w:top w:val="none" w:sz="0" w:space="0" w:color="auto"/>
            <w:left w:val="none" w:sz="0" w:space="0" w:color="auto"/>
            <w:bottom w:val="none" w:sz="0" w:space="0" w:color="auto"/>
            <w:right w:val="none" w:sz="0" w:space="0" w:color="auto"/>
          </w:divBdr>
        </w:div>
      </w:divsChild>
    </w:div>
    <w:div w:id="2103530604">
      <w:bodyDiv w:val="1"/>
      <w:marLeft w:val="0"/>
      <w:marRight w:val="0"/>
      <w:marTop w:val="0"/>
      <w:marBottom w:val="0"/>
      <w:divBdr>
        <w:top w:val="none" w:sz="0" w:space="0" w:color="auto"/>
        <w:left w:val="none" w:sz="0" w:space="0" w:color="auto"/>
        <w:bottom w:val="none" w:sz="0" w:space="0" w:color="auto"/>
        <w:right w:val="none" w:sz="0" w:space="0" w:color="auto"/>
      </w:divBdr>
      <w:divsChild>
        <w:div w:id="727412153">
          <w:marLeft w:val="533"/>
          <w:marRight w:val="0"/>
          <w:marTop w:val="120"/>
          <w:marBottom w:val="0"/>
          <w:divBdr>
            <w:top w:val="none" w:sz="0" w:space="0" w:color="auto"/>
            <w:left w:val="none" w:sz="0" w:space="0" w:color="auto"/>
            <w:bottom w:val="none" w:sz="0" w:space="0" w:color="auto"/>
            <w:right w:val="none" w:sz="0" w:space="0" w:color="auto"/>
          </w:divBdr>
        </w:div>
      </w:divsChild>
    </w:div>
    <w:div w:id="2109235321">
      <w:bodyDiv w:val="1"/>
      <w:marLeft w:val="0"/>
      <w:marRight w:val="0"/>
      <w:marTop w:val="0"/>
      <w:marBottom w:val="0"/>
      <w:divBdr>
        <w:top w:val="none" w:sz="0" w:space="0" w:color="auto"/>
        <w:left w:val="none" w:sz="0" w:space="0" w:color="auto"/>
        <w:bottom w:val="none" w:sz="0" w:space="0" w:color="auto"/>
        <w:right w:val="none" w:sz="0" w:space="0" w:color="auto"/>
      </w:divBdr>
      <w:divsChild>
        <w:div w:id="330455766">
          <w:marLeft w:val="0"/>
          <w:marRight w:val="0"/>
          <w:marTop w:val="0"/>
          <w:marBottom w:val="0"/>
          <w:divBdr>
            <w:top w:val="none" w:sz="0" w:space="0" w:color="auto"/>
            <w:left w:val="none" w:sz="0" w:space="0" w:color="auto"/>
            <w:bottom w:val="none" w:sz="0" w:space="0" w:color="auto"/>
            <w:right w:val="none" w:sz="0" w:space="0" w:color="auto"/>
          </w:divBdr>
          <w:divsChild>
            <w:div w:id="134801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671348">
      <w:bodyDiv w:val="1"/>
      <w:marLeft w:val="0"/>
      <w:marRight w:val="0"/>
      <w:marTop w:val="0"/>
      <w:marBottom w:val="0"/>
      <w:divBdr>
        <w:top w:val="none" w:sz="0" w:space="0" w:color="auto"/>
        <w:left w:val="none" w:sz="0" w:space="0" w:color="auto"/>
        <w:bottom w:val="none" w:sz="0" w:space="0" w:color="auto"/>
        <w:right w:val="none" w:sz="0" w:space="0" w:color="auto"/>
      </w:divBdr>
    </w:div>
    <w:div w:id="2126656195">
      <w:bodyDiv w:val="1"/>
      <w:marLeft w:val="0"/>
      <w:marRight w:val="0"/>
      <w:marTop w:val="0"/>
      <w:marBottom w:val="0"/>
      <w:divBdr>
        <w:top w:val="none" w:sz="0" w:space="0" w:color="auto"/>
        <w:left w:val="none" w:sz="0" w:space="0" w:color="auto"/>
        <w:bottom w:val="none" w:sz="0" w:space="0" w:color="auto"/>
        <w:right w:val="none" w:sz="0" w:space="0" w:color="auto"/>
      </w:divBdr>
    </w:div>
    <w:div w:id="2129398135">
      <w:bodyDiv w:val="1"/>
      <w:marLeft w:val="0"/>
      <w:marRight w:val="0"/>
      <w:marTop w:val="0"/>
      <w:marBottom w:val="0"/>
      <w:divBdr>
        <w:top w:val="none" w:sz="0" w:space="0" w:color="auto"/>
        <w:left w:val="none" w:sz="0" w:space="0" w:color="auto"/>
        <w:bottom w:val="none" w:sz="0" w:space="0" w:color="auto"/>
        <w:right w:val="none" w:sz="0" w:space="0" w:color="auto"/>
      </w:divBdr>
    </w:div>
    <w:div w:id="2130972390">
      <w:bodyDiv w:val="1"/>
      <w:marLeft w:val="0"/>
      <w:marRight w:val="0"/>
      <w:marTop w:val="0"/>
      <w:marBottom w:val="0"/>
      <w:divBdr>
        <w:top w:val="none" w:sz="0" w:space="0" w:color="auto"/>
        <w:left w:val="none" w:sz="0" w:space="0" w:color="auto"/>
        <w:bottom w:val="none" w:sz="0" w:space="0" w:color="auto"/>
        <w:right w:val="none" w:sz="0" w:space="0" w:color="auto"/>
      </w:divBdr>
    </w:div>
    <w:div w:id="2144225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18" Type="http://schemas.openxmlformats.org/officeDocument/2006/relationships/chart" Target="charts/chart9.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chart" Target="charts/chart8.xml"/><Relationship Id="rId2" Type="http://schemas.openxmlformats.org/officeDocument/2006/relationships/numbering" Target="numbering.xml"/><Relationship Id="rId16" Type="http://schemas.openxmlformats.org/officeDocument/2006/relationships/chart" Target="charts/chart7.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6.xml"/><Relationship Id="rId10" Type="http://schemas.openxmlformats.org/officeDocument/2006/relationships/chart" Target="charts/chart2.xml"/><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chart" Target="charts/chart5.xm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3" Type="http://schemas.openxmlformats.org/officeDocument/2006/relationships/chartUserShapes" Target="../drawings/drawing6.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2" Type="http://schemas.openxmlformats.org/officeDocument/2006/relationships/chartUserShapes" Target="../drawings/drawing7.xml"/><Relationship Id="rId1" Type="http://schemas.openxmlformats.org/officeDocument/2006/relationships/oleObject" Target="file:///H:\&#37329;&#34701;&#34903;\&#22266;&#25910;&#21608;&#25253;\&#21608;&#25253;&#25968;&#25454;&#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9.8077063283756191E-2"/>
          <c:w val="0.86467847769028872"/>
          <c:h val="0.82798009623797031"/>
        </c:manualLayout>
      </c:layout>
      <c:barChart>
        <c:barDir val="col"/>
        <c:grouping val="stacked"/>
        <c:varyColors val="0"/>
        <c:ser>
          <c:idx val="0"/>
          <c:order val="0"/>
          <c:tx>
            <c:strRef>
              <c:f>央行!$B$4</c:f>
              <c:strCache>
                <c:ptCount val="1"/>
                <c:pt idx="0">
                  <c:v>货币投放</c:v>
                </c:pt>
              </c:strCache>
            </c:strRef>
          </c:tx>
          <c:spPr>
            <a:solidFill>
              <a:srgbClr val="F8CBAD"/>
            </a:solidFill>
            <a:ln w="22225">
              <a:noFill/>
            </a:ln>
          </c:spPr>
          <c:invertIfNegative val="0"/>
          <c:cat>
            <c:numRef>
              <c:f>央行!$A$5:$A$27</c:f>
              <c:numCache>
                <c:formatCode>yyyy\-mm\-dd;@</c:formatCode>
                <c:ptCount val="23"/>
                <c:pt idx="0">
                  <c:v>44183</c:v>
                </c:pt>
                <c:pt idx="1">
                  <c:v>44190</c:v>
                </c:pt>
                <c:pt idx="2">
                  <c:v>44197</c:v>
                </c:pt>
                <c:pt idx="3">
                  <c:v>44204</c:v>
                </c:pt>
                <c:pt idx="4">
                  <c:v>44211</c:v>
                </c:pt>
                <c:pt idx="5">
                  <c:v>44218</c:v>
                </c:pt>
                <c:pt idx="6">
                  <c:v>44225</c:v>
                </c:pt>
                <c:pt idx="7">
                  <c:v>44232</c:v>
                </c:pt>
                <c:pt idx="8">
                  <c:v>44239</c:v>
                </c:pt>
                <c:pt idx="9">
                  <c:v>44246</c:v>
                </c:pt>
                <c:pt idx="10">
                  <c:v>44253</c:v>
                </c:pt>
                <c:pt idx="11">
                  <c:v>44260</c:v>
                </c:pt>
                <c:pt idx="12">
                  <c:v>44267</c:v>
                </c:pt>
                <c:pt idx="13">
                  <c:v>44274</c:v>
                </c:pt>
                <c:pt idx="14">
                  <c:v>44281</c:v>
                </c:pt>
                <c:pt idx="15">
                  <c:v>44288</c:v>
                </c:pt>
                <c:pt idx="16">
                  <c:v>44295</c:v>
                </c:pt>
                <c:pt idx="17">
                  <c:v>44302</c:v>
                </c:pt>
                <c:pt idx="18">
                  <c:v>44309</c:v>
                </c:pt>
                <c:pt idx="19">
                  <c:v>44316</c:v>
                </c:pt>
                <c:pt idx="20">
                  <c:v>44323</c:v>
                </c:pt>
                <c:pt idx="21">
                  <c:v>44330</c:v>
                </c:pt>
                <c:pt idx="22">
                  <c:v>44337</c:v>
                </c:pt>
              </c:numCache>
            </c:numRef>
          </c:cat>
          <c:val>
            <c:numRef>
              <c:f>央行!$B$5:$B$27</c:f>
              <c:numCache>
                <c:formatCode>###,###,###,###,##0.00</c:formatCode>
                <c:ptCount val="23"/>
                <c:pt idx="0">
                  <c:v>600</c:v>
                </c:pt>
                <c:pt idx="1">
                  <c:v>4300</c:v>
                </c:pt>
                <c:pt idx="2">
                  <c:v>1750</c:v>
                </c:pt>
                <c:pt idx="3">
                  <c:v>550</c:v>
                </c:pt>
                <c:pt idx="4">
                  <c:v>160</c:v>
                </c:pt>
                <c:pt idx="5">
                  <c:v>6140</c:v>
                </c:pt>
                <c:pt idx="6">
                  <c:v>3890</c:v>
                </c:pt>
                <c:pt idx="7">
                  <c:v>4800</c:v>
                </c:pt>
                <c:pt idx="8">
                  <c:v>2300</c:v>
                </c:pt>
                <c:pt idx="9">
                  <c:v>400</c:v>
                </c:pt>
                <c:pt idx="10">
                  <c:v>800</c:v>
                </c:pt>
                <c:pt idx="11">
                  <c:v>550</c:v>
                </c:pt>
                <c:pt idx="12">
                  <c:v>500</c:v>
                </c:pt>
                <c:pt idx="13">
                  <c:v>500</c:v>
                </c:pt>
                <c:pt idx="14">
                  <c:v>550</c:v>
                </c:pt>
                <c:pt idx="15">
                  <c:v>500</c:v>
                </c:pt>
                <c:pt idx="16">
                  <c:v>400</c:v>
                </c:pt>
                <c:pt idx="17">
                  <c:v>500</c:v>
                </c:pt>
                <c:pt idx="18">
                  <c:v>500</c:v>
                </c:pt>
                <c:pt idx="19">
                  <c:v>650</c:v>
                </c:pt>
                <c:pt idx="20">
                  <c:v>200</c:v>
                </c:pt>
                <c:pt idx="21">
                  <c:v>600</c:v>
                </c:pt>
                <c:pt idx="22">
                  <c:v>500</c:v>
                </c:pt>
              </c:numCache>
            </c:numRef>
          </c:val>
          <c:extLst xmlns:c16r2="http://schemas.microsoft.com/office/drawing/2015/06/chart">
            <c:ext xmlns:c16="http://schemas.microsoft.com/office/drawing/2014/chart" uri="{C3380CC4-5D6E-409C-BE32-E72D297353CC}">
              <c16:uniqueId val="{00000000-EB57-4469-BDD5-40CE8CE88BD6}"/>
            </c:ext>
          </c:extLst>
        </c:ser>
        <c:ser>
          <c:idx val="2"/>
          <c:order val="1"/>
          <c:tx>
            <c:strRef>
              <c:f>央行!$C$4</c:f>
              <c:strCache>
                <c:ptCount val="1"/>
                <c:pt idx="0">
                  <c:v>货币回笼</c:v>
                </c:pt>
              </c:strCache>
            </c:strRef>
          </c:tx>
          <c:spPr>
            <a:solidFill>
              <a:srgbClr val="E7E6E6">
                <a:lumMod val="90000"/>
              </a:srgbClr>
            </a:solidFill>
            <a:ln w="22225">
              <a:noFill/>
              <a:prstDash val="sysDash"/>
            </a:ln>
          </c:spPr>
          <c:invertIfNegative val="0"/>
          <c:cat>
            <c:numRef>
              <c:f>央行!$A$5:$A$27</c:f>
              <c:numCache>
                <c:formatCode>yyyy\-mm\-dd;@</c:formatCode>
                <c:ptCount val="23"/>
                <c:pt idx="0">
                  <c:v>44183</c:v>
                </c:pt>
                <c:pt idx="1">
                  <c:v>44190</c:v>
                </c:pt>
                <c:pt idx="2">
                  <c:v>44197</c:v>
                </c:pt>
                <c:pt idx="3">
                  <c:v>44204</c:v>
                </c:pt>
                <c:pt idx="4">
                  <c:v>44211</c:v>
                </c:pt>
                <c:pt idx="5">
                  <c:v>44218</c:v>
                </c:pt>
                <c:pt idx="6">
                  <c:v>44225</c:v>
                </c:pt>
                <c:pt idx="7">
                  <c:v>44232</c:v>
                </c:pt>
                <c:pt idx="8">
                  <c:v>44239</c:v>
                </c:pt>
                <c:pt idx="9">
                  <c:v>44246</c:v>
                </c:pt>
                <c:pt idx="10">
                  <c:v>44253</c:v>
                </c:pt>
                <c:pt idx="11">
                  <c:v>44260</c:v>
                </c:pt>
                <c:pt idx="12">
                  <c:v>44267</c:v>
                </c:pt>
                <c:pt idx="13">
                  <c:v>44274</c:v>
                </c:pt>
                <c:pt idx="14">
                  <c:v>44281</c:v>
                </c:pt>
                <c:pt idx="15">
                  <c:v>44288</c:v>
                </c:pt>
                <c:pt idx="16">
                  <c:v>44295</c:v>
                </c:pt>
                <c:pt idx="17">
                  <c:v>44302</c:v>
                </c:pt>
                <c:pt idx="18">
                  <c:v>44309</c:v>
                </c:pt>
                <c:pt idx="19">
                  <c:v>44316</c:v>
                </c:pt>
                <c:pt idx="20">
                  <c:v>44323</c:v>
                </c:pt>
                <c:pt idx="21">
                  <c:v>44330</c:v>
                </c:pt>
                <c:pt idx="22">
                  <c:v>44337</c:v>
                </c:pt>
              </c:numCache>
            </c:numRef>
          </c:cat>
          <c:val>
            <c:numRef>
              <c:f>央行!$C$5:$C$27</c:f>
              <c:numCache>
                <c:formatCode>###,###,###,###,##0.00</c:formatCode>
                <c:ptCount val="23"/>
                <c:pt idx="0">
                  <c:v>-1500</c:v>
                </c:pt>
                <c:pt idx="1">
                  <c:v>-650</c:v>
                </c:pt>
                <c:pt idx="2">
                  <c:v>-800</c:v>
                </c:pt>
                <c:pt idx="3">
                  <c:v>-5200</c:v>
                </c:pt>
                <c:pt idx="4">
                  <c:v>-550</c:v>
                </c:pt>
                <c:pt idx="5">
                  <c:v>-160</c:v>
                </c:pt>
                <c:pt idx="6">
                  <c:v>-6190</c:v>
                </c:pt>
                <c:pt idx="7">
                  <c:v>-3840</c:v>
                </c:pt>
                <c:pt idx="8">
                  <c:v>-2800</c:v>
                </c:pt>
                <c:pt idx="9">
                  <c:v>-3800</c:v>
                </c:pt>
                <c:pt idx="10">
                  <c:v>-950</c:v>
                </c:pt>
                <c:pt idx="11">
                  <c:v>-800</c:v>
                </c:pt>
                <c:pt idx="12">
                  <c:v>-500</c:v>
                </c:pt>
                <c:pt idx="13">
                  <c:v>-500</c:v>
                </c:pt>
                <c:pt idx="14">
                  <c:v>-550</c:v>
                </c:pt>
                <c:pt idx="15">
                  <c:v>-500</c:v>
                </c:pt>
                <c:pt idx="16">
                  <c:v>-500</c:v>
                </c:pt>
                <c:pt idx="17">
                  <c:v>-400</c:v>
                </c:pt>
                <c:pt idx="18">
                  <c:v>-500</c:v>
                </c:pt>
                <c:pt idx="19">
                  <c:v>-550</c:v>
                </c:pt>
                <c:pt idx="20">
                  <c:v>-600</c:v>
                </c:pt>
                <c:pt idx="21">
                  <c:v>-200</c:v>
                </c:pt>
                <c:pt idx="22">
                  <c:v>-600</c:v>
                </c:pt>
              </c:numCache>
            </c:numRef>
          </c:val>
          <c:extLst xmlns:c16r2="http://schemas.microsoft.com/office/drawing/2015/06/chart">
            <c:ext xmlns:c16="http://schemas.microsoft.com/office/drawing/2014/chart" uri="{C3380CC4-5D6E-409C-BE32-E72D297353CC}">
              <c16:uniqueId val="{00000001-EB57-4469-BDD5-40CE8CE88BD6}"/>
            </c:ext>
          </c:extLst>
        </c:ser>
        <c:dLbls>
          <c:showLegendKey val="0"/>
          <c:showVal val="0"/>
          <c:showCatName val="0"/>
          <c:showSerName val="0"/>
          <c:showPercent val="0"/>
          <c:showBubbleSize val="0"/>
        </c:dLbls>
        <c:gapWidth val="150"/>
        <c:overlap val="100"/>
        <c:axId val="341636992"/>
        <c:axId val="341639168"/>
      </c:barChart>
      <c:lineChart>
        <c:grouping val="standard"/>
        <c:varyColors val="0"/>
        <c:ser>
          <c:idx val="1"/>
          <c:order val="2"/>
          <c:tx>
            <c:strRef>
              <c:f>央行!$D$4</c:f>
              <c:strCache>
                <c:ptCount val="1"/>
                <c:pt idx="0">
                  <c:v>货币净投放</c:v>
                </c:pt>
              </c:strCache>
            </c:strRef>
          </c:tx>
          <c:spPr>
            <a:ln w="22225">
              <a:solidFill>
                <a:srgbClr val="BF5711"/>
              </a:solidFill>
              <a:prstDash val="sysDash"/>
            </a:ln>
          </c:spPr>
          <c:marker>
            <c:symbol val="diamond"/>
            <c:size val="7"/>
            <c:spPr>
              <a:solidFill>
                <a:sysClr val="window" lastClr="FFFFFF"/>
              </a:solidFill>
              <a:ln w="15875">
                <a:solidFill>
                  <a:srgbClr val="BF5711"/>
                </a:solidFill>
              </a:ln>
            </c:spPr>
          </c:marker>
          <c:cat>
            <c:numRef>
              <c:f>央行!$A$5:$A$27</c:f>
              <c:numCache>
                <c:formatCode>yyyy\-mm\-dd;@</c:formatCode>
                <c:ptCount val="23"/>
                <c:pt idx="0">
                  <c:v>44183</c:v>
                </c:pt>
                <c:pt idx="1">
                  <c:v>44190</c:v>
                </c:pt>
                <c:pt idx="2">
                  <c:v>44197</c:v>
                </c:pt>
                <c:pt idx="3">
                  <c:v>44204</c:v>
                </c:pt>
                <c:pt idx="4">
                  <c:v>44211</c:v>
                </c:pt>
                <c:pt idx="5">
                  <c:v>44218</c:v>
                </c:pt>
                <c:pt idx="6">
                  <c:v>44225</c:v>
                </c:pt>
                <c:pt idx="7">
                  <c:v>44232</c:v>
                </c:pt>
                <c:pt idx="8">
                  <c:v>44239</c:v>
                </c:pt>
                <c:pt idx="9">
                  <c:v>44246</c:v>
                </c:pt>
                <c:pt idx="10">
                  <c:v>44253</c:v>
                </c:pt>
                <c:pt idx="11">
                  <c:v>44260</c:v>
                </c:pt>
                <c:pt idx="12">
                  <c:v>44267</c:v>
                </c:pt>
                <c:pt idx="13">
                  <c:v>44274</c:v>
                </c:pt>
                <c:pt idx="14">
                  <c:v>44281</c:v>
                </c:pt>
                <c:pt idx="15">
                  <c:v>44288</c:v>
                </c:pt>
                <c:pt idx="16">
                  <c:v>44295</c:v>
                </c:pt>
                <c:pt idx="17">
                  <c:v>44302</c:v>
                </c:pt>
                <c:pt idx="18">
                  <c:v>44309</c:v>
                </c:pt>
                <c:pt idx="19">
                  <c:v>44316</c:v>
                </c:pt>
                <c:pt idx="20">
                  <c:v>44323</c:v>
                </c:pt>
                <c:pt idx="21">
                  <c:v>44330</c:v>
                </c:pt>
                <c:pt idx="22">
                  <c:v>44337</c:v>
                </c:pt>
              </c:numCache>
            </c:numRef>
          </c:cat>
          <c:val>
            <c:numRef>
              <c:f>央行!$D$5:$D$27</c:f>
              <c:numCache>
                <c:formatCode>###,###,###,###,##0.00</c:formatCode>
                <c:ptCount val="23"/>
                <c:pt idx="0">
                  <c:v>-900</c:v>
                </c:pt>
                <c:pt idx="1">
                  <c:v>3650</c:v>
                </c:pt>
                <c:pt idx="2">
                  <c:v>950</c:v>
                </c:pt>
                <c:pt idx="3">
                  <c:v>-4650</c:v>
                </c:pt>
                <c:pt idx="4">
                  <c:v>-390</c:v>
                </c:pt>
                <c:pt idx="5">
                  <c:v>5980</c:v>
                </c:pt>
                <c:pt idx="6">
                  <c:v>-2300</c:v>
                </c:pt>
                <c:pt idx="7">
                  <c:v>960</c:v>
                </c:pt>
                <c:pt idx="8">
                  <c:v>-500</c:v>
                </c:pt>
                <c:pt idx="9">
                  <c:v>-3400</c:v>
                </c:pt>
                <c:pt idx="10">
                  <c:v>-150</c:v>
                </c:pt>
                <c:pt idx="11">
                  <c:v>-250</c:v>
                </c:pt>
                <c:pt idx="12">
                  <c:v>0</c:v>
                </c:pt>
                <c:pt idx="13">
                  <c:v>0</c:v>
                </c:pt>
                <c:pt idx="14">
                  <c:v>0</c:v>
                </c:pt>
                <c:pt idx="15">
                  <c:v>0</c:v>
                </c:pt>
                <c:pt idx="16">
                  <c:v>-100</c:v>
                </c:pt>
                <c:pt idx="17">
                  <c:v>100</c:v>
                </c:pt>
                <c:pt idx="18">
                  <c:v>0</c:v>
                </c:pt>
                <c:pt idx="19">
                  <c:v>100</c:v>
                </c:pt>
                <c:pt idx="20">
                  <c:v>-400</c:v>
                </c:pt>
                <c:pt idx="21">
                  <c:v>400</c:v>
                </c:pt>
                <c:pt idx="22">
                  <c:v>-100</c:v>
                </c:pt>
              </c:numCache>
            </c:numRef>
          </c:val>
          <c:smooth val="0"/>
          <c:extLst xmlns:c16r2="http://schemas.microsoft.com/office/drawing/2015/06/chart">
            <c:ext xmlns:c16="http://schemas.microsoft.com/office/drawing/2014/chart" uri="{C3380CC4-5D6E-409C-BE32-E72D297353CC}">
              <c16:uniqueId val="{00000002-EB57-4469-BDD5-40CE8CE88BD6}"/>
            </c:ext>
          </c:extLst>
        </c:ser>
        <c:dLbls>
          <c:showLegendKey val="0"/>
          <c:showVal val="0"/>
          <c:showCatName val="0"/>
          <c:showSerName val="0"/>
          <c:showPercent val="0"/>
          <c:showBubbleSize val="0"/>
        </c:dLbls>
        <c:marker val="1"/>
        <c:smooth val="0"/>
        <c:axId val="341636992"/>
        <c:axId val="341639168"/>
      </c:lineChart>
      <c:catAx>
        <c:axId val="341636992"/>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41639168"/>
        <c:crosses val="autoZero"/>
        <c:auto val="0"/>
        <c:lblAlgn val="ctr"/>
        <c:lblOffset val="0"/>
        <c:tickMarkSkip val="2"/>
        <c:noMultiLvlLbl val="0"/>
      </c:catAx>
      <c:valAx>
        <c:axId val="341639168"/>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41636992"/>
        <c:crosses val="autoZero"/>
        <c:crossBetween val="between"/>
      </c:valAx>
    </c:plotArea>
    <c:legend>
      <c:legendPos val="r"/>
      <c:layout>
        <c:manualLayout>
          <c:xMode val="edge"/>
          <c:yMode val="edge"/>
          <c:x val="0.15225"/>
          <c:y val="2.3337707786526686E-3"/>
          <c:w val="0.81834886264216977"/>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643285214348206E-2"/>
          <c:y val="0.11196595217264509"/>
          <c:w val="0.87267146813674634"/>
          <c:h val="0.81409120734908136"/>
        </c:manualLayout>
      </c:layout>
      <c:lineChart>
        <c:grouping val="standard"/>
        <c:varyColors val="0"/>
        <c:ser>
          <c:idx val="0"/>
          <c:order val="0"/>
          <c:tx>
            <c:strRef>
              <c:f>资金!$B$2</c:f>
              <c:strCache>
                <c:ptCount val="1"/>
                <c:pt idx="0">
                  <c:v>银行间质押式回购加权利率:1天</c:v>
                </c:pt>
              </c:strCache>
            </c:strRef>
          </c:tx>
          <c:spPr>
            <a:ln w="25400">
              <a:solidFill>
                <a:srgbClr val="ED7D31">
                  <a:lumMod val="75000"/>
                </a:srgbClr>
              </a:solidFill>
            </a:ln>
          </c:spPr>
          <c:marker>
            <c:symbol val="none"/>
          </c:marker>
          <c:cat>
            <c:numRef>
              <c:f>资金!$A$3:$A$61</c:f>
              <c:numCache>
                <c:formatCode>yyyy\-mm\-dd;@</c:formatCode>
                <c:ptCount val="59"/>
                <c:pt idx="0">
                  <c:v>44337</c:v>
                </c:pt>
                <c:pt idx="1">
                  <c:v>44336</c:v>
                </c:pt>
                <c:pt idx="2">
                  <c:v>44335</c:v>
                </c:pt>
                <c:pt idx="3">
                  <c:v>44334</c:v>
                </c:pt>
                <c:pt idx="4">
                  <c:v>44333</c:v>
                </c:pt>
                <c:pt idx="5">
                  <c:v>44330</c:v>
                </c:pt>
                <c:pt idx="6">
                  <c:v>44329</c:v>
                </c:pt>
                <c:pt idx="7">
                  <c:v>44328</c:v>
                </c:pt>
                <c:pt idx="8">
                  <c:v>44327</c:v>
                </c:pt>
                <c:pt idx="9">
                  <c:v>44326</c:v>
                </c:pt>
                <c:pt idx="10">
                  <c:v>44324</c:v>
                </c:pt>
                <c:pt idx="11">
                  <c:v>44323</c:v>
                </c:pt>
                <c:pt idx="12">
                  <c:v>44322</c:v>
                </c:pt>
                <c:pt idx="13">
                  <c:v>44316</c:v>
                </c:pt>
                <c:pt idx="14">
                  <c:v>44315</c:v>
                </c:pt>
                <c:pt idx="15">
                  <c:v>44314</c:v>
                </c:pt>
                <c:pt idx="16">
                  <c:v>44313</c:v>
                </c:pt>
                <c:pt idx="17">
                  <c:v>44312</c:v>
                </c:pt>
                <c:pt idx="18">
                  <c:v>44311</c:v>
                </c:pt>
                <c:pt idx="19">
                  <c:v>44309</c:v>
                </c:pt>
                <c:pt idx="20">
                  <c:v>44308</c:v>
                </c:pt>
                <c:pt idx="21">
                  <c:v>44307</c:v>
                </c:pt>
                <c:pt idx="22">
                  <c:v>44306</c:v>
                </c:pt>
                <c:pt idx="23">
                  <c:v>44305</c:v>
                </c:pt>
                <c:pt idx="24">
                  <c:v>44302</c:v>
                </c:pt>
                <c:pt idx="25">
                  <c:v>44301</c:v>
                </c:pt>
                <c:pt idx="26">
                  <c:v>44300</c:v>
                </c:pt>
                <c:pt idx="27">
                  <c:v>44299</c:v>
                </c:pt>
                <c:pt idx="28">
                  <c:v>44298</c:v>
                </c:pt>
                <c:pt idx="29">
                  <c:v>44295</c:v>
                </c:pt>
                <c:pt idx="30">
                  <c:v>44294</c:v>
                </c:pt>
                <c:pt idx="31">
                  <c:v>44293</c:v>
                </c:pt>
                <c:pt idx="32">
                  <c:v>44292</c:v>
                </c:pt>
                <c:pt idx="33">
                  <c:v>44288</c:v>
                </c:pt>
                <c:pt idx="34">
                  <c:v>44287</c:v>
                </c:pt>
                <c:pt idx="35">
                  <c:v>44286</c:v>
                </c:pt>
                <c:pt idx="36">
                  <c:v>44285</c:v>
                </c:pt>
                <c:pt idx="37">
                  <c:v>44284</c:v>
                </c:pt>
                <c:pt idx="38">
                  <c:v>44281</c:v>
                </c:pt>
                <c:pt idx="39">
                  <c:v>44280</c:v>
                </c:pt>
                <c:pt idx="40">
                  <c:v>44279</c:v>
                </c:pt>
                <c:pt idx="41">
                  <c:v>44278</c:v>
                </c:pt>
                <c:pt idx="42">
                  <c:v>44277</c:v>
                </c:pt>
                <c:pt idx="43">
                  <c:v>44274</c:v>
                </c:pt>
                <c:pt idx="44">
                  <c:v>44273</c:v>
                </c:pt>
                <c:pt idx="45">
                  <c:v>44272</c:v>
                </c:pt>
                <c:pt idx="46">
                  <c:v>44271</c:v>
                </c:pt>
                <c:pt idx="47">
                  <c:v>44270</c:v>
                </c:pt>
                <c:pt idx="48">
                  <c:v>44267</c:v>
                </c:pt>
                <c:pt idx="49">
                  <c:v>44266</c:v>
                </c:pt>
                <c:pt idx="50">
                  <c:v>44265</c:v>
                </c:pt>
                <c:pt idx="51">
                  <c:v>44264</c:v>
                </c:pt>
                <c:pt idx="52">
                  <c:v>44263</c:v>
                </c:pt>
                <c:pt idx="53">
                  <c:v>44260</c:v>
                </c:pt>
                <c:pt idx="54">
                  <c:v>44259</c:v>
                </c:pt>
                <c:pt idx="55">
                  <c:v>44258</c:v>
                </c:pt>
                <c:pt idx="56">
                  <c:v>44257</c:v>
                </c:pt>
                <c:pt idx="57">
                  <c:v>44256</c:v>
                </c:pt>
                <c:pt idx="58">
                  <c:v>44253</c:v>
                </c:pt>
              </c:numCache>
            </c:numRef>
          </c:cat>
          <c:val>
            <c:numRef>
              <c:f>资金!$B$3:$B$61</c:f>
              <c:numCache>
                <c:formatCode>###,###,###,###,##0.0000</c:formatCode>
                <c:ptCount val="59"/>
                <c:pt idx="0">
                  <c:v>2.0007000000000001</c:v>
                </c:pt>
                <c:pt idx="1">
                  <c:v>2.1055999999999999</c:v>
                </c:pt>
                <c:pt idx="2">
                  <c:v>2.0579999999999998</c:v>
                </c:pt>
                <c:pt idx="3">
                  <c:v>2.1303999999999998</c:v>
                </c:pt>
                <c:pt idx="4">
                  <c:v>2.1846000000000001</c:v>
                </c:pt>
                <c:pt idx="5">
                  <c:v>1.8376999999999999</c:v>
                </c:pt>
                <c:pt idx="6">
                  <c:v>1.9856</c:v>
                </c:pt>
                <c:pt idx="7">
                  <c:v>1.9772000000000001</c:v>
                </c:pt>
                <c:pt idx="8">
                  <c:v>1.9589000000000001</c:v>
                </c:pt>
                <c:pt idx="9">
                  <c:v>1.6997</c:v>
                </c:pt>
                <c:pt idx="10">
                  <c:v>1.4749000000000001</c:v>
                </c:pt>
                <c:pt idx="11">
                  <c:v>1.7567999999999999</c:v>
                </c:pt>
                <c:pt idx="12">
                  <c:v>2.1004999999999998</c:v>
                </c:pt>
                <c:pt idx="13">
                  <c:v>2.3130000000000002</c:v>
                </c:pt>
                <c:pt idx="14">
                  <c:v>1.8532</c:v>
                </c:pt>
                <c:pt idx="15">
                  <c:v>1.8116000000000001</c:v>
                </c:pt>
                <c:pt idx="16">
                  <c:v>1.8314999999999999</c:v>
                </c:pt>
                <c:pt idx="17">
                  <c:v>2.0872999999999999</c:v>
                </c:pt>
                <c:pt idx="18">
                  <c:v>2.0192000000000001</c:v>
                </c:pt>
                <c:pt idx="19">
                  <c:v>1.9596</c:v>
                </c:pt>
                <c:pt idx="20">
                  <c:v>2.1551999999999998</c:v>
                </c:pt>
                <c:pt idx="21">
                  <c:v>1.9048</c:v>
                </c:pt>
                <c:pt idx="22">
                  <c:v>1.873</c:v>
                </c:pt>
                <c:pt idx="23">
                  <c:v>2.1116999999999999</c:v>
                </c:pt>
                <c:pt idx="24">
                  <c:v>1.9665999999999999</c:v>
                </c:pt>
                <c:pt idx="25">
                  <c:v>1.8460000000000001</c:v>
                </c:pt>
                <c:pt idx="26">
                  <c:v>1.8394999999999999</c:v>
                </c:pt>
                <c:pt idx="27">
                  <c:v>1.8163</c:v>
                </c:pt>
                <c:pt idx="28">
                  <c:v>1.8184</c:v>
                </c:pt>
                <c:pt idx="29">
                  <c:v>1.8128</c:v>
                </c:pt>
                <c:pt idx="30">
                  <c:v>1.7882</c:v>
                </c:pt>
                <c:pt idx="31">
                  <c:v>1.8531</c:v>
                </c:pt>
                <c:pt idx="32">
                  <c:v>1.8081</c:v>
                </c:pt>
                <c:pt idx="33">
                  <c:v>1.7512000000000001</c:v>
                </c:pt>
                <c:pt idx="34">
                  <c:v>2.1960000000000002</c:v>
                </c:pt>
                <c:pt idx="35">
                  <c:v>2.3929</c:v>
                </c:pt>
                <c:pt idx="36">
                  <c:v>1.8808</c:v>
                </c:pt>
                <c:pt idx="37">
                  <c:v>1.8393999999999999</c:v>
                </c:pt>
                <c:pt idx="38">
                  <c:v>1.8057000000000001</c:v>
                </c:pt>
                <c:pt idx="39">
                  <c:v>2.0571999999999999</c:v>
                </c:pt>
                <c:pt idx="40">
                  <c:v>1.8817999999999999</c:v>
                </c:pt>
                <c:pt idx="41">
                  <c:v>2.0042</c:v>
                </c:pt>
                <c:pt idx="42">
                  <c:v>2.0869</c:v>
                </c:pt>
                <c:pt idx="43">
                  <c:v>2.1583999999999999</c:v>
                </c:pt>
                <c:pt idx="44">
                  <c:v>2.2496999999999998</c:v>
                </c:pt>
                <c:pt idx="45">
                  <c:v>2.024</c:v>
                </c:pt>
                <c:pt idx="46">
                  <c:v>2.1652</c:v>
                </c:pt>
                <c:pt idx="47">
                  <c:v>2.2884000000000002</c:v>
                </c:pt>
                <c:pt idx="48">
                  <c:v>1.8247</c:v>
                </c:pt>
                <c:pt idx="49">
                  <c:v>1.8349</c:v>
                </c:pt>
                <c:pt idx="50">
                  <c:v>1.7825</c:v>
                </c:pt>
                <c:pt idx="51">
                  <c:v>2.0304000000000002</c:v>
                </c:pt>
                <c:pt idx="52">
                  <c:v>1.7479</c:v>
                </c:pt>
                <c:pt idx="53">
                  <c:v>1.6113999999999999</c:v>
                </c:pt>
                <c:pt idx="54">
                  <c:v>1.9486000000000001</c:v>
                </c:pt>
                <c:pt idx="55">
                  <c:v>1.532</c:v>
                </c:pt>
                <c:pt idx="56">
                  <c:v>1.8036000000000001</c:v>
                </c:pt>
                <c:pt idx="57">
                  <c:v>2.1819999999999999</c:v>
                </c:pt>
                <c:pt idx="58">
                  <c:v>2.2122000000000002</c:v>
                </c:pt>
              </c:numCache>
            </c:numRef>
          </c:val>
          <c:smooth val="1"/>
          <c:extLst xmlns:c16r2="http://schemas.microsoft.com/office/drawing/2015/06/chart">
            <c:ext xmlns:c16="http://schemas.microsoft.com/office/drawing/2014/chart" uri="{C3380CC4-5D6E-409C-BE32-E72D297353CC}">
              <c16:uniqueId val="{00000000-FB26-4560-BF82-E44BC96AA276}"/>
            </c:ext>
          </c:extLst>
        </c:ser>
        <c:ser>
          <c:idx val="2"/>
          <c:order val="1"/>
          <c:tx>
            <c:strRef>
              <c:f>资金!$C$2</c:f>
              <c:strCache>
                <c:ptCount val="1"/>
                <c:pt idx="0">
                  <c:v>银行间质押式回购加权利率:7天</c:v>
                </c:pt>
              </c:strCache>
            </c:strRef>
          </c:tx>
          <c:spPr>
            <a:ln w="25400">
              <a:solidFill>
                <a:srgbClr val="ED7D31"/>
              </a:solidFill>
              <a:prstDash val="sysDash"/>
            </a:ln>
          </c:spPr>
          <c:marker>
            <c:symbol val="none"/>
          </c:marker>
          <c:cat>
            <c:numRef>
              <c:f>资金!$A$3:$A$61</c:f>
              <c:numCache>
                <c:formatCode>yyyy\-mm\-dd;@</c:formatCode>
                <c:ptCount val="59"/>
                <c:pt idx="0">
                  <c:v>44337</c:v>
                </c:pt>
                <c:pt idx="1">
                  <c:v>44336</c:v>
                </c:pt>
                <c:pt idx="2">
                  <c:v>44335</c:v>
                </c:pt>
                <c:pt idx="3">
                  <c:v>44334</c:v>
                </c:pt>
                <c:pt idx="4">
                  <c:v>44333</c:v>
                </c:pt>
                <c:pt idx="5">
                  <c:v>44330</c:v>
                </c:pt>
                <c:pt idx="6">
                  <c:v>44329</c:v>
                </c:pt>
                <c:pt idx="7">
                  <c:v>44328</c:v>
                </c:pt>
                <c:pt idx="8">
                  <c:v>44327</c:v>
                </c:pt>
                <c:pt idx="9">
                  <c:v>44326</c:v>
                </c:pt>
                <c:pt idx="10">
                  <c:v>44324</c:v>
                </c:pt>
                <c:pt idx="11">
                  <c:v>44323</c:v>
                </c:pt>
                <c:pt idx="12">
                  <c:v>44322</c:v>
                </c:pt>
                <c:pt idx="13">
                  <c:v>44316</c:v>
                </c:pt>
                <c:pt idx="14">
                  <c:v>44315</c:v>
                </c:pt>
                <c:pt idx="15">
                  <c:v>44314</c:v>
                </c:pt>
                <c:pt idx="16">
                  <c:v>44313</c:v>
                </c:pt>
                <c:pt idx="17">
                  <c:v>44312</c:v>
                </c:pt>
                <c:pt idx="18">
                  <c:v>44311</c:v>
                </c:pt>
                <c:pt idx="19">
                  <c:v>44309</c:v>
                </c:pt>
                <c:pt idx="20">
                  <c:v>44308</c:v>
                </c:pt>
                <c:pt idx="21">
                  <c:v>44307</c:v>
                </c:pt>
                <c:pt idx="22">
                  <c:v>44306</c:v>
                </c:pt>
                <c:pt idx="23">
                  <c:v>44305</c:v>
                </c:pt>
                <c:pt idx="24">
                  <c:v>44302</c:v>
                </c:pt>
                <c:pt idx="25">
                  <c:v>44301</c:v>
                </c:pt>
                <c:pt idx="26">
                  <c:v>44300</c:v>
                </c:pt>
                <c:pt idx="27">
                  <c:v>44299</c:v>
                </c:pt>
                <c:pt idx="28">
                  <c:v>44298</c:v>
                </c:pt>
                <c:pt idx="29">
                  <c:v>44295</c:v>
                </c:pt>
                <c:pt idx="30">
                  <c:v>44294</c:v>
                </c:pt>
                <c:pt idx="31">
                  <c:v>44293</c:v>
                </c:pt>
                <c:pt idx="32">
                  <c:v>44292</c:v>
                </c:pt>
                <c:pt idx="33">
                  <c:v>44288</c:v>
                </c:pt>
                <c:pt idx="34">
                  <c:v>44287</c:v>
                </c:pt>
                <c:pt idx="35">
                  <c:v>44286</c:v>
                </c:pt>
                <c:pt idx="36">
                  <c:v>44285</c:v>
                </c:pt>
                <c:pt idx="37">
                  <c:v>44284</c:v>
                </c:pt>
                <c:pt idx="38">
                  <c:v>44281</c:v>
                </c:pt>
                <c:pt idx="39">
                  <c:v>44280</c:v>
                </c:pt>
                <c:pt idx="40">
                  <c:v>44279</c:v>
                </c:pt>
                <c:pt idx="41">
                  <c:v>44278</c:v>
                </c:pt>
                <c:pt idx="42">
                  <c:v>44277</c:v>
                </c:pt>
                <c:pt idx="43">
                  <c:v>44274</c:v>
                </c:pt>
                <c:pt idx="44">
                  <c:v>44273</c:v>
                </c:pt>
                <c:pt idx="45">
                  <c:v>44272</c:v>
                </c:pt>
                <c:pt idx="46">
                  <c:v>44271</c:v>
                </c:pt>
                <c:pt idx="47">
                  <c:v>44270</c:v>
                </c:pt>
                <c:pt idx="48">
                  <c:v>44267</c:v>
                </c:pt>
                <c:pt idx="49">
                  <c:v>44266</c:v>
                </c:pt>
                <c:pt idx="50">
                  <c:v>44265</c:v>
                </c:pt>
                <c:pt idx="51">
                  <c:v>44264</c:v>
                </c:pt>
                <c:pt idx="52">
                  <c:v>44263</c:v>
                </c:pt>
                <c:pt idx="53">
                  <c:v>44260</c:v>
                </c:pt>
                <c:pt idx="54">
                  <c:v>44259</c:v>
                </c:pt>
                <c:pt idx="55">
                  <c:v>44258</c:v>
                </c:pt>
                <c:pt idx="56">
                  <c:v>44257</c:v>
                </c:pt>
                <c:pt idx="57">
                  <c:v>44256</c:v>
                </c:pt>
                <c:pt idx="58">
                  <c:v>44253</c:v>
                </c:pt>
              </c:numCache>
            </c:numRef>
          </c:cat>
          <c:val>
            <c:numRef>
              <c:f>资金!$C$3:$C$61</c:f>
              <c:numCache>
                <c:formatCode>###,###,###,###,##0.0000</c:formatCode>
                <c:ptCount val="59"/>
                <c:pt idx="0">
                  <c:v>2.1427</c:v>
                </c:pt>
                <c:pt idx="1">
                  <c:v>2.2088000000000001</c:v>
                </c:pt>
                <c:pt idx="2">
                  <c:v>2.1913</c:v>
                </c:pt>
                <c:pt idx="3">
                  <c:v>2.2437</c:v>
                </c:pt>
                <c:pt idx="4">
                  <c:v>2.1873999999999998</c:v>
                </c:pt>
                <c:pt idx="5">
                  <c:v>2.0255000000000001</c:v>
                </c:pt>
                <c:pt idx="6">
                  <c:v>2.0687000000000002</c:v>
                </c:pt>
                <c:pt idx="7">
                  <c:v>1.9994000000000001</c:v>
                </c:pt>
                <c:pt idx="8">
                  <c:v>1.9733000000000001</c:v>
                </c:pt>
                <c:pt idx="9">
                  <c:v>1.9528000000000001</c:v>
                </c:pt>
                <c:pt idx="10">
                  <c:v>1.821</c:v>
                </c:pt>
                <c:pt idx="11">
                  <c:v>1.9728000000000001</c:v>
                </c:pt>
                <c:pt idx="12">
                  <c:v>2.1395</c:v>
                </c:pt>
                <c:pt idx="13">
                  <c:v>2.3769</c:v>
                </c:pt>
                <c:pt idx="14">
                  <c:v>2.3264999999999998</c:v>
                </c:pt>
                <c:pt idx="15">
                  <c:v>2.2690000000000001</c:v>
                </c:pt>
                <c:pt idx="16">
                  <c:v>2.2949999999999999</c:v>
                </c:pt>
                <c:pt idx="17">
                  <c:v>2.3549000000000002</c:v>
                </c:pt>
                <c:pt idx="18">
                  <c:v>2.2372000000000001</c:v>
                </c:pt>
                <c:pt idx="19">
                  <c:v>2.1141000000000001</c:v>
                </c:pt>
                <c:pt idx="20">
                  <c:v>2.1456</c:v>
                </c:pt>
                <c:pt idx="21">
                  <c:v>2.0910000000000002</c:v>
                </c:pt>
                <c:pt idx="22">
                  <c:v>2.2360000000000002</c:v>
                </c:pt>
                <c:pt idx="23">
                  <c:v>2.3254000000000001</c:v>
                </c:pt>
                <c:pt idx="24">
                  <c:v>2.1677</c:v>
                </c:pt>
                <c:pt idx="25">
                  <c:v>2.0480999999999998</c:v>
                </c:pt>
                <c:pt idx="26">
                  <c:v>1.9805999999999999</c:v>
                </c:pt>
                <c:pt idx="27">
                  <c:v>1.9778</c:v>
                </c:pt>
                <c:pt idx="28">
                  <c:v>1.982</c:v>
                </c:pt>
                <c:pt idx="29">
                  <c:v>1.9272</c:v>
                </c:pt>
                <c:pt idx="30">
                  <c:v>1.9629000000000001</c:v>
                </c:pt>
                <c:pt idx="31">
                  <c:v>1.9476</c:v>
                </c:pt>
                <c:pt idx="32">
                  <c:v>1.9693000000000001</c:v>
                </c:pt>
                <c:pt idx="33">
                  <c:v>2.0823999999999998</c:v>
                </c:pt>
                <c:pt idx="34">
                  <c:v>2.2355999999999998</c:v>
                </c:pt>
                <c:pt idx="35">
                  <c:v>2.6713</c:v>
                </c:pt>
                <c:pt idx="36">
                  <c:v>2.4952000000000001</c:v>
                </c:pt>
                <c:pt idx="37">
                  <c:v>2.4664000000000001</c:v>
                </c:pt>
                <c:pt idx="38">
                  <c:v>2.4746000000000001</c:v>
                </c:pt>
                <c:pt idx="39">
                  <c:v>2.4559000000000002</c:v>
                </c:pt>
                <c:pt idx="40">
                  <c:v>1.9964</c:v>
                </c:pt>
                <c:pt idx="41">
                  <c:v>2.1162000000000001</c:v>
                </c:pt>
                <c:pt idx="42">
                  <c:v>2.1791</c:v>
                </c:pt>
                <c:pt idx="43">
                  <c:v>2.1913999999999998</c:v>
                </c:pt>
                <c:pt idx="44">
                  <c:v>2.1907999999999999</c:v>
                </c:pt>
                <c:pt idx="45">
                  <c:v>2.1332</c:v>
                </c:pt>
                <c:pt idx="46">
                  <c:v>2.302</c:v>
                </c:pt>
                <c:pt idx="47">
                  <c:v>2.3008000000000002</c:v>
                </c:pt>
                <c:pt idx="48">
                  <c:v>2.0649999999999999</c:v>
                </c:pt>
                <c:pt idx="49">
                  <c:v>2.0508999999999999</c:v>
                </c:pt>
                <c:pt idx="50">
                  <c:v>2.0379</c:v>
                </c:pt>
                <c:pt idx="51">
                  <c:v>2.0366</c:v>
                </c:pt>
                <c:pt idx="52">
                  <c:v>2.0465</c:v>
                </c:pt>
                <c:pt idx="53">
                  <c:v>1.9971000000000001</c:v>
                </c:pt>
                <c:pt idx="54">
                  <c:v>2.0945999999999998</c:v>
                </c:pt>
                <c:pt idx="55">
                  <c:v>1.9888999999999999</c:v>
                </c:pt>
                <c:pt idx="56">
                  <c:v>2.1551999999999998</c:v>
                </c:pt>
                <c:pt idx="57">
                  <c:v>2.2427000000000001</c:v>
                </c:pt>
                <c:pt idx="58">
                  <c:v>2.3666999999999998</c:v>
                </c:pt>
              </c:numCache>
            </c:numRef>
          </c:val>
          <c:smooth val="1"/>
          <c:extLst xmlns:c16r2="http://schemas.microsoft.com/office/drawing/2015/06/chart">
            <c:ext xmlns:c16="http://schemas.microsoft.com/office/drawing/2014/chart" uri="{C3380CC4-5D6E-409C-BE32-E72D297353CC}">
              <c16:uniqueId val="{00000004-FB26-4560-BF82-E44BC96AA276}"/>
            </c:ext>
          </c:extLst>
        </c:ser>
        <c:dLbls>
          <c:showLegendKey val="0"/>
          <c:showVal val="0"/>
          <c:showCatName val="0"/>
          <c:showSerName val="0"/>
          <c:showPercent val="0"/>
          <c:showBubbleSize val="0"/>
        </c:dLbls>
        <c:marker val="1"/>
        <c:smooth val="0"/>
        <c:axId val="341646336"/>
        <c:axId val="341652224"/>
      </c:lineChart>
      <c:dateAx>
        <c:axId val="341646336"/>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41652224"/>
        <c:crosses val="autoZero"/>
        <c:auto val="0"/>
        <c:lblOffset val="0"/>
        <c:baseTimeUnit val="days"/>
        <c:majorUnit val="14"/>
        <c:majorTimeUnit val="days"/>
        <c:minorUnit val="7"/>
        <c:minorTimeUnit val="days"/>
      </c:dateAx>
      <c:valAx>
        <c:axId val="341652224"/>
        <c:scaling>
          <c:orientation val="minMax"/>
        </c:scaling>
        <c:delete val="0"/>
        <c:axPos val="l"/>
        <c:numFmt formatCode="#,##0.0_);[Red]\(#,##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41646336"/>
        <c:crosses val="autoZero"/>
        <c:crossBetween val="between"/>
      </c:valAx>
    </c:plotArea>
    <c:legend>
      <c:legendPos val="r"/>
      <c:layout>
        <c:manualLayout>
          <c:xMode val="edge"/>
          <c:yMode val="edge"/>
          <c:x val="0.15502777777777776"/>
          <c:y val="2.3337707786526686E-3"/>
          <c:w val="0.690571084864392"/>
          <c:h val="0.12288604549431321"/>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8363429571303587"/>
          <c:h val="0.81409120734908136"/>
        </c:manualLayout>
      </c:layout>
      <c:barChart>
        <c:barDir val="col"/>
        <c:grouping val="clustered"/>
        <c:varyColors val="0"/>
        <c:ser>
          <c:idx val="0"/>
          <c:order val="0"/>
          <c:tx>
            <c:strRef>
              <c:f>国债!$J$3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国债!$K$3:$Q$3</c:f>
              <c:numCache>
                <c:formatCode>0.0_ ;[Red]\-0.0\ </c:formatCode>
                <c:ptCount val="7"/>
                <c:pt idx="0">
                  <c:v>6.3599999999999879</c:v>
                </c:pt>
                <c:pt idx="1">
                  <c:v>-6.2400000000000011</c:v>
                </c:pt>
                <c:pt idx="2">
                  <c:v>-0.28000000000001357</c:v>
                </c:pt>
                <c:pt idx="3">
                  <c:v>-2.5800000000000267</c:v>
                </c:pt>
                <c:pt idx="4">
                  <c:v>-4.4799999999999951</c:v>
                </c:pt>
                <c:pt idx="5">
                  <c:v>-6.6300000000000026</c:v>
                </c:pt>
                <c:pt idx="6">
                  <c:v>-5.459999999999976</c:v>
                </c:pt>
              </c:numCache>
            </c:numRef>
          </c:val>
          <c:extLst xmlns:c16r2="http://schemas.microsoft.com/office/drawing/2015/06/chart">
            <c:ext xmlns:c16="http://schemas.microsoft.com/office/drawing/2014/chart" uri="{C3380CC4-5D6E-409C-BE32-E72D297353CC}">
              <c16:uniqueId val="{00000000-FB26-4560-BF82-E44BC96AA276}"/>
            </c:ext>
          </c:extLst>
        </c:ser>
        <c:dLbls>
          <c:showLegendKey val="0"/>
          <c:showVal val="0"/>
          <c:showCatName val="0"/>
          <c:showSerName val="0"/>
          <c:showPercent val="0"/>
          <c:showBubbleSize val="0"/>
        </c:dLbls>
        <c:gapWidth val="150"/>
        <c:axId val="344281088"/>
        <c:axId val="344283008"/>
      </c:barChart>
      <c:lineChart>
        <c:grouping val="standard"/>
        <c:varyColors val="0"/>
        <c:ser>
          <c:idx val="2"/>
          <c:order val="1"/>
          <c:tx>
            <c:strRef>
              <c:f>国债!$J$4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6="http://schemas.microsoft.com/office/drawing/2014/chart" uri="{C3380CC4-5D6E-409C-BE32-E72D297353CC}">
                  <c16:uniqueId val="{0000000B-F10F-4D2D-834C-E6E69D663A7D}"/>
                </c:ext>
                <c:ext xmlns:c15="http://schemas.microsoft.com/office/drawing/2012/chart" uri="{CE6537A1-D6FC-4f65-9D91-7224C49458BB}"/>
              </c:extLst>
            </c:dLbl>
            <c:dLbl>
              <c:idx val="1"/>
              <c:delete val="1"/>
              <c:extLst xmlns:c16r2="http://schemas.microsoft.com/office/drawing/2015/06/chart">
                <c:ext xmlns:c16="http://schemas.microsoft.com/office/drawing/2014/chart" uri="{C3380CC4-5D6E-409C-BE32-E72D297353CC}">
                  <c16:uniqueId val="{0000000A-F10F-4D2D-834C-E6E69D663A7D}"/>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9-F10F-4D2D-834C-E6E69D663A7D}"/>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8-F10F-4D2D-834C-E6E69D663A7D}"/>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7-F10F-4D2D-834C-E6E69D663A7D}"/>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6-F10F-4D2D-834C-E6E69D663A7D}"/>
                </c:ext>
                <c:ext xmlns:c15="http://schemas.microsoft.com/office/drawing/2012/chart" uri="{CE6537A1-D6FC-4f65-9D91-7224C49458BB}"/>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国债!$K$4:$Q$4</c:f>
              <c:numCache>
                <c:formatCode>###,###,###,###,##0.00</c:formatCode>
                <c:ptCount val="7"/>
                <c:pt idx="0">
                  <c:v>1.7063999999999999</c:v>
                </c:pt>
                <c:pt idx="1">
                  <c:v>1.8218000000000001</c:v>
                </c:pt>
                <c:pt idx="2">
                  <c:v>2.3271999999999999</c:v>
                </c:pt>
                <c:pt idx="3">
                  <c:v>2.7216999999999998</c:v>
                </c:pt>
                <c:pt idx="4">
                  <c:v>2.8919000000000001</c:v>
                </c:pt>
                <c:pt idx="5">
                  <c:v>3.0238</c:v>
                </c:pt>
                <c:pt idx="6">
                  <c:v>3.0876000000000001</c:v>
                </c:pt>
              </c:numCache>
            </c:numRef>
          </c:val>
          <c:smooth val="0"/>
          <c:extLst xmlns:c16r2="http://schemas.microsoft.com/office/drawing/2015/06/chart">
            <c:ext xmlns:c16="http://schemas.microsoft.com/office/drawing/2014/chart" uri="{C3380CC4-5D6E-409C-BE32-E72D297353CC}">
              <c16:uniqueId val="{00000004-FB26-4560-BF82-E44BC96AA276}"/>
            </c:ext>
          </c:extLst>
        </c:ser>
        <c:ser>
          <c:idx val="1"/>
          <c:order val="2"/>
          <c:tx>
            <c:strRef>
              <c:f>国债!$J$5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国债!$K$2:$Q$2</c:f>
              <c:strCache>
                <c:ptCount val="7"/>
                <c:pt idx="0">
                  <c:v>1M</c:v>
                </c:pt>
                <c:pt idx="1">
                  <c:v>3M</c:v>
                </c:pt>
                <c:pt idx="2">
                  <c:v>1Y</c:v>
                </c:pt>
                <c:pt idx="3">
                  <c:v>3Y</c:v>
                </c:pt>
                <c:pt idx="4">
                  <c:v>5Y</c:v>
                </c:pt>
                <c:pt idx="5">
                  <c:v>7Y</c:v>
                </c:pt>
                <c:pt idx="6">
                  <c:v>10Y</c:v>
                </c:pt>
              </c:strCache>
            </c:strRef>
          </c:cat>
          <c:val>
            <c:numRef>
              <c:f>国债!$K$5:$Q$5</c:f>
              <c:numCache>
                <c:formatCode>###,###,###,###,##0.00</c:formatCode>
                <c:ptCount val="7"/>
                <c:pt idx="0">
                  <c:v>1.6428</c:v>
                </c:pt>
                <c:pt idx="1">
                  <c:v>1.8842000000000001</c:v>
                </c:pt>
                <c:pt idx="2">
                  <c:v>2.33</c:v>
                </c:pt>
                <c:pt idx="3">
                  <c:v>2.7475000000000001</c:v>
                </c:pt>
                <c:pt idx="4">
                  <c:v>2.9367000000000001</c:v>
                </c:pt>
                <c:pt idx="5">
                  <c:v>3.0901000000000001</c:v>
                </c:pt>
                <c:pt idx="6">
                  <c:v>3.1421999999999999</c:v>
                </c:pt>
              </c:numCache>
            </c:numRef>
          </c:val>
          <c:smooth val="0"/>
          <c:extLst xmlns:c16r2="http://schemas.microsoft.com/office/drawing/2015/06/chart">
            <c:ext xmlns:c16="http://schemas.microsoft.com/office/drawing/2014/chart" uri="{C3380CC4-5D6E-409C-BE32-E72D297353CC}">
              <c16:uniqueId val="{00000006-6B3B-44ED-B0DA-E22873EBDCAA}"/>
            </c:ext>
          </c:extLst>
        </c:ser>
        <c:dLbls>
          <c:showLegendKey val="0"/>
          <c:showVal val="0"/>
          <c:showCatName val="0"/>
          <c:showSerName val="0"/>
          <c:showPercent val="0"/>
          <c:showBubbleSize val="0"/>
        </c:dLbls>
        <c:marker val="1"/>
        <c:smooth val="0"/>
        <c:axId val="344286336"/>
        <c:axId val="344284544"/>
      </c:lineChart>
      <c:dateAx>
        <c:axId val="344281088"/>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44283008"/>
        <c:crosses val="autoZero"/>
        <c:auto val="0"/>
        <c:lblOffset val="0"/>
        <c:baseTimeUnit val="days"/>
      </c:dateAx>
      <c:valAx>
        <c:axId val="344283008"/>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44281088"/>
        <c:crosses val="autoZero"/>
        <c:crossBetween val="between"/>
      </c:valAx>
      <c:valAx>
        <c:axId val="344284544"/>
        <c:scaling>
          <c:orientation val="minMax"/>
        </c:scaling>
        <c:delete val="0"/>
        <c:axPos val="r"/>
        <c:numFmt formatCode="#,##0.0_);[Red]\(#,##0.0\)" sourceLinked="0"/>
        <c:majorTickMark val="out"/>
        <c:minorTickMark val="none"/>
        <c:tickLblPos val="nextTo"/>
        <c:spPr>
          <a:ln w="3175">
            <a:solidFill>
              <a:sysClr val="windowText" lastClr="000000"/>
            </a:solidFill>
          </a:ln>
        </c:spPr>
        <c:crossAx val="344286336"/>
        <c:crosses val="max"/>
        <c:crossBetween val="between"/>
      </c:valAx>
      <c:dateAx>
        <c:axId val="344286336"/>
        <c:scaling>
          <c:orientation val="minMax"/>
        </c:scaling>
        <c:delete val="1"/>
        <c:axPos val="b"/>
        <c:numFmt formatCode="General" sourceLinked="1"/>
        <c:majorTickMark val="out"/>
        <c:minorTickMark val="none"/>
        <c:tickLblPos val="nextTo"/>
        <c:crossAx val="344284544"/>
        <c:crosses val="autoZero"/>
        <c:auto val="0"/>
        <c:lblOffset val="100"/>
        <c:baseTimeUnit val="years"/>
      </c:dateAx>
    </c:plotArea>
    <c:legend>
      <c:legendPos val="r"/>
      <c:layout>
        <c:manualLayout>
          <c:xMode val="edge"/>
          <c:yMode val="edge"/>
          <c:x val="0.10566952474154788"/>
          <c:y val="2.3335254748403475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6463429571303585"/>
          <c:h val="0.81409120734908136"/>
        </c:manualLayout>
      </c:layout>
      <c:barChart>
        <c:barDir val="col"/>
        <c:grouping val="clustered"/>
        <c:varyColors val="0"/>
        <c:ser>
          <c:idx val="0"/>
          <c:order val="0"/>
          <c:tx>
            <c:strRef>
              <c:f>国开!$J$3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国开!$K$3:$Q$3</c:f>
              <c:numCache>
                <c:formatCode>0.0_ ;[Red]\-0.0\ </c:formatCode>
                <c:ptCount val="7"/>
                <c:pt idx="0">
                  <c:v>4.5800000000000063</c:v>
                </c:pt>
                <c:pt idx="1">
                  <c:v>-6.009999999999982</c:v>
                </c:pt>
                <c:pt idx="2">
                  <c:v>-2.0199999999999996</c:v>
                </c:pt>
                <c:pt idx="3">
                  <c:v>-5.9900000000000286</c:v>
                </c:pt>
                <c:pt idx="4">
                  <c:v>-6.0100000000000264</c:v>
                </c:pt>
                <c:pt idx="5">
                  <c:v>-3.5400000000000098</c:v>
                </c:pt>
                <c:pt idx="6">
                  <c:v>-5.7300000000000129</c:v>
                </c:pt>
              </c:numCache>
            </c:numRef>
          </c:val>
          <c:extLst xmlns:c16r2="http://schemas.microsoft.com/office/drawing/2015/06/chart">
            <c:ext xmlns:c16="http://schemas.microsoft.com/office/drawing/2014/chart" uri="{C3380CC4-5D6E-409C-BE32-E72D297353CC}">
              <c16:uniqueId val="{00000000-0319-4AA3-8886-0F871A1F4B20}"/>
            </c:ext>
          </c:extLst>
        </c:ser>
        <c:dLbls>
          <c:showLegendKey val="0"/>
          <c:showVal val="0"/>
          <c:showCatName val="0"/>
          <c:showSerName val="0"/>
          <c:showPercent val="0"/>
          <c:showBubbleSize val="0"/>
        </c:dLbls>
        <c:gapWidth val="150"/>
        <c:axId val="344319104"/>
        <c:axId val="344321024"/>
      </c:barChart>
      <c:lineChart>
        <c:grouping val="standard"/>
        <c:varyColors val="0"/>
        <c:ser>
          <c:idx val="2"/>
          <c:order val="1"/>
          <c:tx>
            <c:strRef>
              <c:f>国开!$J$4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6="http://schemas.microsoft.com/office/drawing/2014/chart" uri="{C3380CC4-5D6E-409C-BE32-E72D297353CC}">
                  <c16:uniqueId val="{00000001-0319-4AA3-8886-0F871A1F4B20}"/>
                </c:ext>
                <c:ext xmlns:c15="http://schemas.microsoft.com/office/drawing/2012/chart" uri="{CE6537A1-D6FC-4f65-9D91-7224C49458BB}"/>
              </c:extLst>
            </c:dLbl>
            <c:dLbl>
              <c:idx val="1"/>
              <c:delete val="1"/>
              <c:extLst xmlns:c16r2="http://schemas.microsoft.com/office/drawing/2015/06/chart">
                <c:ext xmlns:c16="http://schemas.microsoft.com/office/drawing/2014/chart" uri="{C3380CC4-5D6E-409C-BE32-E72D297353CC}">
                  <c16:uniqueId val="{00000002-0319-4AA3-8886-0F871A1F4B20}"/>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3-0319-4AA3-8886-0F871A1F4B20}"/>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4-0319-4AA3-8886-0F871A1F4B20}"/>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5-0319-4AA3-8886-0F871A1F4B20}"/>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6-0319-4AA3-8886-0F871A1F4B20}"/>
                </c:ext>
                <c:ext xmlns:c15="http://schemas.microsoft.com/office/drawing/2012/chart" uri="{CE6537A1-D6FC-4f65-9D91-7224C49458BB}"/>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国开!$K$4:$Q$4</c:f>
              <c:numCache>
                <c:formatCode>###,###,###,###,##0.00</c:formatCode>
                <c:ptCount val="7"/>
                <c:pt idx="0">
                  <c:v>1.7431000000000001</c:v>
                </c:pt>
                <c:pt idx="1">
                  <c:v>1.8663000000000001</c:v>
                </c:pt>
                <c:pt idx="2">
                  <c:v>2.5198999999999998</c:v>
                </c:pt>
                <c:pt idx="3">
                  <c:v>3.0318999999999998</c:v>
                </c:pt>
                <c:pt idx="4">
                  <c:v>3.2105999999999999</c:v>
                </c:pt>
                <c:pt idx="5">
                  <c:v>3.3948999999999998</c:v>
                </c:pt>
                <c:pt idx="6">
                  <c:v>3.4836</c:v>
                </c:pt>
              </c:numCache>
            </c:numRef>
          </c:val>
          <c:smooth val="0"/>
          <c:extLst xmlns:c16r2="http://schemas.microsoft.com/office/drawing/2015/06/chart">
            <c:ext xmlns:c16="http://schemas.microsoft.com/office/drawing/2014/chart" uri="{C3380CC4-5D6E-409C-BE32-E72D297353CC}">
              <c16:uniqueId val="{00000007-0319-4AA3-8886-0F871A1F4B20}"/>
            </c:ext>
          </c:extLst>
        </c:ser>
        <c:ser>
          <c:idx val="1"/>
          <c:order val="2"/>
          <c:tx>
            <c:strRef>
              <c:f>国开!$J$5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国开!$K$2:$Q$2</c:f>
              <c:strCache>
                <c:ptCount val="7"/>
                <c:pt idx="0">
                  <c:v>1M</c:v>
                </c:pt>
                <c:pt idx="1">
                  <c:v>3M</c:v>
                </c:pt>
                <c:pt idx="2">
                  <c:v>1Y</c:v>
                </c:pt>
                <c:pt idx="3">
                  <c:v>3Y</c:v>
                </c:pt>
                <c:pt idx="4">
                  <c:v>5Y</c:v>
                </c:pt>
                <c:pt idx="5">
                  <c:v>7Y</c:v>
                </c:pt>
                <c:pt idx="6">
                  <c:v>10Y</c:v>
                </c:pt>
              </c:strCache>
            </c:strRef>
          </c:cat>
          <c:val>
            <c:numRef>
              <c:f>国开!$K$5:$Q$5</c:f>
              <c:numCache>
                <c:formatCode>###,###,###,###,##0.00</c:formatCode>
                <c:ptCount val="7"/>
                <c:pt idx="0">
                  <c:v>1.6973</c:v>
                </c:pt>
                <c:pt idx="1">
                  <c:v>1.9263999999999999</c:v>
                </c:pt>
                <c:pt idx="2">
                  <c:v>2.5400999999999998</c:v>
                </c:pt>
                <c:pt idx="3">
                  <c:v>3.0918000000000001</c:v>
                </c:pt>
                <c:pt idx="4">
                  <c:v>3.2707000000000002</c:v>
                </c:pt>
                <c:pt idx="5">
                  <c:v>3.4302999999999999</c:v>
                </c:pt>
                <c:pt idx="6">
                  <c:v>3.5409000000000002</c:v>
                </c:pt>
              </c:numCache>
            </c:numRef>
          </c:val>
          <c:smooth val="0"/>
          <c:extLst xmlns:c16r2="http://schemas.microsoft.com/office/drawing/2015/06/chart">
            <c:ext xmlns:c16="http://schemas.microsoft.com/office/drawing/2014/chart" uri="{C3380CC4-5D6E-409C-BE32-E72D297353CC}">
              <c16:uniqueId val="{00000008-0319-4AA3-8886-0F871A1F4B20}"/>
            </c:ext>
          </c:extLst>
        </c:ser>
        <c:dLbls>
          <c:showLegendKey val="0"/>
          <c:showVal val="0"/>
          <c:showCatName val="0"/>
          <c:showSerName val="0"/>
          <c:showPercent val="0"/>
          <c:showBubbleSize val="0"/>
        </c:dLbls>
        <c:marker val="1"/>
        <c:smooth val="0"/>
        <c:axId val="344398080"/>
        <c:axId val="344396544"/>
      </c:lineChart>
      <c:dateAx>
        <c:axId val="344319104"/>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44321024"/>
        <c:crosses val="autoZero"/>
        <c:auto val="0"/>
        <c:lblOffset val="0"/>
        <c:baseTimeUnit val="days"/>
      </c:dateAx>
      <c:valAx>
        <c:axId val="344321024"/>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44319104"/>
        <c:crosses val="autoZero"/>
        <c:crossBetween val="between"/>
      </c:valAx>
      <c:valAx>
        <c:axId val="344396544"/>
        <c:scaling>
          <c:orientation val="minMax"/>
        </c:scaling>
        <c:delete val="0"/>
        <c:axPos val="r"/>
        <c:numFmt formatCode="#,##0.0_);[Red]\(#,##0.0\)" sourceLinked="0"/>
        <c:majorTickMark val="out"/>
        <c:minorTickMark val="none"/>
        <c:tickLblPos val="nextTo"/>
        <c:spPr>
          <a:ln w="3175">
            <a:solidFill>
              <a:sysClr val="windowText" lastClr="000000"/>
            </a:solidFill>
          </a:ln>
        </c:spPr>
        <c:crossAx val="344398080"/>
        <c:crosses val="max"/>
        <c:crossBetween val="between"/>
      </c:valAx>
      <c:dateAx>
        <c:axId val="344398080"/>
        <c:scaling>
          <c:orientation val="minMax"/>
        </c:scaling>
        <c:delete val="1"/>
        <c:axPos val="b"/>
        <c:numFmt formatCode="General" sourceLinked="1"/>
        <c:majorTickMark val="out"/>
        <c:minorTickMark val="none"/>
        <c:tickLblPos val="nextTo"/>
        <c:crossAx val="344396544"/>
        <c:crosses val="autoZero"/>
        <c:auto val="0"/>
        <c:lblOffset val="100"/>
        <c:baseTimeUnit val="years"/>
      </c:dateAx>
    </c:plotArea>
    <c:legend>
      <c:legendPos val="r"/>
      <c:layout>
        <c:manualLayout>
          <c:xMode val="edge"/>
          <c:yMode val="edge"/>
          <c:x val="0.12683702021364229"/>
          <c:y val="2.333889157425972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0270669291338583"/>
          <c:w val="0.91250459317585297"/>
          <c:h val="0.81409120734908136"/>
        </c:manualLayout>
      </c:layout>
      <c:lineChart>
        <c:grouping val="standard"/>
        <c:varyColors val="0"/>
        <c:ser>
          <c:idx val="0"/>
          <c:order val="0"/>
          <c:tx>
            <c:strRef>
              <c:f>转债!$H$4</c:f>
              <c:strCache>
                <c:ptCount val="1"/>
                <c:pt idx="0">
                  <c:v>中证转债</c:v>
                </c:pt>
              </c:strCache>
            </c:strRef>
          </c:tx>
          <c:spPr>
            <a:ln w="25400">
              <a:solidFill>
                <a:srgbClr val="ED7D31">
                  <a:lumMod val="75000"/>
                </a:srgbClr>
              </a:solidFill>
            </a:ln>
          </c:spPr>
          <c:marker>
            <c:symbol val="none"/>
          </c:marker>
          <c:cat>
            <c:numRef>
              <c:f>转债!$G$5:$G$28</c:f>
              <c:numCache>
                <c:formatCode>yyyy\-mm\-dd</c:formatCode>
                <c:ptCount val="24"/>
                <c:pt idx="0">
                  <c:v>44337</c:v>
                </c:pt>
                <c:pt idx="1">
                  <c:v>44330</c:v>
                </c:pt>
                <c:pt idx="2">
                  <c:v>44323</c:v>
                </c:pt>
                <c:pt idx="3">
                  <c:v>44316</c:v>
                </c:pt>
                <c:pt idx="4">
                  <c:v>44309</c:v>
                </c:pt>
                <c:pt idx="5">
                  <c:v>44302</c:v>
                </c:pt>
                <c:pt idx="6">
                  <c:v>44295</c:v>
                </c:pt>
                <c:pt idx="7">
                  <c:v>44288</c:v>
                </c:pt>
                <c:pt idx="8">
                  <c:v>44281</c:v>
                </c:pt>
                <c:pt idx="9">
                  <c:v>44274</c:v>
                </c:pt>
                <c:pt idx="10">
                  <c:v>44267</c:v>
                </c:pt>
                <c:pt idx="11">
                  <c:v>44260</c:v>
                </c:pt>
                <c:pt idx="12">
                  <c:v>44253</c:v>
                </c:pt>
                <c:pt idx="13">
                  <c:v>44246</c:v>
                </c:pt>
                <c:pt idx="14">
                  <c:v>44237</c:v>
                </c:pt>
                <c:pt idx="15">
                  <c:v>44232</c:v>
                </c:pt>
                <c:pt idx="16">
                  <c:v>44225</c:v>
                </c:pt>
                <c:pt idx="17">
                  <c:v>44218</c:v>
                </c:pt>
                <c:pt idx="18">
                  <c:v>44211</c:v>
                </c:pt>
                <c:pt idx="19">
                  <c:v>44204</c:v>
                </c:pt>
                <c:pt idx="20">
                  <c:v>44196</c:v>
                </c:pt>
                <c:pt idx="21">
                  <c:v>44190</c:v>
                </c:pt>
                <c:pt idx="22">
                  <c:v>44183</c:v>
                </c:pt>
                <c:pt idx="23">
                  <c:v>44176</c:v>
                </c:pt>
              </c:numCache>
            </c:numRef>
          </c:cat>
          <c:val>
            <c:numRef>
              <c:f>转债!$H$5:$H$28</c:f>
              <c:numCache>
                <c:formatCode>General</c:formatCode>
                <c:ptCount val="24"/>
                <c:pt idx="0">
                  <c:v>3.8207438589526799</c:v>
                </c:pt>
                <c:pt idx="1">
                  <c:v>3.5897817603899096</c:v>
                </c:pt>
                <c:pt idx="2">
                  <c:v>2.682722088748668</c:v>
                </c:pt>
                <c:pt idx="3">
                  <c:v>2.3929029741401431</c:v>
                </c:pt>
                <c:pt idx="4">
                  <c:v>2.3948327123711532</c:v>
                </c:pt>
                <c:pt idx="5">
                  <c:v>1.6615873199657738</c:v>
                </c:pt>
                <c:pt idx="6">
                  <c:v>1.9502210239466633</c:v>
                </c:pt>
                <c:pt idx="7">
                  <c:v>1.5703107016390438</c:v>
                </c:pt>
                <c:pt idx="8">
                  <c:v>0.97859782463365352</c:v>
                </c:pt>
                <c:pt idx="9">
                  <c:v>1.5581809184726847</c:v>
                </c:pt>
                <c:pt idx="10">
                  <c:v>1.542577606490525</c:v>
                </c:pt>
                <c:pt idx="11">
                  <c:v>1.2202010511559891</c:v>
                </c:pt>
                <c:pt idx="12">
                  <c:v>0.74418976494410316</c:v>
                </c:pt>
                <c:pt idx="13">
                  <c:v>2.2761813788531038</c:v>
                </c:pt>
                <c:pt idx="14">
                  <c:v>0.59766749783249917</c:v>
                </c:pt>
                <c:pt idx="15">
                  <c:v>-2.2013075354899492</c:v>
                </c:pt>
                <c:pt idx="16">
                  <c:v>6.3653793934292935E-2</c:v>
                </c:pt>
                <c:pt idx="17">
                  <c:v>4.0168328309122092</c:v>
                </c:pt>
                <c:pt idx="18">
                  <c:v>3.0703789316693486</c:v>
                </c:pt>
                <c:pt idx="19">
                  <c:v>3.1139910156901651</c:v>
                </c:pt>
                <c:pt idx="20">
                  <c:v>1.5322397231101403</c:v>
                </c:pt>
                <c:pt idx="21">
                  <c:v>0.33547120761641125</c:v>
                </c:pt>
                <c:pt idx="22">
                  <c:v>0.15903799792416073</c:v>
                </c:pt>
                <c:pt idx="23">
                  <c:v>0</c:v>
                </c:pt>
              </c:numCache>
            </c:numRef>
          </c:val>
          <c:smooth val="1"/>
          <c:extLst xmlns:c16r2="http://schemas.microsoft.com/office/drawing/2015/06/chart">
            <c:ext xmlns:c16="http://schemas.microsoft.com/office/drawing/2014/chart" uri="{C3380CC4-5D6E-409C-BE32-E72D297353CC}">
              <c16:uniqueId val="{00000000-FB26-4560-BF82-E44BC96AA276}"/>
            </c:ext>
          </c:extLst>
        </c:ser>
        <c:ser>
          <c:idx val="2"/>
          <c:order val="1"/>
          <c:tx>
            <c:strRef>
              <c:f>转债!$I$4</c:f>
              <c:strCache>
                <c:ptCount val="1"/>
                <c:pt idx="0">
                  <c:v>中债总净价</c:v>
                </c:pt>
              </c:strCache>
            </c:strRef>
          </c:tx>
          <c:spPr>
            <a:ln w="25400">
              <a:solidFill>
                <a:srgbClr val="ED7D31"/>
              </a:solidFill>
              <a:prstDash val="sysDash"/>
            </a:ln>
          </c:spPr>
          <c:marker>
            <c:symbol val="none"/>
          </c:marker>
          <c:cat>
            <c:numRef>
              <c:f>转债!$G$5:$G$28</c:f>
              <c:numCache>
                <c:formatCode>yyyy\-mm\-dd</c:formatCode>
                <c:ptCount val="24"/>
                <c:pt idx="0">
                  <c:v>44337</c:v>
                </c:pt>
                <c:pt idx="1">
                  <c:v>44330</c:v>
                </c:pt>
                <c:pt idx="2">
                  <c:v>44323</c:v>
                </c:pt>
                <c:pt idx="3">
                  <c:v>44316</c:v>
                </c:pt>
                <c:pt idx="4">
                  <c:v>44309</c:v>
                </c:pt>
                <c:pt idx="5">
                  <c:v>44302</c:v>
                </c:pt>
                <c:pt idx="6">
                  <c:v>44295</c:v>
                </c:pt>
                <c:pt idx="7">
                  <c:v>44288</c:v>
                </c:pt>
                <c:pt idx="8">
                  <c:v>44281</c:v>
                </c:pt>
                <c:pt idx="9">
                  <c:v>44274</c:v>
                </c:pt>
                <c:pt idx="10">
                  <c:v>44267</c:v>
                </c:pt>
                <c:pt idx="11">
                  <c:v>44260</c:v>
                </c:pt>
                <c:pt idx="12">
                  <c:v>44253</c:v>
                </c:pt>
                <c:pt idx="13">
                  <c:v>44246</c:v>
                </c:pt>
                <c:pt idx="14">
                  <c:v>44237</c:v>
                </c:pt>
                <c:pt idx="15">
                  <c:v>44232</c:v>
                </c:pt>
                <c:pt idx="16">
                  <c:v>44225</c:v>
                </c:pt>
                <c:pt idx="17">
                  <c:v>44218</c:v>
                </c:pt>
                <c:pt idx="18">
                  <c:v>44211</c:v>
                </c:pt>
                <c:pt idx="19">
                  <c:v>44204</c:v>
                </c:pt>
                <c:pt idx="20">
                  <c:v>44196</c:v>
                </c:pt>
                <c:pt idx="21">
                  <c:v>44190</c:v>
                </c:pt>
                <c:pt idx="22">
                  <c:v>44183</c:v>
                </c:pt>
                <c:pt idx="23">
                  <c:v>44176</c:v>
                </c:pt>
              </c:numCache>
            </c:numRef>
          </c:cat>
          <c:val>
            <c:numRef>
              <c:f>转债!$I$5:$I$28</c:f>
              <c:numCache>
                <c:formatCode>General</c:formatCode>
                <c:ptCount val="24"/>
                <c:pt idx="0">
                  <c:v>1.3425785408018864</c:v>
                </c:pt>
                <c:pt idx="1">
                  <c:v>1.0720621743052217</c:v>
                </c:pt>
                <c:pt idx="2">
                  <c:v>0.98169055629415691</c:v>
                </c:pt>
                <c:pt idx="3">
                  <c:v>0.92397925813194615</c:v>
                </c:pt>
                <c:pt idx="4">
                  <c:v>0.96373593019924986</c:v>
                </c:pt>
                <c:pt idx="5">
                  <c:v>0.8354886009498852</c:v>
                </c:pt>
                <c:pt idx="6">
                  <c:v>0.5395792632618468</c:v>
                </c:pt>
                <c:pt idx="7">
                  <c:v>0.5677081774771997</c:v>
                </c:pt>
                <c:pt idx="8">
                  <c:v>0.5406052418958307</c:v>
                </c:pt>
                <c:pt idx="9">
                  <c:v>0.3713187672866658</c:v>
                </c:pt>
                <c:pt idx="10">
                  <c:v>0.28505106381160328</c:v>
                </c:pt>
                <c:pt idx="11">
                  <c:v>0.27487677569115743</c:v>
                </c:pt>
                <c:pt idx="12">
                  <c:v>0.12516939334739074</c:v>
                </c:pt>
                <c:pt idx="13">
                  <c:v>0.15210133248975133</c:v>
                </c:pt>
                <c:pt idx="14">
                  <c:v>0.22716876921038409</c:v>
                </c:pt>
                <c:pt idx="15">
                  <c:v>0.24307143803730114</c:v>
                </c:pt>
                <c:pt idx="16">
                  <c:v>0.43766538561833546</c:v>
                </c:pt>
                <c:pt idx="17">
                  <c:v>0.81915844102546931</c:v>
                </c:pt>
                <c:pt idx="18">
                  <c:v>0.74392000786582813</c:v>
                </c:pt>
                <c:pt idx="19">
                  <c:v>0.75460728530327703</c:v>
                </c:pt>
                <c:pt idx="20">
                  <c:v>0.72955630698992024</c:v>
                </c:pt>
                <c:pt idx="21">
                  <c:v>0.45177259183577512</c:v>
                </c:pt>
                <c:pt idx="22">
                  <c:v>0.13029928651735467</c:v>
                </c:pt>
                <c:pt idx="23">
                  <c:v>0</c:v>
                </c:pt>
              </c:numCache>
            </c:numRef>
          </c:val>
          <c:smooth val="1"/>
          <c:extLst xmlns:c16r2="http://schemas.microsoft.com/office/drawing/2015/06/chart">
            <c:ext xmlns:c16="http://schemas.microsoft.com/office/drawing/2014/chart" uri="{C3380CC4-5D6E-409C-BE32-E72D297353CC}">
              <c16:uniqueId val="{00000004-FB26-4560-BF82-E44BC96AA276}"/>
            </c:ext>
          </c:extLst>
        </c:ser>
        <c:ser>
          <c:idx val="1"/>
          <c:order val="2"/>
          <c:tx>
            <c:strRef>
              <c:f>转债!$J$4</c:f>
              <c:strCache>
                <c:ptCount val="1"/>
                <c:pt idx="0">
                  <c:v>沪深300</c:v>
                </c:pt>
              </c:strCache>
            </c:strRef>
          </c:tx>
          <c:spPr>
            <a:ln w="25400">
              <a:solidFill>
                <a:sysClr val="windowText" lastClr="000000">
                  <a:lumMod val="50000"/>
                  <a:lumOff val="50000"/>
                </a:sysClr>
              </a:solidFill>
              <a:prstDash val="sysDash"/>
            </a:ln>
          </c:spPr>
          <c:marker>
            <c:symbol val="none"/>
          </c:marker>
          <c:cat>
            <c:numRef>
              <c:f>转债!$G$5:$G$28</c:f>
              <c:numCache>
                <c:formatCode>yyyy\-mm\-dd</c:formatCode>
                <c:ptCount val="24"/>
                <c:pt idx="0">
                  <c:v>44337</c:v>
                </c:pt>
                <c:pt idx="1">
                  <c:v>44330</c:v>
                </c:pt>
                <c:pt idx="2">
                  <c:v>44323</c:v>
                </c:pt>
                <c:pt idx="3">
                  <c:v>44316</c:v>
                </c:pt>
                <c:pt idx="4">
                  <c:v>44309</c:v>
                </c:pt>
                <c:pt idx="5">
                  <c:v>44302</c:v>
                </c:pt>
                <c:pt idx="6">
                  <c:v>44295</c:v>
                </c:pt>
                <c:pt idx="7">
                  <c:v>44288</c:v>
                </c:pt>
                <c:pt idx="8">
                  <c:v>44281</c:v>
                </c:pt>
                <c:pt idx="9">
                  <c:v>44274</c:v>
                </c:pt>
                <c:pt idx="10">
                  <c:v>44267</c:v>
                </c:pt>
                <c:pt idx="11">
                  <c:v>44260</c:v>
                </c:pt>
                <c:pt idx="12">
                  <c:v>44253</c:v>
                </c:pt>
                <c:pt idx="13">
                  <c:v>44246</c:v>
                </c:pt>
                <c:pt idx="14">
                  <c:v>44237</c:v>
                </c:pt>
                <c:pt idx="15">
                  <c:v>44232</c:v>
                </c:pt>
                <c:pt idx="16">
                  <c:v>44225</c:v>
                </c:pt>
                <c:pt idx="17">
                  <c:v>44218</c:v>
                </c:pt>
                <c:pt idx="18">
                  <c:v>44211</c:v>
                </c:pt>
                <c:pt idx="19">
                  <c:v>44204</c:v>
                </c:pt>
                <c:pt idx="20">
                  <c:v>44196</c:v>
                </c:pt>
                <c:pt idx="21">
                  <c:v>44190</c:v>
                </c:pt>
                <c:pt idx="22">
                  <c:v>44183</c:v>
                </c:pt>
                <c:pt idx="23">
                  <c:v>44176</c:v>
                </c:pt>
              </c:numCache>
            </c:numRef>
          </c:cat>
          <c:val>
            <c:numRef>
              <c:f>转债!$J$5:$J$28</c:f>
              <c:numCache>
                <c:formatCode>General</c:formatCode>
                <c:ptCount val="24"/>
                <c:pt idx="0">
                  <c:v>5.0007697925233074</c:v>
                </c:pt>
                <c:pt idx="1">
                  <c:v>4.5189704773523465</c:v>
                </c:pt>
                <c:pt idx="2">
                  <c:v>2.1765147344915192</c:v>
                </c:pt>
                <c:pt idx="3">
                  <c:v>4.7827716670212794</c:v>
                </c:pt>
                <c:pt idx="4">
                  <c:v>5.0274609780226243</c:v>
                </c:pt>
                <c:pt idx="5">
                  <c:v>1.5655972440609567</c:v>
                </c:pt>
                <c:pt idx="6">
                  <c:v>2.9799437552442631</c:v>
                </c:pt>
                <c:pt idx="7">
                  <c:v>5.5613153651814518</c:v>
                </c:pt>
                <c:pt idx="8">
                  <c:v>3.0341912225164025</c:v>
                </c:pt>
                <c:pt idx="9">
                  <c:v>2.4022578235584735</c:v>
                </c:pt>
                <c:pt idx="10">
                  <c:v>5.2508971436934226</c:v>
                </c:pt>
                <c:pt idx="11">
                  <c:v>7.6317975195337784</c:v>
                </c:pt>
                <c:pt idx="12">
                  <c:v>9.1444909564921684</c:v>
                </c:pt>
                <c:pt idx="13">
                  <c:v>18.185689826950458</c:v>
                </c:pt>
                <c:pt idx="14">
                  <c:v>18.776268351800574</c:v>
                </c:pt>
                <c:pt idx="15">
                  <c:v>12.143759285468914</c:v>
                </c:pt>
                <c:pt idx="16">
                  <c:v>9.4554286447733116</c:v>
                </c:pt>
                <c:pt idx="17">
                  <c:v>13.909987284925407</c:v>
                </c:pt>
                <c:pt idx="18">
                  <c:v>11.625666829705604</c:v>
                </c:pt>
                <c:pt idx="19">
                  <c:v>12.389516162084435</c:v>
                </c:pt>
                <c:pt idx="20">
                  <c:v>6.5783986237647474</c:v>
                </c:pt>
                <c:pt idx="21">
                  <c:v>3.1164837611817209</c:v>
                </c:pt>
                <c:pt idx="22">
                  <c:v>2.2565842006997183</c:v>
                </c:pt>
                <c:pt idx="23">
                  <c:v>0</c:v>
                </c:pt>
              </c:numCache>
            </c:numRef>
          </c:val>
          <c:smooth val="1"/>
          <c:extLst xmlns:c16r2="http://schemas.microsoft.com/office/drawing/2015/06/chart">
            <c:ext xmlns:c16="http://schemas.microsoft.com/office/drawing/2014/chart" uri="{C3380CC4-5D6E-409C-BE32-E72D297353CC}">
              <c16:uniqueId val="{00000006-6B3B-44ED-B0DA-E22873EBDCAA}"/>
            </c:ext>
          </c:extLst>
        </c:ser>
        <c:dLbls>
          <c:showLegendKey val="0"/>
          <c:showVal val="0"/>
          <c:showCatName val="0"/>
          <c:showSerName val="0"/>
          <c:showPercent val="0"/>
          <c:showBubbleSize val="0"/>
        </c:dLbls>
        <c:marker val="1"/>
        <c:smooth val="0"/>
        <c:axId val="344440832"/>
        <c:axId val="344442368"/>
      </c:lineChart>
      <c:dateAx>
        <c:axId val="344440832"/>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sz="600"/>
            </a:pPr>
            <a:endParaRPr lang="zh-CN"/>
          </a:p>
        </c:txPr>
        <c:crossAx val="344442368"/>
        <c:crosses val="autoZero"/>
        <c:auto val="0"/>
        <c:lblOffset val="0"/>
        <c:baseTimeUnit val="days"/>
        <c:majorUnit val="14"/>
        <c:majorTimeUnit val="days"/>
      </c:dateAx>
      <c:valAx>
        <c:axId val="344442368"/>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44440832"/>
        <c:crosses val="autoZero"/>
        <c:crossBetween val="between"/>
      </c:valAx>
    </c:plotArea>
    <c:legend>
      <c:legendPos val="r"/>
      <c:layout>
        <c:manualLayout>
          <c:xMode val="edge"/>
          <c:yMode val="edge"/>
          <c:x val="9.9472222222222226E-2"/>
          <c:y val="2.3337707786526686E-3"/>
          <c:w val="0.86834886264216971"/>
          <c:h val="8.1219378827646557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南华!$H$1</c:f>
              <c:strCache>
                <c:ptCount val="1"/>
                <c:pt idx="0">
                  <c:v>2019</c:v>
                </c:pt>
              </c:strCache>
            </c:strRef>
          </c:tx>
          <c:spPr>
            <a:ln w="28575">
              <a:solidFill>
                <a:srgbClr val="E7E6E6">
                  <a:lumMod val="75000"/>
                </a:srgbClr>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南华!$H$2:$H$366</c:f>
              <c:numCache>
                <c:formatCode>General</c:formatCode>
                <c:ptCount val="365"/>
                <c:pt idx="0">
                  <c:v>#N/A</c:v>
                </c:pt>
                <c:pt idx="1">
                  <c:v>#N/A</c:v>
                </c:pt>
                <c:pt idx="2">
                  <c:v>#N/A</c:v>
                </c:pt>
                <c:pt idx="3">
                  <c:v>#N/A</c:v>
                </c:pt>
                <c:pt idx="4">
                  <c:v>2048.88</c:v>
                </c:pt>
                <c:pt idx="5">
                  <c:v>#N/A</c:v>
                </c:pt>
                <c:pt idx="6">
                  <c:v>#N/A</c:v>
                </c:pt>
                <c:pt idx="7">
                  <c:v>#N/A</c:v>
                </c:pt>
                <c:pt idx="8">
                  <c:v>#N/A</c:v>
                </c:pt>
                <c:pt idx="9">
                  <c:v>#N/A</c:v>
                </c:pt>
                <c:pt idx="10">
                  <c:v>#N/A</c:v>
                </c:pt>
                <c:pt idx="11">
                  <c:v>2079.09</c:v>
                </c:pt>
                <c:pt idx="12">
                  <c:v>#N/A</c:v>
                </c:pt>
                <c:pt idx="13">
                  <c:v>#N/A</c:v>
                </c:pt>
                <c:pt idx="14">
                  <c:v>#N/A</c:v>
                </c:pt>
                <c:pt idx="15">
                  <c:v>#N/A</c:v>
                </c:pt>
                <c:pt idx="16">
                  <c:v>#N/A</c:v>
                </c:pt>
                <c:pt idx="17">
                  <c:v>#N/A</c:v>
                </c:pt>
                <c:pt idx="18">
                  <c:v>2122.16</c:v>
                </c:pt>
                <c:pt idx="19">
                  <c:v>#N/A</c:v>
                </c:pt>
                <c:pt idx="20">
                  <c:v>#N/A</c:v>
                </c:pt>
                <c:pt idx="21">
                  <c:v>#N/A</c:v>
                </c:pt>
                <c:pt idx="22">
                  <c:v>#N/A</c:v>
                </c:pt>
                <c:pt idx="23">
                  <c:v>#N/A</c:v>
                </c:pt>
                <c:pt idx="24">
                  <c:v>#N/A</c:v>
                </c:pt>
                <c:pt idx="25">
                  <c:v>2127.4299999999998</c:v>
                </c:pt>
                <c:pt idx="26">
                  <c:v>#N/A</c:v>
                </c:pt>
                <c:pt idx="27">
                  <c:v>#N/A</c:v>
                </c:pt>
                <c:pt idx="28">
                  <c:v>#N/A</c:v>
                </c:pt>
                <c:pt idx="29">
                  <c:v>#N/A</c:v>
                </c:pt>
                <c:pt idx="30">
                  <c:v>#N/A</c:v>
                </c:pt>
                <c:pt idx="31">
                  <c:v>#N/A</c:v>
                </c:pt>
                <c:pt idx="32">
                  <c:v>2191.3200000000002</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2169.5</c:v>
                </c:pt>
                <c:pt idx="47">
                  <c:v>#N/A</c:v>
                </c:pt>
                <c:pt idx="48">
                  <c:v>#N/A</c:v>
                </c:pt>
                <c:pt idx="49">
                  <c:v>#N/A</c:v>
                </c:pt>
                <c:pt idx="50">
                  <c:v>#N/A</c:v>
                </c:pt>
                <c:pt idx="51">
                  <c:v>#N/A</c:v>
                </c:pt>
                <c:pt idx="52">
                  <c:v>#N/A</c:v>
                </c:pt>
                <c:pt idx="53">
                  <c:v>2236.9299999999998</c:v>
                </c:pt>
                <c:pt idx="54">
                  <c:v>#N/A</c:v>
                </c:pt>
                <c:pt idx="55">
                  <c:v>#N/A</c:v>
                </c:pt>
                <c:pt idx="56">
                  <c:v>#N/A</c:v>
                </c:pt>
                <c:pt idx="57">
                  <c:v>#N/A</c:v>
                </c:pt>
                <c:pt idx="58">
                  <c:v>#N/A</c:v>
                </c:pt>
                <c:pt idx="59">
                  <c:v>#N/A</c:v>
                </c:pt>
                <c:pt idx="60">
                  <c:v>2261.9499999999998</c:v>
                </c:pt>
                <c:pt idx="61">
                  <c:v>#N/A</c:v>
                </c:pt>
                <c:pt idx="62">
                  <c:v>#N/A</c:v>
                </c:pt>
                <c:pt idx="63">
                  <c:v>#N/A</c:v>
                </c:pt>
                <c:pt idx="64">
                  <c:v>#N/A</c:v>
                </c:pt>
                <c:pt idx="65">
                  <c:v>#N/A</c:v>
                </c:pt>
                <c:pt idx="66">
                  <c:v>#N/A</c:v>
                </c:pt>
                <c:pt idx="67">
                  <c:v>2198.5300000000002</c:v>
                </c:pt>
                <c:pt idx="68">
                  <c:v>#N/A</c:v>
                </c:pt>
                <c:pt idx="69">
                  <c:v>#N/A</c:v>
                </c:pt>
                <c:pt idx="70">
                  <c:v>#N/A</c:v>
                </c:pt>
                <c:pt idx="71">
                  <c:v>#N/A</c:v>
                </c:pt>
                <c:pt idx="72">
                  <c:v>#N/A</c:v>
                </c:pt>
                <c:pt idx="73">
                  <c:v>#N/A</c:v>
                </c:pt>
                <c:pt idx="74">
                  <c:v>2200.92</c:v>
                </c:pt>
                <c:pt idx="75">
                  <c:v>#N/A</c:v>
                </c:pt>
                <c:pt idx="76">
                  <c:v>#N/A</c:v>
                </c:pt>
                <c:pt idx="77">
                  <c:v>#N/A</c:v>
                </c:pt>
                <c:pt idx="78">
                  <c:v>#N/A</c:v>
                </c:pt>
                <c:pt idx="79">
                  <c:v>#N/A</c:v>
                </c:pt>
                <c:pt idx="80">
                  <c:v>#N/A</c:v>
                </c:pt>
                <c:pt idx="81">
                  <c:v>2200.04</c:v>
                </c:pt>
                <c:pt idx="82">
                  <c:v>#N/A</c:v>
                </c:pt>
                <c:pt idx="83">
                  <c:v>#N/A</c:v>
                </c:pt>
                <c:pt idx="84">
                  <c:v>#N/A</c:v>
                </c:pt>
                <c:pt idx="85">
                  <c:v>#N/A</c:v>
                </c:pt>
                <c:pt idx="86">
                  <c:v>#N/A</c:v>
                </c:pt>
                <c:pt idx="87">
                  <c:v>#N/A</c:v>
                </c:pt>
                <c:pt idx="88">
                  <c:v>2191.34</c:v>
                </c:pt>
                <c:pt idx="89">
                  <c:v>#N/A</c:v>
                </c:pt>
                <c:pt idx="90">
                  <c:v>#N/A</c:v>
                </c:pt>
                <c:pt idx="91">
                  <c:v>#N/A</c:v>
                </c:pt>
                <c:pt idx="92">
                  <c:v>#N/A</c:v>
                </c:pt>
                <c:pt idx="93">
                  <c:v>#N/A</c:v>
                </c:pt>
                <c:pt idx="94">
                  <c:v>#N/A</c:v>
                </c:pt>
                <c:pt idx="95">
                  <c:v>2252.59</c:v>
                </c:pt>
                <c:pt idx="96">
                  <c:v>#N/A</c:v>
                </c:pt>
                <c:pt idx="97">
                  <c:v>#N/A</c:v>
                </c:pt>
                <c:pt idx="98">
                  <c:v>#N/A</c:v>
                </c:pt>
                <c:pt idx="99">
                  <c:v>#N/A</c:v>
                </c:pt>
                <c:pt idx="100">
                  <c:v>#N/A</c:v>
                </c:pt>
                <c:pt idx="101">
                  <c:v>#N/A</c:v>
                </c:pt>
                <c:pt idx="102">
                  <c:v>2286.11</c:v>
                </c:pt>
                <c:pt idx="103">
                  <c:v>#N/A</c:v>
                </c:pt>
                <c:pt idx="104">
                  <c:v>#N/A</c:v>
                </c:pt>
                <c:pt idx="105">
                  <c:v>#N/A</c:v>
                </c:pt>
                <c:pt idx="106">
                  <c:v>#N/A</c:v>
                </c:pt>
                <c:pt idx="107">
                  <c:v>#N/A</c:v>
                </c:pt>
                <c:pt idx="108">
                  <c:v>#N/A</c:v>
                </c:pt>
                <c:pt idx="109">
                  <c:v>2253.19</c:v>
                </c:pt>
                <c:pt idx="110">
                  <c:v>#N/A</c:v>
                </c:pt>
                <c:pt idx="111">
                  <c:v>#N/A</c:v>
                </c:pt>
                <c:pt idx="112">
                  <c:v>#N/A</c:v>
                </c:pt>
                <c:pt idx="113">
                  <c:v>#N/A</c:v>
                </c:pt>
                <c:pt idx="114">
                  <c:v>#N/A</c:v>
                </c:pt>
                <c:pt idx="115">
                  <c:v>#N/A</c:v>
                </c:pt>
                <c:pt idx="116">
                  <c:v>2250.8000000000002</c:v>
                </c:pt>
                <c:pt idx="117">
                  <c:v>#N/A</c:v>
                </c:pt>
                <c:pt idx="118">
                  <c:v>#N/A</c:v>
                </c:pt>
                <c:pt idx="119">
                  <c:v>#N/A</c:v>
                </c:pt>
                <c:pt idx="120">
                  <c:v>#N/A</c:v>
                </c:pt>
                <c:pt idx="121">
                  <c:v>#N/A</c:v>
                </c:pt>
                <c:pt idx="122">
                  <c:v>#N/A</c:v>
                </c:pt>
                <c:pt idx="123">
                  <c:v>2274.46</c:v>
                </c:pt>
                <c:pt idx="124">
                  <c:v>#N/A</c:v>
                </c:pt>
                <c:pt idx="125">
                  <c:v>#N/A</c:v>
                </c:pt>
                <c:pt idx="126">
                  <c:v>#N/A</c:v>
                </c:pt>
                <c:pt idx="127">
                  <c:v>#N/A</c:v>
                </c:pt>
                <c:pt idx="128">
                  <c:v>#N/A</c:v>
                </c:pt>
                <c:pt idx="129">
                  <c:v>#N/A</c:v>
                </c:pt>
                <c:pt idx="130">
                  <c:v>2270.42</c:v>
                </c:pt>
                <c:pt idx="131">
                  <c:v>#N/A</c:v>
                </c:pt>
                <c:pt idx="132">
                  <c:v>#N/A</c:v>
                </c:pt>
                <c:pt idx="133">
                  <c:v>#N/A</c:v>
                </c:pt>
                <c:pt idx="134">
                  <c:v>#N/A</c:v>
                </c:pt>
                <c:pt idx="135">
                  <c:v>#N/A</c:v>
                </c:pt>
                <c:pt idx="136">
                  <c:v>#N/A</c:v>
                </c:pt>
                <c:pt idx="137">
                  <c:v>2307.73</c:v>
                </c:pt>
                <c:pt idx="138">
                  <c:v>#N/A</c:v>
                </c:pt>
                <c:pt idx="139">
                  <c:v>#N/A</c:v>
                </c:pt>
                <c:pt idx="140">
                  <c:v>#N/A</c:v>
                </c:pt>
                <c:pt idx="141">
                  <c:v>#N/A</c:v>
                </c:pt>
                <c:pt idx="142">
                  <c:v>#N/A</c:v>
                </c:pt>
                <c:pt idx="143">
                  <c:v>#N/A</c:v>
                </c:pt>
                <c:pt idx="144">
                  <c:v>2309.7600000000002</c:v>
                </c:pt>
                <c:pt idx="145">
                  <c:v>#N/A</c:v>
                </c:pt>
                <c:pt idx="146">
                  <c:v>#N/A</c:v>
                </c:pt>
                <c:pt idx="147">
                  <c:v>#N/A</c:v>
                </c:pt>
                <c:pt idx="148">
                  <c:v>#N/A</c:v>
                </c:pt>
                <c:pt idx="149">
                  <c:v>#N/A</c:v>
                </c:pt>
                <c:pt idx="150">
                  <c:v>#N/A</c:v>
                </c:pt>
                <c:pt idx="151">
                  <c:v>2263.06</c:v>
                </c:pt>
                <c:pt idx="152">
                  <c:v>#N/A</c:v>
                </c:pt>
                <c:pt idx="153">
                  <c:v>#N/A</c:v>
                </c:pt>
                <c:pt idx="154">
                  <c:v>#N/A</c:v>
                </c:pt>
                <c:pt idx="155">
                  <c:v>#N/A</c:v>
                </c:pt>
                <c:pt idx="156">
                  <c:v>#N/A</c:v>
                </c:pt>
                <c:pt idx="157">
                  <c:v>#N/A</c:v>
                </c:pt>
                <c:pt idx="158">
                  <c:v>2223.44</c:v>
                </c:pt>
                <c:pt idx="159">
                  <c:v>#N/A</c:v>
                </c:pt>
                <c:pt idx="160">
                  <c:v>#N/A</c:v>
                </c:pt>
                <c:pt idx="161">
                  <c:v>#N/A</c:v>
                </c:pt>
                <c:pt idx="162">
                  <c:v>#N/A</c:v>
                </c:pt>
                <c:pt idx="163">
                  <c:v>#N/A</c:v>
                </c:pt>
                <c:pt idx="164">
                  <c:v>#N/A</c:v>
                </c:pt>
                <c:pt idx="165">
                  <c:v>2253.75</c:v>
                </c:pt>
                <c:pt idx="166">
                  <c:v>#N/A</c:v>
                </c:pt>
                <c:pt idx="167">
                  <c:v>#N/A</c:v>
                </c:pt>
                <c:pt idx="168">
                  <c:v>#N/A</c:v>
                </c:pt>
                <c:pt idx="169">
                  <c:v>#N/A</c:v>
                </c:pt>
                <c:pt idx="170">
                  <c:v>#N/A</c:v>
                </c:pt>
                <c:pt idx="171">
                  <c:v>#N/A</c:v>
                </c:pt>
                <c:pt idx="172">
                  <c:v>2290.59</c:v>
                </c:pt>
                <c:pt idx="173">
                  <c:v>#N/A</c:v>
                </c:pt>
                <c:pt idx="174">
                  <c:v>#N/A</c:v>
                </c:pt>
                <c:pt idx="175">
                  <c:v>#N/A</c:v>
                </c:pt>
                <c:pt idx="176">
                  <c:v>#N/A</c:v>
                </c:pt>
                <c:pt idx="177">
                  <c:v>#N/A</c:v>
                </c:pt>
                <c:pt idx="178">
                  <c:v>#N/A</c:v>
                </c:pt>
                <c:pt idx="179">
                  <c:v>2329.38</c:v>
                </c:pt>
                <c:pt idx="180">
                  <c:v>#N/A</c:v>
                </c:pt>
                <c:pt idx="181">
                  <c:v>#N/A</c:v>
                </c:pt>
                <c:pt idx="182">
                  <c:v>#N/A</c:v>
                </c:pt>
                <c:pt idx="183">
                  <c:v>#N/A</c:v>
                </c:pt>
                <c:pt idx="184">
                  <c:v>#N/A</c:v>
                </c:pt>
                <c:pt idx="185">
                  <c:v>#N/A</c:v>
                </c:pt>
                <c:pt idx="186">
                  <c:v>2313.8000000000002</c:v>
                </c:pt>
                <c:pt idx="187">
                  <c:v>#N/A</c:v>
                </c:pt>
                <c:pt idx="188">
                  <c:v>#N/A</c:v>
                </c:pt>
                <c:pt idx="189">
                  <c:v>#N/A</c:v>
                </c:pt>
                <c:pt idx="190">
                  <c:v>#N/A</c:v>
                </c:pt>
                <c:pt idx="191">
                  <c:v>#N/A</c:v>
                </c:pt>
                <c:pt idx="192">
                  <c:v>#N/A</c:v>
                </c:pt>
                <c:pt idx="193">
                  <c:v>2337.94</c:v>
                </c:pt>
                <c:pt idx="194">
                  <c:v>#N/A</c:v>
                </c:pt>
                <c:pt idx="195">
                  <c:v>#N/A</c:v>
                </c:pt>
                <c:pt idx="196">
                  <c:v>#N/A</c:v>
                </c:pt>
                <c:pt idx="197">
                  <c:v>#N/A</c:v>
                </c:pt>
                <c:pt idx="198">
                  <c:v>#N/A</c:v>
                </c:pt>
                <c:pt idx="199">
                  <c:v>#N/A</c:v>
                </c:pt>
                <c:pt idx="200">
                  <c:v>2369.3000000000002</c:v>
                </c:pt>
                <c:pt idx="201">
                  <c:v>#N/A</c:v>
                </c:pt>
                <c:pt idx="202">
                  <c:v>#N/A</c:v>
                </c:pt>
                <c:pt idx="203">
                  <c:v>#N/A</c:v>
                </c:pt>
                <c:pt idx="204">
                  <c:v>#N/A</c:v>
                </c:pt>
                <c:pt idx="205">
                  <c:v>#N/A</c:v>
                </c:pt>
                <c:pt idx="206">
                  <c:v>#N/A</c:v>
                </c:pt>
                <c:pt idx="207">
                  <c:v>2333.4299999999998</c:v>
                </c:pt>
                <c:pt idx="208">
                  <c:v>#N/A</c:v>
                </c:pt>
                <c:pt idx="209">
                  <c:v>#N/A</c:v>
                </c:pt>
                <c:pt idx="210">
                  <c:v>#N/A</c:v>
                </c:pt>
                <c:pt idx="211">
                  <c:v>#N/A</c:v>
                </c:pt>
                <c:pt idx="212">
                  <c:v>#N/A</c:v>
                </c:pt>
                <c:pt idx="213">
                  <c:v>#N/A</c:v>
                </c:pt>
                <c:pt idx="214">
                  <c:v>2287.13</c:v>
                </c:pt>
                <c:pt idx="215">
                  <c:v>#N/A</c:v>
                </c:pt>
                <c:pt idx="216">
                  <c:v>#N/A</c:v>
                </c:pt>
                <c:pt idx="217">
                  <c:v>#N/A</c:v>
                </c:pt>
                <c:pt idx="218">
                  <c:v>#N/A</c:v>
                </c:pt>
                <c:pt idx="219">
                  <c:v>#N/A</c:v>
                </c:pt>
                <c:pt idx="220">
                  <c:v>#N/A</c:v>
                </c:pt>
                <c:pt idx="221">
                  <c:v>2219.92</c:v>
                </c:pt>
                <c:pt idx="222">
                  <c:v>#N/A</c:v>
                </c:pt>
                <c:pt idx="223">
                  <c:v>#N/A</c:v>
                </c:pt>
                <c:pt idx="224">
                  <c:v>#N/A</c:v>
                </c:pt>
                <c:pt idx="225">
                  <c:v>#N/A</c:v>
                </c:pt>
                <c:pt idx="226">
                  <c:v>#N/A</c:v>
                </c:pt>
                <c:pt idx="227">
                  <c:v>#N/A</c:v>
                </c:pt>
                <c:pt idx="228">
                  <c:v>2231.1999999999998</c:v>
                </c:pt>
                <c:pt idx="229">
                  <c:v>#N/A</c:v>
                </c:pt>
                <c:pt idx="230">
                  <c:v>#N/A</c:v>
                </c:pt>
                <c:pt idx="231">
                  <c:v>#N/A</c:v>
                </c:pt>
                <c:pt idx="232">
                  <c:v>#N/A</c:v>
                </c:pt>
                <c:pt idx="233">
                  <c:v>#N/A</c:v>
                </c:pt>
                <c:pt idx="234">
                  <c:v>#N/A</c:v>
                </c:pt>
                <c:pt idx="235">
                  <c:v>2222.88</c:v>
                </c:pt>
                <c:pt idx="236">
                  <c:v>#N/A</c:v>
                </c:pt>
                <c:pt idx="237">
                  <c:v>#N/A</c:v>
                </c:pt>
                <c:pt idx="238">
                  <c:v>#N/A</c:v>
                </c:pt>
                <c:pt idx="239">
                  <c:v>#N/A</c:v>
                </c:pt>
                <c:pt idx="240">
                  <c:v>#N/A</c:v>
                </c:pt>
                <c:pt idx="241">
                  <c:v>#N/A</c:v>
                </c:pt>
                <c:pt idx="242">
                  <c:v>2225.21</c:v>
                </c:pt>
                <c:pt idx="243">
                  <c:v>#N/A</c:v>
                </c:pt>
                <c:pt idx="244">
                  <c:v>#N/A</c:v>
                </c:pt>
                <c:pt idx="245">
                  <c:v>#N/A</c:v>
                </c:pt>
                <c:pt idx="246">
                  <c:v>#N/A</c:v>
                </c:pt>
                <c:pt idx="247">
                  <c:v>#N/A</c:v>
                </c:pt>
                <c:pt idx="248">
                  <c:v>#N/A</c:v>
                </c:pt>
                <c:pt idx="249">
                  <c:v>2262.46</c:v>
                </c:pt>
                <c:pt idx="250">
                  <c:v>#N/A</c:v>
                </c:pt>
                <c:pt idx="251">
                  <c:v>#N/A</c:v>
                </c:pt>
                <c:pt idx="252">
                  <c:v>#N/A</c:v>
                </c:pt>
                <c:pt idx="253">
                  <c:v>#N/A</c:v>
                </c:pt>
                <c:pt idx="254">
                  <c:v>#N/A</c:v>
                </c:pt>
                <c:pt idx="255">
                  <c:v>#N/A</c:v>
                </c:pt>
                <c:pt idx="256">
                  <c:v>2325.7800000000002</c:v>
                </c:pt>
                <c:pt idx="257">
                  <c:v>#N/A</c:v>
                </c:pt>
                <c:pt idx="258">
                  <c:v>#N/A</c:v>
                </c:pt>
                <c:pt idx="259">
                  <c:v>#N/A</c:v>
                </c:pt>
                <c:pt idx="260">
                  <c:v>#N/A</c:v>
                </c:pt>
                <c:pt idx="261">
                  <c:v>#N/A</c:v>
                </c:pt>
                <c:pt idx="262">
                  <c:v>#N/A</c:v>
                </c:pt>
                <c:pt idx="263">
                  <c:v>2288.17</c:v>
                </c:pt>
                <c:pt idx="264">
                  <c:v>#N/A</c:v>
                </c:pt>
                <c:pt idx="265">
                  <c:v>#N/A</c:v>
                </c:pt>
                <c:pt idx="266">
                  <c:v>#N/A</c:v>
                </c:pt>
                <c:pt idx="267">
                  <c:v>#N/A</c:v>
                </c:pt>
                <c:pt idx="268">
                  <c:v>#N/A</c:v>
                </c:pt>
                <c:pt idx="269">
                  <c:v>#N/A</c:v>
                </c:pt>
                <c:pt idx="270">
                  <c:v>2262.38</c:v>
                </c:pt>
                <c:pt idx="271">
                  <c:v>#N/A</c:v>
                </c:pt>
                <c:pt idx="272">
                  <c:v>#N/A</c:v>
                </c:pt>
                <c:pt idx="273">
                  <c:v>#N/A</c:v>
                </c:pt>
                <c:pt idx="274">
                  <c:v>#N/A</c:v>
                </c:pt>
                <c:pt idx="275">
                  <c:v>#N/A</c:v>
                </c:pt>
                <c:pt idx="276">
                  <c:v>#N/A</c:v>
                </c:pt>
                <c:pt idx="277">
                  <c:v>2275.5</c:v>
                </c:pt>
                <c:pt idx="278">
                  <c:v>#N/A</c:v>
                </c:pt>
                <c:pt idx="279">
                  <c:v>#N/A</c:v>
                </c:pt>
                <c:pt idx="280">
                  <c:v>#N/A</c:v>
                </c:pt>
                <c:pt idx="281">
                  <c:v>#N/A</c:v>
                </c:pt>
                <c:pt idx="282">
                  <c:v>#N/A</c:v>
                </c:pt>
                <c:pt idx="283">
                  <c:v>#N/A</c:v>
                </c:pt>
                <c:pt idx="284">
                  <c:v>2258.92</c:v>
                </c:pt>
                <c:pt idx="285">
                  <c:v>#N/A</c:v>
                </c:pt>
                <c:pt idx="286">
                  <c:v>#N/A</c:v>
                </c:pt>
                <c:pt idx="287">
                  <c:v>#N/A</c:v>
                </c:pt>
                <c:pt idx="288">
                  <c:v>#N/A</c:v>
                </c:pt>
                <c:pt idx="289">
                  <c:v>#N/A</c:v>
                </c:pt>
                <c:pt idx="290">
                  <c:v>#N/A</c:v>
                </c:pt>
                <c:pt idx="291">
                  <c:v>2216.44</c:v>
                </c:pt>
                <c:pt idx="292">
                  <c:v>#N/A</c:v>
                </c:pt>
                <c:pt idx="293">
                  <c:v>#N/A</c:v>
                </c:pt>
                <c:pt idx="294">
                  <c:v>#N/A</c:v>
                </c:pt>
                <c:pt idx="295">
                  <c:v>#N/A</c:v>
                </c:pt>
                <c:pt idx="296">
                  <c:v>#N/A</c:v>
                </c:pt>
                <c:pt idx="297">
                  <c:v>#N/A</c:v>
                </c:pt>
                <c:pt idx="298">
                  <c:v>2236.38</c:v>
                </c:pt>
                <c:pt idx="299">
                  <c:v>#N/A</c:v>
                </c:pt>
                <c:pt idx="300">
                  <c:v>#N/A</c:v>
                </c:pt>
                <c:pt idx="301">
                  <c:v>#N/A</c:v>
                </c:pt>
                <c:pt idx="302">
                  <c:v>#N/A</c:v>
                </c:pt>
                <c:pt idx="303">
                  <c:v>#N/A</c:v>
                </c:pt>
                <c:pt idx="304">
                  <c:v>#N/A</c:v>
                </c:pt>
                <c:pt idx="305">
                  <c:v>2224.27</c:v>
                </c:pt>
                <c:pt idx="306">
                  <c:v>#N/A</c:v>
                </c:pt>
                <c:pt idx="307">
                  <c:v>#N/A</c:v>
                </c:pt>
                <c:pt idx="308">
                  <c:v>#N/A</c:v>
                </c:pt>
                <c:pt idx="309">
                  <c:v>#N/A</c:v>
                </c:pt>
                <c:pt idx="310">
                  <c:v>#N/A</c:v>
                </c:pt>
                <c:pt idx="311">
                  <c:v>#N/A</c:v>
                </c:pt>
                <c:pt idx="312">
                  <c:v>2214.73</c:v>
                </c:pt>
                <c:pt idx="313">
                  <c:v>#N/A</c:v>
                </c:pt>
                <c:pt idx="314">
                  <c:v>#N/A</c:v>
                </c:pt>
                <c:pt idx="315">
                  <c:v>#N/A</c:v>
                </c:pt>
                <c:pt idx="316">
                  <c:v>#N/A</c:v>
                </c:pt>
                <c:pt idx="317">
                  <c:v>#N/A</c:v>
                </c:pt>
                <c:pt idx="318">
                  <c:v>#N/A</c:v>
                </c:pt>
                <c:pt idx="319">
                  <c:v>2215.8000000000002</c:v>
                </c:pt>
                <c:pt idx="320">
                  <c:v>#N/A</c:v>
                </c:pt>
                <c:pt idx="321">
                  <c:v>#N/A</c:v>
                </c:pt>
                <c:pt idx="322">
                  <c:v>#N/A</c:v>
                </c:pt>
                <c:pt idx="323">
                  <c:v>#N/A</c:v>
                </c:pt>
                <c:pt idx="324">
                  <c:v>#N/A</c:v>
                </c:pt>
                <c:pt idx="325">
                  <c:v>#N/A</c:v>
                </c:pt>
                <c:pt idx="326">
                  <c:v>2253.58</c:v>
                </c:pt>
                <c:pt idx="327">
                  <c:v>#N/A</c:v>
                </c:pt>
                <c:pt idx="328">
                  <c:v>#N/A</c:v>
                </c:pt>
                <c:pt idx="329">
                  <c:v>#N/A</c:v>
                </c:pt>
                <c:pt idx="330">
                  <c:v>#N/A</c:v>
                </c:pt>
                <c:pt idx="331">
                  <c:v>#N/A</c:v>
                </c:pt>
                <c:pt idx="332">
                  <c:v>#N/A</c:v>
                </c:pt>
                <c:pt idx="333">
                  <c:v>2251.36</c:v>
                </c:pt>
                <c:pt idx="334">
                  <c:v>#N/A</c:v>
                </c:pt>
                <c:pt idx="335">
                  <c:v>#N/A</c:v>
                </c:pt>
                <c:pt idx="336">
                  <c:v>#N/A</c:v>
                </c:pt>
                <c:pt idx="337">
                  <c:v>#N/A</c:v>
                </c:pt>
                <c:pt idx="338">
                  <c:v>#N/A</c:v>
                </c:pt>
                <c:pt idx="339">
                  <c:v>#N/A</c:v>
                </c:pt>
                <c:pt idx="340">
                  <c:v>2270.7399999999998</c:v>
                </c:pt>
                <c:pt idx="341">
                  <c:v>#N/A</c:v>
                </c:pt>
                <c:pt idx="342">
                  <c:v>#N/A</c:v>
                </c:pt>
                <c:pt idx="343">
                  <c:v>#N/A</c:v>
                </c:pt>
                <c:pt idx="344">
                  <c:v>#N/A</c:v>
                </c:pt>
                <c:pt idx="345">
                  <c:v>#N/A</c:v>
                </c:pt>
                <c:pt idx="346">
                  <c:v>#N/A</c:v>
                </c:pt>
                <c:pt idx="347">
                  <c:v>2322.27</c:v>
                </c:pt>
                <c:pt idx="348">
                  <c:v>#N/A</c:v>
                </c:pt>
                <c:pt idx="349">
                  <c:v>#N/A</c:v>
                </c:pt>
                <c:pt idx="350">
                  <c:v>#N/A</c:v>
                </c:pt>
                <c:pt idx="351">
                  <c:v>#N/A</c:v>
                </c:pt>
                <c:pt idx="352">
                  <c:v>#N/A</c:v>
                </c:pt>
                <c:pt idx="353">
                  <c:v>#N/A</c:v>
                </c:pt>
                <c:pt idx="354">
                  <c:v>2328.02</c:v>
                </c:pt>
                <c:pt idx="355">
                  <c:v>#N/A</c:v>
                </c:pt>
                <c:pt idx="356">
                  <c:v>#N/A</c:v>
                </c:pt>
                <c:pt idx="357">
                  <c:v>#N/A</c:v>
                </c:pt>
                <c:pt idx="358">
                  <c:v>#N/A</c:v>
                </c:pt>
                <c:pt idx="359">
                  <c:v>#N/A</c:v>
                </c:pt>
                <c:pt idx="360">
                  <c:v>#N/A</c:v>
                </c:pt>
                <c:pt idx="361">
                  <c:v>2340.98</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263E-4541-8F4F-0EB9B7B9BD50}"/>
            </c:ext>
          </c:extLst>
        </c:ser>
        <c:ser>
          <c:idx val="2"/>
          <c:order val="1"/>
          <c:tx>
            <c:strRef>
              <c:f>南华!$I$1</c:f>
              <c:strCache>
                <c:ptCount val="1"/>
                <c:pt idx="0">
                  <c:v>2020</c:v>
                </c:pt>
              </c:strCache>
            </c:strRef>
          </c:tx>
          <c:spPr>
            <a:ln w="28575">
              <a:solidFill>
                <a:srgbClr val="F8CBAD"/>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南华!$I$2:$I$366</c:f>
              <c:numCache>
                <c:formatCode>General</c:formatCode>
                <c:ptCount val="365"/>
                <c:pt idx="0">
                  <c:v>#N/A</c:v>
                </c:pt>
                <c:pt idx="1">
                  <c:v>#N/A</c:v>
                </c:pt>
                <c:pt idx="2">
                  <c:v>#N/A</c:v>
                </c:pt>
                <c:pt idx="3">
                  <c:v>2351.6</c:v>
                </c:pt>
                <c:pt idx="4">
                  <c:v>#N/A</c:v>
                </c:pt>
                <c:pt idx="5">
                  <c:v>#N/A</c:v>
                </c:pt>
                <c:pt idx="6">
                  <c:v>#N/A</c:v>
                </c:pt>
                <c:pt idx="7">
                  <c:v>#N/A</c:v>
                </c:pt>
                <c:pt idx="8">
                  <c:v>#N/A</c:v>
                </c:pt>
                <c:pt idx="9">
                  <c:v>#N/A</c:v>
                </c:pt>
                <c:pt idx="10">
                  <c:v>2362.9699999999998</c:v>
                </c:pt>
                <c:pt idx="11">
                  <c:v>#N/A</c:v>
                </c:pt>
                <c:pt idx="12">
                  <c:v>#N/A</c:v>
                </c:pt>
                <c:pt idx="13">
                  <c:v>#N/A</c:v>
                </c:pt>
                <c:pt idx="14">
                  <c:v>#N/A</c:v>
                </c:pt>
                <c:pt idx="15">
                  <c:v>#N/A</c:v>
                </c:pt>
                <c:pt idx="16">
                  <c:v>#N/A</c:v>
                </c:pt>
                <c:pt idx="17">
                  <c:v>2355.96</c:v>
                </c:pt>
                <c:pt idx="18">
                  <c:v>#N/A</c:v>
                </c:pt>
                <c:pt idx="19">
                  <c:v>#N/A</c:v>
                </c:pt>
                <c:pt idx="20">
                  <c:v>#N/A</c:v>
                </c:pt>
                <c:pt idx="21">
                  <c:v>#N/A</c:v>
                </c:pt>
                <c:pt idx="22">
                  <c:v>#N/A</c:v>
                </c:pt>
                <c:pt idx="23">
                  <c:v>#N/A</c:v>
                </c:pt>
                <c:pt idx="24">
                  <c:v>2291.4</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2166.89</c:v>
                </c:pt>
                <c:pt idx="39">
                  <c:v>#N/A</c:v>
                </c:pt>
                <c:pt idx="40">
                  <c:v>#N/A</c:v>
                </c:pt>
                <c:pt idx="41">
                  <c:v>#N/A</c:v>
                </c:pt>
                <c:pt idx="42">
                  <c:v>#N/A</c:v>
                </c:pt>
                <c:pt idx="43">
                  <c:v>#N/A</c:v>
                </c:pt>
                <c:pt idx="44">
                  <c:v>#N/A</c:v>
                </c:pt>
                <c:pt idx="45">
                  <c:v>2209.41</c:v>
                </c:pt>
                <c:pt idx="46">
                  <c:v>#N/A</c:v>
                </c:pt>
                <c:pt idx="47">
                  <c:v>#N/A</c:v>
                </c:pt>
                <c:pt idx="48">
                  <c:v>#N/A</c:v>
                </c:pt>
                <c:pt idx="49">
                  <c:v>#N/A</c:v>
                </c:pt>
                <c:pt idx="50">
                  <c:v>#N/A</c:v>
                </c:pt>
                <c:pt idx="51">
                  <c:v>#N/A</c:v>
                </c:pt>
                <c:pt idx="52">
                  <c:v>2244.0300000000002</c:v>
                </c:pt>
                <c:pt idx="53">
                  <c:v>#N/A</c:v>
                </c:pt>
                <c:pt idx="54">
                  <c:v>#N/A</c:v>
                </c:pt>
                <c:pt idx="55">
                  <c:v>#N/A</c:v>
                </c:pt>
                <c:pt idx="56">
                  <c:v>#N/A</c:v>
                </c:pt>
                <c:pt idx="57">
                  <c:v>#N/A</c:v>
                </c:pt>
                <c:pt idx="58">
                  <c:v>#N/A</c:v>
                </c:pt>
                <c:pt idx="59">
                  <c:v>2098.98</c:v>
                </c:pt>
                <c:pt idx="60">
                  <c:v>#N/A</c:v>
                </c:pt>
                <c:pt idx="61">
                  <c:v>#N/A</c:v>
                </c:pt>
                <c:pt idx="62">
                  <c:v>#N/A</c:v>
                </c:pt>
                <c:pt idx="63">
                  <c:v>#N/A</c:v>
                </c:pt>
                <c:pt idx="64">
                  <c:v>#N/A</c:v>
                </c:pt>
                <c:pt idx="65">
                  <c:v>#N/A</c:v>
                </c:pt>
                <c:pt idx="66">
                  <c:v>2143.6799999999998</c:v>
                </c:pt>
                <c:pt idx="67">
                  <c:v>#N/A</c:v>
                </c:pt>
                <c:pt idx="68">
                  <c:v>#N/A</c:v>
                </c:pt>
                <c:pt idx="69">
                  <c:v>#N/A</c:v>
                </c:pt>
                <c:pt idx="70">
                  <c:v>#N/A</c:v>
                </c:pt>
                <c:pt idx="71">
                  <c:v>#N/A</c:v>
                </c:pt>
                <c:pt idx="72">
                  <c:v>#N/A</c:v>
                </c:pt>
                <c:pt idx="73">
                  <c:v>2061.33</c:v>
                </c:pt>
                <c:pt idx="74">
                  <c:v>#N/A</c:v>
                </c:pt>
                <c:pt idx="75">
                  <c:v>#N/A</c:v>
                </c:pt>
                <c:pt idx="76">
                  <c:v>#N/A</c:v>
                </c:pt>
                <c:pt idx="77">
                  <c:v>#N/A</c:v>
                </c:pt>
                <c:pt idx="78">
                  <c:v>#N/A</c:v>
                </c:pt>
                <c:pt idx="79">
                  <c:v>#N/A</c:v>
                </c:pt>
                <c:pt idx="80">
                  <c:v>1948.82</c:v>
                </c:pt>
                <c:pt idx="81">
                  <c:v>#N/A</c:v>
                </c:pt>
                <c:pt idx="82">
                  <c:v>#N/A</c:v>
                </c:pt>
                <c:pt idx="83">
                  <c:v>#N/A</c:v>
                </c:pt>
                <c:pt idx="84">
                  <c:v>#N/A</c:v>
                </c:pt>
                <c:pt idx="85">
                  <c:v>#N/A</c:v>
                </c:pt>
                <c:pt idx="86">
                  <c:v>#N/A</c:v>
                </c:pt>
                <c:pt idx="87">
                  <c:v>1918.97</c:v>
                </c:pt>
                <c:pt idx="88">
                  <c:v>#N/A</c:v>
                </c:pt>
                <c:pt idx="89">
                  <c:v>#N/A</c:v>
                </c:pt>
                <c:pt idx="90">
                  <c:v>#N/A</c:v>
                </c:pt>
                <c:pt idx="91">
                  <c:v>#N/A</c:v>
                </c:pt>
                <c:pt idx="92">
                  <c:v>#N/A</c:v>
                </c:pt>
                <c:pt idx="93">
                  <c:v>#N/A</c:v>
                </c:pt>
                <c:pt idx="94">
                  <c:v>1928.11</c:v>
                </c:pt>
                <c:pt idx="95">
                  <c:v>#N/A</c:v>
                </c:pt>
                <c:pt idx="96">
                  <c:v>#N/A</c:v>
                </c:pt>
                <c:pt idx="97">
                  <c:v>#N/A</c:v>
                </c:pt>
                <c:pt idx="98">
                  <c:v>#N/A</c:v>
                </c:pt>
                <c:pt idx="99">
                  <c:v>#N/A</c:v>
                </c:pt>
                <c:pt idx="100">
                  <c:v>#N/A</c:v>
                </c:pt>
                <c:pt idx="101">
                  <c:v>2020.68</c:v>
                </c:pt>
                <c:pt idx="102">
                  <c:v>#N/A</c:v>
                </c:pt>
                <c:pt idx="103">
                  <c:v>#N/A</c:v>
                </c:pt>
                <c:pt idx="104">
                  <c:v>#N/A</c:v>
                </c:pt>
                <c:pt idx="105">
                  <c:v>#N/A</c:v>
                </c:pt>
                <c:pt idx="106">
                  <c:v>#N/A</c:v>
                </c:pt>
                <c:pt idx="107">
                  <c:v>#N/A</c:v>
                </c:pt>
                <c:pt idx="108">
                  <c:v>1997.48</c:v>
                </c:pt>
                <c:pt idx="109">
                  <c:v>#N/A</c:v>
                </c:pt>
                <c:pt idx="110">
                  <c:v>#N/A</c:v>
                </c:pt>
                <c:pt idx="111">
                  <c:v>#N/A</c:v>
                </c:pt>
                <c:pt idx="112">
                  <c:v>#N/A</c:v>
                </c:pt>
                <c:pt idx="113">
                  <c:v>#N/A</c:v>
                </c:pt>
                <c:pt idx="114">
                  <c:v>#N/A</c:v>
                </c:pt>
                <c:pt idx="115">
                  <c:v>1955.36</c:v>
                </c:pt>
                <c:pt idx="116">
                  <c:v>#N/A</c:v>
                </c:pt>
                <c:pt idx="117">
                  <c:v>#N/A</c:v>
                </c:pt>
                <c:pt idx="118">
                  <c:v>#N/A</c:v>
                </c:pt>
                <c:pt idx="119">
                  <c:v>#N/A</c:v>
                </c:pt>
                <c:pt idx="120">
                  <c:v>#N/A</c:v>
                </c:pt>
                <c:pt idx="121">
                  <c:v>#N/A</c:v>
                </c:pt>
                <c:pt idx="122">
                  <c:v>1971.12</c:v>
                </c:pt>
                <c:pt idx="123">
                  <c:v>#N/A</c:v>
                </c:pt>
                <c:pt idx="124">
                  <c:v>#N/A</c:v>
                </c:pt>
                <c:pt idx="125">
                  <c:v>#N/A</c:v>
                </c:pt>
                <c:pt idx="126">
                  <c:v>#N/A</c:v>
                </c:pt>
                <c:pt idx="127">
                  <c:v>#N/A</c:v>
                </c:pt>
                <c:pt idx="128">
                  <c:v>#N/A</c:v>
                </c:pt>
                <c:pt idx="129">
                  <c:v>2027.63</c:v>
                </c:pt>
                <c:pt idx="130">
                  <c:v>#N/A</c:v>
                </c:pt>
                <c:pt idx="131">
                  <c:v>#N/A</c:v>
                </c:pt>
                <c:pt idx="132">
                  <c:v>#N/A</c:v>
                </c:pt>
                <c:pt idx="133">
                  <c:v>#N/A</c:v>
                </c:pt>
                <c:pt idx="134">
                  <c:v>#N/A</c:v>
                </c:pt>
                <c:pt idx="135">
                  <c:v>#N/A</c:v>
                </c:pt>
                <c:pt idx="136">
                  <c:v>2038.63</c:v>
                </c:pt>
                <c:pt idx="137">
                  <c:v>#N/A</c:v>
                </c:pt>
                <c:pt idx="138">
                  <c:v>#N/A</c:v>
                </c:pt>
                <c:pt idx="139">
                  <c:v>#N/A</c:v>
                </c:pt>
                <c:pt idx="140">
                  <c:v>#N/A</c:v>
                </c:pt>
                <c:pt idx="141">
                  <c:v>#N/A</c:v>
                </c:pt>
                <c:pt idx="142">
                  <c:v>#N/A</c:v>
                </c:pt>
                <c:pt idx="143">
                  <c:v>2071.16</c:v>
                </c:pt>
                <c:pt idx="144">
                  <c:v>#N/A</c:v>
                </c:pt>
                <c:pt idx="145">
                  <c:v>#N/A</c:v>
                </c:pt>
                <c:pt idx="146">
                  <c:v>#N/A</c:v>
                </c:pt>
                <c:pt idx="147">
                  <c:v>#N/A</c:v>
                </c:pt>
                <c:pt idx="148">
                  <c:v>#N/A</c:v>
                </c:pt>
                <c:pt idx="149">
                  <c:v>#N/A</c:v>
                </c:pt>
                <c:pt idx="150">
                  <c:v>2116.6799999999998</c:v>
                </c:pt>
                <c:pt idx="151">
                  <c:v>#N/A</c:v>
                </c:pt>
                <c:pt idx="152">
                  <c:v>#N/A</c:v>
                </c:pt>
                <c:pt idx="153">
                  <c:v>#N/A</c:v>
                </c:pt>
                <c:pt idx="154">
                  <c:v>#N/A</c:v>
                </c:pt>
                <c:pt idx="155">
                  <c:v>#N/A</c:v>
                </c:pt>
                <c:pt idx="156">
                  <c:v>#N/A</c:v>
                </c:pt>
                <c:pt idx="157">
                  <c:v>2166.84</c:v>
                </c:pt>
                <c:pt idx="158">
                  <c:v>#N/A</c:v>
                </c:pt>
                <c:pt idx="159">
                  <c:v>#N/A</c:v>
                </c:pt>
                <c:pt idx="160">
                  <c:v>#N/A</c:v>
                </c:pt>
                <c:pt idx="161">
                  <c:v>#N/A</c:v>
                </c:pt>
                <c:pt idx="162">
                  <c:v>#N/A</c:v>
                </c:pt>
                <c:pt idx="163">
                  <c:v>#N/A</c:v>
                </c:pt>
                <c:pt idx="164">
                  <c:v>2151.11</c:v>
                </c:pt>
                <c:pt idx="165">
                  <c:v>#N/A</c:v>
                </c:pt>
                <c:pt idx="166">
                  <c:v>#N/A</c:v>
                </c:pt>
                <c:pt idx="167">
                  <c:v>#N/A</c:v>
                </c:pt>
                <c:pt idx="168">
                  <c:v>#N/A</c:v>
                </c:pt>
                <c:pt idx="169">
                  <c:v>#N/A</c:v>
                </c:pt>
                <c:pt idx="170">
                  <c:v>#N/A</c:v>
                </c:pt>
                <c:pt idx="171">
                  <c:v>2199.9</c:v>
                </c:pt>
                <c:pt idx="172">
                  <c:v>#N/A</c:v>
                </c:pt>
                <c:pt idx="173">
                  <c:v>#N/A</c:v>
                </c:pt>
                <c:pt idx="174">
                  <c:v>#N/A</c:v>
                </c:pt>
                <c:pt idx="175">
                  <c:v>#N/A</c:v>
                </c:pt>
                <c:pt idx="176">
                  <c:v>#N/A</c:v>
                </c:pt>
                <c:pt idx="177">
                  <c:v>#N/A</c:v>
                </c:pt>
                <c:pt idx="178">
                  <c:v>2190.31</c:v>
                </c:pt>
                <c:pt idx="179">
                  <c:v>#N/A</c:v>
                </c:pt>
                <c:pt idx="180">
                  <c:v>#N/A</c:v>
                </c:pt>
                <c:pt idx="181">
                  <c:v>#N/A</c:v>
                </c:pt>
                <c:pt idx="182">
                  <c:v>#N/A</c:v>
                </c:pt>
                <c:pt idx="183">
                  <c:v>#N/A</c:v>
                </c:pt>
                <c:pt idx="184">
                  <c:v>#N/A</c:v>
                </c:pt>
                <c:pt idx="185">
                  <c:v>2191.85</c:v>
                </c:pt>
                <c:pt idx="186">
                  <c:v>#N/A</c:v>
                </c:pt>
                <c:pt idx="187">
                  <c:v>#N/A</c:v>
                </c:pt>
                <c:pt idx="188">
                  <c:v>#N/A</c:v>
                </c:pt>
                <c:pt idx="189">
                  <c:v>#N/A</c:v>
                </c:pt>
                <c:pt idx="190">
                  <c:v>#N/A</c:v>
                </c:pt>
                <c:pt idx="191">
                  <c:v>#N/A</c:v>
                </c:pt>
                <c:pt idx="192">
                  <c:v>2211.69</c:v>
                </c:pt>
                <c:pt idx="193">
                  <c:v>#N/A</c:v>
                </c:pt>
                <c:pt idx="194">
                  <c:v>#N/A</c:v>
                </c:pt>
                <c:pt idx="195">
                  <c:v>#N/A</c:v>
                </c:pt>
                <c:pt idx="196">
                  <c:v>#N/A</c:v>
                </c:pt>
                <c:pt idx="197">
                  <c:v>#N/A</c:v>
                </c:pt>
                <c:pt idx="198">
                  <c:v>#N/A</c:v>
                </c:pt>
                <c:pt idx="199">
                  <c:v>2235.16</c:v>
                </c:pt>
                <c:pt idx="200">
                  <c:v>#N/A</c:v>
                </c:pt>
                <c:pt idx="201">
                  <c:v>#N/A</c:v>
                </c:pt>
                <c:pt idx="202">
                  <c:v>#N/A</c:v>
                </c:pt>
                <c:pt idx="203">
                  <c:v>#N/A</c:v>
                </c:pt>
                <c:pt idx="204">
                  <c:v>#N/A</c:v>
                </c:pt>
                <c:pt idx="205">
                  <c:v>#N/A</c:v>
                </c:pt>
                <c:pt idx="206">
                  <c:v>2233.9699999999998</c:v>
                </c:pt>
                <c:pt idx="207">
                  <c:v>#N/A</c:v>
                </c:pt>
                <c:pt idx="208">
                  <c:v>#N/A</c:v>
                </c:pt>
                <c:pt idx="209">
                  <c:v>#N/A</c:v>
                </c:pt>
                <c:pt idx="210">
                  <c:v>#N/A</c:v>
                </c:pt>
                <c:pt idx="211">
                  <c:v>#N/A</c:v>
                </c:pt>
                <c:pt idx="212">
                  <c:v>#N/A</c:v>
                </c:pt>
                <c:pt idx="213">
                  <c:v>2250.1</c:v>
                </c:pt>
                <c:pt idx="214">
                  <c:v>#N/A</c:v>
                </c:pt>
                <c:pt idx="215">
                  <c:v>#N/A</c:v>
                </c:pt>
                <c:pt idx="216">
                  <c:v>#N/A</c:v>
                </c:pt>
                <c:pt idx="217">
                  <c:v>#N/A</c:v>
                </c:pt>
                <c:pt idx="218">
                  <c:v>#N/A</c:v>
                </c:pt>
                <c:pt idx="219">
                  <c:v>#N/A</c:v>
                </c:pt>
                <c:pt idx="220">
                  <c:v>2280.16</c:v>
                </c:pt>
                <c:pt idx="221">
                  <c:v>#N/A</c:v>
                </c:pt>
                <c:pt idx="222">
                  <c:v>#N/A</c:v>
                </c:pt>
                <c:pt idx="223">
                  <c:v>#N/A</c:v>
                </c:pt>
                <c:pt idx="224">
                  <c:v>#N/A</c:v>
                </c:pt>
                <c:pt idx="225">
                  <c:v>#N/A</c:v>
                </c:pt>
                <c:pt idx="226">
                  <c:v>#N/A</c:v>
                </c:pt>
                <c:pt idx="227">
                  <c:v>2267.69</c:v>
                </c:pt>
                <c:pt idx="228">
                  <c:v>#N/A</c:v>
                </c:pt>
                <c:pt idx="229">
                  <c:v>#N/A</c:v>
                </c:pt>
                <c:pt idx="230">
                  <c:v>#N/A</c:v>
                </c:pt>
                <c:pt idx="231">
                  <c:v>#N/A</c:v>
                </c:pt>
                <c:pt idx="232">
                  <c:v>#N/A</c:v>
                </c:pt>
                <c:pt idx="233">
                  <c:v>#N/A</c:v>
                </c:pt>
                <c:pt idx="234">
                  <c:v>2272.91</c:v>
                </c:pt>
                <c:pt idx="235">
                  <c:v>#N/A</c:v>
                </c:pt>
                <c:pt idx="236">
                  <c:v>#N/A</c:v>
                </c:pt>
                <c:pt idx="237">
                  <c:v>#N/A</c:v>
                </c:pt>
                <c:pt idx="238">
                  <c:v>#N/A</c:v>
                </c:pt>
                <c:pt idx="239">
                  <c:v>#N/A</c:v>
                </c:pt>
                <c:pt idx="240">
                  <c:v>#N/A</c:v>
                </c:pt>
                <c:pt idx="241">
                  <c:v>2299.69</c:v>
                </c:pt>
                <c:pt idx="242">
                  <c:v>#N/A</c:v>
                </c:pt>
                <c:pt idx="243">
                  <c:v>#N/A</c:v>
                </c:pt>
                <c:pt idx="244">
                  <c:v>#N/A</c:v>
                </c:pt>
                <c:pt idx="245">
                  <c:v>#N/A</c:v>
                </c:pt>
                <c:pt idx="246">
                  <c:v>#N/A</c:v>
                </c:pt>
                <c:pt idx="247">
                  <c:v>#N/A</c:v>
                </c:pt>
                <c:pt idx="248">
                  <c:v>2304.4299999999998</c:v>
                </c:pt>
                <c:pt idx="249">
                  <c:v>#N/A</c:v>
                </c:pt>
                <c:pt idx="250">
                  <c:v>#N/A</c:v>
                </c:pt>
                <c:pt idx="251">
                  <c:v>#N/A</c:v>
                </c:pt>
                <c:pt idx="252">
                  <c:v>#N/A</c:v>
                </c:pt>
                <c:pt idx="253">
                  <c:v>#N/A</c:v>
                </c:pt>
                <c:pt idx="254">
                  <c:v>#N/A</c:v>
                </c:pt>
                <c:pt idx="255">
                  <c:v>2208.3000000000002</c:v>
                </c:pt>
                <c:pt idx="256">
                  <c:v>#N/A</c:v>
                </c:pt>
                <c:pt idx="257">
                  <c:v>#N/A</c:v>
                </c:pt>
                <c:pt idx="258">
                  <c:v>#N/A</c:v>
                </c:pt>
                <c:pt idx="259">
                  <c:v>#N/A</c:v>
                </c:pt>
                <c:pt idx="260">
                  <c:v>#N/A</c:v>
                </c:pt>
                <c:pt idx="261">
                  <c:v>#N/A</c:v>
                </c:pt>
                <c:pt idx="262">
                  <c:v>2237.1</c:v>
                </c:pt>
                <c:pt idx="263">
                  <c:v>#N/A</c:v>
                </c:pt>
                <c:pt idx="264">
                  <c:v>#N/A</c:v>
                </c:pt>
                <c:pt idx="265">
                  <c:v>#N/A</c:v>
                </c:pt>
                <c:pt idx="266">
                  <c:v>#N/A</c:v>
                </c:pt>
                <c:pt idx="267">
                  <c:v>#N/A</c:v>
                </c:pt>
                <c:pt idx="268">
                  <c:v>#N/A</c:v>
                </c:pt>
                <c:pt idx="269">
                  <c:v>2170.59</c:v>
                </c:pt>
                <c:pt idx="270">
                  <c:v>#N/A</c:v>
                </c:pt>
                <c:pt idx="271">
                  <c:v>#N/A</c:v>
                </c:pt>
                <c:pt idx="272">
                  <c:v>#N/A</c:v>
                </c:pt>
                <c:pt idx="273">
                  <c:v>#N/A</c:v>
                </c:pt>
                <c:pt idx="274">
                  <c:v>#N/A</c:v>
                </c:pt>
                <c:pt idx="275">
                  <c:v>#N/A</c:v>
                </c:pt>
                <c:pt idx="276">
                  <c:v>2165.1799999999998</c:v>
                </c:pt>
                <c:pt idx="277">
                  <c:v>#N/A</c:v>
                </c:pt>
                <c:pt idx="278">
                  <c:v>#N/A</c:v>
                </c:pt>
                <c:pt idx="279">
                  <c:v>#N/A</c:v>
                </c:pt>
                <c:pt idx="280">
                  <c:v>#N/A</c:v>
                </c:pt>
                <c:pt idx="281">
                  <c:v>#N/A</c:v>
                </c:pt>
                <c:pt idx="282">
                  <c:v>#N/A</c:v>
                </c:pt>
                <c:pt idx="283">
                  <c:v>2225.67</c:v>
                </c:pt>
                <c:pt idx="284">
                  <c:v>#N/A</c:v>
                </c:pt>
                <c:pt idx="285">
                  <c:v>#N/A</c:v>
                </c:pt>
                <c:pt idx="286">
                  <c:v>#N/A</c:v>
                </c:pt>
                <c:pt idx="287">
                  <c:v>#N/A</c:v>
                </c:pt>
                <c:pt idx="288">
                  <c:v>#N/A</c:v>
                </c:pt>
                <c:pt idx="289">
                  <c:v>#N/A</c:v>
                </c:pt>
                <c:pt idx="290">
                  <c:v>2232.08</c:v>
                </c:pt>
                <c:pt idx="291">
                  <c:v>#N/A</c:v>
                </c:pt>
                <c:pt idx="292">
                  <c:v>#N/A</c:v>
                </c:pt>
                <c:pt idx="293">
                  <c:v>#N/A</c:v>
                </c:pt>
                <c:pt idx="294">
                  <c:v>#N/A</c:v>
                </c:pt>
                <c:pt idx="295">
                  <c:v>#N/A</c:v>
                </c:pt>
                <c:pt idx="296">
                  <c:v>#N/A</c:v>
                </c:pt>
                <c:pt idx="297">
                  <c:v>2229.89</c:v>
                </c:pt>
                <c:pt idx="298">
                  <c:v>#N/A</c:v>
                </c:pt>
                <c:pt idx="299">
                  <c:v>#N/A</c:v>
                </c:pt>
                <c:pt idx="300">
                  <c:v>#N/A</c:v>
                </c:pt>
                <c:pt idx="301">
                  <c:v>#N/A</c:v>
                </c:pt>
                <c:pt idx="302">
                  <c:v>#N/A</c:v>
                </c:pt>
                <c:pt idx="303">
                  <c:v>#N/A</c:v>
                </c:pt>
                <c:pt idx="304">
                  <c:v>2160.9499999999998</c:v>
                </c:pt>
                <c:pt idx="305">
                  <c:v>#N/A</c:v>
                </c:pt>
                <c:pt idx="306">
                  <c:v>#N/A</c:v>
                </c:pt>
                <c:pt idx="307">
                  <c:v>#N/A</c:v>
                </c:pt>
                <c:pt idx="308">
                  <c:v>#N/A</c:v>
                </c:pt>
                <c:pt idx="309">
                  <c:v>#N/A</c:v>
                </c:pt>
                <c:pt idx="310">
                  <c:v>#N/A</c:v>
                </c:pt>
                <c:pt idx="311">
                  <c:v>2188.46</c:v>
                </c:pt>
                <c:pt idx="312">
                  <c:v>#N/A</c:v>
                </c:pt>
                <c:pt idx="313">
                  <c:v>#N/A</c:v>
                </c:pt>
                <c:pt idx="314">
                  <c:v>#N/A</c:v>
                </c:pt>
                <c:pt idx="315">
                  <c:v>#N/A</c:v>
                </c:pt>
                <c:pt idx="316">
                  <c:v>#N/A</c:v>
                </c:pt>
                <c:pt idx="317">
                  <c:v>#N/A</c:v>
                </c:pt>
                <c:pt idx="318">
                  <c:v>2263.16</c:v>
                </c:pt>
                <c:pt idx="319">
                  <c:v>#N/A</c:v>
                </c:pt>
                <c:pt idx="320">
                  <c:v>#N/A</c:v>
                </c:pt>
                <c:pt idx="321">
                  <c:v>#N/A</c:v>
                </c:pt>
                <c:pt idx="322">
                  <c:v>#N/A</c:v>
                </c:pt>
                <c:pt idx="323">
                  <c:v>#N/A</c:v>
                </c:pt>
                <c:pt idx="324">
                  <c:v>#N/A</c:v>
                </c:pt>
                <c:pt idx="325">
                  <c:v>2317.21</c:v>
                </c:pt>
                <c:pt idx="326">
                  <c:v>#N/A</c:v>
                </c:pt>
                <c:pt idx="327">
                  <c:v>#N/A</c:v>
                </c:pt>
                <c:pt idx="328">
                  <c:v>#N/A</c:v>
                </c:pt>
                <c:pt idx="329">
                  <c:v>#N/A</c:v>
                </c:pt>
                <c:pt idx="330">
                  <c:v>#N/A</c:v>
                </c:pt>
                <c:pt idx="331">
                  <c:v>#N/A</c:v>
                </c:pt>
                <c:pt idx="332">
                  <c:v>2406.48</c:v>
                </c:pt>
                <c:pt idx="333">
                  <c:v>#N/A</c:v>
                </c:pt>
                <c:pt idx="334">
                  <c:v>#N/A</c:v>
                </c:pt>
                <c:pt idx="335">
                  <c:v>#N/A</c:v>
                </c:pt>
                <c:pt idx="336">
                  <c:v>#N/A</c:v>
                </c:pt>
                <c:pt idx="337">
                  <c:v>#N/A</c:v>
                </c:pt>
                <c:pt idx="338">
                  <c:v>#N/A</c:v>
                </c:pt>
                <c:pt idx="339">
                  <c:v>2446.02</c:v>
                </c:pt>
                <c:pt idx="340">
                  <c:v>#N/A</c:v>
                </c:pt>
                <c:pt idx="341">
                  <c:v>#N/A</c:v>
                </c:pt>
                <c:pt idx="342">
                  <c:v>#N/A</c:v>
                </c:pt>
                <c:pt idx="343">
                  <c:v>#N/A</c:v>
                </c:pt>
                <c:pt idx="344">
                  <c:v>#N/A</c:v>
                </c:pt>
                <c:pt idx="345">
                  <c:v>#N/A</c:v>
                </c:pt>
                <c:pt idx="346">
                  <c:v>2513.1</c:v>
                </c:pt>
                <c:pt idx="347">
                  <c:v>#N/A</c:v>
                </c:pt>
                <c:pt idx="348">
                  <c:v>#N/A</c:v>
                </c:pt>
                <c:pt idx="349">
                  <c:v>#N/A</c:v>
                </c:pt>
                <c:pt idx="350">
                  <c:v>#N/A</c:v>
                </c:pt>
                <c:pt idx="351">
                  <c:v>#N/A</c:v>
                </c:pt>
                <c:pt idx="352">
                  <c:v>#N/A</c:v>
                </c:pt>
                <c:pt idx="353">
                  <c:v>2623.4</c:v>
                </c:pt>
                <c:pt idx="354">
                  <c:v>#N/A</c:v>
                </c:pt>
                <c:pt idx="355">
                  <c:v>#N/A</c:v>
                </c:pt>
                <c:pt idx="356">
                  <c:v>#N/A</c:v>
                </c:pt>
                <c:pt idx="357">
                  <c:v>#N/A</c:v>
                </c:pt>
                <c:pt idx="358">
                  <c:v>#N/A</c:v>
                </c:pt>
                <c:pt idx="359">
                  <c:v>#N/A</c:v>
                </c:pt>
                <c:pt idx="360">
                  <c:v>2604.1</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263E-4541-8F4F-0EB9B7B9BD50}"/>
            </c:ext>
          </c:extLst>
        </c:ser>
        <c:ser>
          <c:idx val="1"/>
          <c:order val="2"/>
          <c:tx>
            <c:strRef>
              <c:f>南华!$J$1</c:f>
              <c:strCache>
                <c:ptCount val="1"/>
                <c:pt idx="0">
                  <c:v>2021</c:v>
                </c:pt>
              </c:strCache>
            </c:strRef>
          </c:tx>
          <c:spPr>
            <a:ln w="28575">
              <a:solidFill>
                <a:srgbClr val="BF5711"/>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南华!$J$2:$J$366</c:f>
              <c:numCache>
                <c:formatCode>General</c:formatCode>
                <c:ptCount val="365"/>
                <c:pt idx="0">
                  <c:v>#N/A</c:v>
                </c:pt>
                <c:pt idx="1">
                  <c:v>2550.4899999999998</c:v>
                </c:pt>
                <c:pt idx="2">
                  <c:v>#N/A</c:v>
                </c:pt>
                <c:pt idx="3">
                  <c:v>#N/A</c:v>
                </c:pt>
                <c:pt idx="4">
                  <c:v>#N/A</c:v>
                </c:pt>
                <c:pt idx="5">
                  <c:v>#N/A</c:v>
                </c:pt>
                <c:pt idx="6">
                  <c:v>#N/A</c:v>
                </c:pt>
                <c:pt idx="7">
                  <c:v>#N/A</c:v>
                </c:pt>
                <c:pt idx="8">
                  <c:v>2690.36</c:v>
                </c:pt>
                <c:pt idx="9">
                  <c:v>#N/A</c:v>
                </c:pt>
                <c:pt idx="10">
                  <c:v>#N/A</c:v>
                </c:pt>
                <c:pt idx="11">
                  <c:v>#N/A</c:v>
                </c:pt>
                <c:pt idx="12">
                  <c:v>#N/A</c:v>
                </c:pt>
                <c:pt idx="13">
                  <c:v>#N/A</c:v>
                </c:pt>
                <c:pt idx="14">
                  <c:v>#N/A</c:v>
                </c:pt>
                <c:pt idx="15">
                  <c:v>2641.58</c:v>
                </c:pt>
                <c:pt idx="16">
                  <c:v>#N/A</c:v>
                </c:pt>
                <c:pt idx="17">
                  <c:v>#N/A</c:v>
                </c:pt>
                <c:pt idx="18">
                  <c:v>#N/A</c:v>
                </c:pt>
                <c:pt idx="19">
                  <c:v>#N/A</c:v>
                </c:pt>
                <c:pt idx="20">
                  <c:v>#N/A</c:v>
                </c:pt>
                <c:pt idx="21">
                  <c:v>#N/A</c:v>
                </c:pt>
                <c:pt idx="22">
                  <c:v>2613.9</c:v>
                </c:pt>
                <c:pt idx="23">
                  <c:v>#N/A</c:v>
                </c:pt>
                <c:pt idx="24">
                  <c:v>#N/A</c:v>
                </c:pt>
                <c:pt idx="25">
                  <c:v>#N/A</c:v>
                </c:pt>
                <c:pt idx="26">
                  <c:v>#N/A</c:v>
                </c:pt>
                <c:pt idx="27">
                  <c:v>#N/A</c:v>
                </c:pt>
                <c:pt idx="28">
                  <c:v>#N/A</c:v>
                </c:pt>
                <c:pt idx="29">
                  <c:v>2578.96</c:v>
                </c:pt>
                <c:pt idx="30">
                  <c:v>#N/A</c:v>
                </c:pt>
                <c:pt idx="31">
                  <c:v>#N/A</c:v>
                </c:pt>
                <c:pt idx="32">
                  <c:v>#N/A</c:v>
                </c:pt>
                <c:pt idx="33">
                  <c:v>#N/A</c:v>
                </c:pt>
                <c:pt idx="34">
                  <c:v>#N/A</c:v>
                </c:pt>
                <c:pt idx="35">
                  <c:v>#N/A</c:v>
                </c:pt>
                <c:pt idx="36">
                  <c:v>2643.67</c:v>
                </c:pt>
                <c:pt idx="37">
                  <c:v>#N/A</c:v>
                </c:pt>
                <c:pt idx="38">
                  <c:v>#N/A</c:v>
                </c:pt>
                <c:pt idx="39">
                  <c:v>#N/A</c:v>
                </c:pt>
                <c:pt idx="40">
                  <c:v>#N/A</c:v>
                </c:pt>
                <c:pt idx="41">
                  <c:v>#N/A</c:v>
                </c:pt>
                <c:pt idx="42">
                  <c:v>#N/A</c:v>
                </c:pt>
                <c:pt idx="43">
                  <c:v>2694.97</c:v>
                </c:pt>
                <c:pt idx="44">
                  <c:v>#N/A</c:v>
                </c:pt>
                <c:pt idx="45">
                  <c:v>#N/A</c:v>
                </c:pt>
                <c:pt idx="46">
                  <c:v>#N/A</c:v>
                </c:pt>
                <c:pt idx="47">
                  <c:v>#N/A</c:v>
                </c:pt>
                <c:pt idx="48">
                  <c:v>#N/A</c:v>
                </c:pt>
                <c:pt idx="49">
                  <c:v>#N/A</c:v>
                </c:pt>
                <c:pt idx="50">
                  <c:v>2833.05</c:v>
                </c:pt>
                <c:pt idx="51">
                  <c:v>#N/A</c:v>
                </c:pt>
                <c:pt idx="52">
                  <c:v>#N/A</c:v>
                </c:pt>
                <c:pt idx="53">
                  <c:v>#N/A</c:v>
                </c:pt>
                <c:pt idx="54">
                  <c:v>#N/A</c:v>
                </c:pt>
                <c:pt idx="55">
                  <c:v>#N/A</c:v>
                </c:pt>
                <c:pt idx="56">
                  <c:v>#N/A</c:v>
                </c:pt>
                <c:pt idx="57">
                  <c:v>2914.95</c:v>
                </c:pt>
                <c:pt idx="58">
                  <c:v>#N/A</c:v>
                </c:pt>
                <c:pt idx="59">
                  <c:v>#N/A</c:v>
                </c:pt>
                <c:pt idx="60">
                  <c:v>#N/A</c:v>
                </c:pt>
                <c:pt idx="61">
                  <c:v>#N/A</c:v>
                </c:pt>
                <c:pt idx="62">
                  <c:v>#N/A</c:v>
                </c:pt>
                <c:pt idx="63">
                  <c:v>#N/A</c:v>
                </c:pt>
                <c:pt idx="64">
                  <c:v>2879.6</c:v>
                </c:pt>
                <c:pt idx="65">
                  <c:v>#N/A</c:v>
                </c:pt>
                <c:pt idx="66">
                  <c:v>#N/A</c:v>
                </c:pt>
                <c:pt idx="67">
                  <c:v>#N/A</c:v>
                </c:pt>
                <c:pt idx="68">
                  <c:v>#N/A</c:v>
                </c:pt>
                <c:pt idx="69">
                  <c:v>#N/A</c:v>
                </c:pt>
                <c:pt idx="70">
                  <c:v>#N/A</c:v>
                </c:pt>
                <c:pt idx="71">
                  <c:v>2846.88</c:v>
                </c:pt>
                <c:pt idx="72">
                  <c:v>#N/A</c:v>
                </c:pt>
                <c:pt idx="73">
                  <c:v>#N/A</c:v>
                </c:pt>
                <c:pt idx="74">
                  <c:v>#N/A</c:v>
                </c:pt>
                <c:pt idx="75">
                  <c:v>#N/A</c:v>
                </c:pt>
                <c:pt idx="76">
                  <c:v>#N/A</c:v>
                </c:pt>
                <c:pt idx="77">
                  <c:v>#N/A</c:v>
                </c:pt>
                <c:pt idx="78">
                  <c:v>2748.48</c:v>
                </c:pt>
                <c:pt idx="79">
                  <c:v>#N/A</c:v>
                </c:pt>
                <c:pt idx="80">
                  <c:v>#N/A</c:v>
                </c:pt>
                <c:pt idx="81">
                  <c:v>#N/A</c:v>
                </c:pt>
                <c:pt idx="82">
                  <c:v>#N/A</c:v>
                </c:pt>
                <c:pt idx="83">
                  <c:v>#N/A</c:v>
                </c:pt>
                <c:pt idx="84">
                  <c:v>#N/A</c:v>
                </c:pt>
                <c:pt idx="85">
                  <c:v>2784.75</c:v>
                </c:pt>
                <c:pt idx="86">
                  <c:v>#N/A</c:v>
                </c:pt>
                <c:pt idx="87">
                  <c:v>#N/A</c:v>
                </c:pt>
                <c:pt idx="88">
                  <c:v>#N/A</c:v>
                </c:pt>
                <c:pt idx="89">
                  <c:v>#N/A</c:v>
                </c:pt>
                <c:pt idx="90">
                  <c:v>#N/A</c:v>
                </c:pt>
                <c:pt idx="91">
                  <c:v>#N/A</c:v>
                </c:pt>
                <c:pt idx="92">
                  <c:v>2871.89</c:v>
                </c:pt>
                <c:pt idx="93">
                  <c:v>#N/A</c:v>
                </c:pt>
                <c:pt idx="94">
                  <c:v>#N/A</c:v>
                </c:pt>
                <c:pt idx="95">
                  <c:v>#N/A</c:v>
                </c:pt>
                <c:pt idx="96">
                  <c:v>#N/A</c:v>
                </c:pt>
                <c:pt idx="97">
                  <c:v>#N/A</c:v>
                </c:pt>
                <c:pt idx="98">
                  <c:v>#N/A</c:v>
                </c:pt>
                <c:pt idx="99">
                  <c:v>2818</c:v>
                </c:pt>
                <c:pt idx="100">
                  <c:v>#N/A</c:v>
                </c:pt>
                <c:pt idx="101">
                  <c:v>#N/A</c:v>
                </c:pt>
                <c:pt idx="102">
                  <c:v>#N/A</c:v>
                </c:pt>
                <c:pt idx="103">
                  <c:v>#N/A</c:v>
                </c:pt>
                <c:pt idx="104">
                  <c:v>#N/A</c:v>
                </c:pt>
                <c:pt idx="105">
                  <c:v>#N/A</c:v>
                </c:pt>
                <c:pt idx="106">
                  <c:v>2926.49</c:v>
                </c:pt>
                <c:pt idx="107">
                  <c:v>#N/A</c:v>
                </c:pt>
                <c:pt idx="108">
                  <c:v>#N/A</c:v>
                </c:pt>
                <c:pt idx="109">
                  <c:v>#N/A</c:v>
                </c:pt>
                <c:pt idx="110">
                  <c:v>#N/A</c:v>
                </c:pt>
                <c:pt idx="111">
                  <c:v>#N/A</c:v>
                </c:pt>
                <c:pt idx="112">
                  <c:v>#N/A</c:v>
                </c:pt>
                <c:pt idx="113">
                  <c:v>2921.81</c:v>
                </c:pt>
                <c:pt idx="114">
                  <c:v>#N/A</c:v>
                </c:pt>
                <c:pt idx="115">
                  <c:v>#N/A</c:v>
                </c:pt>
                <c:pt idx="116">
                  <c:v>#N/A</c:v>
                </c:pt>
                <c:pt idx="117">
                  <c:v>#N/A</c:v>
                </c:pt>
                <c:pt idx="118">
                  <c:v>#N/A</c:v>
                </c:pt>
                <c:pt idx="119">
                  <c:v>#N/A</c:v>
                </c:pt>
                <c:pt idx="120">
                  <c:v>2997.89</c:v>
                </c:pt>
                <c:pt idx="121">
                  <c:v>#N/A</c:v>
                </c:pt>
                <c:pt idx="122">
                  <c:v>#N/A</c:v>
                </c:pt>
                <c:pt idx="123">
                  <c:v>#N/A</c:v>
                </c:pt>
                <c:pt idx="124">
                  <c:v>#N/A</c:v>
                </c:pt>
                <c:pt idx="125">
                  <c:v>#N/A</c:v>
                </c:pt>
                <c:pt idx="126">
                  <c:v>#N/A</c:v>
                </c:pt>
                <c:pt idx="127">
                  <c:v>3144.5</c:v>
                </c:pt>
                <c:pt idx="128">
                  <c:v>#N/A</c:v>
                </c:pt>
                <c:pt idx="129">
                  <c:v>#N/A</c:v>
                </c:pt>
                <c:pt idx="130">
                  <c:v>#N/A</c:v>
                </c:pt>
                <c:pt idx="131">
                  <c:v>#N/A</c:v>
                </c:pt>
                <c:pt idx="132">
                  <c:v>#N/A</c:v>
                </c:pt>
                <c:pt idx="133">
                  <c:v>#N/A</c:v>
                </c:pt>
                <c:pt idx="134">
                  <c:v>3052.2</c:v>
                </c:pt>
                <c:pt idx="135">
                  <c:v>#N/A</c:v>
                </c:pt>
                <c:pt idx="136">
                  <c:v>#N/A</c:v>
                </c:pt>
                <c:pt idx="137">
                  <c:v>#N/A</c:v>
                </c:pt>
                <c:pt idx="138">
                  <c:v>#N/A</c:v>
                </c:pt>
                <c:pt idx="139">
                  <c:v>#N/A</c:v>
                </c:pt>
                <c:pt idx="140">
                  <c:v>#N/A</c:v>
                </c:pt>
                <c:pt idx="141">
                  <c:v>2914.64</c:v>
                </c:pt>
                <c:pt idx="142">
                  <c:v>#N/A</c:v>
                </c:pt>
                <c:pt idx="143">
                  <c:v>#N/A</c:v>
                </c:pt>
                <c:pt idx="144">
                  <c:v>#N/A</c:v>
                </c:pt>
                <c:pt idx="145">
                  <c:v>#N/A</c:v>
                </c:pt>
                <c:pt idx="146">
                  <c:v>#N/A</c:v>
                </c:pt>
                <c:pt idx="147">
                  <c:v>#N/A</c:v>
                </c:pt>
                <c:pt idx="148">
                  <c:v>#N/A</c:v>
                </c:pt>
                <c:pt idx="149">
                  <c:v>#N/A</c:v>
                </c:pt>
                <c:pt idx="150">
                  <c:v>#N/A</c:v>
                </c:pt>
                <c:pt idx="151">
                  <c:v>#N/A</c:v>
                </c:pt>
                <c:pt idx="152">
                  <c:v>#N/A</c:v>
                </c:pt>
                <c:pt idx="153">
                  <c:v>#N/A</c:v>
                </c:pt>
                <c:pt idx="154">
                  <c:v>#N/A</c:v>
                </c:pt>
                <c:pt idx="155">
                  <c:v>#N/A</c:v>
                </c:pt>
                <c:pt idx="156">
                  <c:v>#N/A</c:v>
                </c:pt>
                <c:pt idx="157">
                  <c:v>#N/A</c:v>
                </c:pt>
                <c:pt idx="158">
                  <c:v>#N/A</c:v>
                </c:pt>
                <c:pt idx="159">
                  <c:v>#N/A</c:v>
                </c:pt>
                <c:pt idx="160">
                  <c:v>#N/A</c:v>
                </c:pt>
                <c:pt idx="161">
                  <c:v>#N/A</c:v>
                </c:pt>
                <c:pt idx="162">
                  <c:v>#N/A</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263E-4541-8F4F-0EB9B7B9BD50}"/>
            </c:ext>
          </c:extLst>
        </c:ser>
        <c:dLbls>
          <c:showLegendKey val="0"/>
          <c:showVal val="0"/>
          <c:showCatName val="0"/>
          <c:showSerName val="0"/>
          <c:showPercent val="0"/>
          <c:showBubbleSize val="0"/>
        </c:dLbls>
        <c:marker val="1"/>
        <c:smooth val="0"/>
        <c:axId val="345450368"/>
        <c:axId val="345451904"/>
      </c:lineChart>
      <c:dateAx>
        <c:axId val="345450368"/>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45451904"/>
        <c:crosses val="autoZero"/>
        <c:auto val="0"/>
        <c:lblOffset val="0"/>
        <c:baseTimeUnit val="days"/>
        <c:majorUnit val="1"/>
        <c:majorTimeUnit val="months"/>
      </c:dateAx>
      <c:valAx>
        <c:axId val="345451904"/>
        <c:scaling>
          <c:orientation val="minMax"/>
          <c:min val="170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45450368"/>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水泥!$H$1</c:f>
              <c:strCache>
                <c:ptCount val="1"/>
                <c:pt idx="0">
                  <c:v>2019</c:v>
                </c:pt>
              </c:strCache>
            </c:strRef>
          </c:tx>
          <c:spPr>
            <a:ln w="28575">
              <a:solidFill>
                <a:srgbClr val="E7E6E6">
                  <a:lumMod val="75000"/>
                </a:srgbClr>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水泥!$H$2:$H$366</c:f>
              <c:numCache>
                <c:formatCode>General</c:formatCode>
                <c:ptCount val="365"/>
                <c:pt idx="0">
                  <c:v>#N/A</c:v>
                </c:pt>
                <c:pt idx="1">
                  <c:v>161.68</c:v>
                </c:pt>
                <c:pt idx="2">
                  <c:v>161.56</c:v>
                </c:pt>
                <c:pt idx="3">
                  <c:v>161.36000000000001</c:v>
                </c:pt>
                <c:pt idx="4">
                  <c:v>#N/A</c:v>
                </c:pt>
                <c:pt idx="5">
                  <c:v>#N/A</c:v>
                </c:pt>
                <c:pt idx="6">
                  <c:v>156.93</c:v>
                </c:pt>
                <c:pt idx="7">
                  <c:v>155.94999999999999</c:v>
                </c:pt>
                <c:pt idx="8">
                  <c:v>155.59</c:v>
                </c:pt>
                <c:pt idx="9">
                  <c:v>155.55000000000001</c:v>
                </c:pt>
                <c:pt idx="10">
                  <c:v>155.54</c:v>
                </c:pt>
                <c:pt idx="11">
                  <c:v>#N/A</c:v>
                </c:pt>
                <c:pt idx="12">
                  <c:v>#N/A</c:v>
                </c:pt>
                <c:pt idx="13">
                  <c:v>155.22999999999999</c:v>
                </c:pt>
                <c:pt idx="14">
                  <c:v>155.13999999999999</c:v>
                </c:pt>
                <c:pt idx="15">
                  <c:v>154.21</c:v>
                </c:pt>
                <c:pt idx="16">
                  <c:v>153.81</c:v>
                </c:pt>
                <c:pt idx="17">
                  <c:v>153.62</c:v>
                </c:pt>
                <c:pt idx="18">
                  <c:v>#N/A</c:v>
                </c:pt>
                <c:pt idx="19">
                  <c:v>#N/A</c:v>
                </c:pt>
                <c:pt idx="20">
                  <c:v>153.5</c:v>
                </c:pt>
                <c:pt idx="21">
                  <c:v>153.5</c:v>
                </c:pt>
                <c:pt idx="22">
                  <c:v>153.34</c:v>
                </c:pt>
                <c:pt idx="23">
                  <c:v>153.30000000000001</c:v>
                </c:pt>
                <c:pt idx="24">
                  <c:v>153.29</c:v>
                </c:pt>
                <c:pt idx="25">
                  <c:v>#N/A</c:v>
                </c:pt>
                <c:pt idx="26">
                  <c:v>#N/A</c:v>
                </c:pt>
                <c:pt idx="27">
                  <c:v>153.26</c:v>
                </c:pt>
                <c:pt idx="28">
                  <c:v>152.41</c:v>
                </c:pt>
                <c:pt idx="29">
                  <c:v>152.38999999999999</c:v>
                </c:pt>
                <c:pt idx="30">
                  <c:v>152.38999999999999</c:v>
                </c:pt>
                <c:pt idx="31">
                  <c:v>151.9</c:v>
                </c:pt>
                <c:pt idx="32">
                  <c:v>#N/A</c:v>
                </c:pt>
                <c:pt idx="33">
                  <c:v>#N/A</c:v>
                </c:pt>
                <c:pt idx="34">
                  <c:v>#N/A</c:v>
                </c:pt>
                <c:pt idx="35">
                  <c:v>#N/A</c:v>
                </c:pt>
                <c:pt idx="36">
                  <c:v>#N/A</c:v>
                </c:pt>
                <c:pt idx="37">
                  <c:v>#N/A</c:v>
                </c:pt>
                <c:pt idx="38">
                  <c:v>#N/A</c:v>
                </c:pt>
                <c:pt idx="39">
                  <c:v>#N/A</c:v>
                </c:pt>
                <c:pt idx="40">
                  <c:v>#N/A</c:v>
                </c:pt>
                <c:pt idx="41">
                  <c:v>#N/A</c:v>
                </c:pt>
                <c:pt idx="42">
                  <c:v>151.87</c:v>
                </c:pt>
                <c:pt idx="43">
                  <c:v>151.84</c:v>
                </c:pt>
                <c:pt idx="44">
                  <c:v>151.84</c:v>
                </c:pt>
                <c:pt idx="45">
                  <c:v>151.84</c:v>
                </c:pt>
                <c:pt idx="46">
                  <c:v>#N/A</c:v>
                </c:pt>
                <c:pt idx="47">
                  <c:v>#N/A</c:v>
                </c:pt>
                <c:pt idx="48">
                  <c:v>151.84</c:v>
                </c:pt>
                <c:pt idx="49">
                  <c:v>150.71</c:v>
                </c:pt>
                <c:pt idx="50">
                  <c:v>149.51</c:v>
                </c:pt>
                <c:pt idx="51">
                  <c:v>149.37</c:v>
                </c:pt>
                <c:pt idx="52">
                  <c:v>148.58000000000001</c:v>
                </c:pt>
                <c:pt idx="53">
                  <c:v>#N/A</c:v>
                </c:pt>
                <c:pt idx="54">
                  <c:v>#N/A</c:v>
                </c:pt>
                <c:pt idx="55">
                  <c:v>148.32</c:v>
                </c:pt>
                <c:pt idx="56">
                  <c:v>147.97</c:v>
                </c:pt>
                <c:pt idx="57">
                  <c:v>147.58000000000001</c:v>
                </c:pt>
                <c:pt idx="58">
                  <c:v>147.47999999999999</c:v>
                </c:pt>
                <c:pt idx="59">
                  <c:v>147.27000000000001</c:v>
                </c:pt>
                <c:pt idx="60">
                  <c:v>#N/A</c:v>
                </c:pt>
                <c:pt idx="61">
                  <c:v>#N/A</c:v>
                </c:pt>
                <c:pt idx="62">
                  <c:v>147.03</c:v>
                </c:pt>
                <c:pt idx="63">
                  <c:v>146.94</c:v>
                </c:pt>
                <c:pt idx="64">
                  <c:v>146.94</c:v>
                </c:pt>
                <c:pt idx="65">
                  <c:v>146.59</c:v>
                </c:pt>
                <c:pt idx="66">
                  <c:v>146.37</c:v>
                </c:pt>
                <c:pt idx="67">
                  <c:v>#N/A</c:v>
                </c:pt>
                <c:pt idx="68">
                  <c:v>#N/A</c:v>
                </c:pt>
                <c:pt idx="69">
                  <c:v>146.31</c:v>
                </c:pt>
                <c:pt idx="70">
                  <c:v>146.02000000000001</c:v>
                </c:pt>
                <c:pt idx="71">
                  <c:v>145.69999999999999</c:v>
                </c:pt>
                <c:pt idx="72">
                  <c:v>145.4</c:v>
                </c:pt>
                <c:pt idx="73">
                  <c:v>145.09</c:v>
                </c:pt>
                <c:pt idx="74">
                  <c:v>#N/A</c:v>
                </c:pt>
                <c:pt idx="75">
                  <c:v>#N/A</c:v>
                </c:pt>
                <c:pt idx="76">
                  <c:v>145.1</c:v>
                </c:pt>
                <c:pt idx="77">
                  <c:v>145.02000000000001</c:v>
                </c:pt>
                <c:pt idx="78">
                  <c:v>144.99</c:v>
                </c:pt>
                <c:pt idx="79">
                  <c:v>145.01</c:v>
                </c:pt>
                <c:pt idx="80">
                  <c:v>145.22</c:v>
                </c:pt>
                <c:pt idx="81">
                  <c:v>#N/A</c:v>
                </c:pt>
                <c:pt idx="82">
                  <c:v>#N/A</c:v>
                </c:pt>
                <c:pt idx="83">
                  <c:v>145.44999999999999</c:v>
                </c:pt>
                <c:pt idx="84">
                  <c:v>145.47999999999999</c:v>
                </c:pt>
                <c:pt idx="85">
                  <c:v>146.15</c:v>
                </c:pt>
                <c:pt idx="86">
                  <c:v>146.59</c:v>
                </c:pt>
                <c:pt idx="87">
                  <c:v>146.71</c:v>
                </c:pt>
                <c:pt idx="88">
                  <c:v>#N/A</c:v>
                </c:pt>
                <c:pt idx="89">
                  <c:v>#N/A</c:v>
                </c:pt>
                <c:pt idx="90">
                  <c:v>147.31</c:v>
                </c:pt>
                <c:pt idx="91">
                  <c:v>147.4</c:v>
                </c:pt>
                <c:pt idx="92">
                  <c:v>147.35</c:v>
                </c:pt>
                <c:pt idx="93">
                  <c:v>147.62</c:v>
                </c:pt>
                <c:pt idx="94">
                  <c:v>#N/A</c:v>
                </c:pt>
                <c:pt idx="95">
                  <c:v>#N/A</c:v>
                </c:pt>
                <c:pt idx="96">
                  <c:v>#N/A</c:v>
                </c:pt>
                <c:pt idx="97">
                  <c:v>148.69999999999999</c:v>
                </c:pt>
                <c:pt idx="98">
                  <c:v>148.72</c:v>
                </c:pt>
                <c:pt idx="99">
                  <c:v>148.91999999999999</c:v>
                </c:pt>
                <c:pt idx="100">
                  <c:v>148.91999999999999</c:v>
                </c:pt>
                <c:pt idx="101">
                  <c:v>149.02000000000001</c:v>
                </c:pt>
                <c:pt idx="102">
                  <c:v>#N/A</c:v>
                </c:pt>
                <c:pt idx="103">
                  <c:v>#N/A</c:v>
                </c:pt>
                <c:pt idx="104">
                  <c:v>149.29</c:v>
                </c:pt>
                <c:pt idx="105">
                  <c:v>149.32</c:v>
                </c:pt>
                <c:pt idx="106">
                  <c:v>149.29</c:v>
                </c:pt>
                <c:pt idx="107">
                  <c:v>149.26</c:v>
                </c:pt>
                <c:pt idx="108">
                  <c:v>149.30000000000001</c:v>
                </c:pt>
                <c:pt idx="109">
                  <c:v>#N/A</c:v>
                </c:pt>
                <c:pt idx="110">
                  <c:v>#N/A</c:v>
                </c:pt>
                <c:pt idx="111">
                  <c:v>149.59</c:v>
                </c:pt>
                <c:pt idx="112">
                  <c:v>149.65</c:v>
                </c:pt>
                <c:pt idx="113">
                  <c:v>149.58000000000001</c:v>
                </c:pt>
                <c:pt idx="114">
                  <c:v>149.57</c:v>
                </c:pt>
                <c:pt idx="115">
                  <c:v>149.57</c:v>
                </c:pt>
                <c:pt idx="116">
                  <c:v>#N/A</c:v>
                </c:pt>
                <c:pt idx="117">
                  <c:v>#N/A</c:v>
                </c:pt>
                <c:pt idx="118">
                  <c:v>149.66999999999999</c:v>
                </c:pt>
                <c:pt idx="119">
                  <c:v>149.66999999999999</c:v>
                </c:pt>
                <c:pt idx="120">
                  <c:v>#N/A</c:v>
                </c:pt>
                <c:pt idx="121">
                  <c:v>#N/A</c:v>
                </c:pt>
                <c:pt idx="122">
                  <c:v>#N/A</c:v>
                </c:pt>
                <c:pt idx="123">
                  <c:v>#N/A</c:v>
                </c:pt>
                <c:pt idx="124">
                  <c:v>#N/A</c:v>
                </c:pt>
                <c:pt idx="125">
                  <c:v>149.93</c:v>
                </c:pt>
                <c:pt idx="126">
                  <c:v>149.97</c:v>
                </c:pt>
                <c:pt idx="127">
                  <c:v>149.97999999999999</c:v>
                </c:pt>
                <c:pt idx="128">
                  <c:v>150.03</c:v>
                </c:pt>
                <c:pt idx="129">
                  <c:v>149.96</c:v>
                </c:pt>
                <c:pt idx="130">
                  <c:v>#N/A</c:v>
                </c:pt>
                <c:pt idx="131">
                  <c:v>#N/A</c:v>
                </c:pt>
                <c:pt idx="132">
                  <c:v>149.97</c:v>
                </c:pt>
                <c:pt idx="133">
                  <c:v>150.22999999999999</c:v>
                </c:pt>
                <c:pt idx="134">
                  <c:v>150.37</c:v>
                </c:pt>
                <c:pt idx="135">
                  <c:v>150.38999999999999</c:v>
                </c:pt>
                <c:pt idx="136">
                  <c:v>150.37</c:v>
                </c:pt>
                <c:pt idx="137">
                  <c:v>#N/A</c:v>
                </c:pt>
                <c:pt idx="138">
                  <c:v>#N/A</c:v>
                </c:pt>
                <c:pt idx="139">
                  <c:v>150.37</c:v>
                </c:pt>
                <c:pt idx="140">
                  <c:v>150.37</c:v>
                </c:pt>
                <c:pt idx="141">
                  <c:v>150.36000000000001</c:v>
                </c:pt>
                <c:pt idx="142">
                  <c:v>150.41</c:v>
                </c:pt>
                <c:pt idx="143">
                  <c:v>150.38</c:v>
                </c:pt>
                <c:pt idx="144">
                  <c:v>#N/A</c:v>
                </c:pt>
                <c:pt idx="145">
                  <c:v>#N/A</c:v>
                </c:pt>
                <c:pt idx="146">
                  <c:v>150.44</c:v>
                </c:pt>
                <c:pt idx="147">
                  <c:v>150.44</c:v>
                </c:pt>
                <c:pt idx="148">
                  <c:v>150.34</c:v>
                </c:pt>
                <c:pt idx="149">
                  <c:v>150.34</c:v>
                </c:pt>
                <c:pt idx="150">
                  <c:v>150.36000000000001</c:v>
                </c:pt>
                <c:pt idx="151">
                  <c:v>#N/A</c:v>
                </c:pt>
                <c:pt idx="152">
                  <c:v>#N/A</c:v>
                </c:pt>
                <c:pt idx="153">
                  <c:v>150.37</c:v>
                </c:pt>
                <c:pt idx="154">
                  <c:v>150.36000000000001</c:v>
                </c:pt>
                <c:pt idx="155">
                  <c:v>150.35</c:v>
                </c:pt>
                <c:pt idx="156">
                  <c:v>150.21</c:v>
                </c:pt>
                <c:pt idx="157">
                  <c:v>#N/A</c:v>
                </c:pt>
                <c:pt idx="158">
                  <c:v>#N/A</c:v>
                </c:pt>
                <c:pt idx="159">
                  <c:v>#N/A</c:v>
                </c:pt>
                <c:pt idx="160">
                  <c:v>149.63</c:v>
                </c:pt>
                <c:pt idx="161">
                  <c:v>149.34</c:v>
                </c:pt>
                <c:pt idx="162">
                  <c:v>149.13</c:v>
                </c:pt>
                <c:pt idx="163">
                  <c:v>148.61000000000001</c:v>
                </c:pt>
                <c:pt idx="164">
                  <c:v>148.54</c:v>
                </c:pt>
                <c:pt idx="165">
                  <c:v>#N/A</c:v>
                </c:pt>
                <c:pt idx="166">
                  <c:v>#N/A</c:v>
                </c:pt>
                <c:pt idx="167">
                  <c:v>148.65</c:v>
                </c:pt>
                <c:pt idx="168">
                  <c:v>148.63999999999999</c:v>
                </c:pt>
                <c:pt idx="169">
                  <c:v>148.62</c:v>
                </c:pt>
                <c:pt idx="170">
                  <c:v>148.13</c:v>
                </c:pt>
                <c:pt idx="171">
                  <c:v>148.03</c:v>
                </c:pt>
                <c:pt idx="172">
                  <c:v>#N/A</c:v>
                </c:pt>
                <c:pt idx="173">
                  <c:v>#N/A</c:v>
                </c:pt>
                <c:pt idx="174">
                  <c:v>147.75</c:v>
                </c:pt>
                <c:pt idx="175">
                  <c:v>147.44999999999999</c:v>
                </c:pt>
                <c:pt idx="176">
                  <c:v>147.46</c:v>
                </c:pt>
                <c:pt idx="177">
                  <c:v>147.33000000000001</c:v>
                </c:pt>
                <c:pt idx="178">
                  <c:v>146.99</c:v>
                </c:pt>
                <c:pt idx="179">
                  <c:v>#N/A</c:v>
                </c:pt>
                <c:pt idx="180">
                  <c:v>#N/A</c:v>
                </c:pt>
                <c:pt idx="181">
                  <c:v>146.87</c:v>
                </c:pt>
                <c:pt idx="182">
                  <c:v>146.84</c:v>
                </c:pt>
                <c:pt idx="183">
                  <c:v>146.80000000000001</c:v>
                </c:pt>
                <c:pt idx="184">
                  <c:v>146.87</c:v>
                </c:pt>
                <c:pt idx="185">
                  <c:v>146.86000000000001</c:v>
                </c:pt>
                <c:pt idx="186">
                  <c:v>#N/A</c:v>
                </c:pt>
                <c:pt idx="187">
                  <c:v>#N/A</c:v>
                </c:pt>
                <c:pt idx="188">
                  <c:v>146.69999999999999</c:v>
                </c:pt>
                <c:pt idx="189">
                  <c:v>146.38999999999999</c:v>
                </c:pt>
                <c:pt idx="190">
                  <c:v>146.35</c:v>
                </c:pt>
                <c:pt idx="191">
                  <c:v>146.1</c:v>
                </c:pt>
                <c:pt idx="192">
                  <c:v>145.56</c:v>
                </c:pt>
                <c:pt idx="193">
                  <c:v>#N/A</c:v>
                </c:pt>
                <c:pt idx="194">
                  <c:v>#N/A</c:v>
                </c:pt>
                <c:pt idx="195">
                  <c:v>145.41999999999999</c:v>
                </c:pt>
                <c:pt idx="196">
                  <c:v>145.28</c:v>
                </c:pt>
                <c:pt idx="197">
                  <c:v>145.15</c:v>
                </c:pt>
                <c:pt idx="198">
                  <c:v>145.13999999999999</c:v>
                </c:pt>
                <c:pt idx="199">
                  <c:v>144.76</c:v>
                </c:pt>
                <c:pt idx="200">
                  <c:v>#N/A</c:v>
                </c:pt>
                <c:pt idx="201">
                  <c:v>#N/A</c:v>
                </c:pt>
                <c:pt idx="202">
                  <c:v>144.69</c:v>
                </c:pt>
                <c:pt idx="203">
                  <c:v>144.55000000000001</c:v>
                </c:pt>
                <c:pt idx="204">
                  <c:v>144.58000000000001</c:v>
                </c:pt>
                <c:pt idx="205">
                  <c:v>144.51</c:v>
                </c:pt>
                <c:pt idx="206">
                  <c:v>144.37</c:v>
                </c:pt>
                <c:pt idx="207">
                  <c:v>#N/A</c:v>
                </c:pt>
                <c:pt idx="208">
                  <c:v>#N/A</c:v>
                </c:pt>
                <c:pt idx="209">
                  <c:v>144.46</c:v>
                </c:pt>
                <c:pt idx="210">
                  <c:v>144.41</c:v>
                </c:pt>
                <c:pt idx="211">
                  <c:v>144.25</c:v>
                </c:pt>
                <c:pt idx="212">
                  <c:v>144.25</c:v>
                </c:pt>
                <c:pt idx="213">
                  <c:v>144.22999999999999</c:v>
                </c:pt>
                <c:pt idx="214">
                  <c:v>#N/A</c:v>
                </c:pt>
                <c:pt idx="215">
                  <c:v>#N/A</c:v>
                </c:pt>
                <c:pt idx="216">
                  <c:v>144.1</c:v>
                </c:pt>
                <c:pt idx="217">
                  <c:v>144.1</c:v>
                </c:pt>
                <c:pt idx="218">
                  <c:v>143.91999999999999</c:v>
                </c:pt>
                <c:pt idx="219">
                  <c:v>143.96</c:v>
                </c:pt>
                <c:pt idx="220">
                  <c:v>143.91</c:v>
                </c:pt>
                <c:pt idx="221">
                  <c:v>#N/A</c:v>
                </c:pt>
                <c:pt idx="222">
                  <c:v>#N/A</c:v>
                </c:pt>
                <c:pt idx="223">
                  <c:v>143.86000000000001</c:v>
                </c:pt>
                <c:pt idx="224">
                  <c:v>143.81</c:v>
                </c:pt>
                <c:pt idx="225">
                  <c:v>143.72999999999999</c:v>
                </c:pt>
                <c:pt idx="226">
                  <c:v>143.71</c:v>
                </c:pt>
                <c:pt idx="227">
                  <c:v>143.65</c:v>
                </c:pt>
                <c:pt idx="228">
                  <c:v>#N/A</c:v>
                </c:pt>
                <c:pt idx="229">
                  <c:v>#N/A</c:v>
                </c:pt>
                <c:pt idx="230">
                  <c:v>143.81</c:v>
                </c:pt>
                <c:pt idx="231">
                  <c:v>143.88999999999999</c:v>
                </c:pt>
                <c:pt idx="232">
                  <c:v>144.06</c:v>
                </c:pt>
                <c:pt idx="233">
                  <c:v>144.04</c:v>
                </c:pt>
                <c:pt idx="234">
                  <c:v>144.07</c:v>
                </c:pt>
                <c:pt idx="235">
                  <c:v>#N/A</c:v>
                </c:pt>
                <c:pt idx="236">
                  <c:v>#N/A</c:v>
                </c:pt>
                <c:pt idx="237">
                  <c:v>144.6</c:v>
                </c:pt>
                <c:pt idx="238">
                  <c:v>144.97</c:v>
                </c:pt>
                <c:pt idx="239">
                  <c:v>145.01</c:v>
                </c:pt>
                <c:pt idx="240">
                  <c:v>145.4</c:v>
                </c:pt>
                <c:pt idx="241">
                  <c:v>145.63999999999999</c:v>
                </c:pt>
                <c:pt idx="242">
                  <c:v>#N/A</c:v>
                </c:pt>
                <c:pt idx="243">
                  <c:v>#N/A</c:v>
                </c:pt>
                <c:pt idx="244">
                  <c:v>146.08000000000001</c:v>
                </c:pt>
                <c:pt idx="245">
                  <c:v>146.16999999999999</c:v>
                </c:pt>
                <c:pt idx="246">
                  <c:v>146.16999999999999</c:v>
                </c:pt>
                <c:pt idx="247">
                  <c:v>146.07</c:v>
                </c:pt>
                <c:pt idx="248">
                  <c:v>146.19</c:v>
                </c:pt>
                <c:pt idx="249">
                  <c:v>#N/A</c:v>
                </c:pt>
                <c:pt idx="250">
                  <c:v>#N/A</c:v>
                </c:pt>
                <c:pt idx="251">
                  <c:v>146.57</c:v>
                </c:pt>
                <c:pt idx="252">
                  <c:v>146.62</c:v>
                </c:pt>
                <c:pt idx="253">
                  <c:v>146.71</c:v>
                </c:pt>
                <c:pt idx="254">
                  <c:v>146.65</c:v>
                </c:pt>
                <c:pt idx="255">
                  <c:v>#N/A</c:v>
                </c:pt>
                <c:pt idx="256">
                  <c:v>#N/A</c:v>
                </c:pt>
                <c:pt idx="257">
                  <c:v>#N/A</c:v>
                </c:pt>
                <c:pt idx="258">
                  <c:v>147</c:v>
                </c:pt>
                <c:pt idx="259">
                  <c:v>147.12</c:v>
                </c:pt>
                <c:pt idx="260">
                  <c:v>147.63999999999999</c:v>
                </c:pt>
                <c:pt idx="261">
                  <c:v>147.69</c:v>
                </c:pt>
                <c:pt idx="262">
                  <c:v>148.62</c:v>
                </c:pt>
                <c:pt idx="263">
                  <c:v>#N/A</c:v>
                </c:pt>
                <c:pt idx="264">
                  <c:v>#N/A</c:v>
                </c:pt>
                <c:pt idx="265">
                  <c:v>149.29</c:v>
                </c:pt>
                <c:pt idx="266">
                  <c:v>149.30000000000001</c:v>
                </c:pt>
                <c:pt idx="267">
                  <c:v>149.6</c:v>
                </c:pt>
                <c:pt idx="268">
                  <c:v>149.58000000000001</c:v>
                </c:pt>
                <c:pt idx="269">
                  <c:v>149.91</c:v>
                </c:pt>
                <c:pt idx="270">
                  <c:v>#N/A</c:v>
                </c:pt>
                <c:pt idx="271">
                  <c:v>#N/A</c:v>
                </c:pt>
                <c:pt idx="272">
                  <c:v>150.08000000000001</c:v>
                </c:pt>
                <c:pt idx="273">
                  <c:v>#N/A</c:v>
                </c:pt>
                <c:pt idx="274">
                  <c:v>#N/A</c:v>
                </c:pt>
                <c:pt idx="275">
                  <c:v>#N/A</c:v>
                </c:pt>
                <c:pt idx="276">
                  <c:v>#N/A</c:v>
                </c:pt>
                <c:pt idx="277">
                  <c:v>#N/A</c:v>
                </c:pt>
                <c:pt idx="278">
                  <c:v>#N/A</c:v>
                </c:pt>
                <c:pt idx="279">
                  <c:v>#N/A</c:v>
                </c:pt>
                <c:pt idx="280">
                  <c:v>150.53</c:v>
                </c:pt>
                <c:pt idx="281">
                  <c:v>150.69999999999999</c:v>
                </c:pt>
                <c:pt idx="282">
                  <c:v>150.74</c:v>
                </c:pt>
                <c:pt idx="283">
                  <c:v>151.22999999999999</c:v>
                </c:pt>
                <c:pt idx="284">
                  <c:v>#N/A</c:v>
                </c:pt>
                <c:pt idx="285">
                  <c:v>#N/A</c:v>
                </c:pt>
                <c:pt idx="286">
                  <c:v>151.13</c:v>
                </c:pt>
                <c:pt idx="287">
                  <c:v>151.13999999999999</c:v>
                </c:pt>
                <c:pt idx="288">
                  <c:v>151.47</c:v>
                </c:pt>
                <c:pt idx="289">
                  <c:v>151.56</c:v>
                </c:pt>
                <c:pt idx="290">
                  <c:v>151.44</c:v>
                </c:pt>
                <c:pt idx="291">
                  <c:v>#N/A</c:v>
                </c:pt>
                <c:pt idx="292">
                  <c:v>#N/A</c:v>
                </c:pt>
                <c:pt idx="293">
                  <c:v>151.46</c:v>
                </c:pt>
                <c:pt idx="294">
                  <c:v>151.71</c:v>
                </c:pt>
                <c:pt idx="295">
                  <c:v>151.9</c:v>
                </c:pt>
                <c:pt idx="296">
                  <c:v>151.91999999999999</c:v>
                </c:pt>
                <c:pt idx="297">
                  <c:v>151.97999999999999</c:v>
                </c:pt>
                <c:pt idx="298">
                  <c:v>#N/A</c:v>
                </c:pt>
                <c:pt idx="299">
                  <c:v>#N/A</c:v>
                </c:pt>
                <c:pt idx="300">
                  <c:v>152.04</c:v>
                </c:pt>
                <c:pt idx="301">
                  <c:v>152.79</c:v>
                </c:pt>
                <c:pt idx="302">
                  <c:v>152.84</c:v>
                </c:pt>
                <c:pt idx="303">
                  <c:v>153.01</c:v>
                </c:pt>
                <c:pt idx="304">
                  <c:v>153.46</c:v>
                </c:pt>
                <c:pt idx="305">
                  <c:v>#N/A</c:v>
                </c:pt>
                <c:pt idx="306">
                  <c:v>#N/A</c:v>
                </c:pt>
                <c:pt idx="307">
                  <c:v>153.97</c:v>
                </c:pt>
                <c:pt idx="308">
                  <c:v>154.38</c:v>
                </c:pt>
                <c:pt idx="309">
                  <c:v>154.71</c:v>
                </c:pt>
                <c:pt idx="310">
                  <c:v>155.13</c:v>
                </c:pt>
                <c:pt idx="311">
                  <c:v>155.78</c:v>
                </c:pt>
                <c:pt idx="312">
                  <c:v>#N/A</c:v>
                </c:pt>
                <c:pt idx="313">
                  <c:v>#N/A</c:v>
                </c:pt>
                <c:pt idx="314">
                  <c:v>156.93</c:v>
                </c:pt>
                <c:pt idx="315">
                  <c:v>157.09</c:v>
                </c:pt>
                <c:pt idx="316">
                  <c:v>157.61000000000001</c:v>
                </c:pt>
                <c:pt idx="317">
                  <c:v>158.09</c:v>
                </c:pt>
                <c:pt idx="318">
                  <c:v>159.01</c:v>
                </c:pt>
                <c:pt idx="319">
                  <c:v>#N/A</c:v>
                </c:pt>
                <c:pt idx="320">
                  <c:v>#N/A</c:v>
                </c:pt>
                <c:pt idx="321">
                  <c:v>160.22</c:v>
                </c:pt>
                <c:pt idx="322">
                  <c:v>161</c:v>
                </c:pt>
                <c:pt idx="323">
                  <c:v>161.77000000000001</c:v>
                </c:pt>
                <c:pt idx="324">
                  <c:v>162.05000000000001</c:v>
                </c:pt>
                <c:pt idx="325">
                  <c:v>162.41</c:v>
                </c:pt>
                <c:pt idx="326">
                  <c:v>#N/A</c:v>
                </c:pt>
                <c:pt idx="327">
                  <c:v>#N/A</c:v>
                </c:pt>
                <c:pt idx="328">
                  <c:v>163.15</c:v>
                </c:pt>
                <c:pt idx="329">
                  <c:v>163.21</c:v>
                </c:pt>
                <c:pt idx="330">
                  <c:v>163.89</c:v>
                </c:pt>
                <c:pt idx="331">
                  <c:v>163.9</c:v>
                </c:pt>
                <c:pt idx="332">
                  <c:v>163.91</c:v>
                </c:pt>
                <c:pt idx="333">
                  <c:v>#N/A</c:v>
                </c:pt>
                <c:pt idx="334">
                  <c:v>#N/A</c:v>
                </c:pt>
                <c:pt idx="335">
                  <c:v>164.82</c:v>
                </c:pt>
                <c:pt idx="336">
                  <c:v>164.94</c:v>
                </c:pt>
                <c:pt idx="337">
                  <c:v>165.11</c:v>
                </c:pt>
                <c:pt idx="338">
                  <c:v>165.55</c:v>
                </c:pt>
                <c:pt idx="339">
                  <c:v>165.67</c:v>
                </c:pt>
                <c:pt idx="340">
                  <c:v>#N/A</c:v>
                </c:pt>
                <c:pt idx="341">
                  <c:v>#N/A</c:v>
                </c:pt>
                <c:pt idx="342">
                  <c:v>165.76</c:v>
                </c:pt>
                <c:pt idx="343">
                  <c:v>165.73</c:v>
                </c:pt>
                <c:pt idx="344">
                  <c:v>165.81</c:v>
                </c:pt>
                <c:pt idx="345">
                  <c:v>166.13</c:v>
                </c:pt>
                <c:pt idx="346">
                  <c:v>166.06</c:v>
                </c:pt>
                <c:pt idx="347">
                  <c:v>#N/A</c:v>
                </c:pt>
                <c:pt idx="348">
                  <c:v>#N/A</c:v>
                </c:pt>
                <c:pt idx="349">
                  <c:v>166.26</c:v>
                </c:pt>
                <c:pt idx="350">
                  <c:v>166.33</c:v>
                </c:pt>
                <c:pt idx="351">
                  <c:v>166.28</c:v>
                </c:pt>
                <c:pt idx="352">
                  <c:v>166.43</c:v>
                </c:pt>
                <c:pt idx="353">
                  <c:v>166.46</c:v>
                </c:pt>
                <c:pt idx="354">
                  <c:v>#N/A</c:v>
                </c:pt>
                <c:pt idx="355">
                  <c:v>#N/A</c:v>
                </c:pt>
                <c:pt idx="356">
                  <c:v>166.45</c:v>
                </c:pt>
                <c:pt idx="357">
                  <c:v>166.44</c:v>
                </c:pt>
                <c:pt idx="358">
                  <c:v>166.39</c:v>
                </c:pt>
                <c:pt idx="359">
                  <c:v>166.4</c:v>
                </c:pt>
                <c:pt idx="360">
                  <c:v>166.44</c:v>
                </c:pt>
                <c:pt idx="361">
                  <c:v>#N/A</c:v>
                </c:pt>
                <c:pt idx="362">
                  <c:v>#N/A</c:v>
                </c:pt>
                <c:pt idx="363">
                  <c:v>166.44</c:v>
                </c:pt>
                <c:pt idx="364">
                  <c:v>166.44</c:v>
                </c:pt>
              </c:numCache>
            </c:numRef>
          </c:val>
          <c:smooth val="1"/>
          <c:extLst xmlns:c16r2="http://schemas.microsoft.com/office/drawing/2015/06/chart">
            <c:ext xmlns:c16="http://schemas.microsoft.com/office/drawing/2014/chart" uri="{C3380CC4-5D6E-409C-BE32-E72D297353CC}">
              <c16:uniqueId val="{00000000-DE56-486F-81AB-A95D34284161}"/>
            </c:ext>
          </c:extLst>
        </c:ser>
        <c:ser>
          <c:idx val="2"/>
          <c:order val="1"/>
          <c:tx>
            <c:strRef>
              <c:f>水泥!$I$1</c:f>
              <c:strCache>
                <c:ptCount val="1"/>
                <c:pt idx="0">
                  <c:v>2020</c:v>
                </c:pt>
              </c:strCache>
            </c:strRef>
          </c:tx>
          <c:spPr>
            <a:ln w="28575">
              <a:solidFill>
                <a:srgbClr val="F8CBAD"/>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水泥!$I$2:$I$366</c:f>
              <c:numCache>
                <c:formatCode>General</c:formatCode>
                <c:ptCount val="365"/>
                <c:pt idx="0">
                  <c:v>#N/A</c:v>
                </c:pt>
                <c:pt idx="1">
                  <c:v>166.36</c:v>
                </c:pt>
                <c:pt idx="2">
                  <c:v>165.91</c:v>
                </c:pt>
                <c:pt idx="3">
                  <c:v>#N/A</c:v>
                </c:pt>
                <c:pt idx="4">
                  <c:v>#N/A</c:v>
                </c:pt>
                <c:pt idx="5">
                  <c:v>165.96</c:v>
                </c:pt>
                <c:pt idx="6">
                  <c:v>165.81</c:v>
                </c:pt>
                <c:pt idx="7">
                  <c:v>165.67</c:v>
                </c:pt>
                <c:pt idx="8">
                  <c:v>165.57</c:v>
                </c:pt>
                <c:pt idx="9">
                  <c:v>165.36</c:v>
                </c:pt>
                <c:pt idx="10">
                  <c:v>#N/A</c:v>
                </c:pt>
                <c:pt idx="11">
                  <c:v>#N/A</c:v>
                </c:pt>
                <c:pt idx="12">
                  <c:v>164.76</c:v>
                </c:pt>
                <c:pt idx="13">
                  <c:v>164.3</c:v>
                </c:pt>
                <c:pt idx="14">
                  <c:v>164.19</c:v>
                </c:pt>
                <c:pt idx="15">
                  <c:v>164.06</c:v>
                </c:pt>
                <c:pt idx="16">
                  <c:v>164.05</c:v>
                </c:pt>
                <c:pt idx="17">
                  <c:v>#N/A</c:v>
                </c:pt>
                <c:pt idx="18">
                  <c:v>#N/A</c:v>
                </c:pt>
                <c:pt idx="19">
                  <c:v>162.75</c:v>
                </c:pt>
                <c:pt idx="20">
                  <c:v>162.72</c:v>
                </c:pt>
                <c:pt idx="21">
                  <c:v>#N/A</c:v>
                </c:pt>
                <c:pt idx="22">
                  <c:v>#N/A</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162.31</c:v>
                </c:pt>
                <c:pt idx="37">
                  <c:v>162.31</c:v>
                </c:pt>
                <c:pt idx="38">
                  <c:v>#N/A</c:v>
                </c:pt>
                <c:pt idx="39">
                  <c:v>#N/A</c:v>
                </c:pt>
                <c:pt idx="40">
                  <c:v>162.26</c:v>
                </c:pt>
                <c:pt idx="41">
                  <c:v>161.97999999999999</c:v>
                </c:pt>
                <c:pt idx="42">
                  <c:v>161.51</c:v>
                </c:pt>
                <c:pt idx="43">
                  <c:v>161.51</c:v>
                </c:pt>
                <c:pt idx="44">
                  <c:v>161.53</c:v>
                </c:pt>
                <c:pt idx="45">
                  <c:v>#N/A</c:v>
                </c:pt>
                <c:pt idx="46">
                  <c:v>#N/A</c:v>
                </c:pt>
                <c:pt idx="47">
                  <c:v>160.22</c:v>
                </c:pt>
                <c:pt idx="48">
                  <c:v>159.81</c:v>
                </c:pt>
                <c:pt idx="49">
                  <c:v>159.71</c:v>
                </c:pt>
                <c:pt idx="50">
                  <c:v>159.71</c:v>
                </c:pt>
                <c:pt idx="51">
                  <c:v>159.69999999999999</c:v>
                </c:pt>
                <c:pt idx="52">
                  <c:v>#N/A</c:v>
                </c:pt>
                <c:pt idx="53">
                  <c:v>#N/A</c:v>
                </c:pt>
                <c:pt idx="54">
                  <c:v>158.32</c:v>
                </c:pt>
                <c:pt idx="55">
                  <c:v>158.21</c:v>
                </c:pt>
                <c:pt idx="56">
                  <c:v>157.66</c:v>
                </c:pt>
                <c:pt idx="57">
                  <c:v>157.53</c:v>
                </c:pt>
                <c:pt idx="58">
                  <c:v>157.43</c:v>
                </c:pt>
                <c:pt idx="59">
                  <c:v>#N/A</c:v>
                </c:pt>
                <c:pt idx="60">
                  <c:v>#N/A</c:v>
                </c:pt>
                <c:pt idx="61">
                  <c:v>156.99</c:v>
                </c:pt>
                <c:pt idx="62">
                  <c:v>156.97</c:v>
                </c:pt>
                <c:pt idx="63">
                  <c:v>156.76</c:v>
                </c:pt>
                <c:pt idx="64">
                  <c:v>156.5</c:v>
                </c:pt>
                <c:pt idx="65">
                  <c:v>156.09</c:v>
                </c:pt>
                <c:pt idx="66">
                  <c:v>#N/A</c:v>
                </c:pt>
                <c:pt idx="67">
                  <c:v>#N/A</c:v>
                </c:pt>
                <c:pt idx="68">
                  <c:v>154.65</c:v>
                </c:pt>
                <c:pt idx="69">
                  <c:v>153.88</c:v>
                </c:pt>
                <c:pt idx="70">
                  <c:v>153.74</c:v>
                </c:pt>
                <c:pt idx="71">
                  <c:v>153.47</c:v>
                </c:pt>
                <c:pt idx="72">
                  <c:v>153.19999999999999</c:v>
                </c:pt>
                <c:pt idx="73">
                  <c:v>#N/A</c:v>
                </c:pt>
                <c:pt idx="74">
                  <c:v>#N/A</c:v>
                </c:pt>
                <c:pt idx="75">
                  <c:v>151.91</c:v>
                </c:pt>
                <c:pt idx="76">
                  <c:v>151.27000000000001</c:v>
                </c:pt>
                <c:pt idx="77">
                  <c:v>151.12</c:v>
                </c:pt>
                <c:pt idx="78">
                  <c:v>150.96</c:v>
                </c:pt>
                <c:pt idx="79">
                  <c:v>150.11000000000001</c:v>
                </c:pt>
                <c:pt idx="80">
                  <c:v>#N/A</c:v>
                </c:pt>
                <c:pt idx="81">
                  <c:v>#N/A</c:v>
                </c:pt>
                <c:pt idx="82">
                  <c:v>149.63</c:v>
                </c:pt>
                <c:pt idx="83">
                  <c:v>149.30000000000001</c:v>
                </c:pt>
                <c:pt idx="84">
                  <c:v>149.02000000000001</c:v>
                </c:pt>
                <c:pt idx="85">
                  <c:v>148.88</c:v>
                </c:pt>
                <c:pt idx="86">
                  <c:v>148.61000000000001</c:v>
                </c:pt>
                <c:pt idx="87">
                  <c:v>#N/A</c:v>
                </c:pt>
                <c:pt idx="88">
                  <c:v>#N/A</c:v>
                </c:pt>
                <c:pt idx="89">
                  <c:v>148.66</c:v>
                </c:pt>
                <c:pt idx="90">
                  <c:v>148.51</c:v>
                </c:pt>
                <c:pt idx="91">
                  <c:v>148.32</c:v>
                </c:pt>
                <c:pt idx="92">
                  <c:v>148.19</c:v>
                </c:pt>
                <c:pt idx="93">
                  <c:v>147.4</c:v>
                </c:pt>
                <c:pt idx="94">
                  <c:v>#N/A</c:v>
                </c:pt>
                <c:pt idx="95">
                  <c:v>#N/A</c:v>
                </c:pt>
                <c:pt idx="96">
                  <c:v>#N/A</c:v>
                </c:pt>
                <c:pt idx="97">
                  <c:v>147.13999999999999</c:v>
                </c:pt>
                <c:pt idx="98">
                  <c:v>146.97999999999999</c:v>
                </c:pt>
                <c:pt idx="99">
                  <c:v>146.84</c:v>
                </c:pt>
                <c:pt idx="100">
                  <c:v>146.43</c:v>
                </c:pt>
                <c:pt idx="101">
                  <c:v>#N/A</c:v>
                </c:pt>
                <c:pt idx="102">
                  <c:v>#N/A</c:v>
                </c:pt>
                <c:pt idx="103">
                  <c:v>146.24</c:v>
                </c:pt>
                <c:pt idx="104">
                  <c:v>146.19999999999999</c:v>
                </c:pt>
                <c:pt idx="105">
                  <c:v>146.19</c:v>
                </c:pt>
                <c:pt idx="106">
                  <c:v>146.24</c:v>
                </c:pt>
                <c:pt idx="107">
                  <c:v>146.08000000000001</c:v>
                </c:pt>
                <c:pt idx="108">
                  <c:v>#N/A</c:v>
                </c:pt>
                <c:pt idx="109">
                  <c:v>#N/A</c:v>
                </c:pt>
                <c:pt idx="110">
                  <c:v>146.08000000000001</c:v>
                </c:pt>
                <c:pt idx="111">
                  <c:v>146.03</c:v>
                </c:pt>
                <c:pt idx="112">
                  <c:v>145.78</c:v>
                </c:pt>
                <c:pt idx="113">
                  <c:v>145.94</c:v>
                </c:pt>
                <c:pt idx="114">
                  <c:v>145.91</c:v>
                </c:pt>
                <c:pt idx="115">
                  <c:v>#N/A</c:v>
                </c:pt>
                <c:pt idx="116">
                  <c:v>#N/A</c:v>
                </c:pt>
                <c:pt idx="117">
                  <c:v>146.43</c:v>
                </c:pt>
                <c:pt idx="118">
                  <c:v>146.46</c:v>
                </c:pt>
                <c:pt idx="119">
                  <c:v>146.41999999999999</c:v>
                </c:pt>
                <c:pt idx="120">
                  <c:v>146.31</c:v>
                </c:pt>
                <c:pt idx="121">
                  <c:v>#N/A</c:v>
                </c:pt>
                <c:pt idx="122">
                  <c:v>#N/A</c:v>
                </c:pt>
                <c:pt idx="123">
                  <c:v>#N/A</c:v>
                </c:pt>
                <c:pt idx="124">
                  <c:v>#N/A</c:v>
                </c:pt>
                <c:pt idx="125">
                  <c:v>#N/A</c:v>
                </c:pt>
                <c:pt idx="126">
                  <c:v>146.62</c:v>
                </c:pt>
                <c:pt idx="127">
                  <c:v>146.66</c:v>
                </c:pt>
                <c:pt idx="128">
                  <c:v>146.74</c:v>
                </c:pt>
                <c:pt idx="129">
                  <c:v>#N/A</c:v>
                </c:pt>
                <c:pt idx="130">
                  <c:v>#N/A</c:v>
                </c:pt>
                <c:pt idx="131">
                  <c:v>147.51</c:v>
                </c:pt>
                <c:pt idx="132">
                  <c:v>147.59</c:v>
                </c:pt>
                <c:pt idx="133">
                  <c:v>147.51</c:v>
                </c:pt>
                <c:pt idx="134">
                  <c:v>147.58000000000001</c:v>
                </c:pt>
                <c:pt idx="135">
                  <c:v>147.56</c:v>
                </c:pt>
                <c:pt idx="136">
                  <c:v>#N/A</c:v>
                </c:pt>
                <c:pt idx="137">
                  <c:v>#N/A</c:v>
                </c:pt>
                <c:pt idx="138">
                  <c:v>147.97999999999999</c:v>
                </c:pt>
                <c:pt idx="139">
                  <c:v>147.97999999999999</c:v>
                </c:pt>
                <c:pt idx="140">
                  <c:v>147.97999999999999</c:v>
                </c:pt>
                <c:pt idx="141">
                  <c:v>147.93</c:v>
                </c:pt>
                <c:pt idx="142">
                  <c:v>148.37</c:v>
                </c:pt>
                <c:pt idx="143">
                  <c:v>#N/A</c:v>
                </c:pt>
                <c:pt idx="144">
                  <c:v>#N/A</c:v>
                </c:pt>
                <c:pt idx="145">
                  <c:v>148.52000000000001</c:v>
                </c:pt>
                <c:pt idx="146">
                  <c:v>148.59</c:v>
                </c:pt>
                <c:pt idx="147">
                  <c:v>148.72999999999999</c:v>
                </c:pt>
                <c:pt idx="148">
                  <c:v>148.72999999999999</c:v>
                </c:pt>
                <c:pt idx="149">
                  <c:v>148.63999999999999</c:v>
                </c:pt>
                <c:pt idx="150">
                  <c:v>#N/A</c:v>
                </c:pt>
                <c:pt idx="151">
                  <c:v>#N/A</c:v>
                </c:pt>
                <c:pt idx="152">
                  <c:v>148.5</c:v>
                </c:pt>
                <c:pt idx="153">
                  <c:v>148.43</c:v>
                </c:pt>
                <c:pt idx="154">
                  <c:v>148.12</c:v>
                </c:pt>
                <c:pt idx="155">
                  <c:v>148.07</c:v>
                </c:pt>
                <c:pt idx="156">
                  <c:v>148.02000000000001</c:v>
                </c:pt>
                <c:pt idx="157">
                  <c:v>#N/A</c:v>
                </c:pt>
                <c:pt idx="158">
                  <c:v>#N/A</c:v>
                </c:pt>
                <c:pt idx="159">
                  <c:v>147.88</c:v>
                </c:pt>
                <c:pt idx="160">
                  <c:v>147.85</c:v>
                </c:pt>
                <c:pt idx="161">
                  <c:v>147.68</c:v>
                </c:pt>
                <c:pt idx="162">
                  <c:v>146.65</c:v>
                </c:pt>
                <c:pt idx="163">
                  <c:v>145.38999999999999</c:v>
                </c:pt>
                <c:pt idx="164">
                  <c:v>#N/A</c:v>
                </c:pt>
                <c:pt idx="165">
                  <c:v>#N/A</c:v>
                </c:pt>
                <c:pt idx="166">
                  <c:v>145.38999999999999</c:v>
                </c:pt>
                <c:pt idx="167">
                  <c:v>145.37</c:v>
                </c:pt>
                <c:pt idx="168">
                  <c:v>145.35</c:v>
                </c:pt>
                <c:pt idx="169">
                  <c:v>145.41999999999999</c:v>
                </c:pt>
                <c:pt idx="170">
                  <c:v>145.32</c:v>
                </c:pt>
                <c:pt idx="171">
                  <c:v>#N/A</c:v>
                </c:pt>
                <c:pt idx="172">
                  <c:v>#N/A</c:v>
                </c:pt>
                <c:pt idx="173">
                  <c:v>144.08000000000001</c:v>
                </c:pt>
                <c:pt idx="174">
                  <c:v>143.6</c:v>
                </c:pt>
                <c:pt idx="175">
                  <c:v>143.05000000000001</c:v>
                </c:pt>
                <c:pt idx="176">
                  <c:v>#N/A</c:v>
                </c:pt>
                <c:pt idx="177">
                  <c:v>#N/A</c:v>
                </c:pt>
                <c:pt idx="178">
                  <c:v>#N/A</c:v>
                </c:pt>
                <c:pt idx="179">
                  <c:v>#N/A</c:v>
                </c:pt>
                <c:pt idx="180">
                  <c:v>141.94999999999999</c:v>
                </c:pt>
                <c:pt idx="181">
                  <c:v>141.75</c:v>
                </c:pt>
                <c:pt idx="182">
                  <c:v>140.97</c:v>
                </c:pt>
                <c:pt idx="183">
                  <c:v>140.71</c:v>
                </c:pt>
                <c:pt idx="184">
                  <c:v>139.80000000000001</c:v>
                </c:pt>
                <c:pt idx="185">
                  <c:v>#N/A</c:v>
                </c:pt>
                <c:pt idx="186">
                  <c:v>#N/A</c:v>
                </c:pt>
                <c:pt idx="187">
                  <c:v>139.30000000000001</c:v>
                </c:pt>
                <c:pt idx="188">
                  <c:v>139.27000000000001</c:v>
                </c:pt>
                <c:pt idx="189">
                  <c:v>138.56</c:v>
                </c:pt>
                <c:pt idx="190">
                  <c:v>138.13</c:v>
                </c:pt>
                <c:pt idx="191">
                  <c:v>137.97999999999999</c:v>
                </c:pt>
                <c:pt idx="192">
                  <c:v>#N/A</c:v>
                </c:pt>
                <c:pt idx="193">
                  <c:v>#N/A</c:v>
                </c:pt>
                <c:pt idx="194">
                  <c:v>137.77000000000001</c:v>
                </c:pt>
                <c:pt idx="195">
                  <c:v>137.58000000000001</c:v>
                </c:pt>
                <c:pt idx="196">
                  <c:v>137.51</c:v>
                </c:pt>
                <c:pt idx="197">
                  <c:v>137.21</c:v>
                </c:pt>
                <c:pt idx="198">
                  <c:v>137.22</c:v>
                </c:pt>
                <c:pt idx="199">
                  <c:v>#N/A</c:v>
                </c:pt>
                <c:pt idx="200">
                  <c:v>#N/A</c:v>
                </c:pt>
                <c:pt idx="201">
                  <c:v>137.04</c:v>
                </c:pt>
                <c:pt idx="202">
                  <c:v>136.91999999999999</c:v>
                </c:pt>
                <c:pt idx="203">
                  <c:v>136.88999999999999</c:v>
                </c:pt>
                <c:pt idx="204">
                  <c:v>136.31</c:v>
                </c:pt>
                <c:pt idx="205">
                  <c:v>136.22</c:v>
                </c:pt>
                <c:pt idx="206">
                  <c:v>#N/A</c:v>
                </c:pt>
                <c:pt idx="207">
                  <c:v>#N/A</c:v>
                </c:pt>
                <c:pt idx="208">
                  <c:v>136.37</c:v>
                </c:pt>
                <c:pt idx="209">
                  <c:v>136.22999999999999</c:v>
                </c:pt>
                <c:pt idx="210">
                  <c:v>136.22999999999999</c:v>
                </c:pt>
                <c:pt idx="211">
                  <c:v>135.96</c:v>
                </c:pt>
                <c:pt idx="212">
                  <c:v>135.94999999999999</c:v>
                </c:pt>
                <c:pt idx="213">
                  <c:v>#N/A</c:v>
                </c:pt>
                <c:pt idx="214">
                  <c:v>#N/A</c:v>
                </c:pt>
                <c:pt idx="215">
                  <c:v>136</c:v>
                </c:pt>
                <c:pt idx="216">
                  <c:v>136.77000000000001</c:v>
                </c:pt>
                <c:pt idx="217">
                  <c:v>137.44999999999999</c:v>
                </c:pt>
                <c:pt idx="218">
                  <c:v>137.86000000000001</c:v>
                </c:pt>
                <c:pt idx="219">
                  <c:v>138.07</c:v>
                </c:pt>
                <c:pt idx="220">
                  <c:v>#N/A</c:v>
                </c:pt>
                <c:pt idx="221">
                  <c:v>#N/A</c:v>
                </c:pt>
                <c:pt idx="222">
                  <c:v>138.15</c:v>
                </c:pt>
                <c:pt idx="223">
                  <c:v>137.94</c:v>
                </c:pt>
                <c:pt idx="224">
                  <c:v>137.9</c:v>
                </c:pt>
                <c:pt idx="225">
                  <c:v>137.94</c:v>
                </c:pt>
                <c:pt idx="226">
                  <c:v>137.75</c:v>
                </c:pt>
                <c:pt idx="227">
                  <c:v>#N/A</c:v>
                </c:pt>
                <c:pt idx="228">
                  <c:v>#N/A</c:v>
                </c:pt>
                <c:pt idx="229">
                  <c:v>137.65</c:v>
                </c:pt>
                <c:pt idx="230">
                  <c:v>138.16</c:v>
                </c:pt>
                <c:pt idx="231">
                  <c:v>138.26</c:v>
                </c:pt>
                <c:pt idx="232">
                  <c:v>138.74</c:v>
                </c:pt>
                <c:pt idx="233">
                  <c:v>138.51</c:v>
                </c:pt>
                <c:pt idx="234">
                  <c:v>#N/A</c:v>
                </c:pt>
                <c:pt idx="235">
                  <c:v>#N/A</c:v>
                </c:pt>
                <c:pt idx="236">
                  <c:v>139.32</c:v>
                </c:pt>
                <c:pt idx="237">
                  <c:v>139.58000000000001</c:v>
                </c:pt>
                <c:pt idx="238">
                  <c:v>139.66</c:v>
                </c:pt>
                <c:pt idx="239">
                  <c:v>140.33000000000001</c:v>
                </c:pt>
                <c:pt idx="240">
                  <c:v>140.6</c:v>
                </c:pt>
                <c:pt idx="241">
                  <c:v>#N/A</c:v>
                </c:pt>
                <c:pt idx="242">
                  <c:v>#N/A</c:v>
                </c:pt>
                <c:pt idx="243">
                  <c:v>140.56</c:v>
                </c:pt>
                <c:pt idx="244">
                  <c:v>140.6</c:v>
                </c:pt>
                <c:pt idx="245">
                  <c:v>140.58000000000001</c:v>
                </c:pt>
                <c:pt idx="246">
                  <c:v>140.99</c:v>
                </c:pt>
                <c:pt idx="247">
                  <c:v>141.08000000000001</c:v>
                </c:pt>
                <c:pt idx="248">
                  <c:v>#N/A</c:v>
                </c:pt>
                <c:pt idx="249">
                  <c:v>#N/A</c:v>
                </c:pt>
                <c:pt idx="250">
                  <c:v>141.36000000000001</c:v>
                </c:pt>
                <c:pt idx="251">
                  <c:v>141.36000000000001</c:v>
                </c:pt>
                <c:pt idx="252">
                  <c:v>141.54</c:v>
                </c:pt>
                <c:pt idx="253">
                  <c:v>142.05000000000001</c:v>
                </c:pt>
                <c:pt idx="254">
                  <c:v>142.6</c:v>
                </c:pt>
                <c:pt idx="255">
                  <c:v>#N/A</c:v>
                </c:pt>
                <c:pt idx="256">
                  <c:v>#N/A</c:v>
                </c:pt>
                <c:pt idx="257">
                  <c:v>143.03</c:v>
                </c:pt>
                <c:pt idx="258">
                  <c:v>142.56</c:v>
                </c:pt>
                <c:pt idx="259">
                  <c:v>144.1</c:v>
                </c:pt>
                <c:pt idx="260">
                  <c:v>144.5</c:v>
                </c:pt>
                <c:pt idx="261">
                  <c:v>144.5</c:v>
                </c:pt>
                <c:pt idx="262">
                  <c:v>#N/A</c:v>
                </c:pt>
                <c:pt idx="263">
                  <c:v>#N/A</c:v>
                </c:pt>
                <c:pt idx="264">
                  <c:v>144.74</c:v>
                </c:pt>
                <c:pt idx="265">
                  <c:v>144.58000000000001</c:v>
                </c:pt>
                <c:pt idx="266">
                  <c:v>144.57</c:v>
                </c:pt>
                <c:pt idx="267">
                  <c:v>144.54</c:v>
                </c:pt>
                <c:pt idx="268">
                  <c:v>145.77000000000001</c:v>
                </c:pt>
                <c:pt idx="269">
                  <c:v>#N/A</c:v>
                </c:pt>
                <c:pt idx="270">
                  <c:v>#N/A</c:v>
                </c:pt>
                <c:pt idx="271">
                  <c:v>146.36000000000001</c:v>
                </c:pt>
                <c:pt idx="272">
                  <c:v>146.33000000000001</c:v>
                </c:pt>
                <c:pt idx="273">
                  <c:v>146.33000000000001</c:v>
                </c:pt>
                <c:pt idx="274">
                  <c:v>#N/A</c:v>
                </c:pt>
                <c:pt idx="275">
                  <c:v>#N/A</c:v>
                </c:pt>
                <c:pt idx="276">
                  <c:v>#N/A</c:v>
                </c:pt>
                <c:pt idx="277">
                  <c:v>#N/A</c:v>
                </c:pt>
                <c:pt idx="278">
                  <c:v>#N/A</c:v>
                </c:pt>
                <c:pt idx="279">
                  <c:v>#N/A</c:v>
                </c:pt>
                <c:pt idx="280">
                  <c:v>#N/A</c:v>
                </c:pt>
                <c:pt idx="281">
                  <c:v>#N/A</c:v>
                </c:pt>
                <c:pt idx="282">
                  <c:v>146.38</c:v>
                </c:pt>
                <c:pt idx="283">
                  <c:v>#N/A</c:v>
                </c:pt>
                <c:pt idx="284">
                  <c:v>#N/A</c:v>
                </c:pt>
                <c:pt idx="285">
                  <c:v>147.03</c:v>
                </c:pt>
                <c:pt idx="286">
                  <c:v>147.41</c:v>
                </c:pt>
                <c:pt idx="287">
                  <c:v>147.85</c:v>
                </c:pt>
                <c:pt idx="288">
                  <c:v>148.77000000000001</c:v>
                </c:pt>
                <c:pt idx="289">
                  <c:v>149.19</c:v>
                </c:pt>
                <c:pt idx="290">
                  <c:v>#N/A</c:v>
                </c:pt>
                <c:pt idx="291">
                  <c:v>#N/A</c:v>
                </c:pt>
                <c:pt idx="292">
                  <c:v>150.55000000000001</c:v>
                </c:pt>
                <c:pt idx="293">
                  <c:v>150.56</c:v>
                </c:pt>
                <c:pt idx="294">
                  <c:v>150.51</c:v>
                </c:pt>
                <c:pt idx="295">
                  <c:v>150.4</c:v>
                </c:pt>
                <c:pt idx="296">
                  <c:v>150.41</c:v>
                </c:pt>
                <c:pt idx="297">
                  <c:v>#N/A</c:v>
                </c:pt>
                <c:pt idx="298">
                  <c:v>#N/A</c:v>
                </c:pt>
                <c:pt idx="299">
                  <c:v>150.63999999999999</c:v>
                </c:pt>
                <c:pt idx="300">
                  <c:v>150.51</c:v>
                </c:pt>
                <c:pt idx="301">
                  <c:v>150.52000000000001</c:v>
                </c:pt>
                <c:pt idx="302">
                  <c:v>150.71</c:v>
                </c:pt>
                <c:pt idx="303">
                  <c:v>150.88</c:v>
                </c:pt>
                <c:pt idx="304">
                  <c:v>#N/A</c:v>
                </c:pt>
                <c:pt idx="305">
                  <c:v>#N/A</c:v>
                </c:pt>
                <c:pt idx="306">
                  <c:v>151.57</c:v>
                </c:pt>
                <c:pt idx="307">
                  <c:v>151.69</c:v>
                </c:pt>
                <c:pt idx="308">
                  <c:v>151.85</c:v>
                </c:pt>
                <c:pt idx="309">
                  <c:v>151.9</c:v>
                </c:pt>
                <c:pt idx="310">
                  <c:v>152.11000000000001</c:v>
                </c:pt>
                <c:pt idx="311">
                  <c:v>#N/A</c:v>
                </c:pt>
                <c:pt idx="312">
                  <c:v>#N/A</c:v>
                </c:pt>
                <c:pt idx="313">
                  <c:v>152.5</c:v>
                </c:pt>
                <c:pt idx="314">
                  <c:v>152.56</c:v>
                </c:pt>
                <c:pt idx="315">
                  <c:v>152.85</c:v>
                </c:pt>
                <c:pt idx="316">
                  <c:v>153.11000000000001</c:v>
                </c:pt>
                <c:pt idx="317">
                  <c:v>153.12</c:v>
                </c:pt>
                <c:pt idx="318">
                  <c:v>#N/A</c:v>
                </c:pt>
                <c:pt idx="319">
                  <c:v>#N/A</c:v>
                </c:pt>
                <c:pt idx="320">
                  <c:v>153.74</c:v>
                </c:pt>
                <c:pt idx="321">
                  <c:v>153.93</c:v>
                </c:pt>
                <c:pt idx="322">
                  <c:v>153.88</c:v>
                </c:pt>
                <c:pt idx="323">
                  <c:v>154.21</c:v>
                </c:pt>
                <c:pt idx="324">
                  <c:v>154.66999999999999</c:v>
                </c:pt>
                <c:pt idx="325">
                  <c:v>#N/A</c:v>
                </c:pt>
                <c:pt idx="326">
                  <c:v>#N/A</c:v>
                </c:pt>
                <c:pt idx="327">
                  <c:v>154.83000000000001</c:v>
                </c:pt>
                <c:pt idx="328">
                  <c:v>154.82</c:v>
                </c:pt>
                <c:pt idx="329">
                  <c:v>154.83000000000001</c:v>
                </c:pt>
                <c:pt idx="330">
                  <c:v>154.88</c:v>
                </c:pt>
                <c:pt idx="331">
                  <c:v>154.79</c:v>
                </c:pt>
                <c:pt idx="332">
                  <c:v>#N/A</c:v>
                </c:pt>
                <c:pt idx="333">
                  <c:v>#N/A</c:v>
                </c:pt>
                <c:pt idx="334">
                  <c:v>154.80000000000001</c:v>
                </c:pt>
                <c:pt idx="335">
                  <c:v>154.94999999999999</c:v>
                </c:pt>
                <c:pt idx="336">
                  <c:v>154.9</c:v>
                </c:pt>
                <c:pt idx="337">
                  <c:v>154.88</c:v>
                </c:pt>
                <c:pt idx="338">
                  <c:v>154.99</c:v>
                </c:pt>
                <c:pt idx="339">
                  <c:v>#N/A</c:v>
                </c:pt>
                <c:pt idx="340">
                  <c:v>#N/A</c:v>
                </c:pt>
                <c:pt idx="341">
                  <c:v>154.96</c:v>
                </c:pt>
                <c:pt idx="342">
                  <c:v>155.04</c:v>
                </c:pt>
                <c:pt idx="343">
                  <c:v>155.04</c:v>
                </c:pt>
                <c:pt idx="344">
                  <c:v>155.02000000000001</c:v>
                </c:pt>
                <c:pt idx="345">
                  <c:v>155.02000000000001</c:v>
                </c:pt>
                <c:pt idx="346">
                  <c:v>#N/A</c:v>
                </c:pt>
                <c:pt idx="347">
                  <c:v>#N/A</c:v>
                </c:pt>
                <c:pt idx="348">
                  <c:v>155.05000000000001</c:v>
                </c:pt>
                <c:pt idx="349">
                  <c:v>155.11000000000001</c:v>
                </c:pt>
                <c:pt idx="350">
                  <c:v>155.31</c:v>
                </c:pt>
                <c:pt idx="351">
                  <c:v>155.26</c:v>
                </c:pt>
                <c:pt idx="352">
                  <c:v>155.27000000000001</c:v>
                </c:pt>
                <c:pt idx="353">
                  <c:v>#N/A</c:v>
                </c:pt>
                <c:pt idx="354">
                  <c:v>#N/A</c:v>
                </c:pt>
                <c:pt idx="355">
                  <c:v>155.19</c:v>
                </c:pt>
                <c:pt idx="356">
                  <c:v>155.05000000000001</c:v>
                </c:pt>
                <c:pt idx="357">
                  <c:v>155.07</c:v>
                </c:pt>
                <c:pt idx="358">
                  <c:v>154.99</c:v>
                </c:pt>
                <c:pt idx="359">
                  <c:v>154.9</c:v>
                </c:pt>
                <c:pt idx="360">
                  <c:v>#N/A</c:v>
                </c:pt>
                <c:pt idx="361">
                  <c:v>#N/A</c:v>
                </c:pt>
                <c:pt idx="362">
                  <c:v>154.72</c:v>
                </c:pt>
                <c:pt idx="363">
                  <c:v>154.65</c:v>
                </c:pt>
                <c:pt idx="364">
                  <c:v>154.6</c:v>
                </c:pt>
              </c:numCache>
            </c:numRef>
          </c:val>
          <c:smooth val="1"/>
          <c:extLst xmlns:c16r2="http://schemas.microsoft.com/office/drawing/2015/06/chart">
            <c:ext xmlns:c16="http://schemas.microsoft.com/office/drawing/2014/chart" uri="{C3380CC4-5D6E-409C-BE32-E72D297353CC}">
              <c16:uniqueId val="{00000001-DE56-486F-81AB-A95D34284161}"/>
            </c:ext>
          </c:extLst>
        </c:ser>
        <c:ser>
          <c:idx val="1"/>
          <c:order val="2"/>
          <c:tx>
            <c:strRef>
              <c:f>水泥!$J$1</c:f>
              <c:strCache>
                <c:ptCount val="1"/>
                <c:pt idx="0">
                  <c:v>2021</c:v>
                </c:pt>
              </c:strCache>
            </c:strRef>
          </c:tx>
          <c:spPr>
            <a:ln w="28575">
              <a:solidFill>
                <a:srgbClr val="BF5711"/>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水泥!$J$2:$J$366</c:f>
              <c:numCache>
                <c:formatCode>General</c:formatCode>
                <c:ptCount val="365"/>
                <c:pt idx="0">
                  <c:v>#N/A</c:v>
                </c:pt>
                <c:pt idx="1">
                  <c:v>#N/A</c:v>
                </c:pt>
                <c:pt idx="2">
                  <c:v>#N/A</c:v>
                </c:pt>
                <c:pt idx="3">
                  <c:v>154.13999999999999</c:v>
                </c:pt>
                <c:pt idx="4">
                  <c:v>153.87</c:v>
                </c:pt>
                <c:pt idx="5">
                  <c:v>153.79</c:v>
                </c:pt>
                <c:pt idx="6">
                  <c:v>153.74</c:v>
                </c:pt>
                <c:pt idx="7">
                  <c:v>153.63</c:v>
                </c:pt>
                <c:pt idx="8">
                  <c:v>#N/A</c:v>
                </c:pt>
                <c:pt idx="9">
                  <c:v>#N/A</c:v>
                </c:pt>
                <c:pt idx="10">
                  <c:v>153.41999999999999</c:v>
                </c:pt>
                <c:pt idx="11">
                  <c:v>153.36000000000001</c:v>
                </c:pt>
                <c:pt idx="12">
                  <c:v>153.22999999999999</c:v>
                </c:pt>
                <c:pt idx="13">
                  <c:v>153.03</c:v>
                </c:pt>
                <c:pt idx="14">
                  <c:v>152.94</c:v>
                </c:pt>
                <c:pt idx="15">
                  <c:v>#N/A</c:v>
                </c:pt>
                <c:pt idx="16">
                  <c:v>#N/A</c:v>
                </c:pt>
                <c:pt idx="17">
                  <c:v>152.44</c:v>
                </c:pt>
                <c:pt idx="18">
                  <c:v>152.34</c:v>
                </c:pt>
                <c:pt idx="19">
                  <c:v>152.25</c:v>
                </c:pt>
                <c:pt idx="20">
                  <c:v>152.21</c:v>
                </c:pt>
                <c:pt idx="21">
                  <c:v>152.28</c:v>
                </c:pt>
                <c:pt idx="22">
                  <c:v>#N/A</c:v>
                </c:pt>
                <c:pt idx="23">
                  <c:v>#N/A</c:v>
                </c:pt>
                <c:pt idx="24">
                  <c:v>151.94</c:v>
                </c:pt>
                <c:pt idx="25">
                  <c:v>151.84</c:v>
                </c:pt>
                <c:pt idx="26">
                  <c:v>151.69999999999999</c:v>
                </c:pt>
                <c:pt idx="27">
                  <c:v>151.44999999999999</c:v>
                </c:pt>
                <c:pt idx="28">
                  <c:v>150.91999999999999</c:v>
                </c:pt>
                <c:pt idx="29">
                  <c:v>#N/A</c:v>
                </c:pt>
                <c:pt idx="30">
                  <c:v>#N/A</c:v>
                </c:pt>
                <c:pt idx="31">
                  <c:v>150.91999999999999</c:v>
                </c:pt>
                <c:pt idx="32">
                  <c:v>150.81</c:v>
                </c:pt>
                <c:pt idx="33">
                  <c:v>150.30000000000001</c:v>
                </c:pt>
                <c:pt idx="34">
                  <c:v>150.4</c:v>
                </c:pt>
                <c:pt idx="35">
                  <c:v>150.01</c:v>
                </c:pt>
                <c:pt idx="36">
                  <c:v>#N/A</c:v>
                </c:pt>
                <c:pt idx="37">
                  <c:v>#N/A</c:v>
                </c:pt>
                <c:pt idx="38">
                  <c:v>149.69999999999999</c:v>
                </c:pt>
                <c:pt idx="39">
                  <c:v>#N/A</c:v>
                </c:pt>
                <c:pt idx="40">
                  <c:v>#N/A</c:v>
                </c:pt>
                <c:pt idx="41">
                  <c:v>#N/A</c:v>
                </c:pt>
                <c:pt idx="42">
                  <c:v>#N/A</c:v>
                </c:pt>
                <c:pt idx="43">
                  <c:v>#N/A</c:v>
                </c:pt>
                <c:pt idx="44">
                  <c:v>#N/A</c:v>
                </c:pt>
                <c:pt idx="45">
                  <c:v>#N/A</c:v>
                </c:pt>
                <c:pt idx="46">
                  <c:v>#N/A</c:v>
                </c:pt>
                <c:pt idx="47">
                  <c:v>#N/A</c:v>
                </c:pt>
                <c:pt idx="48">
                  <c:v>#N/A</c:v>
                </c:pt>
                <c:pt idx="49">
                  <c:v>149.66999999999999</c:v>
                </c:pt>
                <c:pt idx="50">
                  <c:v>#N/A</c:v>
                </c:pt>
                <c:pt idx="51">
                  <c:v>#N/A</c:v>
                </c:pt>
                <c:pt idx="52">
                  <c:v>147.22</c:v>
                </c:pt>
                <c:pt idx="53">
                  <c:v>146.5</c:v>
                </c:pt>
                <c:pt idx="54">
                  <c:v>146.12</c:v>
                </c:pt>
                <c:pt idx="55">
                  <c:v>146.02000000000001</c:v>
                </c:pt>
                <c:pt idx="56">
                  <c:v>145.86000000000001</c:v>
                </c:pt>
                <c:pt idx="57">
                  <c:v>#N/A</c:v>
                </c:pt>
                <c:pt idx="58">
                  <c:v>#N/A</c:v>
                </c:pt>
                <c:pt idx="59">
                  <c:v>146.13</c:v>
                </c:pt>
                <c:pt idx="60">
                  <c:v>146.04</c:v>
                </c:pt>
                <c:pt idx="61">
                  <c:v>146.02000000000001</c:v>
                </c:pt>
                <c:pt idx="62">
                  <c:v>146.02000000000001</c:v>
                </c:pt>
                <c:pt idx="63">
                  <c:v>145.46</c:v>
                </c:pt>
                <c:pt idx="64">
                  <c:v>#N/A</c:v>
                </c:pt>
                <c:pt idx="65">
                  <c:v>#N/A</c:v>
                </c:pt>
                <c:pt idx="66">
                  <c:v>145.5</c:v>
                </c:pt>
                <c:pt idx="67">
                  <c:v>145.35</c:v>
                </c:pt>
                <c:pt idx="68">
                  <c:v>145.12</c:v>
                </c:pt>
                <c:pt idx="69">
                  <c:v>145.21</c:v>
                </c:pt>
                <c:pt idx="70">
                  <c:v>144.78</c:v>
                </c:pt>
                <c:pt idx="71">
                  <c:v>#N/A</c:v>
                </c:pt>
                <c:pt idx="72">
                  <c:v>#N/A</c:v>
                </c:pt>
                <c:pt idx="73">
                  <c:v>144.74</c:v>
                </c:pt>
                <c:pt idx="74">
                  <c:v>144.78</c:v>
                </c:pt>
                <c:pt idx="75">
                  <c:v>144.82</c:v>
                </c:pt>
                <c:pt idx="76">
                  <c:v>144.82</c:v>
                </c:pt>
                <c:pt idx="77">
                  <c:v>144.86000000000001</c:v>
                </c:pt>
                <c:pt idx="78">
                  <c:v>#N/A</c:v>
                </c:pt>
                <c:pt idx="79">
                  <c:v>#N/A</c:v>
                </c:pt>
                <c:pt idx="80">
                  <c:v>146.4</c:v>
                </c:pt>
                <c:pt idx="81">
                  <c:v>146.54</c:v>
                </c:pt>
                <c:pt idx="82">
                  <c:v>146.44999999999999</c:v>
                </c:pt>
                <c:pt idx="83">
                  <c:v>147.52000000000001</c:v>
                </c:pt>
                <c:pt idx="84">
                  <c:v>148.02000000000001</c:v>
                </c:pt>
                <c:pt idx="85">
                  <c:v>#N/A</c:v>
                </c:pt>
                <c:pt idx="86">
                  <c:v>#N/A</c:v>
                </c:pt>
                <c:pt idx="87">
                  <c:v>148.41999999999999</c:v>
                </c:pt>
                <c:pt idx="88">
                  <c:v>148.56</c:v>
                </c:pt>
                <c:pt idx="89">
                  <c:v>149.21</c:v>
                </c:pt>
                <c:pt idx="90">
                  <c:v>149.47</c:v>
                </c:pt>
                <c:pt idx="91">
                  <c:v>149.88</c:v>
                </c:pt>
                <c:pt idx="92">
                  <c:v>#N/A</c:v>
                </c:pt>
                <c:pt idx="93">
                  <c:v>#N/A</c:v>
                </c:pt>
                <c:pt idx="94">
                  <c:v>#N/A</c:v>
                </c:pt>
                <c:pt idx="95">
                  <c:v>150.34</c:v>
                </c:pt>
                <c:pt idx="96">
                  <c:v>150.25</c:v>
                </c:pt>
                <c:pt idx="97">
                  <c:v>150.66999999999999</c:v>
                </c:pt>
                <c:pt idx="98">
                  <c:v>150.84</c:v>
                </c:pt>
                <c:pt idx="99">
                  <c:v>#N/A</c:v>
                </c:pt>
                <c:pt idx="100">
                  <c:v>#N/A</c:v>
                </c:pt>
                <c:pt idx="101">
                  <c:v>152.19</c:v>
                </c:pt>
                <c:pt idx="102">
                  <c:v>152.47999999999999</c:v>
                </c:pt>
                <c:pt idx="103">
                  <c:v>153.24</c:v>
                </c:pt>
                <c:pt idx="104">
                  <c:v>153.57</c:v>
                </c:pt>
                <c:pt idx="105">
                  <c:v>153.81</c:v>
                </c:pt>
                <c:pt idx="106">
                  <c:v>#N/A</c:v>
                </c:pt>
                <c:pt idx="107">
                  <c:v>#N/A</c:v>
                </c:pt>
                <c:pt idx="108">
                  <c:v>154.16</c:v>
                </c:pt>
                <c:pt idx="109">
                  <c:v>154.68</c:v>
                </c:pt>
                <c:pt idx="110">
                  <c:v>154.94</c:v>
                </c:pt>
                <c:pt idx="111">
                  <c:v>154.94</c:v>
                </c:pt>
                <c:pt idx="112">
                  <c:v>154.97999999999999</c:v>
                </c:pt>
                <c:pt idx="113">
                  <c:v>#N/A</c:v>
                </c:pt>
                <c:pt idx="114">
                  <c:v>155.56</c:v>
                </c:pt>
                <c:pt idx="115">
                  <c:v>156.24</c:v>
                </c:pt>
                <c:pt idx="116">
                  <c:v>157</c:v>
                </c:pt>
                <c:pt idx="117">
                  <c:v>157.51</c:v>
                </c:pt>
                <c:pt idx="118">
                  <c:v>157.88999999999999</c:v>
                </c:pt>
                <c:pt idx="119">
                  <c:v>157.44</c:v>
                </c:pt>
                <c:pt idx="120">
                  <c:v>#N/A</c:v>
                </c:pt>
                <c:pt idx="121">
                  <c:v>#N/A</c:v>
                </c:pt>
                <c:pt idx="122">
                  <c:v>#N/A</c:v>
                </c:pt>
                <c:pt idx="123">
                  <c:v>#N/A</c:v>
                </c:pt>
                <c:pt idx="124">
                  <c:v>#N/A</c:v>
                </c:pt>
                <c:pt idx="125">
                  <c:v>157.91999999999999</c:v>
                </c:pt>
                <c:pt idx="126">
                  <c:v>158.16</c:v>
                </c:pt>
                <c:pt idx="127">
                  <c:v>158.22</c:v>
                </c:pt>
                <c:pt idx="128">
                  <c:v>#N/A</c:v>
                </c:pt>
                <c:pt idx="129">
                  <c:v>158.97</c:v>
                </c:pt>
                <c:pt idx="130">
                  <c:v>159.03</c:v>
                </c:pt>
                <c:pt idx="131">
                  <c:v>159.01</c:v>
                </c:pt>
                <c:pt idx="132">
                  <c:v>158.81</c:v>
                </c:pt>
                <c:pt idx="133">
                  <c:v>158.79</c:v>
                </c:pt>
                <c:pt idx="134">
                  <c:v>#N/A</c:v>
                </c:pt>
                <c:pt idx="135">
                  <c:v>#N/A</c:v>
                </c:pt>
                <c:pt idx="136">
                  <c:v>159.13</c:v>
                </c:pt>
                <c:pt idx="137">
                  <c:v>159.12</c:v>
                </c:pt>
                <c:pt idx="138">
                  <c:v>159.13</c:v>
                </c:pt>
                <c:pt idx="139">
                  <c:v>159.34</c:v>
                </c:pt>
                <c:pt idx="140">
                  <c:v>159.29</c:v>
                </c:pt>
                <c:pt idx="141">
                  <c:v>#N/A</c:v>
                </c:pt>
                <c:pt idx="142">
                  <c:v>#N/A</c:v>
                </c:pt>
                <c:pt idx="143">
                  <c:v>#N/A</c:v>
                </c:pt>
                <c:pt idx="144">
                  <c:v>#N/A</c:v>
                </c:pt>
                <c:pt idx="145">
                  <c:v>#N/A</c:v>
                </c:pt>
                <c:pt idx="146">
                  <c:v>#N/A</c:v>
                </c:pt>
                <c:pt idx="147">
                  <c:v>#N/A</c:v>
                </c:pt>
                <c:pt idx="148">
                  <c:v>#N/A</c:v>
                </c:pt>
                <c:pt idx="149">
                  <c:v>#N/A</c:v>
                </c:pt>
                <c:pt idx="150">
                  <c:v>#N/A</c:v>
                </c:pt>
                <c:pt idx="151">
                  <c:v>#N/A</c:v>
                </c:pt>
                <c:pt idx="152">
                  <c:v>#N/A</c:v>
                </c:pt>
                <c:pt idx="153">
                  <c:v>#N/A</c:v>
                </c:pt>
                <c:pt idx="154">
                  <c:v>#N/A</c:v>
                </c:pt>
                <c:pt idx="155">
                  <c:v>#N/A</c:v>
                </c:pt>
                <c:pt idx="156">
                  <c:v>#N/A</c:v>
                </c:pt>
                <c:pt idx="157">
                  <c:v>#N/A</c:v>
                </c:pt>
                <c:pt idx="158">
                  <c:v>#N/A</c:v>
                </c:pt>
                <c:pt idx="159">
                  <c:v>#N/A</c:v>
                </c:pt>
                <c:pt idx="160">
                  <c:v>#N/A</c:v>
                </c:pt>
                <c:pt idx="161">
                  <c:v>#N/A</c:v>
                </c:pt>
                <c:pt idx="162">
                  <c:v>#N/A</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DE56-486F-81AB-A95D34284161}"/>
            </c:ext>
          </c:extLst>
        </c:ser>
        <c:dLbls>
          <c:showLegendKey val="0"/>
          <c:showVal val="0"/>
          <c:showCatName val="0"/>
          <c:showSerName val="0"/>
          <c:showPercent val="0"/>
          <c:showBubbleSize val="0"/>
        </c:dLbls>
        <c:marker val="1"/>
        <c:smooth val="0"/>
        <c:axId val="345470848"/>
        <c:axId val="345472384"/>
      </c:lineChart>
      <c:dateAx>
        <c:axId val="345470848"/>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45472384"/>
        <c:crosses val="autoZero"/>
        <c:auto val="0"/>
        <c:lblOffset val="0"/>
        <c:baseTimeUnit val="days"/>
        <c:majorUnit val="1"/>
        <c:majorTimeUnit val="months"/>
      </c:dateAx>
      <c:valAx>
        <c:axId val="345472384"/>
        <c:scaling>
          <c:orientation val="minMax"/>
          <c:max val="170"/>
          <c:min val="9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45470848"/>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85830096237970255"/>
          <c:h val="0.81409120734908136"/>
        </c:manualLayout>
      </c:layout>
      <c:lineChart>
        <c:grouping val="standard"/>
        <c:varyColors val="0"/>
        <c:ser>
          <c:idx val="0"/>
          <c:order val="0"/>
          <c:tx>
            <c:strRef>
              <c:f>汇率!$B$2</c:f>
              <c:strCache>
                <c:ptCount val="1"/>
                <c:pt idx="0">
                  <c:v>美元兑人民币</c:v>
                </c:pt>
              </c:strCache>
            </c:strRef>
          </c:tx>
          <c:spPr>
            <a:ln w="25400">
              <a:solidFill>
                <a:srgbClr val="ED7D31">
                  <a:lumMod val="75000"/>
                </a:srgbClr>
              </a:solidFill>
            </a:ln>
          </c:spPr>
          <c:marker>
            <c:symbol val="none"/>
          </c:marker>
          <c:cat>
            <c:numRef>
              <c:f>汇率!$A$3:$A$28</c:f>
              <c:numCache>
                <c:formatCode>yyyy\-mm\-dd;@</c:formatCode>
                <c:ptCount val="26"/>
                <c:pt idx="0">
                  <c:v>44338</c:v>
                </c:pt>
                <c:pt idx="1">
                  <c:v>44331</c:v>
                </c:pt>
                <c:pt idx="2">
                  <c:v>44324</c:v>
                </c:pt>
                <c:pt idx="3">
                  <c:v>44317</c:v>
                </c:pt>
                <c:pt idx="4">
                  <c:v>44310</c:v>
                </c:pt>
                <c:pt idx="5">
                  <c:v>44303</c:v>
                </c:pt>
                <c:pt idx="6">
                  <c:v>44296</c:v>
                </c:pt>
                <c:pt idx="7">
                  <c:v>44289</c:v>
                </c:pt>
                <c:pt idx="8">
                  <c:v>44282</c:v>
                </c:pt>
                <c:pt idx="9">
                  <c:v>44275</c:v>
                </c:pt>
                <c:pt idx="10">
                  <c:v>44268</c:v>
                </c:pt>
                <c:pt idx="11">
                  <c:v>44261</c:v>
                </c:pt>
                <c:pt idx="12">
                  <c:v>44254</c:v>
                </c:pt>
                <c:pt idx="13">
                  <c:v>44247</c:v>
                </c:pt>
                <c:pt idx="14">
                  <c:v>44240</c:v>
                </c:pt>
                <c:pt idx="15">
                  <c:v>44233</c:v>
                </c:pt>
                <c:pt idx="16">
                  <c:v>44226</c:v>
                </c:pt>
                <c:pt idx="17">
                  <c:v>44219</c:v>
                </c:pt>
                <c:pt idx="18">
                  <c:v>44212</c:v>
                </c:pt>
                <c:pt idx="19">
                  <c:v>44205</c:v>
                </c:pt>
                <c:pt idx="20">
                  <c:v>44198</c:v>
                </c:pt>
                <c:pt idx="21">
                  <c:v>44191</c:v>
                </c:pt>
                <c:pt idx="22">
                  <c:v>44184</c:v>
                </c:pt>
                <c:pt idx="23">
                  <c:v>44177</c:v>
                </c:pt>
                <c:pt idx="24">
                  <c:v>44170</c:v>
                </c:pt>
                <c:pt idx="25">
                  <c:v>44163</c:v>
                </c:pt>
              </c:numCache>
            </c:numRef>
          </c:cat>
          <c:val>
            <c:numRef>
              <c:f>汇率!$B$3:$B$28</c:f>
              <c:numCache>
                <c:formatCode>###,###,###,###,##0.00</c:formatCode>
                <c:ptCount val="26"/>
                <c:pt idx="0">
                  <c:v>6.4337</c:v>
                </c:pt>
                <c:pt idx="1">
                  <c:v>6.4347000000000003</c:v>
                </c:pt>
                <c:pt idx="2">
                  <c:v>6.4588999999999999</c:v>
                </c:pt>
                <c:pt idx="3">
                  <c:v>6.4715999999999996</c:v>
                </c:pt>
                <c:pt idx="4">
                  <c:v>6.4935999999999998</c:v>
                </c:pt>
                <c:pt idx="5">
                  <c:v>6.5228000000000002</c:v>
                </c:pt>
                <c:pt idx="6">
                  <c:v>6.5589000000000004</c:v>
                </c:pt>
                <c:pt idx="7">
                  <c:v>6.5612000000000004</c:v>
                </c:pt>
                <c:pt idx="8">
                  <c:v>6.5407000000000002</c:v>
                </c:pt>
                <c:pt idx="9">
                  <c:v>6.5045000000000002</c:v>
                </c:pt>
                <c:pt idx="10">
                  <c:v>6.5035999999999996</c:v>
                </c:pt>
                <c:pt idx="11">
                  <c:v>6.4767999999999999</c:v>
                </c:pt>
                <c:pt idx="12">
                  <c:v>6.4589999999999996</c:v>
                </c:pt>
                <c:pt idx="13">
                  <c:v>6.4574999999999996</c:v>
                </c:pt>
                <c:pt idx="14">
                  <c:v>6.4379999999999997</c:v>
                </c:pt>
                <c:pt idx="15">
                  <c:v>6.4809999999999999</c:v>
                </c:pt>
                <c:pt idx="16">
                  <c:v>6.4611999999999998</c:v>
                </c:pt>
                <c:pt idx="17">
                  <c:v>6.4776999999999996</c:v>
                </c:pt>
                <c:pt idx="18">
                  <c:v>6.4752000000000001</c:v>
                </c:pt>
                <c:pt idx="19">
                  <c:v>6.4718999999999998</c:v>
                </c:pt>
                <c:pt idx="20">
                  <c:v>6.5397999999999996</c:v>
                </c:pt>
                <c:pt idx="21">
                  <c:v>6.5240999999999998</c:v>
                </c:pt>
                <c:pt idx="22">
                  <c:v>6.5415000000000001</c:v>
                </c:pt>
                <c:pt idx="23">
                  <c:v>6.5411000000000001</c:v>
                </c:pt>
                <c:pt idx="24">
                  <c:v>6.5301999999999998</c:v>
                </c:pt>
                <c:pt idx="25">
                  <c:v>6.5823</c:v>
                </c:pt>
              </c:numCache>
            </c:numRef>
          </c:val>
          <c:smooth val="1"/>
          <c:extLst xmlns:c16r2="http://schemas.microsoft.com/office/drawing/2015/06/chart">
            <c:ext xmlns:c16="http://schemas.microsoft.com/office/drawing/2014/chart" uri="{C3380CC4-5D6E-409C-BE32-E72D297353CC}">
              <c16:uniqueId val="{00000000-FB26-4560-BF82-E44BC96AA276}"/>
            </c:ext>
          </c:extLst>
        </c:ser>
        <c:dLbls>
          <c:showLegendKey val="0"/>
          <c:showVal val="0"/>
          <c:showCatName val="0"/>
          <c:showSerName val="0"/>
          <c:showPercent val="0"/>
          <c:showBubbleSize val="0"/>
        </c:dLbls>
        <c:marker val="1"/>
        <c:smooth val="0"/>
        <c:axId val="345646976"/>
        <c:axId val="345648512"/>
      </c:lineChart>
      <c:lineChart>
        <c:grouping val="standard"/>
        <c:varyColors val="0"/>
        <c:ser>
          <c:idx val="2"/>
          <c:order val="1"/>
          <c:tx>
            <c:strRef>
              <c:f>汇率!$C$2</c:f>
              <c:strCache>
                <c:ptCount val="1"/>
                <c:pt idx="0">
                  <c:v>中美利差</c:v>
                </c:pt>
              </c:strCache>
            </c:strRef>
          </c:tx>
          <c:spPr>
            <a:ln w="25400">
              <a:solidFill>
                <a:srgbClr val="ED7D31"/>
              </a:solidFill>
              <a:prstDash val="sysDash"/>
            </a:ln>
          </c:spPr>
          <c:marker>
            <c:symbol val="none"/>
          </c:marker>
          <c:cat>
            <c:numRef>
              <c:f>汇率!$A$3:$A$28</c:f>
              <c:numCache>
                <c:formatCode>yyyy\-mm\-dd;@</c:formatCode>
                <c:ptCount val="26"/>
                <c:pt idx="0">
                  <c:v>44338</c:v>
                </c:pt>
                <c:pt idx="1">
                  <c:v>44331</c:v>
                </c:pt>
                <c:pt idx="2">
                  <c:v>44324</c:v>
                </c:pt>
                <c:pt idx="3">
                  <c:v>44317</c:v>
                </c:pt>
                <c:pt idx="4">
                  <c:v>44310</c:v>
                </c:pt>
                <c:pt idx="5">
                  <c:v>44303</c:v>
                </c:pt>
                <c:pt idx="6">
                  <c:v>44296</c:v>
                </c:pt>
                <c:pt idx="7">
                  <c:v>44289</c:v>
                </c:pt>
                <c:pt idx="8">
                  <c:v>44282</c:v>
                </c:pt>
                <c:pt idx="9">
                  <c:v>44275</c:v>
                </c:pt>
                <c:pt idx="10">
                  <c:v>44268</c:v>
                </c:pt>
                <c:pt idx="11">
                  <c:v>44261</c:v>
                </c:pt>
                <c:pt idx="12">
                  <c:v>44254</c:v>
                </c:pt>
                <c:pt idx="13">
                  <c:v>44247</c:v>
                </c:pt>
                <c:pt idx="14">
                  <c:v>44240</c:v>
                </c:pt>
                <c:pt idx="15">
                  <c:v>44233</c:v>
                </c:pt>
                <c:pt idx="16">
                  <c:v>44226</c:v>
                </c:pt>
                <c:pt idx="17">
                  <c:v>44219</c:v>
                </c:pt>
                <c:pt idx="18">
                  <c:v>44212</c:v>
                </c:pt>
                <c:pt idx="19">
                  <c:v>44205</c:v>
                </c:pt>
                <c:pt idx="20">
                  <c:v>44198</c:v>
                </c:pt>
                <c:pt idx="21">
                  <c:v>44191</c:v>
                </c:pt>
                <c:pt idx="22">
                  <c:v>44184</c:v>
                </c:pt>
                <c:pt idx="23">
                  <c:v>44177</c:v>
                </c:pt>
                <c:pt idx="24">
                  <c:v>44170</c:v>
                </c:pt>
                <c:pt idx="25">
                  <c:v>44163</c:v>
                </c:pt>
              </c:numCache>
            </c:numRef>
          </c:cat>
          <c:val>
            <c:numRef>
              <c:f>汇率!$C$3:$C$28</c:f>
              <c:numCache>
                <c:formatCode>###,###,###,###,##0.00</c:formatCode>
                <c:ptCount val="26"/>
                <c:pt idx="0">
                  <c:v>145.76000000000002</c:v>
                </c:pt>
                <c:pt idx="1">
                  <c:v>151.22</c:v>
                </c:pt>
                <c:pt idx="2">
                  <c:v>155.88999999999999</c:v>
                </c:pt>
                <c:pt idx="3">
                  <c:v>151.40000000000003</c:v>
                </c:pt>
                <c:pt idx="4">
                  <c:v>159.19</c:v>
                </c:pt>
                <c:pt idx="5">
                  <c:v>157.31</c:v>
                </c:pt>
                <c:pt idx="6">
                  <c:v>154.21</c:v>
                </c:pt>
                <c:pt idx="7">
                  <c:v>148.13</c:v>
                </c:pt>
                <c:pt idx="8">
                  <c:v>152.85000000000002</c:v>
                </c:pt>
                <c:pt idx="9">
                  <c:v>149.64000000000001</c:v>
                </c:pt>
                <c:pt idx="10">
                  <c:v>162.13</c:v>
                </c:pt>
                <c:pt idx="11">
                  <c:v>168.56999999999996</c:v>
                </c:pt>
                <c:pt idx="12">
                  <c:v>183.98</c:v>
                </c:pt>
                <c:pt idx="13">
                  <c:v>191.78</c:v>
                </c:pt>
                <c:pt idx="14">
                  <c:v>209.49</c:v>
                </c:pt>
                <c:pt idx="15">
                  <c:v>202.64000000000001</c:v>
                </c:pt>
                <c:pt idx="16">
                  <c:v>206.86</c:v>
                </c:pt>
                <c:pt idx="17">
                  <c:v>201.85</c:v>
                </c:pt>
                <c:pt idx="18">
                  <c:v>204.07999999999998</c:v>
                </c:pt>
                <c:pt idx="19">
                  <c:v>201.56</c:v>
                </c:pt>
                <c:pt idx="20">
                  <c:v>221.29</c:v>
                </c:pt>
                <c:pt idx="21">
                  <c:v>229.03000000000003</c:v>
                </c:pt>
                <c:pt idx="22">
                  <c:v>234.02000000000004</c:v>
                </c:pt>
                <c:pt idx="23">
                  <c:v>239.51000000000002</c:v>
                </c:pt>
                <c:pt idx="24">
                  <c:v>229.50999999999996</c:v>
                </c:pt>
                <c:pt idx="25">
                  <c:v>246</c:v>
                </c:pt>
              </c:numCache>
            </c:numRef>
          </c:val>
          <c:smooth val="1"/>
          <c:extLst xmlns:c16r2="http://schemas.microsoft.com/office/drawing/2015/06/chart">
            <c:ext xmlns:c16="http://schemas.microsoft.com/office/drawing/2014/chart" uri="{C3380CC4-5D6E-409C-BE32-E72D297353CC}">
              <c16:uniqueId val="{00000004-FB26-4560-BF82-E44BC96AA276}"/>
            </c:ext>
          </c:extLst>
        </c:ser>
        <c:dLbls>
          <c:showLegendKey val="0"/>
          <c:showVal val="0"/>
          <c:showCatName val="0"/>
          <c:showSerName val="0"/>
          <c:showPercent val="0"/>
          <c:showBubbleSize val="0"/>
        </c:dLbls>
        <c:marker val="1"/>
        <c:smooth val="0"/>
        <c:axId val="345672320"/>
        <c:axId val="345670784"/>
      </c:lineChart>
      <c:dateAx>
        <c:axId val="345646976"/>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45648512"/>
        <c:crosses val="autoZero"/>
        <c:auto val="0"/>
        <c:lblOffset val="0"/>
        <c:baseTimeUnit val="days"/>
      </c:dateAx>
      <c:valAx>
        <c:axId val="345648512"/>
        <c:scaling>
          <c:orientation val="minMax"/>
        </c:scaling>
        <c:delete val="0"/>
        <c:axPos val="l"/>
        <c:numFmt formatCode="#,##0.00_);[Red]\(#,##0.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45646976"/>
        <c:crosses val="autoZero"/>
        <c:crossBetween val="between"/>
      </c:valAx>
      <c:valAx>
        <c:axId val="345670784"/>
        <c:scaling>
          <c:orientation val="minMax"/>
        </c:scaling>
        <c:delete val="0"/>
        <c:axPos val="r"/>
        <c:numFmt formatCode="#,##0_);[Red]\(#,##0\)" sourceLinked="0"/>
        <c:majorTickMark val="out"/>
        <c:minorTickMark val="none"/>
        <c:tickLblPos val="nextTo"/>
        <c:spPr>
          <a:ln w="3175">
            <a:solidFill>
              <a:sysClr val="windowText" lastClr="000000"/>
            </a:solidFill>
          </a:ln>
        </c:spPr>
        <c:crossAx val="345672320"/>
        <c:crosses val="max"/>
        <c:crossBetween val="between"/>
      </c:valAx>
      <c:dateAx>
        <c:axId val="345672320"/>
        <c:scaling>
          <c:orientation val="minMax"/>
        </c:scaling>
        <c:delete val="1"/>
        <c:axPos val="b"/>
        <c:numFmt formatCode="yyyy\-mm\-dd;@" sourceLinked="1"/>
        <c:majorTickMark val="out"/>
        <c:minorTickMark val="none"/>
        <c:tickLblPos val="nextTo"/>
        <c:crossAx val="345670784"/>
        <c:crosses val="autoZero"/>
        <c:auto val="0"/>
        <c:lblOffset val="100"/>
        <c:baseTimeUnit val="years"/>
      </c:dateAx>
    </c:plotArea>
    <c:legend>
      <c:legendPos val="r"/>
      <c:layout>
        <c:manualLayout>
          <c:xMode val="edge"/>
          <c:yMode val="edge"/>
          <c:x val="0.15225"/>
          <c:y val="2.3337707786526686E-3"/>
          <c:w val="0.690571084864392"/>
          <c:h val="8.584900845727618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4"/>
    </mc:Choice>
    <mc:Fallback>
      <c:style val="4"/>
    </mc:Fallback>
  </mc:AlternateContent>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猪价!$H$1</c:f>
              <c:strCache>
                <c:ptCount val="1"/>
                <c:pt idx="0">
                  <c:v>2019</c:v>
                </c:pt>
              </c:strCache>
            </c:strRef>
          </c:tx>
          <c:spPr>
            <a:ln w="19050" cap="rnd" cmpd="sng" algn="ctr">
              <a:solidFill>
                <a:schemeClr val="accent2">
                  <a:shade val="65000"/>
                </a:schemeClr>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猪价!$H$2:$H$366</c:f>
              <c:numCache>
                <c:formatCode>General</c:formatCode>
                <c:ptCount val="365"/>
                <c:pt idx="0">
                  <c:v>#N/A</c:v>
                </c:pt>
                <c:pt idx="1">
                  <c:v>#N/A</c:v>
                </c:pt>
                <c:pt idx="2">
                  <c:v>#N/A</c:v>
                </c:pt>
                <c:pt idx="3">
                  <c:v>#N/A</c:v>
                </c:pt>
                <c:pt idx="4">
                  <c:v>19.260000000000002</c:v>
                </c:pt>
                <c:pt idx="5">
                  <c:v>#N/A</c:v>
                </c:pt>
                <c:pt idx="6">
                  <c:v>#N/A</c:v>
                </c:pt>
                <c:pt idx="7">
                  <c:v>#N/A</c:v>
                </c:pt>
                <c:pt idx="8">
                  <c:v>#N/A</c:v>
                </c:pt>
                <c:pt idx="9">
                  <c:v>#N/A</c:v>
                </c:pt>
                <c:pt idx="10">
                  <c:v>#N/A</c:v>
                </c:pt>
                <c:pt idx="11">
                  <c:v>19.13</c:v>
                </c:pt>
                <c:pt idx="12">
                  <c:v>#N/A</c:v>
                </c:pt>
                <c:pt idx="13">
                  <c:v>#N/A</c:v>
                </c:pt>
                <c:pt idx="14">
                  <c:v>#N/A</c:v>
                </c:pt>
                <c:pt idx="15">
                  <c:v>#N/A</c:v>
                </c:pt>
                <c:pt idx="16">
                  <c:v>#N/A</c:v>
                </c:pt>
                <c:pt idx="17">
                  <c:v>#N/A</c:v>
                </c:pt>
                <c:pt idx="18">
                  <c:v>19.13</c:v>
                </c:pt>
                <c:pt idx="19">
                  <c:v>#N/A</c:v>
                </c:pt>
                <c:pt idx="20">
                  <c:v>#N/A</c:v>
                </c:pt>
                <c:pt idx="21">
                  <c:v>#N/A</c:v>
                </c:pt>
                <c:pt idx="22">
                  <c:v>#N/A</c:v>
                </c:pt>
                <c:pt idx="23">
                  <c:v>#N/A</c:v>
                </c:pt>
                <c:pt idx="24">
                  <c:v>#N/A</c:v>
                </c:pt>
                <c:pt idx="25">
                  <c:v>19.12</c:v>
                </c:pt>
                <c:pt idx="26">
                  <c:v>#N/A</c:v>
                </c:pt>
                <c:pt idx="27">
                  <c:v>#N/A</c:v>
                </c:pt>
                <c:pt idx="28">
                  <c:v>#N/A</c:v>
                </c:pt>
                <c:pt idx="29">
                  <c:v>#N/A</c:v>
                </c:pt>
                <c:pt idx="30">
                  <c:v>#N/A</c:v>
                </c:pt>
                <c:pt idx="31">
                  <c:v>#N/A</c:v>
                </c:pt>
                <c:pt idx="32">
                  <c:v>18.2</c:v>
                </c:pt>
                <c:pt idx="33">
                  <c:v>#N/A</c:v>
                </c:pt>
                <c:pt idx="34">
                  <c:v>#N/A</c:v>
                </c:pt>
                <c:pt idx="35">
                  <c:v>#N/A</c:v>
                </c:pt>
                <c:pt idx="36">
                  <c:v>#N/A</c:v>
                </c:pt>
                <c:pt idx="37">
                  <c:v>#N/A</c:v>
                </c:pt>
                <c:pt idx="38">
                  <c:v>#N/A</c:v>
                </c:pt>
                <c:pt idx="39">
                  <c:v>18.73</c:v>
                </c:pt>
                <c:pt idx="40">
                  <c:v>#N/A</c:v>
                </c:pt>
                <c:pt idx="41">
                  <c:v>#N/A</c:v>
                </c:pt>
                <c:pt idx="42">
                  <c:v>#N/A</c:v>
                </c:pt>
                <c:pt idx="43">
                  <c:v>#N/A</c:v>
                </c:pt>
                <c:pt idx="44">
                  <c:v>#N/A</c:v>
                </c:pt>
                <c:pt idx="45">
                  <c:v>#N/A</c:v>
                </c:pt>
                <c:pt idx="46">
                  <c:v>18.52</c:v>
                </c:pt>
                <c:pt idx="47">
                  <c:v>#N/A</c:v>
                </c:pt>
                <c:pt idx="48">
                  <c:v>#N/A</c:v>
                </c:pt>
                <c:pt idx="49">
                  <c:v>#N/A</c:v>
                </c:pt>
                <c:pt idx="50">
                  <c:v>#N/A</c:v>
                </c:pt>
                <c:pt idx="51">
                  <c:v>#N/A</c:v>
                </c:pt>
                <c:pt idx="52">
                  <c:v>#N/A</c:v>
                </c:pt>
                <c:pt idx="53">
                  <c:v>18.260000000000002</c:v>
                </c:pt>
                <c:pt idx="54">
                  <c:v>#N/A</c:v>
                </c:pt>
                <c:pt idx="55">
                  <c:v>#N/A</c:v>
                </c:pt>
                <c:pt idx="56">
                  <c:v>#N/A</c:v>
                </c:pt>
                <c:pt idx="57">
                  <c:v>#N/A</c:v>
                </c:pt>
                <c:pt idx="58">
                  <c:v>#N/A</c:v>
                </c:pt>
                <c:pt idx="59">
                  <c:v>#N/A</c:v>
                </c:pt>
                <c:pt idx="60">
                  <c:v>18.2</c:v>
                </c:pt>
                <c:pt idx="61">
                  <c:v>#N/A</c:v>
                </c:pt>
                <c:pt idx="62">
                  <c:v>#N/A</c:v>
                </c:pt>
                <c:pt idx="63">
                  <c:v>#N/A</c:v>
                </c:pt>
                <c:pt idx="64">
                  <c:v>#N/A</c:v>
                </c:pt>
                <c:pt idx="65">
                  <c:v>#N/A</c:v>
                </c:pt>
                <c:pt idx="66">
                  <c:v>#N/A</c:v>
                </c:pt>
                <c:pt idx="67">
                  <c:v>18.02</c:v>
                </c:pt>
                <c:pt idx="68">
                  <c:v>#N/A</c:v>
                </c:pt>
                <c:pt idx="69">
                  <c:v>#N/A</c:v>
                </c:pt>
                <c:pt idx="70">
                  <c:v>#N/A</c:v>
                </c:pt>
                <c:pt idx="71">
                  <c:v>#N/A</c:v>
                </c:pt>
                <c:pt idx="72">
                  <c:v>#N/A</c:v>
                </c:pt>
                <c:pt idx="73">
                  <c:v>#N/A</c:v>
                </c:pt>
                <c:pt idx="74">
                  <c:v>19.77</c:v>
                </c:pt>
                <c:pt idx="75">
                  <c:v>#N/A</c:v>
                </c:pt>
                <c:pt idx="76">
                  <c:v>#N/A</c:v>
                </c:pt>
                <c:pt idx="77">
                  <c:v>#N/A</c:v>
                </c:pt>
                <c:pt idx="78">
                  <c:v>#N/A</c:v>
                </c:pt>
                <c:pt idx="79">
                  <c:v>#N/A</c:v>
                </c:pt>
                <c:pt idx="80">
                  <c:v>#N/A</c:v>
                </c:pt>
                <c:pt idx="81">
                  <c:v>20.43</c:v>
                </c:pt>
                <c:pt idx="82">
                  <c:v>#N/A</c:v>
                </c:pt>
                <c:pt idx="83">
                  <c:v>#N/A</c:v>
                </c:pt>
                <c:pt idx="84">
                  <c:v>#N/A</c:v>
                </c:pt>
                <c:pt idx="85">
                  <c:v>#N/A</c:v>
                </c:pt>
                <c:pt idx="86">
                  <c:v>#N/A</c:v>
                </c:pt>
                <c:pt idx="87">
                  <c:v>#N/A</c:v>
                </c:pt>
                <c:pt idx="88">
                  <c:v>20.25</c:v>
                </c:pt>
                <c:pt idx="89">
                  <c:v>#N/A</c:v>
                </c:pt>
                <c:pt idx="90">
                  <c:v>#N/A</c:v>
                </c:pt>
                <c:pt idx="91">
                  <c:v>#N/A</c:v>
                </c:pt>
                <c:pt idx="92">
                  <c:v>#N/A</c:v>
                </c:pt>
                <c:pt idx="93">
                  <c:v>#N/A</c:v>
                </c:pt>
                <c:pt idx="94">
                  <c:v>#N/A</c:v>
                </c:pt>
                <c:pt idx="95">
                  <c:v>20.39</c:v>
                </c:pt>
                <c:pt idx="96">
                  <c:v>#N/A</c:v>
                </c:pt>
                <c:pt idx="97">
                  <c:v>#N/A</c:v>
                </c:pt>
                <c:pt idx="98">
                  <c:v>#N/A</c:v>
                </c:pt>
                <c:pt idx="99">
                  <c:v>#N/A</c:v>
                </c:pt>
                <c:pt idx="100">
                  <c:v>#N/A</c:v>
                </c:pt>
                <c:pt idx="101">
                  <c:v>#N/A</c:v>
                </c:pt>
                <c:pt idx="102">
                  <c:v>20.21</c:v>
                </c:pt>
                <c:pt idx="103">
                  <c:v>#N/A</c:v>
                </c:pt>
                <c:pt idx="104">
                  <c:v>#N/A</c:v>
                </c:pt>
                <c:pt idx="105">
                  <c:v>#N/A</c:v>
                </c:pt>
                <c:pt idx="106">
                  <c:v>#N/A</c:v>
                </c:pt>
                <c:pt idx="107">
                  <c:v>#N/A</c:v>
                </c:pt>
                <c:pt idx="108">
                  <c:v>#N/A</c:v>
                </c:pt>
                <c:pt idx="109">
                  <c:v>20.12</c:v>
                </c:pt>
                <c:pt idx="110">
                  <c:v>#N/A</c:v>
                </c:pt>
                <c:pt idx="111">
                  <c:v>#N/A</c:v>
                </c:pt>
                <c:pt idx="112">
                  <c:v>#N/A</c:v>
                </c:pt>
                <c:pt idx="113">
                  <c:v>#N/A</c:v>
                </c:pt>
                <c:pt idx="114">
                  <c:v>#N/A</c:v>
                </c:pt>
                <c:pt idx="115">
                  <c:v>#N/A</c:v>
                </c:pt>
                <c:pt idx="116">
                  <c:v>20.399999999999999</c:v>
                </c:pt>
                <c:pt idx="117">
                  <c:v>#N/A</c:v>
                </c:pt>
                <c:pt idx="118">
                  <c:v>#N/A</c:v>
                </c:pt>
                <c:pt idx="119">
                  <c:v>#N/A</c:v>
                </c:pt>
                <c:pt idx="120">
                  <c:v>#N/A</c:v>
                </c:pt>
                <c:pt idx="121">
                  <c:v>#N/A</c:v>
                </c:pt>
                <c:pt idx="122">
                  <c:v>#N/A</c:v>
                </c:pt>
                <c:pt idx="123">
                  <c:v>20.5</c:v>
                </c:pt>
                <c:pt idx="124">
                  <c:v>#N/A</c:v>
                </c:pt>
                <c:pt idx="125">
                  <c:v>#N/A</c:v>
                </c:pt>
                <c:pt idx="126">
                  <c:v>#N/A</c:v>
                </c:pt>
                <c:pt idx="127">
                  <c:v>#N/A</c:v>
                </c:pt>
                <c:pt idx="128">
                  <c:v>#N/A</c:v>
                </c:pt>
                <c:pt idx="129">
                  <c:v>#N/A</c:v>
                </c:pt>
                <c:pt idx="130">
                  <c:v>20.59</c:v>
                </c:pt>
                <c:pt idx="131">
                  <c:v>#N/A</c:v>
                </c:pt>
                <c:pt idx="132">
                  <c:v>#N/A</c:v>
                </c:pt>
                <c:pt idx="133">
                  <c:v>#N/A</c:v>
                </c:pt>
                <c:pt idx="134">
                  <c:v>#N/A</c:v>
                </c:pt>
                <c:pt idx="135">
                  <c:v>#N/A</c:v>
                </c:pt>
                <c:pt idx="136">
                  <c:v>#N/A</c:v>
                </c:pt>
                <c:pt idx="137">
                  <c:v>20.75</c:v>
                </c:pt>
                <c:pt idx="138">
                  <c:v>#N/A</c:v>
                </c:pt>
                <c:pt idx="139">
                  <c:v>#N/A</c:v>
                </c:pt>
                <c:pt idx="140">
                  <c:v>#N/A</c:v>
                </c:pt>
                <c:pt idx="141">
                  <c:v>#N/A</c:v>
                </c:pt>
                <c:pt idx="142">
                  <c:v>#N/A</c:v>
                </c:pt>
                <c:pt idx="143">
                  <c:v>#N/A</c:v>
                </c:pt>
                <c:pt idx="144">
                  <c:v>20.65</c:v>
                </c:pt>
                <c:pt idx="145">
                  <c:v>#N/A</c:v>
                </c:pt>
                <c:pt idx="146">
                  <c:v>#N/A</c:v>
                </c:pt>
                <c:pt idx="147">
                  <c:v>#N/A</c:v>
                </c:pt>
                <c:pt idx="148">
                  <c:v>#N/A</c:v>
                </c:pt>
                <c:pt idx="149">
                  <c:v>#N/A</c:v>
                </c:pt>
                <c:pt idx="150">
                  <c:v>#N/A</c:v>
                </c:pt>
                <c:pt idx="151">
                  <c:v>20.45</c:v>
                </c:pt>
                <c:pt idx="152">
                  <c:v>#N/A</c:v>
                </c:pt>
                <c:pt idx="153">
                  <c:v>#N/A</c:v>
                </c:pt>
                <c:pt idx="154">
                  <c:v>#N/A</c:v>
                </c:pt>
                <c:pt idx="155">
                  <c:v>#N/A</c:v>
                </c:pt>
                <c:pt idx="156">
                  <c:v>#N/A</c:v>
                </c:pt>
                <c:pt idx="157">
                  <c:v>#N/A</c:v>
                </c:pt>
                <c:pt idx="158">
                  <c:v>21.02</c:v>
                </c:pt>
                <c:pt idx="159">
                  <c:v>#N/A</c:v>
                </c:pt>
                <c:pt idx="160">
                  <c:v>#N/A</c:v>
                </c:pt>
                <c:pt idx="161">
                  <c:v>#N/A</c:v>
                </c:pt>
                <c:pt idx="162">
                  <c:v>#N/A</c:v>
                </c:pt>
                <c:pt idx="163">
                  <c:v>#N/A</c:v>
                </c:pt>
                <c:pt idx="164">
                  <c:v>#N/A</c:v>
                </c:pt>
                <c:pt idx="165">
                  <c:v>21.06</c:v>
                </c:pt>
                <c:pt idx="166">
                  <c:v>#N/A</c:v>
                </c:pt>
                <c:pt idx="167">
                  <c:v>#N/A</c:v>
                </c:pt>
                <c:pt idx="168">
                  <c:v>#N/A</c:v>
                </c:pt>
                <c:pt idx="169">
                  <c:v>#N/A</c:v>
                </c:pt>
                <c:pt idx="170">
                  <c:v>#N/A</c:v>
                </c:pt>
                <c:pt idx="171">
                  <c:v>#N/A</c:v>
                </c:pt>
                <c:pt idx="172">
                  <c:v>21.92</c:v>
                </c:pt>
                <c:pt idx="173">
                  <c:v>#N/A</c:v>
                </c:pt>
                <c:pt idx="174">
                  <c:v>#N/A</c:v>
                </c:pt>
                <c:pt idx="175">
                  <c:v>#N/A</c:v>
                </c:pt>
                <c:pt idx="176">
                  <c:v>#N/A</c:v>
                </c:pt>
                <c:pt idx="177">
                  <c:v>#N/A</c:v>
                </c:pt>
                <c:pt idx="178">
                  <c:v>#N/A</c:v>
                </c:pt>
                <c:pt idx="179">
                  <c:v>22.93</c:v>
                </c:pt>
                <c:pt idx="180">
                  <c:v>#N/A</c:v>
                </c:pt>
                <c:pt idx="181">
                  <c:v>#N/A</c:v>
                </c:pt>
                <c:pt idx="182">
                  <c:v>#N/A</c:v>
                </c:pt>
                <c:pt idx="183">
                  <c:v>#N/A</c:v>
                </c:pt>
                <c:pt idx="184">
                  <c:v>#N/A</c:v>
                </c:pt>
                <c:pt idx="185">
                  <c:v>#N/A</c:v>
                </c:pt>
                <c:pt idx="186">
                  <c:v>23.05</c:v>
                </c:pt>
                <c:pt idx="187">
                  <c:v>#N/A</c:v>
                </c:pt>
                <c:pt idx="188">
                  <c:v>#N/A</c:v>
                </c:pt>
                <c:pt idx="189">
                  <c:v>#N/A</c:v>
                </c:pt>
                <c:pt idx="190">
                  <c:v>#N/A</c:v>
                </c:pt>
                <c:pt idx="191">
                  <c:v>#N/A</c:v>
                </c:pt>
                <c:pt idx="192">
                  <c:v>#N/A</c:v>
                </c:pt>
                <c:pt idx="193">
                  <c:v>23.27</c:v>
                </c:pt>
                <c:pt idx="194">
                  <c:v>#N/A</c:v>
                </c:pt>
                <c:pt idx="195">
                  <c:v>#N/A</c:v>
                </c:pt>
                <c:pt idx="196">
                  <c:v>#N/A</c:v>
                </c:pt>
                <c:pt idx="197">
                  <c:v>#N/A</c:v>
                </c:pt>
                <c:pt idx="198">
                  <c:v>#N/A</c:v>
                </c:pt>
                <c:pt idx="199">
                  <c:v>#N/A</c:v>
                </c:pt>
                <c:pt idx="200">
                  <c:v>23.89</c:v>
                </c:pt>
                <c:pt idx="201">
                  <c:v>#N/A</c:v>
                </c:pt>
                <c:pt idx="202">
                  <c:v>#N/A</c:v>
                </c:pt>
                <c:pt idx="203">
                  <c:v>#N/A</c:v>
                </c:pt>
                <c:pt idx="204">
                  <c:v>#N/A</c:v>
                </c:pt>
                <c:pt idx="205">
                  <c:v>#N/A</c:v>
                </c:pt>
                <c:pt idx="206">
                  <c:v>#N/A</c:v>
                </c:pt>
                <c:pt idx="207">
                  <c:v>24.05</c:v>
                </c:pt>
                <c:pt idx="208">
                  <c:v>#N/A</c:v>
                </c:pt>
                <c:pt idx="209">
                  <c:v>#N/A</c:v>
                </c:pt>
                <c:pt idx="210">
                  <c:v>#N/A</c:v>
                </c:pt>
                <c:pt idx="211">
                  <c:v>#N/A</c:v>
                </c:pt>
                <c:pt idx="212">
                  <c:v>#N/A</c:v>
                </c:pt>
                <c:pt idx="213">
                  <c:v>#N/A</c:v>
                </c:pt>
                <c:pt idx="214">
                  <c:v>24.48</c:v>
                </c:pt>
                <c:pt idx="215">
                  <c:v>#N/A</c:v>
                </c:pt>
                <c:pt idx="216">
                  <c:v>#N/A</c:v>
                </c:pt>
                <c:pt idx="217">
                  <c:v>#N/A</c:v>
                </c:pt>
                <c:pt idx="218">
                  <c:v>#N/A</c:v>
                </c:pt>
                <c:pt idx="219">
                  <c:v>#N/A</c:v>
                </c:pt>
                <c:pt idx="220">
                  <c:v>#N/A</c:v>
                </c:pt>
                <c:pt idx="221">
                  <c:v>25.78</c:v>
                </c:pt>
                <c:pt idx="222">
                  <c:v>#N/A</c:v>
                </c:pt>
                <c:pt idx="223">
                  <c:v>#N/A</c:v>
                </c:pt>
                <c:pt idx="224">
                  <c:v>#N/A</c:v>
                </c:pt>
                <c:pt idx="225">
                  <c:v>#N/A</c:v>
                </c:pt>
                <c:pt idx="226">
                  <c:v>#N/A</c:v>
                </c:pt>
                <c:pt idx="227">
                  <c:v>#N/A</c:v>
                </c:pt>
                <c:pt idx="228">
                  <c:v>28.27</c:v>
                </c:pt>
                <c:pt idx="229">
                  <c:v>#N/A</c:v>
                </c:pt>
                <c:pt idx="230">
                  <c:v>#N/A</c:v>
                </c:pt>
                <c:pt idx="231">
                  <c:v>#N/A</c:v>
                </c:pt>
                <c:pt idx="232">
                  <c:v>#N/A</c:v>
                </c:pt>
                <c:pt idx="233">
                  <c:v>#N/A</c:v>
                </c:pt>
                <c:pt idx="234">
                  <c:v>#N/A</c:v>
                </c:pt>
                <c:pt idx="235">
                  <c:v>31.09</c:v>
                </c:pt>
                <c:pt idx="236">
                  <c:v>#N/A</c:v>
                </c:pt>
                <c:pt idx="237">
                  <c:v>#N/A</c:v>
                </c:pt>
                <c:pt idx="238">
                  <c:v>#N/A</c:v>
                </c:pt>
                <c:pt idx="239">
                  <c:v>#N/A</c:v>
                </c:pt>
                <c:pt idx="240">
                  <c:v>#N/A</c:v>
                </c:pt>
                <c:pt idx="241">
                  <c:v>#N/A</c:v>
                </c:pt>
                <c:pt idx="242">
                  <c:v>33.619999999999997</c:v>
                </c:pt>
                <c:pt idx="243">
                  <c:v>#N/A</c:v>
                </c:pt>
                <c:pt idx="244">
                  <c:v>#N/A</c:v>
                </c:pt>
                <c:pt idx="245">
                  <c:v>#N/A</c:v>
                </c:pt>
                <c:pt idx="246">
                  <c:v>#N/A</c:v>
                </c:pt>
                <c:pt idx="247">
                  <c:v>#N/A</c:v>
                </c:pt>
                <c:pt idx="248">
                  <c:v>#N/A</c:v>
                </c:pt>
                <c:pt idx="249">
                  <c:v>35.119999999999997</c:v>
                </c:pt>
                <c:pt idx="250">
                  <c:v>#N/A</c:v>
                </c:pt>
                <c:pt idx="251">
                  <c:v>#N/A</c:v>
                </c:pt>
                <c:pt idx="252">
                  <c:v>#N/A</c:v>
                </c:pt>
                <c:pt idx="253">
                  <c:v>#N/A</c:v>
                </c:pt>
                <c:pt idx="254">
                  <c:v>#N/A</c:v>
                </c:pt>
                <c:pt idx="255">
                  <c:v>#N/A</c:v>
                </c:pt>
                <c:pt idx="256">
                  <c:v>35.72</c:v>
                </c:pt>
                <c:pt idx="257">
                  <c:v>#N/A</c:v>
                </c:pt>
                <c:pt idx="258">
                  <c:v>#N/A</c:v>
                </c:pt>
                <c:pt idx="259">
                  <c:v>#N/A</c:v>
                </c:pt>
                <c:pt idx="260">
                  <c:v>#N/A</c:v>
                </c:pt>
                <c:pt idx="261">
                  <c:v>#N/A</c:v>
                </c:pt>
                <c:pt idx="262">
                  <c:v>#N/A</c:v>
                </c:pt>
                <c:pt idx="263">
                  <c:v>36.14</c:v>
                </c:pt>
                <c:pt idx="264">
                  <c:v>#N/A</c:v>
                </c:pt>
                <c:pt idx="265">
                  <c:v>#N/A</c:v>
                </c:pt>
                <c:pt idx="266">
                  <c:v>#N/A</c:v>
                </c:pt>
                <c:pt idx="267">
                  <c:v>#N/A</c:v>
                </c:pt>
                <c:pt idx="268">
                  <c:v>#N/A</c:v>
                </c:pt>
                <c:pt idx="269">
                  <c:v>#N/A</c:v>
                </c:pt>
                <c:pt idx="270">
                  <c:v>36.340000000000003</c:v>
                </c:pt>
                <c:pt idx="271">
                  <c:v>#N/A</c:v>
                </c:pt>
                <c:pt idx="272">
                  <c:v>#N/A</c:v>
                </c:pt>
                <c:pt idx="273">
                  <c:v>#N/A</c:v>
                </c:pt>
                <c:pt idx="274">
                  <c:v>#N/A</c:v>
                </c:pt>
                <c:pt idx="275">
                  <c:v>#N/A</c:v>
                </c:pt>
                <c:pt idx="276">
                  <c:v>#N/A</c:v>
                </c:pt>
                <c:pt idx="277">
                  <c:v>36.79</c:v>
                </c:pt>
                <c:pt idx="278">
                  <c:v>#N/A</c:v>
                </c:pt>
                <c:pt idx="279">
                  <c:v>#N/A</c:v>
                </c:pt>
                <c:pt idx="280">
                  <c:v>#N/A</c:v>
                </c:pt>
                <c:pt idx="281">
                  <c:v>#N/A</c:v>
                </c:pt>
                <c:pt idx="282">
                  <c:v>#N/A</c:v>
                </c:pt>
                <c:pt idx="283">
                  <c:v>#N/A</c:v>
                </c:pt>
                <c:pt idx="284">
                  <c:v>42.29</c:v>
                </c:pt>
                <c:pt idx="285">
                  <c:v>#N/A</c:v>
                </c:pt>
                <c:pt idx="286">
                  <c:v>#N/A</c:v>
                </c:pt>
                <c:pt idx="287">
                  <c:v>#N/A</c:v>
                </c:pt>
                <c:pt idx="288">
                  <c:v>#N/A</c:v>
                </c:pt>
                <c:pt idx="289">
                  <c:v>#N/A</c:v>
                </c:pt>
                <c:pt idx="290">
                  <c:v>#N/A</c:v>
                </c:pt>
                <c:pt idx="291">
                  <c:v>45.57</c:v>
                </c:pt>
                <c:pt idx="292">
                  <c:v>#N/A</c:v>
                </c:pt>
                <c:pt idx="293">
                  <c:v>#N/A</c:v>
                </c:pt>
                <c:pt idx="294">
                  <c:v>#N/A</c:v>
                </c:pt>
                <c:pt idx="295">
                  <c:v>#N/A</c:v>
                </c:pt>
                <c:pt idx="296">
                  <c:v>#N/A</c:v>
                </c:pt>
                <c:pt idx="297">
                  <c:v>#N/A</c:v>
                </c:pt>
                <c:pt idx="298">
                  <c:v>51.01</c:v>
                </c:pt>
                <c:pt idx="299">
                  <c:v>#N/A</c:v>
                </c:pt>
                <c:pt idx="300">
                  <c:v>#N/A</c:v>
                </c:pt>
                <c:pt idx="301">
                  <c:v>#N/A</c:v>
                </c:pt>
                <c:pt idx="302">
                  <c:v>#N/A</c:v>
                </c:pt>
                <c:pt idx="303">
                  <c:v>#N/A</c:v>
                </c:pt>
                <c:pt idx="304">
                  <c:v>#N/A</c:v>
                </c:pt>
                <c:pt idx="305">
                  <c:v>52.4</c:v>
                </c:pt>
                <c:pt idx="306">
                  <c:v>#N/A</c:v>
                </c:pt>
                <c:pt idx="307">
                  <c:v>#N/A</c:v>
                </c:pt>
                <c:pt idx="308">
                  <c:v>#N/A</c:v>
                </c:pt>
                <c:pt idx="309">
                  <c:v>#N/A</c:v>
                </c:pt>
                <c:pt idx="310">
                  <c:v>#N/A</c:v>
                </c:pt>
                <c:pt idx="311">
                  <c:v>#N/A</c:v>
                </c:pt>
                <c:pt idx="312">
                  <c:v>51.18</c:v>
                </c:pt>
                <c:pt idx="313">
                  <c:v>#N/A</c:v>
                </c:pt>
                <c:pt idx="314">
                  <c:v>#N/A</c:v>
                </c:pt>
                <c:pt idx="315">
                  <c:v>#N/A</c:v>
                </c:pt>
                <c:pt idx="316">
                  <c:v>#N/A</c:v>
                </c:pt>
                <c:pt idx="317">
                  <c:v>#N/A</c:v>
                </c:pt>
                <c:pt idx="318">
                  <c:v>#N/A</c:v>
                </c:pt>
                <c:pt idx="319">
                  <c:v>48.13</c:v>
                </c:pt>
                <c:pt idx="320">
                  <c:v>#N/A</c:v>
                </c:pt>
                <c:pt idx="321">
                  <c:v>#N/A</c:v>
                </c:pt>
                <c:pt idx="322">
                  <c:v>#N/A</c:v>
                </c:pt>
                <c:pt idx="323">
                  <c:v>#N/A</c:v>
                </c:pt>
                <c:pt idx="324">
                  <c:v>#N/A</c:v>
                </c:pt>
                <c:pt idx="325">
                  <c:v>#N/A</c:v>
                </c:pt>
                <c:pt idx="326">
                  <c:v>43.78</c:v>
                </c:pt>
                <c:pt idx="327">
                  <c:v>#N/A</c:v>
                </c:pt>
                <c:pt idx="328">
                  <c:v>#N/A</c:v>
                </c:pt>
                <c:pt idx="329">
                  <c:v>#N/A</c:v>
                </c:pt>
                <c:pt idx="330">
                  <c:v>#N/A</c:v>
                </c:pt>
                <c:pt idx="331">
                  <c:v>#N/A</c:v>
                </c:pt>
                <c:pt idx="332">
                  <c:v>#N/A</c:v>
                </c:pt>
                <c:pt idx="333">
                  <c:v>42.06</c:v>
                </c:pt>
                <c:pt idx="334">
                  <c:v>#N/A</c:v>
                </c:pt>
                <c:pt idx="335">
                  <c:v>#N/A</c:v>
                </c:pt>
                <c:pt idx="336">
                  <c:v>#N/A</c:v>
                </c:pt>
                <c:pt idx="337">
                  <c:v>#N/A</c:v>
                </c:pt>
                <c:pt idx="338">
                  <c:v>#N/A</c:v>
                </c:pt>
                <c:pt idx="339">
                  <c:v>#N/A</c:v>
                </c:pt>
                <c:pt idx="340">
                  <c:v>43.74</c:v>
                </c:pt>
                <c:pt idx="341">
                  <c:v>#N/A</c:v>
                </c:pt>
                <c:pt idx="342">
                  <c:v>#N/A</c:v>
                </c:pt>
                <c:pt idx="343">
                  <c:v>#N/A</c:v>
                </c:pt>
                <c:pt idx="344">
                  <c:v>#N/A</c:v>
                </c:pt>
                <c:pt idx="345">
                  <c:v>#N/A</c:v>
                </c:pt>
                <c:pt idx="346">
                  <c:v>#N/A</c:v>
                </c:pt>
                <c:pt idx="347">
                  <c:v>43.7</c:v>
                </c:pt>
                <c:pt idx="348">
                  <c:v>#N/A</c:v>
                </c:pt>
                <c:pt idx="349">
                  <c:v>#N/A</c:v>
                </c:pt>
                <c:pt idx="350">
                  <c:v>#N/A</c:v>
                </c:pt>
                <c:pt idx="351">
                  <c:v>#N/A</c:v>
                </c:pt>
                <c:pt idx="352">
                  <c:v>#N/A</c:v>
                </c:pt>
                <c:pt idx="353">
                  <c:v>#N/A</c:v>
                </c:pt>
                <c:pt idx="354">
                  <c:v>43.34</c:v>
                </c:pt>
                <c:pt idx="355">
                  <c:v>#N/A</c:v>
                </c:pt>
                <c:pt idx="356">
                  <c:v>#N/A</c:v>
                </c:pt>
                <c:pt idx="357">
                  <c:v>#N/A</c:v>
                </c:pt>
                <c:pt idx="358">
                  <c:v>#N/A</c:v>
                </c:pt>
                <c:pt idx="359">
                  <c:v>#N/A</c:v>
                </c:pt>
                <c:pt idx="360">
                  <c:v>#N/A</c:v>
                </c:pt>
                <c:pt idx="361">
                  <c:v>42.89</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1B69-41E2-9965-8575E7F426CB}"/>
            </c:ext>
          </c:extLst>
        </c:ser>
        <c:ser>
          <c:idx val="2"/>
          <c:order val="1"/>
          <c:tx>
            <c:strRef>
              <c:f>猪价!$I$1</c:f>
              <c:strCache>
                <c:ptCount val="1"/>
                <c:pt idx="0">
                  <c:v>2020</c:v>
                </c:pt>
              </c:strCache>
            </c:strRef>
          </c:tx>
          <c:spPr>
            <a:ln w="19050" cap="rnd" cmpd="sng" algn="ctr">
              <a:solidFill>
                <a:schemeClr val="accent2">
                  <a:tint val="65000"/>
                </a:schemeClr>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猪价!$I$2:$I$366</c:f>
              <c:numCache>
                <c:formatCode>General</c:formatCode>
                <c:ptCount val="365"/>
                <c:pt idx="0">
                  <c:v>#N/A</c:v>
                </c:pt>
                <c:pt idx="1">
                  <c:v>#N/A</c:v>
                </c:pt>
                <c:pt idx="2">
                  <c:v>#N/A</c:v>
                </c:pt>
                <c:pt idx="3">
                  <c:v>44.65</c:v>
                </c:pt>
                <c:pt idx="4">
                  <c:v>#N/A</c:v>
                </c:pt>
                <c:pt idx="5">
                  <c:v>#N/A</c:v>
                </c:pt>
                <c:pt idx="6">
                  <c:v>#N/A</c:v>
                </c:pt>
                <c:pt idx="7">
                  <c:v>#N/A</c:v>
                </c:pt>
                <c:pt idx="8">
                  <c:v>#N/A</c:v>
                </c:pt>
                <c:pt idx="9">
                  <c:v>#N/A</c:v>
                </c:pt>
                <c:pt idx="10">
                  <c:v>46.02</c:v>
                </c:pt>
                <c:pt idx="11">
                  <c:v>#N/A</c:v>
                </c:pt>
                <c:pt idx="12">
                  <c:v>#N/A</c:v>
                </c:pt>
                <c:pt idx="13">
                  <c:v>#N/A</c:v>
                </c:pt>
                <c:pt idx="14">
                  <c:v>#N/A</c:v>
                </c:pt>
                <c:pt idx="15">
                  <c:v>#N/A</c:v>
                </c:pt>
                <c:pt idx="16">
                  <c:v>#N/A</c:v>
                </c:pt>
                <c:pt idx="17">
                  <c:v>46.92</c:v>
                </c:pt>
                <c:pt idx="18">
                  <c:v>#N/A</c:v>
                </c:pt>
                <c:pt idx="19">
                  <c:v>#N/A</c:v>
                </c:pt>
                <c:pt idx="20">
                  <c:v>#N/A</c:v>
                </c:pt>
                <c:pt idx="21">
                  <c:v>#N/A</c:v>
                </c:pt>
                <c:pt idx="22">
                  <c:v>#N/A</c:v>
                </c:pt>
                <c:pt idx="23">
                  <c:v>#N/A</c:v>
                </c:pt>
                <c:pt idx="24">
                  <c:v>47.21</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#N/A</c:v>
                </c:pt>
                <c:pt idx="39">
                  <c:v>#N/A</c:v>
                </c:pt>
                <c:pt idx="40">
                  <c:v>#N/A</c:v>
                </c:pt>
                <c:pt idx="41">
                  <c:v>#N/A</c:v>
                </c:pt>
                <c:pt idx="42">
                  <c:v>#N/A</c:v>
                </c:pt>
                <c:pt idx="43">
                  <c:v>#N/A</c:v>
                </c:pt>
                <c:pt idx="44">
                  <c:v>#N/A</c:v>
                </c:pt>
                <c:pt idx="45">
                  <c:v>50.09</c:v>
                </c:pt>
                <c:pt idx="46">
                  <c:v>#N/A</c:v>
                </c:pt>
                <c:pt idx="47">
                  <c:v>#N/A</c:v>
                </c:pt>
                <c:pt idx="48">
                  <c:v>#N/A</c:v>
                </c:pt>
                <c:pt idx="49">
                  <c:v>#N/A</c:v>
                </c:pt>
                <c:pt idx="50">
                  <c:v>#N/A</c:v>
                </c:pt>
                <c:pt idx="51">
                  <c:v>#N/A</c:v>
                </c:pt>
                <c:pt idx="52">
                  <c:v>50.21</c:v>
                </c:pt>
                <c:pt idx="53">
                  <c:v>#N/A</c:v>
                </c:pt>
                <c:pt idx="54">
                  <c:v>#N/A</c:v>
                </c:pt>
                <c:pt idx="55">
                  <c:v>#N/A</c:v>
                </c:pt>
                <c:pt idx="56">
                  <c:v>#N/A</c:v>
                </c:pt>
                <c:pt idx="57">
                  <c:v>#N/A</c:v>
                </c:pt>
                <c:pt idx="58">
                  <c:v>#N/A</c:v>
                </c:pt>
                <c:pt idx="59">
                  <c:v>48.92</c:v>
                </c:pt>
                <c:pt idx="60">
                  <c:v>#N/A</c:v>
                </c:pt>
                <c:pt idx="61">
                  <c:v>#N/A</c:v>
                </c:pt>
                <c:pt idx="62">
                  <c:v>#N/A</c:v>
                </c:pt>
                <c:pt idx="63">
                  <c:v>#N/A</c:v>
                </c:pt>
                <c:pt idx="64">
                  <c:v>#N/A</c:v>
                </c:pt>
                <c:pt idx="65">
                  <c:v>#N/A</c:v>
                </c:pt>
                <c:pt idx="66">
                  <c:v>48.49</c:v>
                </c:pt>
                <c:pt idx="67">
                  <c:v>#N/A</c:v>
                </c:pt>
                <c:pt idx="68">
                  <c:v>#N/A</c:v>
                </c:pt>
                <c:pt idx="69">
                  <c:v>#N/A</c:v>
                </c:pt>
                <c:pt idx="70">
                  <c:v>#N/A</c:v>
                </c:pt>
                <c:pt idx="71">
                  <c:v>#N/A</c:v>
                </c:pt>
                <c:pt idx="72">
                  <c:v>#N/A</c:v>
                </c:pt>
                <c:pt idx="73">
                  <c:v>48.1</c:v>
                </c:pt>
                <c:pt idx="74">
                  <c:v>#N/A</c:v>
                </c:pt>
                <c:pt idx="75">
                  <c:v>#N/A</c:v>
                </c:pt>
                <c:pt idx="76">
                  <c:v>#N/A</c:v>
                </c:pt>
                <c:pt idx="77">
                  <c:v>#N/A</c:v>
                </c:pt>
                <c:pt idx="78">
                  <c:v>#N/A</c:v>
                </c:pt>
                <c:pt idx="79">
                  <c:v>#N/A</c:v>
                </c:pt>
                <c:pt idx="80">
                  <c:v>47.47</c:v>
                </c:pt>
                <c:pt idx="81">
                  <c:v>#N/A</c:v>
                </c:pt>
                <c:pt idx="82">
                  <c:v>#N/A</c:v>
                </c:pt>
                <c:pt idx="83">
                  <c:v>#N/A</c:v>
                </c:pt>
                <c:pt idx="84">
                  <c:v>#N/A</c:v>
                </c:pt>
                <c:pt idx="85">
                  <c:v>#N/A</c:v>
                </c:pt>
                <c:pt idx="86">
                  <c:v>#N/A</c:v>
                </c:pt>
                <c:pt idx="87">
                  <c:v>46.89</c:v>
                </c:pt>
                <c:pt idx="88">
                  <c:v>#N/A</c:v>
                </c:pt>
                <c:pt idx="89">
                  <c:v>#N/A</c:v>
                </c:pt>
                <c:pt idx="90">
                  <c:v>#N/A</c:v>
                </c:pt>
                <c:pt idx="91">
                  <c:v>#N/A</c:v>
                </c:pt>
                <c:pt idx="92">
                  <c:v>#N/A</c:v>
                </c:pt>
                <c:pt idx="93">
                  <c:v>#N/A</c:v>
                </c:pt>
                <c:pt idx="94">
                  <c:v>46.28</c:v>
                </c:pt>
                <c:pt idx="95">
                  <c:v>#N/A</c:v>
                </c:pt>
                <c:pt idx="96">
                  <c:v>#N/A</c:v>
                </c:pt>
                <c:pt idx="97">
                  <c:v>#N/A</c:v>
                </c:pt>
                <c:pt idx="98">
                  <c:v>#N/A</c:v>
                </c:pt>
                <c:pt idx="99">
                  <c:v>#N/A</c:v>
                </c:pt>
                <c:pt idx="100">
                  <c:v>#N/A</c:v>
                </c:pt>
                <c:pt idx="101">
                  <c:v>44.72</c:v>
                </c:pt>
                <c:pt idx="102">
                  <c:v>#N/A</c:v>
                </c:pt>
                <c:pt idx="103">
                  <c:v>#N/A</c:v>
                </c:pt>
                <c:pt idx="104">
                  <c:v>#N/A</c:v>
                </c:pt>
                <c:pt idx="105">
                  <c:v>#N/A</c:v>
                </c:pt>
                <c:pt idx="106">
                  <c:v>#N/A</c:v>
                </c:pt>
                <c:pt idx="107">
                  <c:v>#N/A</c:v>
                </c:pt>
                <c:pt idx="108">
                  <c:v>44.7</c:v>
                </c:pt>
                <c:pt idx="109">
                  <c:v>#N/A</c:v>
                </c:pt>
                <c:pt idx="110">
                  <c:v>#N/A</c:v>
                </c:pt>
                <c:pt idx="111">
                  <c:v>#N/A</c:v>
                </c:pt>
                <c:pt idx="112">
                  <c:v>#N/A</c:v>
                </c:pt>
                <c:pt idx="113">
                  <c:v>#N/A</c:v>
                </c:pt>
                <c:pt idx="114">
                  <c:v>#N/A</c:v>
                </c:pt>
                <c:pt idx="115">
                  <c:v>44.15</c:v>
                </c:pt>
                <c:pt idx="116">
                  <c:v>#N/A</c:v>
                </c:pt>
                <c:pt idx="117">
                  <c:v>#N/A</c:v>
                </c:pt>
                <c:pt idx="118">
                  <c:v>#N/A</c:v>
                </c:pt>
                <c:pt idx="119">
                  <c:v>#N/A</c:v>
                </c:pt>
                <c:pt idx="120">
                  <c:v>#N/A</c:v>
                </c:pt>
                <c:pt idx="121">
                  <c:v>#N/A</c:v>
                </c:pt>
                <c:pt idx="122">
                  <c:v>43.53</c:v>
                </c:pt>
                <c:pt idx="123">
                  <c:v>#N/A</c:v>
                </c:pt>
                <c:pt idx="124">
                  <c:v>#N/A</c:v>
                </c:pt>
                <c:pt idx="125">
                  <c:v>#N/A</c:v>
                </c:pt>
                <c:pt idx="126">
                  <c:v>#N/A</c:v>
                </c:pt>
                <c:pt idx="127">
                  <c:v>#N/A</c:v>
                </c:pt>
                <c:pt idx="128">
                  <c:v>#N/A</c:v>
                </c:pt>
                <c:pt idx="129">
                  <c:v>42.28</c:v>
                </c:pt>
                <c:pt idx="130">
                  <c:v>#N/A</c:v>
                </c:pt>
                <c:pt idx="131">
                  <c:v>#N/A</c:v>
                </c:pt>
                <c:pt idx="132">
                  <c:v>#N/A</c:v>
                </c:pt>
                <c:pt idx="133">
                  <c:v>#N/A</c:v>
                </c:pt>
                <c:pt idx="134">
                  <c:v>#N/A</c:v>
                </c:pt>
                <c:pt idx="135">
                  <c:v>#N/A</c:v>
                </c:pt>
                <c:pt idx="136">
                  <c:v>39.53</c:v>
                </c:pt>
                <c:pt idx="137">
                  <c:v>#N/A</c:v>
                </c:pt>
                <c:pt idx="138">
                  <c:v>#N/A</c:v>
                </c:pt>
                <c:pt idx="139">
                  <c:v>#N/A</c:v>
                </c:pt>
                <c:pt idx="140">
                  <c:v>#N/A</c:v>
                </c:pt>
                <c:pt idx="141">
                  <c:v>#N/A</c:v>
                </c:pt>
                <c:pt idx="142">
                  <c:v>#N/A</c:v>
                </c:pt>
                <c:pt idx="143">
                  <c:v>38.770000000000003</c:v>
                </c:pt>
                <c:pt idx="144">
                  <c:v>#N/A</c:v>
                </c:pt>
                <c:pt idx="145">
                  <c:v>#N/A</c:v>
                </c:pt>
                <c:pt idx="146">
                  <c:v>#N/A</c:v>
                </c:pt>
                <c:pt idx="147">
                  <c:v>#N/A</c:v>
                </c:pt>
                <c:pt idx="148">
                  <c:v>#N/A</c:v>
                </c:pt>
                <c:pt idx="149">
                  <c:v>#N/A</c:v>
                </c:pt>
                <c:pt idx="150">
                  <c:v>38.65</c:v>
                </c:pt>
                <c:pt idx="151">
                  <c:v>#N/A</c:v>
                </c:pt>
                <c:pt idx="152">
                  <c:v>#N/A</c:v>
                </c:pt>
                <c:pt idx="153">
                  <c:v>#N/A</c:v>
                </c:pt>
                <c:pt idx="154">
                  <c:v>#N/A</c:v>
                </c:pt>
                <c:pt idx="155">
                  <c:v>#N/A</c:v>
                </c:pt>
                <c:pt idx="156">
                  <c:v>#N/A</c:v>
                </c:pt>
                <c:pt idx="157">
                  <c:v>39.81</c:v>
                </c:pt>
                <c:pt idx="158">
                  <c:v>#N/A</c:v>
                </c:pt>
                <c:pt idx="159">
                  <c:v>#N/A</c:v>
                </c:pt>
                <c:pt idx="160">
                  <c:v>#N/A</c:v>
                </c:pt>
                <c:pt idx="161">
                  <c:v>#N/A</c:v>
                </c:pt>
                <c:pt idx="162">
                  <c:v>#N/A</c:v>
                </c:pt>
                <c:pt idx="163">
                  <c:v>#N/A</c:v>
                </c:pt>
                <c:pt idx="164">
                  <c:v>40.6</c:v>
                </c:pt>
                <c:pt idx="165">
                  <c:v>#N/A</c:v>
                </c:pt>
                <c:pt idx="166">
                  <c:v>#N/A</c:v>
                </c:pt>
                <c:pt idx="167">
                  <c:v>#N/A</c:v>
                </c:pt>
                <c:pt idx="168">
                  <c:v>#N/A</c:v>
                </c:pt>
                <c:pt idx="169">
                  <c:v>#N/A</c:v>
                </c:pt>
                <c:pt idx="170">
                  <c:v>#N/A</c:v>
                </c:pt>
                <c:pt idx="171">
                  <c:v>43.25</c:v>
                </c:pt>
                <c:pt idx="172">
                  <c:v>#N/A</c:v>
                </c:pt>
                <c:pt idx="173">
                  <c:v>#N/A</c:v>
                </c:pt>
                <c:pt idx="174">
                  <c:v>#N/A</c:v>
                </c:pt>
                <c:pt idx="175">
                  <c:v>#N/A</c:v>
                </c:pt>
                <c:pt idx="176">
                  <c:v>#N/A</c:v>
                </c:pt>
                <c:pt idx="177">
                  <c:v>#N/A</c:v>
                </c:pt>
                <c:pt idx="178">
                  <c:v>44.67</c:v>
                </c:pt>
                <c:pt idx="179">
                  <c:v>#N/A</c:v>
                </c:pt>
                <c:pt idx="180">
                  <c:v>#N/A</c:v>
                </c:pt>
                <c:pt idx="181">
                  <c:v>#N/A</c:v>
                </c:pt>
                <c:pt idx="182">
                  <c:v>#N/A</c:v>
                </c:pt>
                <c:pt idx="183">
                  <c:v>#N/A</c:v>
                </c:pt>
                <c:pt idx="184">
                  <c:v>#N/A</c:v>
                </c:pt>
                <c:pt idx="185">
                  <c:v>46.05</c:v>
                </c:pt>
                <c:pt idx="186">
                  <c:v>#N/A</c:v>
                </c:pt>
                <c:pt idx="187">
                  <c:v>#N/A</c:v>
                </c:pt>
                <c:pt idx="188">
                  <c:v>#N/A</c:v>
                </c:pt>
                <c:pt idx="189">
                  <c:v>#N/A</c:v>
                </c:pt>
                <c:pt idx="190">
                  <c:v>#N/A</c:v>
                </c:pt>
                <c:pt idx="191">
                  <c:v>#N/A</c:v>
                </c:pt>
                <c:pt idx="192">
                  <c:v>48.02</c:v>
                </c:pt>
                <c:pt idx="193">
                  <c:v>#N/A</c:v>
                </c:pt>
                <c:pt idx="194">
                  <c:v>#N/A</c:v>
                </c:pt>
                <c:pt idx="195">
                  <c:v>#N/A</c:v>
                </c:pt>
                <c:pt idx="196">
                  <c:v>#N/A</c:v>
                </c:pt>
                <c:pt idx="197">
                  <c:v>#N/A</c:v>
                </c:pt>
                <c:pt idx="198">
                  <c:v>#N/A</c:v>
                </c:pt>
                <c:pt idx="199">
                  <c:v>48.53</c:v>
                </c:pt>
                <c:pt idx="200">
                  <c:v>#N/A</c:v>
                </c:pt>
                <c:pt idx="201">
                  <c:v>#N/A</c:v>
                </c:pt>
                <c:pt idx="202">
                  <c:v>#N/A</c:v>
                </c:pt>
                <c:pt idx="203">
                  <c:v>#N/A</c:v>
                </c:pt>
                <c:pt idx="204">
                  <c:v>#N/A</c:v>
                </c:pt>
                <c:pt idx="205">
                  <c:v>#N/A</c:v>
                </c:pt>
                <c:pt idx="206">
                  <c:v>48.67</c:v>
                </c:pt>
                <c:pt idx="207">
                  <c:v>#N/A</c:v>
                </c:pt>
                <c:pt idx="208">
                  <c:v>#N/A</c:v>
                </c:pt>
                <c:pt idx="209">
                  <c:v>#N/A</c:v>
                </c:pt>
                <c:pt idx="210">
                  <c:v>#N/A</c:v>
                </c:pt>
                <c:pt idx="211">
                  <c:v>#N/A</c:v>
                </c:pt>
                <c:pt idx="212">
                  <c:v>#N/A</c:v>
                </c:pt>
                <c:pt idx="213">
                  <c:v>48.34</c:v>
                </c:pt>
                <c:pt idx="214">
                  <c:v>#N/A</c:v>
                </c:pt>
                <c:pt idx="215">
                  <c:v>#N/A</c:v>
                </c:pt>
                <c:pt idx="216">
                  <c:v>#N/A</c:v>
                </c:pt>
                <c:pt idx="217">
                  <c:v>#N/A</c:v>
                </c:pt>
                <c:pt idx="218">
                  <c:v>#N/A</c:v>
                </c:pt>
                <c:pt idx="219">
                  <c:v>#N/A</c:v>
                </c:pt>
                <c:pt idx="220">
                  <c:v>48.47</c:v>
                </c:pt>
                <c:pt idx="221">
                  <c:v>#N/A</c:v>
                </c:pt>
                <c:pt idx="222">
                  <c:v>#N/A</c:v>
                </c:pt>
                <c:pt idx="223">
                  <c:v>#N/A</c:v>
                </c:pt>
                <c:pt idx="224">
                  <c:v>#N/A</c:v>
                </c:pt>
                <c:pt idx="225">
                  <c:v>#N/A</c:v>
                </c:pt>
                <c:pt idx="226">
                  <c:v>#N/A</c:v>
                </c:pt>
                <c:pt idx="227">
                  <c:v>48.25</c:v>
                </c:pt>
                <c:pt idx="228">
                  <c:v>#N/A</c:v>
                </c:pt>
                <c:pt idx="229">
                  <c:v>#N/A</c:v>
                </c:pt>
                <c:pt idx="230">
                  <c:v>#N/A</c:v>
                </c:pt>
                <c:pt idx="231">
                  <c:v>#N/A</c:v>
                </c:pt>
                <c:pt idx="232">
                  <c:v>#N/A</c:v>
                </c:pt>
                <c:pt idx="233">
                  <c:v>#N/A</c:v>
                </c:pt>
                <c:pt idx="234">
                  <c:v>48.4</c:v>
                </c:pt>
                <c:pt idx="235">
                  <c:v>#N/A</c:v>
                </c:pt>
                <c:pt idx="236">
                  <c:v>#N/A</c:v>
                </c:pt>
                <c:pt idx="237">
                  <c:v>#N/A</c:v>
                </c:pt>
                <c:pt idx="238">
                  <c:v>#N/A</c:v>
                </c:pt>
                <c:pt idx="239">
                  <c:v>#N/A</c:v>
                </c:pt>
                <c:pt idx="240">
                  <c:v>#N/A</c:v>
                </c:pt>
                <c:pt idx="241">
                  <c:v>48.41</c:v>
                </c:pt>
                <c:pt idx="242">
                  <c:v>#N/A</c:v>
                </c:pt>
                <c:pt idx="243">
                  <c:v>#N/A</c:v>
                </c:pt>
                <c:pt idx="244">
                  <c:v>#N/A</c:v>
                </c:pt>
                <c:pt idx="245">
                  <c:v>#N/A</c:v>
                </c:pt>
                <c:pt idx="246">
                  <c:v>#N/A</c:v>
                </c:pt>
                <c:pt idx="247">
                  <c:v>#N/A</c:v>
                </c:pt>
                <c:pt idx="248">
                  <c:v>47.95</c:v>
                </c:pt>
                <c:pt idx="249">
                  <c:v>#N/A</c:v>
                </c:pt>
                <c:pt idx="250">
                  <c:v>#N/A</c:v>
                </c:pt>
                <c:pt idx="251">
                  <c:v>#N/A</c:v>
                </c:pt>
                <c:pt idx="252">
                  <c:v>#N/A</c:v>
                </c:pt>
                <c:pt idx="253">
                  <c:v>#N/A</c:v>
                </c:pt>
                <c:pt idx="254">
                  <c:v>#N/A</c:v>
                </c:pt>
                <c:pt idx="255">
                  <c:v>47.85</c:v>
                </c:pt>
                <c:pt idx="256">
                  <c:v>#N/A</c:v>
                </c:pt>
                <c:pt idx="257">
                  <c:v>#N/A</c:v>
                </c:pt>
                <c:pt idx="258">
                  <c:v>#N/A</c:v>
                </c:pt>
                <c:pt idx="259">
                  <c:v>#N/A</c:v>
                </c:pt>
                <c:pt idx="260">
                  <c:v>#N/A</c:v>
                </c:pt>
                <c:pt idx="261">
                  <c:v>#N/A</c:v>
                </c:pt>
                <c:pt idx="262">
                  <c:v>47.28</c:v>
                </c:pt>
                <c:pt idx="263">
                  <c:v>#N/A</c:v>
                </c:pt>
                <c:pt idx="264">
                  <c:v>#N/A</c:v>
                </c:pt>
                <c:pt idx="265">
                  <c:v>#N/A</c:v>
                </c:pt>
                <c:pt idx="266">
                  <c:v>#N/A</c:v>
                </c:pt>
                <c:pt idx="267">
                  <c:v>#N/A</c:v>
                </c:pt>
                <c:pt idx="268">
                  <c:v>#N/A</c:v>
                </c:pt>
                <c:pt idx="269">
                  <c:v>46.57</c:v>
                </c:pt>
                <c:pt idx="270">
                  <c:v>#N/A</c:v>
                </c:pt>
                <c:pt idx="271">
                  <c:v>#N/A</c:v>
                </c:pt>
                <c:pt idx="272">
                  <c:v>#N/A</c:v>
                </c:pt>
                <c:pt idx="273">
                  <c:v>#N/A</c:v>
                </c:pt>
                <c:pt idx="274">
                  <c:v>#N/A</c:v>
                </c:pt>
                <c:pt idx="275">
                  <c:v>#N/A</c:v>
                </c:pt>
                <c:pt idx="276">
                  <c:v>45.41</c:v>
                </c:pt>
                <c:pt idx="277">
                  <c:v>#N/A</c:v>
                </c:pt>
                <c:pt idx="278">
                  <c:v>#N/A</c:v>
                </c:pt>
                <c:pt idx="279">
                  <c:v>#N/A</c:v>
                </c:pt>
                <c:pt idx="280">
                  <c:v>#N/A</c:v>
                </c:pt>
                <c:pt idx="281">
                  <c:v>#N/A</c:v>
                </c:pt>
                <c:pt idx="282">
                  <c:v>#N/A</c:v>
                </c:pt>
                <c:pt idx="283">
                  <c:v>43.96</c:v>
                </c:pt>
                <c:pt idx="284">
                  <c:v>#N/A</c:v>
                </c:pt>
                <c:pt idx="285">
                  <c:v>#N/A</c:v>
                </c:pt>
                <c:pt idx="286">
                  <c:v>#N/A</c:v>
                </c:pt>
                <c:pt idx="287">
                  <c:v>#N/A</c:v>
                </c:pt>
                <c:pt idx="288">
                  <c:v>#N/A</c:v>
                </c:pt>
                <c:pt idx="289">
                  <c:v>#N/A</c:v>
                </c:pt>
                <c:pt idx="290">
                  <c:v>42.41</c:v>
                </c:pt>
                <c:pt idx="291">
                  <c:v>#N/A</c:v>
                </c:pt>
                <c:pt idx="292">
                  <c:v>#N/A</c:v>
                </c:pt>
                <c:pt idx="293">
                  <c:v>#N/A</c:v>
                </c:pt>
                <c:pt idx="294">
                  <c:v>#N/A</c:v>
                </c:pt>
                <c:pt idx="295">
                  <c:v>#N/A</c:v>
                </c:pt>
                <c:pt idx="296">
                  <c:v>#N/A</c:v>
                </c:pt>
                <c:pt idx="297">
                  <c:v>40.44</c:v>
                </c:pt>
                <c:pt idx="298">
                  <c:v>#N/A</c:v>
                </c:pt>
                <c:pt idx="299">
                  <c:v>#N/A</c:v>
                </c:pt>
                <c:pt idx="300">
                  <c:v>#N/A</c:v>
                </c:pt>
                <c:pt idx="301">
                  <c:v>#N/A</c:v>
                </c:pt>
                <c:pt idx="302">
                  <c:v>#N/A</c:v>
                </c:pt>
                <c:pt idx="303">
                  <c:v>#N/A</c:v>
                </c:pt>
                <c:pt idx="304">
                  <c:v>38.85</c:v>
                </c:pt>
                <c:pt idx="305">
                  <c:v>#N/A</c:v>
                </c:pt>
                <c:pt idx="306">
                  <c:v>#N/A</c:v>
                </c:pt>
                <c:pt idx="307">
                  <c:v>#N/A</c:v>
                </c:pt>
                <c:pt idx="308">
                  <c:v>#N/A</c:v>
                </c:pt>
                <c:pt idx="309">
                  <c:v>#N/A</c:v>
                </c:pt>
                <c:pt idx="310">
                  <c:v>#N/A</c:v>
                </c:pt>
                <c:pt idx="311">
                  <c:v>39.369999999999997</c:v>
                </c:pt>
                <c:pt idx="312">
                  <c:v>#N/A</c:v>
                </c:pt>
                <c:pt idx="313">
                  <c:v>#N/A</c:v>
                </c:pt>
                <c:pt idx="314">
                  <c:v>#N/A</c:v>
                </c:pt>
                <c:pt idx="315">
                  <c:v>#N/A</c:v>
                </c:pt>
                <c:pt idx="316">
                  <c:v>#N/A</c:v>
                </c:pt>
                <c:pt idx="317">
                  <c:v>#N/A</c:v>
                </c:pt>
                <c:pt idx="318">
                  <c:v>39.26</c:v>
                </c:pt>
                <c:pt idx="319">
                  <c:v>#N/A</c:v>
                </c:pt>
                <c:pt idx="320">
                  <c:v>#N/A</c:v>
                </c:pt>
                <c:pt idx="321">
                  <c:v>#N/A</c:v>
                </c:pt>
                <c:pt idx="322">
                  <c:v>#N/A</c:v>
                </c:pt>
                <c:pt idx="323">
                  <c:v>#N/A</c:v>
                </c:pt>
                <c:pt idx="324">
                  <c:v>#N/A</c:v>
                </c:pt>
                <c:pt idx="325">
                  <c:v>39.36</c:v>
                </c:pt>
                <c:pt idx="326">
                  <c:v>#N/A</c:v>
                </c:pt>
                <c:pt idx="327">
                  <c:v>#N/A</c:v>
                </c:pt>
                <c:pt idx="328">
                  <c:v>#N/A</c:v>
                </c:pt>
                <c:pt idx="329">
                  <c:v>#N/A</c:v>
                </c:pt>
                <c:pt idx="330">
                  <c:v>#N/A</c:v>
                </c:pt>
                <c:pt idx="331">
                  <c:v>#N/A</c:v>
                </c:pt>
                <c:pt idx="332">
                  <c:v>39.1</c:v>
                </c:pt>
                <c:pt idx="333">
                  <c:v>#N/A</c:v>
                </c:pt>
                <c:pt idx="334">
                  <c:v>#N/A</c:v>
                </c:pt>
                <c:pt idx="335">
                  <c:v>#N/A</c:v>
                </c:pt>
                <c:pt idx="336">
                  <c:v>#N/A</c:v>
                </c:pt>
                <c:pt idx="337">
                  <c:v>#N/A</c:v>
                </c:pt>
                <c:pt idx="338">
                  <c:v>#N/A</c:v>
                </c:pt>
                <c:pt idx="339">
                  <c:v>41.79</c:v>
                </c:pt>
                <c:pt idx="340">
                  <c:v>#N/A</c:v>
                </c:pt>
                <c:pt idx="341">
                  <c:v>#N/A</c:v>
                </c:pt>
                <c:pt idx="342">
                  <c:v>#N/A</c:v>
                </c:pt>
                <c:pt idx="343">
                  <c:v>#N/A</c:v>
                </c:pt>
                <c:pt idx="344">
                  <c:v>#N/A</c:v>
                </c:pt>
                <c:pt idx="345">
                  <c:v>#N/A</c:v>
                </c:pt>
                <c:pt idx="346">
                  <c:v>42.84</c:v>
                </c:pt>
                <c:pt idx="347">
                  <c:v>#N/A</c:v>
                </c:pt>
                <c:pt idx="348">
                  <c:v>#N/A</c:v>
                </c:pt>
                <c:pt idx="349">
                  <c:v>#N/A</c:v>
                </c:pt>
                <c:pt idx="350">
                  <c:v>#N/A</c:v>
                </c:pt>
                <c:pt idx="351">
                  <c:v>#N/A</c:v>
                </c:pt>
                <c:pt idx="352">
                  <c:v>#N/A</c:v>
                </c:pt>
                <c:pt idx="353">
                  <c:v>43.83</c:v>
                </c:pt>
                <c:pt idx="354">
                  <c:v>#N/A</c:v>
                </c:pt>
                <c:pt idx="355">
                  <c:v>#N/A</c:v>
                </c:pt>
                <c:pt idx="356">
                  <c:v>#N/A</c:v>
                </c:pt>
                <c:pt idx="357">
                  <c:v>#N/A</c:v>
                </c:pt>
                <c:pt idx="358">
                  <c:v>#N/A</c:v>
                </c:pt>
                <c:pt idx="359">
                  <c:v>#N/A</c:v>
                </c:pt>
                <c:pt idx="360">
                  <c:v>44.12</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1B69-41E2-9965-8575E7F426CB}"/>
            </c:ext>
          </c:extLst>
        </c:ser>
        <c:ser>
          <c:idx val="1"/>
          <c:order val="2"/>
          <c:tx>
            <c:strRef>
              <c:f>猪价!$J$1</c:f>
              <c:strCache>
                <c:ptCount val="1"/>
                <c:pt idx="0">
                  <c:v>2021</c:v>
                </c:pt>
              </c:strCache>
            </c:strRef>
          </c:tx>
          <c:spPr>
            <a:ln w="19050" cap="rnd" cmpd="sng" algn="ctr">
              <a:solidFill>
                <a:schemeClr val="accent2"/>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猪价!$J$2:$J$366</c:f>
              <c:numCache>
                <c:formatCode>General</c:formatCode>
                <c:ptCount val="365"/>
                <c:pt idx="0">
                  <c:v>#N/A</c:v>
                </c:pt>
                <c:pt idx="1">
                  <c:v>45.4</c:v>
                </c:pt>
                <c:pt idx="2">
                  <c:v>#N/A</c:v>
                </c:pt>
                <c:pt idx="3">
                  <c:v>#N/A</c:v>
                </c:pt>
                <c:pt idx="4">
                  <c:v>#N/A</c:v>
                </c:pt>
                <c:pt idx="5">
                  <c:v>#N/A</c:v>
                </c:pt>
                <c:pt idx="6">
                  <c:v>#N/A</c:v>
                </c:pt>
                <c:pt idx="7">
                  <c:v>#N/A</c:v>
                </c:pt>
                <c:pt idx="8">
                  <c:v>46.26</c:v>
                </c:pt>
                <c:pt idx="9">
                  <c:v>#N/A</c:v>
                </c:pt>
                <c:pt idx="10">
                  <c:v>#N/A</c:v>
                </c:pt>
                <c:pt idx="11">
                  <c:v>#N/A</c:v>
                </c:pt>
                <c:pt idx="12">
                  <c:v>#N/A</c:v>
                </c:pt>
                <c:pt idx="13">
                  <c:v>#N/A</c:v>
                </c:pt>
                <c:pt idx="14">
                  <c:v>#N/A</c:v>
                </c:pt>
                <c:pt idx="15">
                  <c:v>47.58</c:v>
                </c:pt>
                <c:pt idx="16">
                  <c:v>#N/A</c:v>
                </c:pt>
                <c:pt idx="17">
                  <c:v>#N/A</c:v>
                </c:pt>
                <c:pt idx="18">
                  <c:v>#N/A</c:v>
                </c:pt>
                <c:pt idx="19">
                  <c:v>#N/A</c:v>
                </c:pt>
                <c:pt idx="20">
                  <c:v>#N/A</c:v>
                </c:pt>
                <c:pt idx="21">
                  <c:v>#N/A</c:v>
                </c:pt>
                <c:pt idx="22">
                  <c:v>47</c:v>
                </c:pt>
                <c:pt idx="23">
                  <c:v>#N/A</c:v>
                </c:pt>
                <c:pt idx="24">
                  <c:v>#N/A</c:v>
                </c:pt>
                <c:pt idx="25">
                  <c:v>#N/A</c:v>
                </c:pt>
                <c:pt idx="26">
                  <c:v>#N/A</c:v>
                </c:pt>
                <c:pt idx="27">
                  <c:v>#N/A</c:v>
                </c:pt>
                <c:pt idx="28">
                  <c:v>#N/A</c:v>
                </c:pt>
                <c:pt idx="29">
                  <c:v>46.37</c:v>
                </c:pt>
                <c:pt idx="30">
                  <c:v>#N/A</c:v>
                </c:pt>
                <c:pt idx="31">
                  <c:v>#N/A</c:v>
                </c:pt>
                <c:pt idx="32">
                  <c:v>#N/A</c:v>
                </c:pt>
                <c:pt idx="33">
                  <c:v>#N/A</c:v>
                </c:pt>
                <c:pt idx="34">
                  <c:v>#N/A</c:v>
                </c:pt>
                <c:pt idx="35">
                  <c:v>#N/A</c:v>
                </c:pt>
                <c:pt idx="36">
                  <c:v>45.23</c:v>
                </c:pt>
                <c:pt idx="37">
                  <c:v>#N/A</c:v>
                </c:pt>
                <c:pt idx="38">
                  <c:v>#N/A</c:v>
                </c:pt>
                <c:pt idx="39">
                  <c:v>#N/A</c:v>
                </c:pt>
                <c:pt idx="40">
                  <c:v>#N/A</c:v>
                </c:pt>
                <c:pt idx="41">
                  <c:v>#N/A</c:v>
                </c:pt>
                <c:pt idx="42">
                  <c:v>#N/A</c:v>
                </c:pt>
                <c:pt idx="43">
                  <c:v>45.39</c:v>
                </c:pt>
                <c:pt idx="44">
                  <c:v>#N/A</c:v>
                </c:pt>
                <c:pt idx="45">
                  <c:v>#N/A</c:v>
                </c:pt>
                <c:pt idx="46">
                  <c:v>#N/A</c:v>
                </c:pt>
                <c:pt idx="47">
                  <c:v>#N/A</c:v>
                </c:pt>
                <c:pt idx="48">
                  <c:v>#N/A</c:v>
                </c:pt>
                <c:pt idx="49">
                  <c:v>#N/A</c:v>
                </c:pt>
                <c:pt idx="50">
                  <c:v>42.18</c:v>
                </c:pt>
                <c:pt idx="51">
                  <c:v>#N/A</c:v>
                </c:pt>
                <c:pt idx="52">
                  <c:v>#N/A</c:v>
                </c:pt>
                <c:pt idx="53">
                  <c:v>#N/A</c:v>
                </c:pt>
                <c:pt idx="54">
                  <c:v>#N/A</c:v>
                </c:pt>
                <c:pt idx="55">
                  <c:v>#N/A</c:v>
                </c:pt>
                <c:pt idx="56">
                  <c:v>#N/A</c:v>
                </c:pt>
                <c:pt idx="57">
                  <c:v>39.049999999999997</c:v>
                </c:pt>
                <c:pt idx="58">
                  <c:v>#N/A</c:v>
                </c:pt>
                <c:pt idx="59">
                  <c:v>#N/A</c:v>
                </c:pt>
                <c:pt idx="60">
                  <c:v>#N/A</c:v>
                </c:pt>
                <c:pt idx="61">
                  <c:v>#N/A</c:v>
                </c:pt>
                <c:pt idx="62">
                  <c:v>#N/A</c:v>
                </c:pt>
                <c:pt idx="63">
                  <c:v>#N/A</c:v>
                </c:pt>
                <c:pt idx="64">
                  <c:v>38.57</c:v>
                </c:pt>
                <c:pt idx="65">
                  <c:v>#N/A</c:v>
                </c:pt>
                <c:pt idx="66">
                  <c:v>#N/A</c:v>
                </c:pt>
                <c:pt idx="67">
                  <c:v>#N/A</c:v>
                </c:pt>
                <c:pt idx="68">
                  <c:v>#N/A</c:v>
                </c:pt>
                <c:pt idx="69">
                  <c:v>#N/A</c:v>
                </c:pt>
                <c:pt idx="70">
                  <c:v>#N/A</c:v>
                </c:pt>
                <c:pt idx="71">
                  <c:v>38</c:v>
                </c:pt>
                <c:pt idx="72">
                  <c:v>#N/A</c:v>
                </c:pt>
                <c:pt idx="73">
                  <c:v>#N/A</c:v>
                </c:pt>
                <c:pt idx="74">
                  <c:v>#N/A</c:v>
                </c:pt>
                <c:pt idx="75">
                  <c:v>#N/A</c:v>
                </c:pt>
                <c:pt idx="76">
                  <c:v>#N/A</c:v>
                </c:pt>
                <c:pt idx="77">
                  <c:v>#N/A</c:v>
                </c:pt>
                <c:pt idx="78">
                  <c:v>37.299999999999997</c:v>
                </c:pt>
                <c:pt idx="79">
                  <c:v>#N/A</c:v>
                </c:pt>
                <c:pt idx="80">
                  <c:v>#N/A</c:v>
                </c:pt>
                <c:pt idx="81">
                  <c:v>#N/A</c:v>
                </c:pt>
                <c:pt idx="82">
                  <c:v>#N/A</c:v>
                </c:pt>
                <c:pt idx="83">
                  <c:v>#N/A</c:v>
                </c:pt>
                <c:pt idx="84">
                  <c:v>#N/A</c:v>
                </c:pt>
                <c:pt idx="85">
                  <c:v>36.33</c:v>
                </c:pt>
                <c:pt idx="86">
                  <c:v>#N/A</c:v>
                </c:pt>
                <c:pt idx="87">
                  <c:v>#N/A</c:v>
                </c:pt>
                <c:pt idx="88">
                  <c:v>#N/A</c:v>
                </c:pt>
                <c:pt idx="89">
                  <c:v>#N/A</c:v>
                </c:pt>
                <c:pt idx="90">
                  <c:v>#N/A</c:v>
                </c:pt>
                <c:pt idx="91">
                  <c:v>#N/A</c:v>
                </c:pt>
                <c:pt idx="92">
                  <c:v>35</c:v>
                </c:pt>
                <c:pt idx="93">
                  <c:v>#N/A</c:v>
                </c:pt>
                <c:pt idx="94">
                  <c:v>#N/A</c:v>
                </c:pt>
                <c:pt idx="95">
                  <c:v>#N/A</c:v>
                </c:pt>
                <c:pt idx="96">
                  <c:v>#N/A</c:v>
                </c:pt>
                <c:pt idx="97">
                  <c:v>#N/A</c:v>
                </c:pt>
                <c:pt idx="98">
                  <c:v>#N/A</c:v>
                </c:pt>
                <c:pt idx="99">
                  <c:v>32.4</c:v>
                </c:pt>
                <c:pt idx="100">
                  <c:v>#N/A</c:v>
                </c:pt>
                <c:pt idx="101">
                  <c:v>#N/A</c:v>
                </c:pt>
                <c:pt idx="102">
                  <c:v>#N/A</c:v>
                </c:pt>
                <c:pt idx="103">
                  <c:v>#N/A</c:v>
                </c:pt>
                <c:pt idx="104">
                  <c:v>#N/A</c:v>
                </c:pt>
                <c:pt idx="105">
                  <c:v>#N/A</c:v>
                </c:pt>
                <c:pt idx="106">
                  <c:v>31.77</c:v>
                </c:pt>
                <c:pt idx="107">
                  <c:v>#N/A</c:v>
                </c:pt>
                <c:pt idx="108">
                  <c:v>#N/A</c:v>
                </c:pt>
                <c:pt idx="109">
                  <c:v>#N/A</c:v>
                </c:pt>
                <c:pt idx="110">
                  <c:v>#N/A</c:v>
                </c:pt>
                <c:pt idx="111">
                  <c:v>#N/A</c:v>
                </c:pt>
                <c:pt idx="112">
                  <c:v>#N/A</c:v>
                </c:pt>
                <c:pt idx="113">
                  <c:v>31.5</c:v>
                </c:pt>
                <c:pt idx="114">
                  <c:v>#N/A</c:v>
                </c:pt>
                <c:pt idx="115">
                  <c:v>#N/A</c:v>
                </c:pt>
                <c:pt idx="116">
                  <c:v>#N/A</c:v>
                </c:pt>
                <c:pt idx="117">
                  <c:v>#N/A</c:v>
                </c:pt>
                <c:pt idx="118">
                  <c:v>#N/A</c:v>
                </c:pt>
                <c:pt idx="119">
                  <c:v>#N/A</c:v>
                </c:pt>
                <c:pt idx="120">
                  <c:v>30.62</c:v>
                </c:pt>
                <c:pt idx="121">
                  <c:v>#N/A</c:v>
                </c:pt>
                <c:pt idx="122">
                  <c:v>#N/A</c:v>
                </c:pt>
                <c:pt idx="123">
                  <c:v>#N/A</c:v>
                </c:pt>
                <c:pt idx="124">
                  <c:v>#N/A</c:v>
                </c:pt>
                <c:pt idx="125">
                  <c:v>#N/A</c:v>
                </c:pt>
                <c:pt idx="126">
                  <c:v>#N/A</c:v>
                </c:pt>
                <c:pt idx="127">
                  <c:v>30.04</c:v>
                </c:pt>
                <c:pt idx="128">
                  <c:v>#N/A</c:v>
                </c:pt>
                <c:pt idx="129">
                  <c:v>#N/A</c:v>
                </c:pt>
                <c:pt idx="130">
                  <c:v>#N/A</c:v>
                </c:pt>
                <c:pt idx="131">
                  <c:v>#N/A</c:v>
                </c:pt>
                <c:pt idx="132">
                  <c:v>#N/A</c:v>
                </c:pt>
                <c:pt idx="133">
                  <c:v>#N/A</c:v>
                </c:pt>
                <c:pt idx="134">
                  <c:v>27.78</c:v>
                </c:pt>
                <c:pt idx="135">
                  <c:v>#N/A</c:v>
                </c:pt>
                <c:pt idx="136">
                  <c:v>#N/A</c:v>
                </c:pt>
                <c:pt idx="137">
                  <c:v>#N/A</c:v>
                </c:pt>
                <c:pt idx="138">
                  <c:v>#N/A</c:v>
                </c:pt>
                <c:pt idx="139">
                  <c:v>#N/A</c:v>
                </c:pt>
                <c:pt idx="140">
                  <c:v>#N/A</c:v>
                </c:pt>
                <c:pt idx="141">
                  <c:v>26.29</c:v>
                </c:pt>
                <c:pt idx="142">
                  <c:v>#N/A</c:v>
                </c:pt>
                <c:pt idx="143">
                  <c:v>#N/A</c:v>
                </c:pt>
                <c:pt idx="144">
                  <c:v>#N/A</c:v>
                </c:pt>
                <c:pt idx="145">
                  <c:v>#N/A</c:v>
                </c:pt>
                <c:pt idx="146">
                  <c:v>#N/A</c:v>
                </c:pt>
                <c:pt idx="147">
                  <c:v>#N/A</c:v>
                </c:pt>
                <c:pt idx="148">
                  <c:v>#N/A</c:v>
                </c:pt>
                <c:pt idx="149">
                  <c:v>#N/A</c:v>
                </c:pt>
                <c:pt idx="150">
                  <c:v>#N/A</c:v>
                </c:pt>
                <c:pt idx="151">
                  <c:v>#N/A</c:v>
                </c:pt>
                <c:pt idx="152">
                  <c:v>#N/A</c:v>
                </c:pt>
                <c:pt idx="153">
                  <c:v>#N/A</c:v>
                </c:pt>
                <c:pt idx="154">
                  <c:v>#N/A</c:v>
                </c:pt>
                <c:pt idx="155">
                  <c:v>#N/A</c:v>
                </c:pt>
                <c:pt idx="156">
                  <c:v>#N/A</c:v>
                </c:pt>
                <c:pt idx="157">
                  <c:v>#N/A</c:v>
                </c:pt>
                <c:pt idx="158">
                  <c:v>#N/A</c:v>
                </c:pt>
                <c:pt idx="159">
                  <c:v>#N/A</c:v>
                </c:pt>
                <c:pt idx="160">
                  <c:v>#N/A</c:v>
                </c:pt>
                <c:pt idx="161">
                  <c:v>#N/A</c:v>
                </c:pt>
                <c:pt idx="162">
                  <c:v>#N/A</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0"/>
        </c:ser>
        <c:dLbls>
          <c:showLegendKey val="0"/>
          <c:showVal val="0"/>
          <c:showCatName val="0"/>
          <c:showSerName val="0"/>
          <c:showPercent val="0"/>
          <c:showBubbleSize val="0"/>
        </c:dLbls>
        <c:marker val="1"/>
        <c:smooth val="0"/>
        <c:axId val="347178496"/>
        <c:axId val="347180032"/>
      </c:lineChart>
      <c:dateAx>
        <c:axId val="347178496"/>
        <c:scaling>
          <c:orientation val="minMax"/>
        </c:scaling>
        <c:delete val="0"/>
        <c:axPos val="b"/>
        <c:numFmt formatCode="m" sourceLinked="0"/>
        <c:majorTickMark val="out"/>
        <c:minorTickMark val="out"/>
        <c:tickLblPos val="low"/>
        <c:spPr>
          <a:noFill/>
          <a:ln w="3175" cap="flat" cmpd="sng" algn="ctr">
            <a:solidFill>
              <a:sysClr val="windowText" lastClr="000000"/>
            </a:solidFill>
            <a:prstDash val="solid"/>
            <a:round/>
          </a:ln>
          <a:effectLst/>
        </c:spPr>
        <c:txPr>
          <a:bodyPr rot="0" spcFirstLastPara="1" vertOverflow="ellipsis" vert="horz"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crossAx val="347180032"/>
        <c:crosses val="autoZero"/>
        <c:auto val="0"/>
        <c:lblOffset val="0"/>
        <c:baseTimeUnit val="days"/>
        <c:majorUnit val="1"/>
        <c:majorTimeUnit val="months"/>
      </c:dateAx>
      <c:valAx>
        <c:axId val="347180032"/>
        <c:scaling>
          <c:orientation val="minMax"/>
          <c:min val="14"/>
        </c:scaling>
        <c:delete val="0"/>
        <c:axPos val="l"/>
        <c:numFmt formatCode="#,##0_);[Red]\(#,##0\)" sourceLinked="0"/>
        <c:majorTickMark val="out"/>
        <c:minorTickMark val="none"/>
        <c:tickLblPos val="nextTo"/>
        <c:spPr>
          <a:noFill/>
          <a:ln w="3175" cap="flat" cmpd="sng" algn="ctr">
            <a:solidFill>
              <a:sysClr val="windowText" lastClr="000000"/>
            </a:solidFill>
            <a:prstDash val="solid"/>
            <a:round/>
          </a:ln>
          <a:effectLst/>
        </c:spPr>
        <c:txPr>
          <a:bodyPr rot="0" spcFirstLastPara="1" vertOverflow="ellipsis" vert="horz"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crossAx val="347178496"/>
        <c:crosses val="autoZero"/>
        <c:crossBetween val="between"/>
      </c:valAx>
      <c:spPr>
        <a:solidFill>
          <a:schemeClr val="bg1"/>
        </a:solidFill>
        <a:ln>
          <a:noFill/>
        </a:ln>
        <a:effectLst/>
      </c:spPr>
    </c:plotArea>
    <c:legend>
      <c:legendPos val="r"/>
      <c:layout>
        <c:manualLayout>
          <c:xMode val="edge"/>
          <c:yMode val="edge"/>
          <c:x val="0.16919195456349406"/>
          <c:y val="2.3338014611900969E-3"/>
          <c:w val="0.71306366246785857"/>
          <c:h val="8.2149075052993112E-2"/>
        </c:manualLayout>
      </c:layout>
      <c:overlay val="0"/>
      <c:spPr>
        <a:noFill/>
        <a:ln w="3175">
          <a:noFill/>
          <a:prstDash val="solid"/>
        </a:ln>
        <a:effectLst/>
      </c:spPr>
      <c:txPr>
        <a:bodyPr rot="0" spcFirstLastPara="1" vertOverflow="ellipsis" vert="horz"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legend>
    <c:plotVisOnly val="1"/>
    <c:dispBlanksAs val="span"/>
    <c:showDLblsOverMax val="0"/>
  </c:chart>
  <c:spPr>
    <a:solidFill>
      <a:schemeClr val="bg1"/>
    </a:solidFill>
    <a:ln w="6350" cap="flat" cmpd="sng" algn="ctr">
      <a:noFill/>
      <a:prstDash val="solid"/>
      <a:round/>
    </a:ln>
    <a:effectLst/>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cdr:x>
      <cdr:y>0</cdr:y>
    </cdr:from>
    <cdr:to>
      <cdr:x>0.12698</cdr:x>
      <cdr:y>0.09987</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580570" cy="273958"/>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亿元</a:t>
          </a: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cdr:x>
      <cdr:y>0</cdr:y>
    </cdr:from>
    <cdr:to>
      <cdr:x>0.12517</cdr:x>
      <cdr:y>0.06102</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375312" cy="116005"/>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元</a:t>
          </a:r>
          <a:r>
            <a:rPr lang="en-US" altLang="zh-CN" sz="700" b="0" i="0" u="none" strike="noStrike" baseline="0">
              <a:solidFill>
                <a:srgbClr val="000000"/>
              </a:solidFill>
              <a:latin typeface="楷体" panose="02010609060101010101" pitchFamily="49" charset="-122"/>
              <a:ea typeface="楷体" panose="02010609060101010101" pitchFamily="49" charset="-122"/>
            </a:rPr>
            <a:t>/</a:t>
          </a:r>
          <a:r>
            <a:rPr lang="zh-CN" altLang="en-US" sz="700" b="0" i="0" u="none" strike="noStrike" baseline="0">
              <a:solidFill>
                <a:srgbClr val="000000"/>
              </a:solidFill>
              <a:latin typeface="楷体" panose="02010609060101010101" pitchFamily="49" charset="-122"/>
              <a:ea typeface="楷体" panose="02010609060101010101" pitchFamily="49" charset="-122"/>
            </a:rPr>
            <a:t>千克</a:t>
          </a: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A21DE4-77B0-49A6-95CD-C5CCA4B9FA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7</Pages>
  <Words>810</Words>
  <Characters>4619</Characters>
  <Application>Microsoft Office Word</Application>
  <DocSecurity>0</DocSecurity>
  <Lines>38</Lines>
  <Paragraphs>10</Paragraphs>
  <ScaleCrop>false</ScaleCrop>
  <Company>Microsoft</Company>
  <LinksUpToDate>false</LinksUpToDate>
  <CharactersWithSpaces>5419</CharactersWithSpaces>
  <SharedDoc>false</SharedDoc>
  <HLinks>
    <vt:vector size="6" baseType="variant">
      <vt:variant>
        <vt:i4>5767249</vt:i4>
      </vt:variant>
      <vt:variant>
        <vt:i4>0</vt:i4>
      </vt:variant>
      <vt:variant>
        <vt:i4>0</vt:i4>
      </vt:variant>
      <vt:variant>
        <vt:i4>5</vt:i4>
      </vt:variant>
      <vt:variant>
        <vt:lpwstr>http://180.96.8.44/SmartReaderWeb/SmartReader/?type=1&amp;id=451784584&amp;fav=1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dc:title>
  <dc:creator>钱伟</dc:creator>
  <cp:lastModifiedBy>Administrator</cp:lastModifiedBy>
  <cp:revision>6</cp:revision>
  <cp:lastPrinted>2019-06-26T06:05:00Z</cp:lastPrinted>
  <dcterms:created xsi:type="dcterms:W3CDTF">2021-05-24T01:08:00Z</dcterms:created>
  <dcterms:modified xsi:type="dcterms:W3CDTF">2021-05-24T05:18:00Z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2052-8.1.0.3477</vt:lpwstr>
  </property>
</Properties>
</file>