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1756" w:rsidRDefault="00A419CD">
      <w:pPr>
        <w:jc w:val="center"/>
        <w:rPr>
          <w:b/>
        </w:rPr>
      </w:pPr>
      <w:r>
        <w:rPr>
          <w:rFonts w:hint="eastAsia"/>
          <w:b/>
        </w:rPr>
        <w:t>富荣量化</w:t>
      </w:r>
      <w:r w:rsidR="00310508">
        <w:rPr>
          <w:rFonts w:hint="eastAsia"/>
          <w:b/>
        </w:rPr>
        <w:t>：</w:t>
      </w:r>
      <w:r>
        <w:rPr>
          <w:rFonts w:hint="eastAsia"/>
          <w:b/>
          <w:lang w:eastAsia="zh-Hans"/>
        </w:rPr>
        <w:t>市场</w:t>
      </w:r>
      <w:r w:rsidR="00160B42">
        <w:rPr>
          <w:rFonts w:hint="eastAsia"/>
          <w:b/>
        </w:rPr>
        <w:t>无法</w:t>
      </w:r>
      <w:r w:rsidR="00934B51">
        <w:rPr>
          <w:rFonts w:hint="eastAsia"/>
          <w:b/>
        </w:rPr>
        <w:t>突破</w:t>
      </w:r>
      <w:r w:rsidR="00160B42">
        <w:rPr>
          <w:rFonts w:hint="eastAsia"/>
          <w:b/>
        </w:rPr>
        <w:t>，</w:t>
      </w:r>
      <w:r w:rsidR="00934B51">
        <w:rPr>
          <w:rFonts w:hint="eastAsia"/>
          <w:b/>
        </w:rPr>
        <w:t>重回震荡</w:t>
      </w:r>
    </w:p>
    <w:p w:rsidR="00D41756" w:rsidRDefault="00D41756">
      <w:pPr>
        <w:ind w:firstLineChars="200" w:firstLine="480"/>
      </w:pPr>
    </w:p>
    <w:p w:rsidR="00D41756" w:rsidRDefault="00D91C3D">
      <w:pPr>
        <w:ind w:firstLineChars="200" w:firstLine="480"/>
        <w:rPr>
          <w:rFonts w:hint="eastAsia"/>
        </w:rPr>
      </w:pPr>
      <w:r>
        <w:rPr>
          <w:rFonts w:hint="eastAsia"/>
        </w:rPr>
        <w:t>上</w:t>
      </w:r>
      <w:r w:rsidR="00A419CD">
        <w:rPr>
          <w:rFonts w:hint="eastAsia"/>
          <w:lang w:eastAsia="zh-Hans"/>
        </w:rPr>
        <w:t>周</w:t>
      </w:r>
      <w:r w:rsidR="00C85EA9">
        <w:rPr>
          <w:rFonts w:hint="eastAsia"/>
        </w:rPr>
        <w:t>A股市场在周一冲高后开始回落，市场</w:t>
      </w:r>
      <w:proofErr w:type="gramStart"/>
      <w:r w:rsidR="00C85EA9">
        <w:rPr>
          <w:rFonts w:hint="eastAsia"/>
        </w:rPr>
        <w:t>各宽基指数</w:t>
      </w:r>
      <w:proofErr w:type="gramEnd"/>
      <w:r w:rsidR="00C85EA9">
        <w:rPr>
          <w:rFonts w:hint="eastAsia"/>
        </w:rPr>
        <w:t>涨多跌少，分化加剧。从最终结果来看，</w:t>
      </w:r>
      <w:proofErr w:type="gramStart"/>
      <w:r w:rsidR="00C85EA9">
        <w:rPr>
          <w:rFonts w:hint="eastAsia"/>
        </w:rPr>
        <w:t>各宽基指数</w:t>
      </w:r>
      <w:proofErr w:type="gramEnd"/>
      <w:r w:rsidR="00C85EA9">
        <w:rPr>
          <w:rFonts w:hint="eastAsia"/>
        </w:rPr>
        <w:t>表现如下（</w:t>
      </w:r>
      <w:r w:rsidR="00A419CD">
        <w:rPr>
          <w:rFonts w:hint="eastAsia"/>
          <w:lang w:eastAsia="zh-Hans"/>
        </w:rPr>
        <w:t>图</w:t>
      </w:r>
      <w:r w:rsidR="00A419CD">
        <w:rPr>
          <w:lang w:eastAsia="zh-Hans"/>
        </w:rPr>
        <w:t>1）：</w:t>
      </w:r>
      <w:r w:rsidR="00A419CD">
        <w:rPr>
          <w:rFonts w:hint="eastAsia"/>
          <w:lang w:eastAsia="zh-Hans"/>
        </w:rPr>
        <w:t>上证指数</w:t>
      </w:r>
      <w:r w:rsidR="00C85EA9">
        <w:rPr>
          <w:rFonts w:hint="eastAsia"/>
        </w:rPr>
        <w:t>下跌0.11</w:t>
      </w:r>
      <w:r w:rsidR="00A419CD">
        <w:rPr>
          <w:lang w:eastAsia="zh-Hans"/>
        </w:rPr>
        <w:t>%，</w:t>
      </w:r>
      <w:r w:rsidR="00A419CD">
        <w:rPr>
          <w:rFonts w:hint="eastAsia"/>
          <w:lang w:eastAsia="zh-Hans"/>
        </w:rPr>
        <w:t>深证成指上涨</w:t>
      </w:r>
      <w:r w:rsidR="00A419CD">
        <w:rPr>
          <w:lang w:eastAsia="zh-Hans"/>
        </w:rPr>
        <w:t>1</w:t>
      </w:r>
      <w:r w:rsidR="00A419CD">
        <w:rPr>
          <w:rFonts w:hint="eastAsia"/>
          <w:lang w:eastAsia="zh-Hans"/>
        </w:rPr>
        <w:t>.</w:t>
      </w:r>
      <w:r w:rsidR="00C85EA9">
        <w:rPr>
          <w:lang w:eastAsia="zh-Hans"/>
        </w:rPr>
        <w:t>47</w:t>
      </w:r>
      <w:r w:rsidR="00A419CD">
        <w:rPr>
          <w:lang w:eastAsia="zh-Hans"/>
        </w:rPr>
        <w:t>%，</w:t>
      </w:r>
      <w:r w:rsidR="00A419CD">
        <w:rPr>
          <w:rFonts w:hint="eastAsia"/>
          <w:lang w:eastAsia="zh-Hans"/>
        </w:rPr>
        <w:t>沪深</w:t>
      </w:r>
      <w:r w:rsidR="00A419CD">
        <w:rPr>
          <w:lang w:eastAsia="zh-Hans"/>
        </w:rPr>
        <w:t>300</w:t>
      </w:r>
      <w:r w:rsidR="00A419CD">
        <w:rPr>
          <w:rFonts w:hint="eastAsia"/>
          <w:lang w:eastAsia="zh-Hans"/>
        </w:rPr>
        <w:t>指数上涨</w:t>
      </w:r>
      <w:r w:rsidR="00C85EA9">
        <w:rPr>
          <w:lang w:eastAsia="zh-Hans"/>
        </w:rPr>
        <w:t>0.46%</w:t>
      </w:r>
      <w:r w:rsidR="00A419CD">
        <w:rPr>
          <w:lang w:eastAsia="zh-Hans"/>
        </w:rPr>
        <w:t>，</w:t>
      </w:r>
      <w:r w:rsidR="00A419CD">
        <w:rPr>
          <w:rFonts w:hint="eastAsia"/>
          <w:lang w:eastAsia="zh-Hans"/>
        </w:rPr>
        <w:t>中证</w:t>
      </w:r>
      <w:r w:rsidR="00A419CD">
        <w:rPr>
          <w:lang w:eastAsia="zh-Hans"/>
        </w:rPr>
        <w:t>500</w:t>
      </w:r>
      <w:r w:rsidR="00A419CD">
        <w:rPr>
          <w:rFonts w:hint="eastAsia"/>
          <w:lang w:eastAsia="zh-Hans"/>
        </w:rPr>
        <w:t>指数上涨</w:t>
      </w:r>
      <w:r w:rsidR="00C85EA9">
        <w:rPr>
          <w:lang w:eastAsia="zh-Hans"/>
        </w:rPr>
        <w:t>0.03</w:t>
      </w:r>
      <w:r w:rsidR="00A419CD">
        <w:rPr>
          <w:lang w:eastAsia="zh-Hans"/>
        </w:rPr>
        <w:t>%，</w:t>
      </w:r>
      <w:r w:rsidR="00A419CD">
        <w:rPr>
          <w:rFonts w:hint="eastAsia"/>
          <w:lang w:eastAsia="zh-Hans"/>
        </w:rPr>
        <w:t>创业板指上涨</w:t>
      </w:r>
      <w:r w:rsidR="00C85EA9">
        <w:rPr>
          <w:lang w:eastAsia="zh-Hans"/>
        </w:rPr>
        <w:t>2.62</w:t>
      </w:r>
      <w:r w:rsidR="00A419CD">
        <w:rPr>
          <w:lang w:eastAsia="zh-Hans"/>
        </w:rPr>
        <w:t>%。</w:t>
      </w:r>
      <w:r w:rsidR="00C85EA9">
        <w:rPr>
          <w:rFonts w:hint="eastAsia"/>
        </w:rPr>
        <w:t>创业板</w:t>
      </w:r>
      <w:r w:rsidR="006C3F5E">
        <w:rPr>
          <w:rFonts w:hint="eastAsia"/>
        </w:rPr>
        <w:t>涨幅一骑绝尘，涨幅大幅度领先</w:t>
      </w:r>
      <w:proofErr w:type="gramStart"/>
      <w:r w:rsidR="006C3F5E">
        <w:rPr>
          <w:rFonts w:hint="eastAsia"/>
        </w:rPr>
        <w:t>其他宽基指数</w:t>
      </w:r>
      <w:proofErr w:type="gramEnd"/>
      <w:r w:rsidR="006C3F5E">
        <w:rPr>
          <w:rFonts w:hint="eastAsia"/>
        </w:rPr>
        <w:t>。从行业来看，电气设备</w:t>
      </w:r>
      <w:proofErr w:type="gramStart"/>
      <w:r w:rsidR="006C3F5E">
        <w:rPr>
          <w:rFonts w:hint="eastAsia"/>
        </w:rPr>
        <w:t>领跑全</w:t>
      </w:r>
      <w:proofErr w:type="gramEnd"/>
      <w:r w:rsidR="006C3F5E">
        <w:rPr>
          <w:rFonts w:hint="eastAsia"/>
        </w:rPr>
        <w:t>市场，</w:t>
      </w:r>
      <w:r w:rsidR="006B5779">
        <w:rPr>
          <w:rFonts w:hint="eastAsia"/>
        </w:rPr>
        <w:t>前期强势的周期行业如</w:t>
      </w:r>
      <w:r w:rsidR="00A419CD">
        <w:rPr>
          <w:rFonts w:hint="eastAsia"/>
          <w:lang w:eastAsia="zh-Hans"/>
        </w:rPr>
        <w:t>钢铁</w:t>
      </w:r>
      <w:r w:rsidR="006B5779">
        <w:rPr>
          <w:rFonts w:hint="eastAsia"/>
        </w:rPr>
        <w:t>依然处于回调中</w:t>
      </w:r>
      <w:r w:rsidR="00A419CD">
        <w:rPr>
          <w:lang w:eastAsia="zh-Hans"/>
        </w:rPr>
        <w:t>。</w:t>
      </w:r>
      <w:r w:rsidR="006B5779">
        <w:rPr>
          <w:rFonts w:hint="eastAsia"/>
          <w:lang w:eastAsia="zh-Hans"/>
        </w:rPr>
        <w:t>周</w:t>
      </w:r>
      <w:r w:rsidR="006B5779">
        <w:rPr>
          <w:rFonts w:hint="eastAsia"/>
        </w:rPr>
        <w:t>一</w:t>
      </w:r>
      <w:r w:rsidR="00A419CD">
        <w:rPr>
          <w:rFonts w:hint="eastAsia"/>
          <w:lang w:eastAsia="zh-Hans"/>
        </w:rPr>
        <w:t>大涨</w:t>
      </w:r>
      <w:r w:rsidR="006B5779">
        <w:rPr>
          <w:rFonts w:hint="eastAsia"/>
        </w:rPr>
        <w:t>虽然</w:t>
      </w:r>
      <w:r w:rsidR="00A419CD">
        <w:rPr>
          <w:rFonts w:hint="eastAsia"/>
          <w:lang w:eastAsia="zh-Hans"/>
        </w:rPr>
        <w:t>给市场注入一剂强心针</w:t>
      </w:r>
      <w:r w:rsidR="00A419CD">
        <w:rPr>
          <w:lang w:eastAsia="zh-Hans"/>
        </w:rPr>
        <w:t>，</w:t>
      </w:r>
      <w:r w:rsidR="006B5779">
        <w:rPr>
          <w:rFonts w:hint="eastAsia"/>
        </w:rPr>
        <w:t>但是后面几个交易日即使在外盘如此强势的环境下依然无法取得持续性突破</w:t>
      </w:r>
      <w:r w:rsidR="00A419CD">
        <w:rPr>
          <w:lang w:eastAsia="zh-Hans"/>
        </w:rPr>
        <w:t>，</w:t>
      </w:r>
      <w:r w:rsidR="00A419CD">
        <w:rPr>
          <w:rFonts w:hint="eastAsia"/>
          <w:lang w:eastAsia="zh-Hans"/>
        </w:rPr>
        <w:t>我们认为市场</w:t>
      </w:r>
      <w:r w:rsidR="006B5779">
        <w:rPr>
          <w:rFonts w:hint="eastAsia"/>
        </w:rPr>
        <w:t>整体仍然没有摆脱震荡区间</w:t>
      </w:r>
      <w:r w:rsidR="00A419CD">
        <w:rPr>
          <w:lang w:eastAsia="zh-Hans"/>
        </w:rPr>
        <w:t>，</w:t>
      </w:r>
      <w:r w:rsidR="006B5779">
        <w:rPr>
          <w:rFonts w:hint="eastAsia"/>
        </w:rPr>
        <w:t>在这个震荡区间内风险偏好和风格特征出现了明显的反复和分歧</w:t>
      </w:r>
      <w:r w:rsidR="00A419CD">
        <w:rPr>
          <w:lang w:eastAsia="zh-Hans"/>
        </w:rPr>
        <w:t>。</w:t>
      </w:r>
    </w:p>
    <w:p w:rsidR="00D91C3D" w:rsidRDefault="00D91C3D" w:rsidP="00D91C3D">
      <w:pPr>
        <w:jc w:val="center"/>
        <w:rPr>
          <w:rFonts w:hint="eastAsia"/>
        </w:rPr>
      </w:pPr>
    </w:p>
    <w:p w:rsidR="00D91C3D" w:rsidRDefault="00D91C3D" w:rsidP="00D91C3D">
      <w:pPr>
        <w:jc w:val="center"/>
      </w:pPr>
      <w:r>
        <w:rPr>
          <w:rFonts w:hint="eastAsia"/>
        </w:rPr>
        <w:t xml:space="preserve">图 1 </w:t>
      </w:r>
      <w:r>
        <w:rPr>
          <w:rFonts w:hint="eastAsia"/>
        </w:rPr>
        <w:t>：</w:t>
      </w:r>
      <w:proofErr w:type="gramStart"/>
      <w:r>
        <w:rPr>
          <w:rFonts w:hint="eastAsia"/>
        </w:rPr>
        <w:t>各宽基指数和</w:t>
      </w:r>
      <w:proofErr w:type="gramEnd"/>
      <w:r>
        <w:rPr>
          <w:rFonts w:hint="eastAsia"/>
        </w:rPr>
        <w:t>行业表现</w:t>
      </w:r>
    </w:p>
    <w:p w:rsidR="00D41756" w:rsidRDefault="006B5779" w:rsidP="008C6502">
      <w:pPr>
        <w:rPr>
          <w:rFonts w:hint="eastAsia"/>
        </w:rPr>
      </w:pPr>
      <w:r>
        <w:rPr>
          <w:noProof/>
        </w:rPr>
        <w:drawing>
          <wp:inline distT="0" distB="0" distL="0" distR="0">
            <wp:extent cx="5274310" cy="3955733"/>
            <wp:effectExtent l="0" t="0" r="2540" b="6985"/>
            <wp:docPr id="5" name="图片 5" descr="C:\Users\qiuzh\AppData\Roaming\Foxmail7\Temp-11948-20210521144648\fox(05-24-10-13-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qiuzh\AppData\Roaming\Foxmail7\Temp-11948-20210521144648\fox(05-24-10-13-59).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D91C3D" w:rsidRDefault="00D91C3D" w:rsidP="008C6502">
      <w:r>
        <w:rPr>
          <w:rFonts w:hint="eastAsia"/>
        </w:rPr>
        <w:t>数据来源：富荣基金</w:t>
      </w:r>
    </w:p>
    <w:p w:rsidR="00D41756" w:rsidRDefault="00A419CD">
      <w:pPr>
        <w:ind w:firstLineChars="200" w:firstLine="480"/>
        <w:rPr>
          <w:rFonts w:hint="eastAsia"/>
        </w:rPr>
      </w:pPr>
      <w:r>
        <w:rPr>
          <w:rFonts w:hint="eastAsia"/>
        </w:rPr>
        <w:t>从资金流动来看（图2），</w:t>
      </w:r>
      <w:r w:rsidR="00D91C3D">
        <w:rPr>
          <w:rFonts w:hint="eastAsia"/>
        </w:rPr>
        <w:t>上</w:t>
      </w:r>
      <w:r>
        <w:rPr>
          <w:rFonts w:hint="eastAsia"/>
        </w:rPr>
        <w:t>周</w:t>
      </w:r>
      <w:r>
        <w:rPr>
          <w:rFonts w:hint="eastAsia"/>
          <w:lang w:eastAsia="zh-Hans"/>
        </w:rPr>
        <w:t>北向资金合计流入</w:t>
      </w:r>
      <w:r w:rsidR="006B5779">
        <w:rPr>
          <w:lang w:eastAsia="zh-Hans"/>
        </w:rPr>
        <w:t>4.75</w:t>
      </w:r>
      <w:r>
        <w:rPr>
          <w:rFonts w:hint="eastAsia"/>
          <w:lang w:eastAsia="zh-Hans"/>
        </w:rPr>
        <w:t>亿</w:t>
      </w:r>
      <w:r>
        <w:rPr>
          <w:lang w:eastAsia="zh-Hans"/>
        </w:rPr>
        <w:t>，</w:t>
      </w:r>
      <w:r w:rsidR="006B5779">
        <w:rPr>
          <w:rFonts w:hint="eastAsia"/>
        </w:rPr>
        <w:t>其中</w:t>
      </w:r>
      <w:r>
        <w:rPr>
          <w:rFonts w:hint="eastAsia"/>
          <w:lang w:eastAsia="zh-Hans"/>
        </w:rPr>
        <w:t>沪股通流入</w:t>
      </w:r>
      <w:r w:rsidR="006B5779">
        <w:rPr>
          <w:lang w:eastAsia="zh-Hans"/>
        </w:rPr>
        <w:t>-12.26</w:t>
      </w:r>
      <w:r>
        <w:rPr>
          <w:rFonts w:hint="eastAsia"/>
          <w:lang w:eastAsia="zh-Hans"/>
        </w:rPr>
        <w:t>亿</w:t>
      </w:r>
      <w:r>
        <w:rPr>
          <w:lang w:eastAsia="zh-Hans"/>
        </w:rPr>
        <w:t>，</w:t>
      </w:r>
      <w:r>
        <w:rPr>
          <w:rFonts w:hint="eastAsia"/>
          <w:lang w:eastAsia="zh-Hans"/>
        </w:rPr>
        <w:t>深股通流入</w:t>
      </w:r>
      <w:r w:rsidR="006B5779">
        <w:rPr>
          <w:lang w:eastAsia="zh-Hans"/>
        </w:rPr>
        <w:t>17.01</w:t>
      </w:r>
      <w:r>
        <w:rPr>
          <w:rFonts w:hint="eastAsia"/>
          <w:lang w:eastAsia="zh-Hans"/>
        </w:rPr>
        <w:t>亿</w:t>
      </w:r>
      <w:r>
        <w:rPr>
          <w:lang w:eastAsia="zh-Hans"/>
        </w:rPr>
        <w:t>。</w:t>
      </w:r>
      <w:r w:rsidR="006B5779">
        <w:rPr>
          <w:rFonts w:hint="eastAsia"/>
        </w:rPr>
        <w:t>从杠杆资金来看，资金表现出明显的谨慎做</w:t>
      </w:r>
      <w:r w:rsidR="006B5779">
        <w:rPr>
          <w:rFonts w:hint="eastAsia"/>
        </w:rPr>
        <w:lastRenderedPageBreak/>
        <w:t>法，新增融资余额明显下降。</w:t>
      </w:r>
    </w:p>
    <w:p w:rsidR="00D91C3D" w:rsidRDefault="00D91C3D">
      <w:pPr>
        <w:ind w:firstLineChars="200" w:firstLine="480"/>
        <w:rPr>
          <w:rFonts w:hint="eastAsia"/>
        </w:rPr>
      </w:pPr>
    </w:p>
    <w:p w:rsidR="00D91C3D" w:rsidRDefault="00D91C3D" w:rsidP="00D91C3D">
      <w:pPr>
        <w:jc w:val="center"/>
      </w:pPr>
      <w:r>
        <w:rPr>
          <w:rFonts w:hint="eastAsia"/>
        </w:rPr>
        <w:t xml:space="preserve">图 2 </w:t>
      </w:r>
      <w:r>
        <w:rPr>
          <w:rFonts w:hint="eastAsia"/>
        </w:rPr>
        <w:t>：</w:t>
      </w:r>
      <w:r>
        <w:rPr>
          <w:rFonts w:hint="eastAsia"/>
        </w:rPr>
        <w:t>北向资金和新增融资</w:t>
      </w:r>
    </w:p>
    <w:p w:rsidR="00D41756" w:rsidRDefault="006B5779" w:rsidP="008C6502">
      <w:pPr>
        <w:rPr>
          <w:rFonts w:hint="eastAsia"/>
        </w:rPr>
      </w:pPr>
      <w:r>
        <w:rPr>
          <w:noProof/>
        </w:rPr>
        <w:drawing>
          <wp:inline distT="0" distB="0" distL="0" distR="0">
            <wp:extent cx="5257798" cy="1676400"/>
            <wp:effectExtent l="0" t="0" r="635" b="0"/>
            <wp:docPr id="2" name="图片 2" descr="C:\Users\qiuzh\AppData\Roaming\Foxmail7\Temp-11948-20210521144648\fox(05-24-10-13-3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11948-20210521144648\fox(05-24-10-13-38)(3).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681665"/>
                    </a:xfrm>
                    <a:prstGeom prst="rect">
                      <a:avLst/>
                    </a:prstGeom>
                    <a:noFill/>
                    <a:ln>
                      <a:noFill/>
                    </a:ln>
                  </pic:spPr>
                </pic:pic>
              </a:graphicData>
            </a:graphic>
          </wp:inline>
        </w:drawing>
      </w:r>
    </w:p>
    <w:p w:rsidR="00D91C3D" w:rsidRDefault="00D91C3D" w:rsidP="008C6502">
      <w:r>
        <w:rPr>
          <w:rFonts w:hint="eastAsia"/>
        </w:rPr>
        <w:t>数据来源：富荣基金</w:t>
      </w:r>
    </w:p>
    <w:p w:rsidR="00D41756" w:rsidRDefault="00A419CD">
      <w:pPr>
        <w:ind w:firstLineChars="200" w:firstLine="480"/>
        <w:rPr>
          <w:rFonts w:hint="eastAsia"/>
        </w:rPr>
      </w:pPr>
      <w:r>
        <w:rPr>
          <w:rFonts w:hint="eastAsia"/>
        </w:rPr>
        <w:t>从市场波动率来看，</w:t>
      </w:r>
      <w:r w:rsidR="00D91C3D">
        <w:rPr>
          <w:rFonts w:hint="eastAsia"/>
        </w:rPr>
        <w:t>上</w:t>
      </w:r>
      <w:r>
        <w:rPr>
          <w:rFonts w:hint="eastAsia"/>
        </w:rPr>
        <w:t>周市场</w:t>
      </w:r>
      <w:r w:rsidR="006B5779">
        <w:rPr>
          <w:rFonts w:hint="eastAsia"/>
          <w:lang w:eastAsia="zh-Hans"/>
        </w:rPr>
        <w:t>波动</w:t>
      </w:r>
      <w:proofErr w:type="gramStart"/>
      <w:r w:rsidR="006B5779">
        <w:rPr>
          <w:rFonts w:hint="eastAsia"/>
          <w:lang w:eastAsia="zh-Hans"/>
        </w:rPr>
        <w:t>率</w:t>
      </w:r>
      <w:r w:rsidR="006B5779">
        <w:rPr>
          <w:rFonts w:hint="eastAsia"/>
        </w:rPr>
        <w:t>重新</w:t>
      </w:r>
      <w:proofErr w:type="gramEnd"/>
      <w:r w:rsidR="006B5779">
        <w:rPr>
          <w:rFonts w:hint="eastAsia"/>
        </w:rPr>
        <w:t>回到跌势状态</w:t>
      </w:r>
      <w:r>
        <w:rPr>
          <w:lang w:eastAsia="zh-Hans"/>
        </w:rPr>
        <w:t>，</w:t>
      </w:r>
      <w:r>
        <w:rPr>
          <w:rFonts w:hint="eastAsia"/>
          <w:lang w:eastAsia="zh-Hans"/>
        </w:rPr>
        <w:t>相比之下外盘市场震荡比较大</w:t>
      </w:r>
      <w:r>
        <w:rPr>
          <w:lang w:eastAsia="zh-Hans"/>
        </w:rPr>
        <w:t>，</w:t>
      </w:r>
      <w:r>
        <w:rPr>
          <w:rFonts w:hint="eastAsia"/>
          <w:lang w:eastAsia="zh-Hans"/>
        </w:rPr>
        <w:t>CBOE的VIX拉升较大</w:t>
      </w:r>
      <w:r>
        <w:rPr>
          <w:lang w:eastAsia="zh-Hans"/>
        </w:rPr>
        <w:t>，</w:t>
      </w:r>
      <w:r>
        <w:rPr>
          <w:rFonts w:hint="eastAsia"/>
          <w:lang w:eastAsia="zh-Hans"/>
        </w:rPr>
        <w:t>周四一度上涨到</w:t>
      </w:r>
      <w:r>
        <w:rPr>
          <w:lang w:eastAsia="zh-Hans"/>
        </w:rPr>
        <w:t>28%（</w:t>
      </w:r>
      <w:r>
        <w:rPr>
          <w:rFonts w:hint="eastAsia"/>
          <w:lang w:eastAsia="zh-Hans"/>
        </w:rPr>
        <w:t>前低在</w:t>
      </w:r>
      <w:r>
        <w:rPr>
          <w:lang w:eastAsia="zh-Hans"/>
        </w:rPr>
        <w:t>15%</w:t>
      </w:r>
      <w:r>
        <w:rPr>
          <w:rFonts w:hint="eastAsia"/>
          <w:lang w:eastAsia="zh-Hans"/>
        </w:rPr>
        <w:t>左右</w:t>
      </w:r>
      <w:r>
        <w:rPr>
          <w:lang w:eastAsia="zh-Hans"/>
        </w:rPr>
        <w:t>）。</w:t>
      </w:r>
      <w:r>
        <w:rPr>
          <w:rFonts w:hint="eastAsia"/>
          <w:lang w:eastAsia="zh-Hans"/>
        </w:rPr>
        <w:t>A</w:t>
      </w:r>
      <w:r w:rsidR="006B5779">
        <w:rPr>
          <w:rFonts w:hint="eastAsia"/>
          <w:lang w:eastAsia="zh-Hans"/>
        </w:rPr>
        <w:t>股市场</w:t>
      </w:r>
      <w:r w:rsidR="00912DA0">
        <w:rPr>
          <w:rFonts w:hint="eastAsia"/>
        </w:rPr>
        <w:t>5月14日</w:t>
      </w:r>
      <w:r w:rsidR="006B5779">
        <w:rPr>
          <w:rFonts w:hint="eastAsia"/>
          <w:lang w:eastAsia="zh-Hans"/>
        </w:rPr>
        <w:t>大幅度拉升</w:t>
      </w:r>
      <w:r w:rsidR="006B5779">
        <w:rPr>
          <w:rFonts w:hint="eastAsia"/>
        </w:rPr>
        <w:t>后情绪得到明显缓解</w:t>
      </w:r>
      <w:r>
        <w:rPr>
          <w:lang w:eastAsia="zh-Hans"/>
        </w:rPr>
        <w:t>，</w:t>
      </w:r>
      <w:r>
        <w:rPr>
          <w:rFonts w:hint="eastAsia"/>
          <w:lang w:eastAsia="zh-Hans"/>
        </w:rPr>
        <w:t>沪深</w:t>
      </w:r>
      <w:r>
        <w:rPr>
          <w:lang w:eastAsia="zh-Hans"/>
        </w:rPr>
        <w:t>300</w:t>
      </w:r>
      <w:r>
        <w:rPr>
          <w:rFonts w:hint="eastAsia"/>
          <w:lang w:eastAsia="zh-Hans"/>
        </w:rPr>
        <w:t>期权波动率</w:t>
      </w:r>
      <w:r w:rsidR="006B5779">
        <w:rPr>
          <w:rFonts w:hint="eastAsia"/>
        </w:rPr>
        <w:t>进入下降趋势</w:t>
      </w:r>
      <w:r>
        <w:rPr>
          <w:rFonts w:hint="eastAsia"/>
        </w:rPr>
        <w:t>（图3）。</w:t>
      </w:r>
    </w:p>
    <w:p w:rsidR="00D91C3D" w:rsidRDefault="00D91C3D">
      <w:pPr>
        <w:ind w:firstLineChars="200" w:firstLine="480"/>
        <w:rPr>
          <w:rFonts w:hint="eastAsia"/>
        </w:rPr>
      </w:pPr>
    </w:p>
    <w:p w:rsidR="00D91C3D" w:rsidRDefault="00D91C3D" w:rsidP="00D91C3D">
      <w:pPr>
        <w:jc w:val="center"/>
      </w:pPr>
      <w:r>
        <w:rPr>
          <w:rFonts w:hint="eastAsia"/>
        </w:rPr>
        <w:t xml:space="preserve">图 3 </w:t>
      </w:r>
      <w:r>
        <w:rPr>
          <w:rFonts w:hint="eastAsia"/>
        </w:rPr>
        <w:t>：</w:t>
      </w:r>
      <w:r>
        <w:rPr>
          <w:rFonts w:hint="eastAsia"/>
        </w:rPr>
        <w:t>波动率指数</w:t>
      </w:r>
    </w:p>
    <w:p w:rsidR="00D41756" w:rsidRDefault="00774EDB">
      <w:pPr>
        <w:rPr>
          <w:rFonts w:hint="eastAsia"/>
        </w:rPr>
      </w:pPr>
      <w:r>
        <w:rPr>
          <w:noProof/>
        </w:rPr>
        <w:drawing>
          <wp:inline distT="0" distB="0" distL="0" distR="0" wp14:anchorId="14484181" wp14:editId="66430EBA">
            <wp:extent cx="5274310" cy="3403273"/>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3403273"/>
                    </a:xfrm>
                    <a:prstGeom prst="rect">
                      <a:avLst/>
                    </a:prstGeom>
                  </pic:spPr>
                </pic:pic>
              </a:graphicData>
            </a:graphic>
          </wp:inline>
        </w:drawing>
      </w:r>
    </w:p>
    <w:p w:rsidR="00741D03" w:rsidRDefault="00741D03" w:rsidP="00741D03">
      <w:r>
        <w:rPr>
          <w:rFonts w:hint="eastAsia"/>
        </w:rPr>
        <w:t>数据来源：富荣基金</w:t>
      </w:r>
    </w:p>
    <w:p w:rsidR="00D91C3D" w:rsidRDefault="00D91C3D" w:rsidP="00D91C3D">
      <w:pPr>
        <w:pStyle w:val="Body-text"/>
        <w:ind w:firstLineChars="200" w:firstLine="400"/>
        <w:rPr>
          <w:rFonts w:ascii="微软雅黑" w:eastAsia="微软雅黑" w:hAnsi="微软雅黑" w:hint="eastAsia"/>
          <w:color w:val="474747"/>
          <w:shd w:val="clear" w:color="auto" w:fill="FFFFFF"/>
          <w:lang w:eastAsia="zh-CN"/>
        </w:rPr>
      </w:pPr>
      <w:bookmarkStart w:id="0" w:name="_GoBack"/>
      <w:bookmarkEnd w:id="0"/>
    </w:p>
    <w:p w:rsidR="00D91C3D" w:rsidRDefault="00D91C3D" w:rsidP="00D91C3D">
      <w:pPr>
        <w:pStyle w:val="Body-text"/>
        <w:ind w:firstLineChars="200" w:firstLine="400"/>
        <w:rPr>
          <w:rFonts w:ascii="微软雅黑" w:eastAsia="微软雅黑" w:hAnsi="微软雅黑" w:hint="eastAsia"/>
          <w:color w:val="474747"/>
          <w:shd w:val="clear" w:color="auto" w:fill="FFFFFF"/>
          <w:lang w:eastAsia="zh-CN"/>
        </w:rPr>
      </w:pPr>
    </w:p>
    <w:p w:rsidR="00D91C3D" w:rsidRDefault="00D91C3D" w:rsidP="00D91C3D">
      <w:pPr>
        <w:pStyle w:val="Body-text"/>
        <w:ind w:firstLineChars="200" w:firstLine="400"/>
        <w:rPr>
          <w:rFonts w:ascii="微软雅黑" w:eastAsia="微软雅黑" w:hAnsi="微软雅黑" w:hint="eastAsia"/>
          <w:color w:val="474747"/>
          <w:shd w:val="clear" w:color="auto" w:fill="FFFFFF"/>
          <w:lang w:eastAsia="zh-CN"/>
        </w:rPr>
      </w:pPr>
    </w:p>
    <w:p w:rsidR="00D91C3D" w:rsidRPr="001A1299" w:rsidRDefault="00D91C3D" w:rsidP="00D91C3D">
      <w:pPr>
        <w:pStyle w:val="Body-text"/>
        <w:ind w:firstLineChars="200" w:firstLine="400"/>
        <w:rPr>
          <w:rFonts w:ascii="华文楷体" w:hAnsi="华文楷体"/>
          <w:sz w:val="24"/>
          <w:szCs w:val="24"/>
          <w:lang w:eastAsia="zh-CN"/>
        </w:rPr>
      </w:pPr>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p w:rsidR="00D91C3D" w:rsidRDefault="00D91C3D"/>
    <w:p w:rsidR="00D41756" w:rsidRDefault="00D41756">
      <w:pPr>
        <w:jc w:val="center"/>
      </w:pPr>
    </w:p>
    <w:sectPr w:rsidR="00D417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6725" w:rsidRDefault="00BB6725" w:rsidP="00310508">
      <w:pPr>
        <w:spacing w:line="240" w:lineRule="auto"/>
      </w:pPr>
      <w:r>
        <w:separator/>
      </w:r>
    </w:p>
  </w:endnote>
  <w:endnote w:type="continuationSeparator" w:id="0">
    <w:p w:rsidR="00BB6725" w:rsidRDefault="00BB6725" w:rsidP="0031050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6725" w:rsidRDefault="00BB6725" w:rsidP="00310508">
      <w:pPr>
        <w:spacing w:line="240" w:lineRule="auto"/>
      </w:pPr>
      <w:r>
        <w:separator/>
      </w:r>
    </w:p>
  </w:footnote>
  <w:footnote w:type="continuationSeparator" w:id="0">
    <w:p w:rsidR="00BB6725" w:rsidRDefault="00BB6725" w:rsidP="00310508">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23027"/>
    <w:rsid w:val="00035595"/>
    <w:rsid w:val="00070AA2"/>
    <w:rsid w:val="00074AEA"/>
    <w:rsid w:val="00160B42"/>
    <w:rsid w:val="00161CBB"/>
    <w:rsid w:val="0018534E"/>
    <w:rsid w:val="001867FC"/>
    <w:rsid w:val="001D19B6"/>
    <w:rsid w:val="001D6061"/>
    <w:rsid w:val="0020342A"/>
    <w:rsid w:val="002062DE"/>
    <w:rsid w:val="002129BA"/>
    <w:rsid w:val="002416ED"/>
    <w:rsid w:val="002563D9"/>
    <w:rsid w:val="002A093A"/>
    <w:rsid w:val="002B15CF"/>
    <w:rsid w:val="002C4C07"/>
    <w:rsid w:val="002C7EF7"/>
    <w:rsid w:val="002E0653"/>
    <w:rsid w:val="002E17CD"/>
    <w:rsid w:val="00310508"/>
    <w:rsid w:val="00374124"/>
    <w:rsid w:val="00386DFB"/>
    <w:rsid w:val="003B1CAC"/>
    <w:rsid w:val="003D637F"/>
    <w:rsid w:val="003F6050"/>
    <w:rsid w:val="004157F5"/>
    <w:rsid w:val="00444648"/>
    <w:rsid w:val="00454A3A"/>
    <w:rsid w:val="004A5394"/>
    <w:rsid w:val="004E3614"/>
    <w:rsid w:val="004E52FE"/>
    <w:rsid w:val="00525A53"/>
    <w:rsid w:val="00531B02"/>
    <w:rsid w:val="005335CD"/>
    <w:rsid w:val="005A2D48"/>
    <w:rsid w:val="005C4905"/>
    <w:rsid w:val="005C760F"/>
    <w:rsid w:val="006965D2"/>
    <w:rsid w:val="006B1D85"/>
    <w:rsid w:val="006B5779"/>
    <w:rsid w:val="006C3F5E"/>
    <w:rsid w:val="006C7CF6"/>
    <w:rsid w:val="006E639C"/>
    <w:rsid w:val="0073379B"/>
    <w:rsid w:val="00741D03"/>
    <w:rsid w:val="00747B9D"/>
    <w:rsid w:val="007528BE"/>
    <w:rsid w:val="00756EC7"/>
    <w:rsid w:val="00774EDB"/>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C6502"/>
    <w:rsid w:val="008D03D4"/>
    <w:rsid w:val="008F60FD"/>
    <w:rsid w:val="00907C93"/>
    <w:rsid w:val="00912DA0"/>
    <w:rsid w:val="00934B51"/>
    <w:rsid w:val="00981BC3"/>
    <w:rsid w:val="00987C63"/>
    <w:rsid w:val="009953B9"/>
    <w:rsid w:val="009A6EBC"/>
    <w:rsid w:val="009D02A8"/>
    <w:rsid w:val="00A07990"/>
    <w:rsid w:val="00A419CD"/>
    <w:rsid w:val="00A47AFD"/>
    <w:rsid w:val="00A51293"/>
    <w:rsid w:val="00A61347"/>
    <w:rsid w:val="00A842A3"/>
    <w:rsid w:val="00A90927"/>
    <w:rsid w:val="00AD037A"/>
    <w:rsid w:val="00B14C31"/>
    <w:rsid w:val="00B5310C"/>
    <w:rsid w:val="00B82632"/>
    <w:rsid w:val="00B87681"/>
    <w:rsid w:val="00B91093"/>
    <w:rsid w:val="00BA3587"/>
    <w:rsid w:val="00BA72C2"/>
    <w:rsid w:val="00BB6725"/>
    <w:rsid w:val="00BC61FC"/>
    <w:rsid w:val="00BD6BA1"/>
    <w:rsid w:val="00C24E54"/>
    <w:rsid w:val="00C53CF8"/>
    <w:rsid w:val="00C85EA9"/>
    <w:rsid w:val="00CA38CF"/>
    <w:rsid w:val="00CD5494"/>
    <w:rsid w:val="00CD673E"/>
    <w:rsid w:val="00D055BF"/>
    <w:rsid w:val="00D058C0"/>
    <w:rsid w:val="00D41756"/>
    <w:rsid w:val="00D46833"/>
    <w:rsid w:val="00D91C3D"/>
    <w:rsid w:val="00DD21CB"/>
    <w:rsid w:val="00DD26E5"/>
    <w:rsid w:val="00DD2E6A"/>
    <w:rsid w:val="00DD6213"/>
    <w:rsid w:val="00DF6F9A"/>
    <w:rsid w:val="00E23413"/>
    <w:rsid w:val="00E619FD"/>
    <w:rsid w:val="00E86C8A"/>
    <w:rsid w:val="00E87750"/>
    <w:rsid w:val="00E94CFB"/>
    <w:rsid w:val="00EA7100"/>
    <w:rsid w:val="00EB7D3C"/>
    <w:rsid w:val="00EF2A7A"/>
    <w:rsid w:val="00EF75F8"/>
    <w:rsid w:val="00F1138A"/>
    <w:rsid w:val="00F13186"/>
    <w:rsid w:val="00F64709"/>
    <w:rsid w:val="00FA2748"/>
    <w:rsid w:val="00FB18F7"/>
    <w:rsid w:val="00FC0454"/>
    <w:rsid w:val="00FC5D34"/>
    <w:rsid w:val="00FD6898"/>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 w:type="paragraph" w:customStyle="1" w:styleId="Body-text">
    <w:name w:val="Body-text"/>
    <w:basedOn w:val="a"/>
    <w:link w:val="Body-textChar"/>
    <w:qFormat/>
    <w:rsid w:val="00D91C3D"/>
    <w:pPr>
      <w:adjustRightInd w:val="0"/>
      <w:snapToGrid w:val="0"/>
      <w:spacing w:after="120" w:line="240" w:lineRule="auto"/>
    </w:pPr>
    <w:rPr>
      <w:rFonts w:ascii="Arial Narrow" w:eastAsia="华文楷体" w:hAnsi="Arial Narrow" w:cs="Times New Roman"/>
      <w:kern w:val="0"/>
      <w:sz w:val="20"/>
      <w:szCs w:val="20"/>
      <w:lang w:eastAsia="zh-TW"/>
    </w:rPr>
  </w:style>
  <w:style w:type="character" w:customStyle="1" w:styleId="Body-textChar">
    <w:name w:val="Body-text Char"/>
    <w:link w:val="Body-text"/>
    <w:qFormat/>
    <w:rsid w:val="00D91C3D"/>
    <w:rPr>
      <w:rFonts w:ascii="Arial Narrow" w:eastAsia="华文楷体" w:hAnsi="Arial Narrow" w:cs="Times New Roman"/>
      <w:lang w:eastAsia="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 w:type="paragraph" w:customStyle="1" w:styleId="Body-text">
    <w:name w:val="Body-text"/>
    <w:basedOn w:val="a"/>
    <w:link w:val="Body-textChar"/>
    <w:qFormat/>
    <w:rsid w:val="00D91C3D"/>
    <w:pPr>
      <w:adjustRightInd w:val="0"/>
      <w:snapToGrid w:val="0"/>
      <w:spacing w:after="120" w:line="240" w:lineRule="auto"/>
    </w:pPr>
    <w:rPr>
      <w:rFonts w:ascii="Arial Narrow" w:eastAsia="华文楷体" w:hAnsi="Arial Narrow" w:cs="Times New Roman"/>
      <w:kern w:val="0"/>
      <w:sz w:val="20"/>
      <w:szCs w:val="20"/>
      <w:lang w:eastAsia="zh-TW"/>
    </w:rPr>
  </w:style>
  <w:style w:type="character" w:customStyle="1" w:styleId="Body-textChar">
    <w:name w:val="Body-text Char"/>
    <w:link w:val="Body-text"/>
    <w:qFormat/>
    <w:rsid w:val="00D91C3D"/>
    <w:rPr>
      <w:rFonts w:ascii="Arial Narrow" w:eastAsia="华文楷体" w:hAnsi="Arial Narrow" w:cs="Times New Roman"/>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116</Words>
  <Characters>663</Characters>
  <Application>Microsoft Office Word</Application>
  <DocSecurity>0</DocSecurity>
  <Lines>5</Lines>
  <Paragraphs>1</Paragraphs>
  <ScaleCrop>false</ScaleCrop>
  <Company>微软中国</Company>
  <LinksUpToDate>false</LinksUpToDate>
  <CharactersWithSpaces>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6</cp:revision>
  <dcterms:created xsi:type="dcterms:W3CDTF">2021-05-24T02:24:00Z</dcterms:created>
  <dcterms:modified xsi:type="dcterms:W3CDTF">2021-05-24T07:30:00Z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2052-3.6.0.5672</vt:lpwstr>
  </property>
</Properties>
</file>