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154672C9"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D51BF0">
        <w:rPr>
          <w:rFonts w:ascii="楷体" w:eastAsia="楷体" w:hAnsi="楷体" w:hint="eastAsia"/>
          <w:sz w:val="28"/>
          <w:szCs w:val="28"/>
        </w:rPr>
        <w:t>月末扰动资金收紧</w:t>
      </w:r>
      <w:r w:rsidR="00CD02EA">
        <w:rPr>
          <w:rFonts w:ascii="楷体" w:eastAsia="楷体" w:hAnsi="楷体" w:hint="eastAsia"/>
          <w:sz w:val="28"/>
          <w:szCs w:val="28"/>
        </w:rPr>
        <w:t>，</w:t>
      </w:r>
      <w:r w:rsidR="00D17748">
        <w:rPr>
          <w:rFonts w:ascii="楷体" w:eastAsia="楷体" w:hAnsi="楷体" w:hint="eastAsia"/>
          <w:sz w:val="28"/>
          <w:szCs w:val="28"/>
        </w:rPr>
        <w:t>关注债券绝对收益配置机会</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000F4304" w:rsidR="00695DD9" w:rsidRPr="00DF6DF8" w:rsidRDefault="00DA1B15" w:rsidP="00695DD9">
      <w:pPr>
        <w:pStyle w:val="Header1"/>
        <w:spacing w:before="240"/>
        <w:ind w:firstLine="480"/>
        <w:rPr>
          <w:rFonts w:ascii="华文楷体" w:hAnsi="华文楷体"/>
          <w:b w:val="0"/>
          <w:color w:val="auto"/>
          <w:sz w:val="24"/>
          <w:szCs w:val="24"/>
        </w:rPr>
      </w:pPr>
      <w:r w:rsidRPr="00DA1B15">
        <w:rPr>
          <w:rFonts w:ascii="华文楷体" w:hAnsi="华文楷体" w:hint="eastAsia"/>
          <w:b w:val="0"/>
          <w:color w:val="auto"/>
          <w:sz w:val="24"/>
          <w:szCs w:val="24"/>
        </w:rPr>
        <w:t>统计局公布数据显示，</w:t>
      </w:r>
      <w:r w:rsidR="00027744" w:rsidRPr="00027744">
        <w:rPr>
          <w:rFonts w:ascii="华文楷体" w:hAnsi="华文楷体" w:hint="eastAsia"/>
          <w:b w:val="0"/>
          <w:color w:val="auto"/>
          <w:sz w:val="24"/>
          <w:szCs w:val="24"/>
        </w:rPr>
        <w:t>2021年5月27日，国家统计局公布2021年1-4月全国规模以上工业企业利润数据。1-4月份，全国规模以上工业企业实现利润25943.5亿元，同比增长1.06倍；与2019年同期相比，利润增长49.6%，两年平均增长22.3%。</w:t>
      </w:r>
    </w:p>
    <w:p w14:paraId="090EC56C" w14:textId="514F8E7E" w:rsidR="0090508B" w:rsidRDefault="00027744" w:rsidP="002D0C96">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按照</w:t>
      </w:r>
      <w:r w:rsidRPr="00027744">
        <w:rPr>
          <w:rFonts w:ascii="华文楷体" w:hAnsi="华文楷体" w:hint="eastAsia"/>
          <w:b w:val="0"/>
          <w:color w:val="auto"/>
          <w:sz w:val="24"/>
          <w:szCs w:val="24"/>
        </w:rPr>
        <w:t>所有制类型来看，1-4月国有企业利润高位回落，其他所有制类型企业利润增速均继续回调</w:t>
      </w:r>
      <w:r>
        <w:rPr>
          <w:rFonts w:ascii="华文楷体" w:hAnsi="华文楷体" w:hint="eastAsia"/>
          <w:b w:val="0"/>
          <w:color w:val="auto"/>
          <w:sz w:val="24"/>
          <w:szCs w:val="24"/>
        </w:rPr>
        <w:t>。</w:t>
      </w:r>
      <w:r w:rsidRPr="00027744">
        <w:rPr>
          <w:rFonts w:ascii="华文楷体" w:hAnsi="华文楷体" w:hint="eastAsia"/>
          <w:b w:val="0"/>
          <w:color w:val="auto"/>
          <w:sz w:val="24"/>
          <w:szCs w:val="24"/>
        </w:rPr>
        <w:t>1-4月外资及港澳台资利润同比增长106.6%</w:t>
      </w:r>
      <w:r>
        <w:rPr>
          <w:rFonts w:ascii="华文楷体" w:hAnsi="华文楷体" w:hint="eastAsia"/>
          <w:b w:val="0"/>
          <w:color w:val="auto"/>
          <w:sz w:val="24"/>
          <w:szCs w:val="24"/>
        </w:rPr>
        <w:t>，</w:t>
      </w:r>
      <w:r w:rsidRPr="00027744">
        <w:rPr>
          <w:rFonts w:ascii="华文楷体" w:hAnsi="华文楷体" w:hint="eastAsia"/>
          <w:b w:val="0"/>
          <w:color w:val="auto"/>
          <w:sz w:val="24"/>
          <w:szCs w:val="24"/>
        </w:rPr>
        <w:t>前值160.9%；私营企业和股份制企业同比增长分别为69.2%</w:t>
      </w:r>
      <w:r w:rsidR="00586456" w:rsidRPr="00027744">
        <w:rPr>
          <w:rFonts w:ascii="华文楷体" w:hAnsi="华文楷体" w:hint="eastAsia"/>
          <w:b w:val="0"/>
          <w:color w:val="auto"/>
          <w:sz w:val="24"/>
          <w:szCs w:val="24"/>
        </w:rPr>
        <w:t>和107.7%</w:t>
      </w:r>
      <w:r>
        <w:rPr>
          <w:rFonts w:ascii="华文楷体" w:hAnsi="华文楷体" w:hint="eastAsia"/>
          <w:b w:val="0"/>
          <w:color w:val="auto"/>
          <w:sz w:val="24"/>
          <w:szCs w:val="24"/>
        </w:rPr>
        <w:t>，</w:t>
      </w:r>
      <w:r w:rsidRPr="00027744">
        <w:rPr>
          <w:rFonts w:ascii="华文楷体" w:hAnsi="华文楷体" w:hint="eastAsia"/>
          <w:b w:val="0"/>
          <w:color w:val="auto"/>
          <w:sz w:val="24"/>
          <w:szCs w:val="24"/>
        </w:rPr>
        <w:t>前值</w:t>
      </w:r>
      <w:r w:rsidR="00586456">
        <w:rPr>
          <w:rFonts w:ascii="华文楷体" w:hAnsi="华文楷体" w:hint="eastAsia"/>
          <w:b w:val="0"/>
          <w:color w:val="auto"/>
          <w:sz w:val="24"/>
          <w:szCs w:val="24"/>
        </w:rPr>
        <w:t>分别为</w:t>
      </w:r>
      <w:r w:rsidRPr="00027744">
        <w:rPr>
          <w:rFonts w:ascii="华文楷体" w:hAnsi="华文楷体" w:hint="eastAsia"/>
          <w:b w:val="0"/>
          <w:color w:val="auto"/>
          <w:sz w:val="24"/>
          <w:szCs w:val="24"/>
        </w:rPr>
        <w:t>91.9%</w:t>
      </w:r>
      <w:r w:rsidR="00586456">
        <w:rPr>
          <w:rFonts w:ascii="华文楷体" w:hAnsi="华文楷体" w:hint="eastAsia"/>
          <w:b w:val="0"/>
          <w:color w:val="auto"/>
          <w:sz w:val="24"/>
          <w:szCs w:val="24"/>
        </w:rPr>
        <w:t>、</w:t>
      </w:r>
      <w:r w:rsidRPr="00027744">
        <w:rPr>
          <w:rFonts w:ascii="华文楷体" w:hAnsi="华文楷体" w:hint="eastAsia"/>
          <w:b w:val="0"/>
          <w:color w:val="auto"/>
          <w:sz w:val="24"/>
          <w:szCs w:val="24"/>
        </w:rPr>
        <w:t>129.2%，国有企业利润累计同比增长186.8%</w:t>
      </w:r>
      <w:r>
        <w:rPr>
          <w:rFonts w:ascii="华文楷体" w:hAnsi="华文楷体" w:hint="eastAsia"/>
          <w:b w:val="0"/>
          <w:color w:val="auto"/>
          <w:sz w:val="24"/>
          <w:szCs w:val="24"/>
        </w:rPr>
        <w:t>，</w:t>
      </w:r>
      <w:r w:rsidRPr="00027744">
        <w:rPr>
          <w:rFonts w:ascii="华文楷体" w:hAnsi="华文楷体" w:hint="eastAsia"/>
          <w:b w:val="0"/>
          <w:color w:val="auto"/>
          <w:sz w:val="24"/>
          <w:szCs w:val="24"/>
        </w:rPr>
        <w:t>前值199.4%。</w:t>
      </w:r>
    </w:p>
    <w:p w14:paraId="3D48969D" w14:textId="741A6491" w:rsidR="00551C03" w:rsidRDefault="00027744" w:rsidP="00551C03">
      <w:pPr>
        <w:pStyle w:val="Header1"/>
        <w:spacing w:before="240"/>
        <w:ind w:firstLine="480"/>
        <w:rPr>
          <w:rFonts w:ascii="华文楷体" w:hAnsi="华文楷体"/>
          <w:b w:val="0"/>
          <w:color w:val="auto"/>
          <w:sz w:val="24"/>
          <w:szCs w:val="24"/>
        </w:rPr>
      </w:pPr>
      <w:r w:rsidRPr="00027744">
        <w:rPr>
          <w:rFonts w:ascii="华文楷体" w:hAnsi="华文楷体" w:hint="eastAsia"/>
          <w:b w:val="0"/>
          <w:color w:val="auto"/>
          <w:sz w:val="24"/>
          <w:szCs w:val="24"/>
        </w:rPr>
        <w:t>分行业来看，各行业利润普涨，41个工业大类行业利润同比均增加，10个行业利润翻倍。黑色金属冶炼加工、有色金属冶炼加工、石油和天然气开采等原材料制造业表现突出，累计同比增速持续上升：黑色金属冶炼加工、有色金属冶炼加工增速均超过400%，石油和天然气开采增速超过</w:t>
      </w:r>
      <w:r>
        <w:rPr>
          <w:rFonts w:ascii="华文楷体" w:hAnsi="华文楷体" w:hint="eastAsia"/>
          <w:b w:val="0"/>
          <w:color w:val="auto"/>
          <w:sz w:val="24"/>
          <w:szCs w:val="24"/>
        </w:rPr>
        <w:t>100%</w:t>
      </w:r>
      <w:r w:rsidRPr="00027744">
        <w:rPr>
          <w:rFonts w:ascii="华文楷体" w:hAnsi="华文楷体" w:hint="eastAsia"/>
          <w:b w:val="0"/>
          <w:color w:val="auto"/>
          <w:sz w:val="24"/>
          <w:szCs w:val="24"/>
        </w:rPr>
        <w:t>；中游制造端利润增速回调显著，汽车制造业、通用设备制造业、专用设备制造业、电气机械及器材制造业等增速分别为157.5%</w:t>
      </w:r>
      <w:r>
        <w:rPr>
          <w:rFonts w:ascii="华文楷体" w:hAnsi="华文楷体" w:hint="eastAsia"/>
          <w:b w:val="0"/>
          <w:color w:val="auto"/>
          <w:sz w:val="24"/>
          <w:szCs w:val="24"/>
        </w:rPr>
        <w:t>、</w:t>
      </w:r>
      <w:r w:rsidRPr="00027744">
        <w:rPr>
          <w:rFonts w:ascii="华文楷体" w:hAnsi="华文楷体" w:hint="eastAsia"/>
          <w:b w:val="0"/>
          <w:color w:val="auto"/>
          <w:sz w:val="24"/>
          <w:szCs w:val="24"/>
        </w:rPr>
        <w:t>67.7%、77.7%和166.7%；受防疫物资影响，医药制造和化学纤维制造业增速维持相对平稳，分别为80.2%和650.2%</w:t>
      </w:r>
      <w:r w:rsidR="00ED2816" w:rsidRPr="00ED2816">
        <w:rPr>
          <w:rFonts w:ascii="华文楷体" w:hAnsi="华文楷体" w:hint="eastAsia"/>
          <w:b w:val="0"/>
          <w:color w:val="auto"/>
          <w:sz w:val="24"/>
          <w:szCs w:val="24"/>
        </w:rPr>
        <w:t>。</w:t>
      </w:r>
    </w:p>
    <w:p w14:paraId="6D307476" w14:textId="1E6C49C0" w:rsidR="00551C03" w:rsidRDefault="00027744" w:rsidP="00551C03">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整体看，</w:t>
      </w:r>
      <w:r w:rsidRPr="00027744">
        <w:rPr>
          <w:rFonts w:ascii="华文楷体" w:hAnsi="华文楷体" w:hint="eastAsia"/>
          <w:b w:val="0"/>
          <w:color w:val="auto"/>
          <w:sz w:val="24"/>
          <w:szCs w:val="24"/>
        </w:rPr>
        <w:t>上游采矿业和原材料制造业是对整体利润拉动最强的板块，工业原材料和中游产品价格的整体上涨和市场需求</w:t>
      </w:r>
      <w:r w:rsidR="00F34CA2">
        <w:rPr>
          <w:rFonts w:ascii="华文楷体" w:hAnsi="华文楷体" w:hint="eastAsia"/>
          <w:b w:val="0"/>
          <w:color w:val="auto"/>
          <w:sz w:val="24"/>
          <w:szCs w:val="24"/>
        </w:rPr>
        <w:t>是</w:t>
      </w:r>
      <w:r w:rsidRPr="00027744">
        <w:rPr>
          <w:rFonts w:ascii="华文楷体" w:hAnsi="华文楷体" w:hint="eastAsia"/>
          <w:b w:val="0"/>
          <w:color w:val="auto"/>
          <w:sz w:val="24"/>
          <w:szCs w:val="24"/>
        </w:rPr>
        <w:t>改善</w:t>
      </w:r>
      <w:r w:rsidR="00F34CA2">
        <w:rPr>
          <w:rFonts w:ascii="华文楷体" w:hAnsi="华文楷体" w:hint="eastAsia"/>
          <w:b w:val="0"/>
          <w:color w:val="auto"/>
          <w:sz w:val="24"/>
          <w:szCs w:val="24"/>
        </w:rPr>
        <w:t>的</w:t>
      </w:r>
      <w:r>
        <w:rPr>
          <w:rFonts w:ascii="华文楷体" w:hAnsi="华文楷体" w:hint="eastAsia"/>
          <w:b w:val="0"/>
          <w:color w:val="auto"/>
          <w:sz w:val="24"/>
          <w:szCs w:val="24"/>
        </w:rPr>
        <w:t>核心动力</w:t>
      </w:r>
      <w:r w:rsidRPr="00027744">
        <w:rPr>
          <w:rFonts w:ascii="华文楷体" w:hAnsi="华文楷体" w:hint="eastAsia"/>
          <w:b w:val="0"/>
          <w:color w:val="auto"/>
          <w:sz w:val="24"/>
          <w:szCs w:val="24"/>
        </w:rPr>
        <w:t>。装备制造业和高技术制造业利润延续了</w:t>
      </w:r>
      <w:r>
        <w:rPr>
          <w:rFonts w:ascii="华文楷体" w:hAnsi="华文楷体" w:hint="eastAsia"/>
          <w:b w:val="0"/>
          <w:color w:val="auto"/>
          <w:sz w:val="24"/>
          <w:szCs w:val="24"/>
        </w:rPr>
        <w:t>后疫情</w:t>
      </w:r>
      <w:r w:rsidRPr="00027744">
        <w:rPr>
          <w:rFonts w:ascii="华文楷体" w:hAnsi="华文楷体" w:hint="eastAsia"/>
          <w:b w:val="0"/>
          <w:color w:val="auto"/>
          <w:sz w:val="24"/>
          <w:szCs w:val="24"/>
        </w:rPr>
        <w:t>强势表现，1-4月份装备制造业、高技术制造业利润两年平均分别增长23.2%、38.9%，比规模以上工业分别高0.9和16.6个百分点。消费品制造业利润分化相对较大，医药、食品饮料、烟草、造纸等行业利润两年平均继续保持两位数增长，但纺织业、纺织服装、印刷等行业利润尚未恢复到2019年同期水平。</w:t>
      </w:r>
    </w:p>
    <w:p w14:paraId="3CBE2EE9" w14:textId="77777777" w:rsidR="00027744" w:rsidRPr="00027744" w:rsidRDefault="00027744"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市场策略方面，</w:t>
      </w:r>
      <w:r w:rsidRPr="00027744">
        <w:rPr>
          <w:rFonts w:ascii="华文楷体" w:hAnsi="华文楷体" w:hint="eastAsia"/>
          <w:b w:val="0"/>
          <w:color w:val="auto"/>
          <w:sz w:val="24"/>
          <w:szCs w:val="24"/>
        </w:rPr>
        <w:t>海外需求不弱与工业品价格上行的环境下，工业企业利润增速整体表现仍相对亮眼，两年平均同比增速仍维持20%以上的增长水平，后续或将进一步映射到制造业投资。</w:t>
      </w:r>
    </w:p>
    <w:p w14:paraId="75EDB52A" w14:textId="3B5606EB" w:rsidR="00027744" w:rsidRDefault="00027744"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当前工业企业利润分化较大，工业利润高增主要靠上游行业驱动。</w:t>
      </w:r>
      <w:r w:rsidRPr="00027744">
        <w:rPr>
          <w:rFonts w:ascii="华文楷体" w:hAnsi="华文楷体" w:hint="eastAsia"/>
          <w:b w:val="0"/>
          <w:color w:val="auto"/>
          <w:sz w:val="24"/>
          <w:szCs w:val="24"/>
        </w:rPr>
        <w:t>工业品价格快涨的环境下，下游企业成本端压力或将持续扩大</w:t>
      </w:r>
      <w:r>
        <w:rPr>
          <w:rFonts w:ascii="华文楷体" w:hAnsi="华文楷体" w:hint="eastAsia"/>
          <w:b w:val="0"/>
          <w:color w:val="auto"/>
          <w:sz w:val="24"/>
          <w:szCs w:val="24"/>
        </w:rPr>
        <w:t>，关注后续政策引导及结构性调控情况</w:t>
      </w:r>
      <w:r w:rsidRPr="00027744">
        <w:rPr>
          <w:rFonts w:ascii="华文楷体" w:hAnsi="华文楷体" w:hint="eastAsia"/>
          <w:b w:val="0"/>
          <w:color w:val="auto"/>
          <w:sz w:val="24"/>
          <w:szCs w:val="24"/>
        </w:rPr>
        <w:t>。</w:t>
      </w:r>
    </w:p>
    <w:p w14:paraId="541CEC80" w14:textId="768F643E" w:rsidR="001A56D9" w:rsidRPr="00551C03" w:rsidRDefault="00027744"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对</w:t>
      </w:r>
      <w:r w:rsidRPr="00027744">
        <w:rPr>
          <w:rFonts w:ascii="华文楷体" w:hAnsi="华文楷体" w:hint="eastAsia"/>
          <w:b w:val="0"/>
          <w:color w:val="auto"/>
          <w:sz w:val="24"/>
          <w:szCs w:val="24"/>
        </w:rPr>
        <w:t>债市而言，</w:t>
      </w:r>
      <w:r>
        <w:rPr>
          <w:rFonts w:ascii="华文楷体" w:hAnsi="华文楷体" w:hint="eastAsia"/>
          <w:b w:val="0"/>
          <w:color w:val="auto"/>
          <w:sz w:val="24"/>
          <w:szCs w:val="24"/>
        </w:rPr>
        <w:t>短期内尤其是二季度基本面对债市影响正负</w:t>
      </w:r>
      <w:proofErr w:type="gramStart"/>
      <w:r>
        <w:rPr>
          <w:rFonts w:ascii="华文楷体" w:hAnsi="华文楷体" w:hint="eastAsia"/>
          <w:b w:val="0"/>
          <w:color w:val="auto"/>
          <w:sz w:val="24"/>
          <w:szCs w:val="24"/>
        </w:rPr>
        <w:t>向影响</w:t>
      </w:r>
      <w:proofErr w:type="gramEnd"/>
      <w:r>
        <w:rPr>
          <w:rFonts w:ascii="华文楷体" w:hAnsi="华文楷体" w:hint="eastAsia"/>
          <w:b w:val="0"/>
          <w:color w:val="auto"/>
          <w:sz w:val="24"/>
          <w:szCs w:val="24"/>
        </w:rPr>
        <w:t>皆有，明显的趋势性机会还没完全显现</w:t>
      </w:r>
      <w:r w:rsidRPr="00027744">
        <w:rPr>
          <w:rFonts w:ascii="华文楷体" w:hAnsi="华文楷体" w:hint="eastAsia"/>
          <w:b w:val="0"/>
          <w:color w:val="auto"/>
          <w:sz w:val="24"/>
          <w:szCs w:val="24"/>
        </w:rPr>
        <w:t>，资金供需</w:t>
      </w:r>
      <w:r>
        <w:rPr>
          <w:rFonts w:ascii="华文楷体" w:hAnsi="华文楷体" w:hint="eastAsia"/>
          <w:b w:val="0"/>
          <w:color w:val="auto"/>
          <w:sz w:val="24"/>
          <w:szCs w:val="24"/>
        </w:rPr>
        <w:t>相对平稳央行态度延续相对中性，</w:t>
      </w:r>
      <w:r w:rsidRPr="00027744">
        <w:rPr>
          <w:rFonts w:ascii="华文楷体" w:hAnsi="华文楷体" w:hint="eastAsia"/>
          <w:b w:val="0"/>
          <w:color w:val="auto"/>
          <w:sz w:val="24"/>
          <w:szCs w:val="24"/>
        </w:rPr>
        <w:t>交易层面</w:t>
      </w:r>
      <w:r>
        <w:rPr>
          <w:rFonts w:ascii="华文楷体" w:hAnsi="华文楷体" w:hint="eastAsia"/>
          <w:b w:val="0"/>
          <w:color w:val="auto"/>
          <w:sz w:val="24"/>
          <w:szCs w:val="24"/>
        </w:rPr>
        <w:t>利差快速压缩后波动</w:t>
      </w:r>
      <w:proofErr w:type="gramStart"/>
      <w:r>
        <w:rPr>
          <w:rFonts w:ascii="华文楷体" w:hAnsi="华文楷体" w:hint="eastAsia"/>
          <w:b w:val="0"/>
          <w:color w:val="auto"/>
          <w:sz w:val="24"/>
          <w:szCs w:val="24"/>
        </w:rPr>
        <w:t>率面临</w:t>
      </w:r>
      <w:proofErr w:type="gramEnd"/>
      <w:r>
        <w:rPr>
          <w:rFonts w:ascii="华文楷体" w:hAnsi="华文楷体" w:hint="eastAsia"/>
          <w:b w:val="0"/>
          <w:color w:val="auto"/>
          <w:sz w:val="24"/>
          <w:szCs w:val="24"/>
        </w:rPr>
        <w:t>从低位回归</w:t>
      </w:r>
      <w:r w:rsidR="00F34CA2">
        <w:rPr>
          <w:rFonts w:ascii="华文楷体" w:hAnsi="华文楷体" w:hint="eastAsia"/>
          <w:b w:val="0"/>
          <w:color w:val="auto"/>
          <w:sz w:val="24"/>
          <w:szCs w:val="24"/>
        </w:rPr>
        <w:t>的</w:t>
      </w:r>
      <w:r>
        <w:rPr>
          <w:rFonts w:ascii="华文楷体" w:hAnsi="华文楷体" w:hint="eastAsia"/>
          <w:b w:val="0"/>
          <w:color w:val="auto"/>
          <w:sz w:val="24"/>
          <w:szCs w:val="24"/>
        </w:rPr>
        <w:t>可能</w:t>
      </w:r>
      <w:r w:rsidR="00F34CA2">
        <w:rPr>
          <w:rFonts w:ascii="华文楷体" w:hAnsi="华文楷体" w:hint="eastAsia"/>
          <w:b w:val="0"/>
          <w:color w:val="auto"/>
          <w:sz w:val="24"/>
          <w:szCs w:val="24"/>
        </w:rPr>
        <w:t>。</w:t>
      </w:r>
      <w:r>
        <w:rPr>
          <w:rFonts w:ascii="华文楷体" w:hAnsi="华文楷体" w:hint="eastAsia"/>
          <w:b w:val="0"/>
          <w:color w:val="auto"/>
          <w:sz w:val="24"/>
          <w:szCs w:val="24"/>
        </w:rPr>
        <w:t>短期内受资金扰动和季末影响，</w:t>
      </w:r>
      <w:r w:rsidRPr="00027744">
        <w:rPr>
          <w:rFonts w:ascii="华文楷体" w:hAnsi="华文楷体" w:hint="eastAsia"/>
          <w:b w:val="0"/>
          <w:color w:val="auto"/>
          <w:sz w:val="24"/>
          <w:szCs w:val="24"/>
        </w:rPr>
        <w:t>市场止</w:t>
      </w:r>
      <w:proofErr w:type="gramStart"/>
      <w:r w:rsidRPr="00027744">
        <w:rPr>
          <w:rFonts w:ascii="华文楷体" w:hAnsi="华文楷体" w:hint="eastAsia"/>
          <w:b w:val="0"/>
          <w:color w:val="auto"/>
          <w:sz w:val="24"/>
          <w:szCs w:val="24"/>
        </w:rPr>
        <w:t>盈情绪</w:t>
      </w:r>
      <w:proofErr w:type="gramEnd"/>
      <w:r>
        <w:rPr>
          <w:rFonts w:ascii="华文楷体" w:hAnsi="华文楷体" w:hint="eastAsia"/>
          <w:b w:val="0"/>
          <w:color w:val="auto"/>
          <w:sz w:val="24"/>
          <w:szCs w:val="24"/>
        </w:rPr>
        <w:t>较前期边际有所增加</w:t>
      </w:r>
      <w:r w:rsidRPr="00027744">
        <w:rPr>
          <w:rFonts w:ascii="华文楷体" w:hAnsi="华文楷体" w:hint="eastAsia"/>
          <w:b w:val="0"/>
          <w:color w:val="auto"/>
          <w:sz w:val="24"/>
          <w:szCs w:val="24"/>
        </w:rPr>
        <w:t>，</w:t>
      </w:r>
      <w:r>
        <w:rPr>
          <w:rFonts w:ascii="华文楷体" w:hAnsi="华文楷体" w:hint="eastAsia"/>
          <w:b w:val="0"/>
          <w:color w:val="auto"/>
          <w:sz w:val="24"/>
          <w:szCs w:val="24"/>
        </w:rPr>
        <w:t>但当前期限利差仍维持相对水平，并非去年绝对收益和相对收益都压缩至极致的状态，预计短期内面临一定震荡上行压力，调整过程关注绝对收益配置机会。</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60E5BF7F"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026E14">
        <w:rPr>
          <w:rFonts w:ascii="华文楷体" w:hAnsi="华文楷体" w:hint="eastAsia"/>
          <w:sz w:val="24"/>
          <w:szCs w:val="24"/>
          <w:lang w:eastAsia="zh-CN"/>
        </w:rPr>
        <w:t>回笼</w:t>
      </w:r>
      <w:r w:rsidR="00C15F3D">
        <w:rPr>
          <w:rFonts w:ascii="华文楷体" w:hAnsi="华文楷体"/>
          <w:sz w:val="24"/>
          <w:szCs w:val="24"/>
          <w:lang w:eastAsia="zh-CN"/>
        </w:rPr>
        <w:t>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515400">
        <w:rPr>
          <w:rFonts w:ascii="华文楷体" w:hAnsi="华文楷体" w:hint="eastAsia"/>
          <w:sz w:val="24"/>
          <w:szCs w:val="24"/>
          <w:lang w:eastAsia="zh-CN"/>
        </w:rPr>
        <w:t>资金面</w:t>
      </w:r>
      <w:r w:rsidR="00BB0E41">
        <w:rPr>
          <w:rFonts w:ascii="华文楷体" w:hAnsi="华文楷体" w:hint="eastAsia"/>
          <w:sz w:val="24"/>
          <w:szCs w:val="24"/>
          <w:lang w:eastAsia="zh-CN"/>
        </w:rPr>
        <w:t>受月末扰动影响，快速上行，5月超储率同比较低，央行基本持续维持0投放0回笼</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515400">
        <w:rPr>
          <w:rFonts w:ascii="华文楷体" w:hAnsi="华文楷体" w:hint="eastAsia"/>
          <w:sz w:val="24"/>
          <w:szCs w:val="24"/>
          <w:lang w:eastAsia="zh-CN"/>
        </w:rPr>
        <w:t>上</w:t>
      </w:r>
      <w:r w:rsidR="00C15F3D">
        <w:rPr>
          <w:rFonts w:ascii="华文楷体" w:hAnsi="华文楷体" w:hint="eastAsia"/>
          <w:sz w:val="24"/>
          <w:szCs w:val="24"/>
          <w:lang w:eastAsia="zh-CN"/>
        </w:rPr>
        <w:t>行</w:t>
      </w:r>
      <w:r w:rsidR="00BB0E41">
        <w:rPr>
          <w:rFonts w:ascii="华文楷体" w:hAnsi="华文楷体" w:hint="eastAsia"/>
          <w:sz w:val="24"/>
          <w:szCs w:val="24"/>
          <w:lang w:eastAsia="zh-CN"/>
        </w:rPr>
        <w:t>21</w:t>
      </w:r>
      <w:r w:rsidR="002D361C">
        <w:rPr>
          <w:rFonts w:ascii="华文楷体" w:hAnsi="华文楷体" w:hint="eastAsia"/>
          <w:sz w:val="24"/>
          <w:szCs w:val="24"/>
          <w:lang w:eastAsia="zh-CN"/>
        </w:rPr>
        <w:t>BP至</w:t>
      </w:r>
      <w:r w:rsidR="00026E14">
        <w:rPr>
          <w:rFonts w:ascii="华文楷体" w:hAnsi="华文楷体" w:hint="eastAsia"/>
          <w:sz w:val="24"/>
          <w:szCs w:val="24"/>
          <w:lang w:eastAsia="zh-CN"/>
        </w:rPr>
        <w:t>2.</w:t>
      </w:r>
      <w:r w:rsidR="00BB0E41">
        <w:rPr>
          <w:rFonts w:ascii="华文楷体" w:hAnsi="华文楷体" w:hint="eastAsia"/>
          <w:sz w:val="24"/>
          <w:szCs w:val="24"/>
          <w:lang w:eastAsia="zh-CN"/>
        </w:rPr>
        <w:t>21</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515400">
        <w:rPr>
          <w:rFonts w:ascii="华文楷体" w:hAnsi="华文楷体" w:hint="eastAsia"/>
          <w:sz w:val="24"/>
          <w:szCs w:val="24"/>
          <w:lang w:eastAsia="zh-CN"/>
        </w:rPr>
        <w:t>上行</w:t>
      </w:r>
      <w:r w:rsidR="00026E14">
        <w:rPr>
          <w:rFonts w:ascii="华文楷体" w:hAnsi="华文楷体" w:hint="eastAsia"/>
          <w:sz w:val="24"/>
          <w:szCs w:val="24"/>
          <w:lang w:eastAsia="zh-CN"/>
        </w:rPr>
        <w:t>2</w:t>
      </w:r>
      <w:r w:rsidR="00BB0E41">
        <w:rPr>
          <w:rFonts w:ascii="华文楷体" w:hAnsi="华文楷体" w:hint="eastAsia"/>
          <w:sz w:val="24"/>
          <w:szCs w:val="24"/>
          <w:lang w:eastAsia="zh-CN"/>
        </w:rPr>
        <w:t>9</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w:t>
      </w:r>
      <w:r w:rsidR="00BB0E41">
        <w:rPr>
          <w:rFonts w:ascii="华文楷体" w:hAnsi="华文楷体" w:hint="eastAsia"/>
          <w:sz w:val="24"/>
          <w:szCs w:val="24"/>
          <w:lang w:eastAsia="zh-CN"/>
        </w:rPr>
        <w:t>4</w:t>
      </w:r>
      <w:r w:rsidR="00026E14">
        <w:rPr>
          <w:rFonts w:ascii="华文楷体" w:hAnsi="华文楷体" w:hint="eastAsia"/>
          <w:sz w:val="24"/>
          <w:szCs w:val="24"/>
          <w:lang w:eastAsia="zh-CN"/>
        </w:rPr>
        <w:t>4</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026E14">
        <w:rPr>
          <w:rFonts w:ascii="华文楷体" w:hAnsi="华文楷体" w:hint="eastAsia"/>
          <w:sz w:val="24"/>
          <w:szCs w:val="24"/>
          <w:lang w:eastAsia="zh-CN"/>
        </w:rPr>
        <w:t>持续窄幅震荡</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BB0E41">
        <w:tblPrEx>
          <w:tblCellMar>
            <w:left w:w="108" w:type="dxa"/>
            <w:right w:w="108" w:type="dxa"/>
          </w:tblCellMar>
        </w:tblPrEx>
        <w:trPr>
          <w:jc w:val="center"/>
        </w:trPr>
        <w:tc>
          <w:tcPr>
            <w:tcW w:w="4939" w:type="dxa"/>
            <w:vAlign w:val="center"/>
          </w:tcPr>
          <w:p w14:paraId="60AEAEDC" w14:textId="58B91947" w:rsidR="00E0626C" w:rsidRPr="003C6AC1" w:rsidRDefault="00BB0E41" w:rsidP="009A2BA0">
            <w:pPr>
              <w:jc w:val="center"/>
              <w:rPr>
                <w:noProof/>
                <w:sz w:val="20"/>
              </w:rPr>
            </w:pPr>
            <w:r>
              <w:rPr>
                <w:noProof/>
              </w:rPr>
              <w:drawing>
                <wp:inline distT="0" distB="0" distL="0" distR="0" wp14:anchorId="500B9D32" wp14:editId="6FD135BF">
                  <wp:extent cx="2999105" cy="1757597"/>
                  <wp:effectExtent l="0" t="0" r="0" b="0"/>
                  <wp:docPr id="1" name="图表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45AA659C" w:rsidR="00E0626C" w:rsidRPr="00F62F43" w:rsidRDefault="00BB0E41" w:rsidP="009A2BA0">
            <w:pPr>
              <w:jc w:val="center"/>
              <w:rPr>
                <w:noProof/>
                <w:sz w:val="16"/>
                <w:szCs w:val="18"/>
              </w:rPr>
            </w:pPr>
            <w:r>
              <w:rPr>
                <w:noProof/>
              </w:rPr>
              <w:drawing>
                <wp:inline distT="0" distB="0" distL="0" distR="0" wp14:anchorId="3508E25F" wp14:editId="4807C936">
                  <wp:extent cx="3228230" cy="1717675"/>
                  <wp:effectExtent l="0" t="0" r="0" b="0"/>
                  <wp:docPr id="11" name="图表 1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25A7686A"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B17B47">
        <w:rPr>
          <w:rFonts w:ascii="华文楷体" w:hAnsi="华文楷体" w:hint="eastAsia"/>
          <w:sz w:val="24"/>
          <w:szCs w:val="24"/>
          <w:lang w:eastAsia="zh-CN"/>
        </w:rPr>
        <w:t>：多数</w:t>
      </w:r>
      <w:r w:rsidR="00FB0590">
        <w:rPr>
          <w:rFonts w:ascii="华文楷体" w:hAnsi="华文楷体" w:hint="eastAsia"/>
          <w:sz w:val="24"/>
          <w:szCs w:val="24"/>
          <w:lang w:eastAsia="zh-CN"/>
        </w:rPr>
        <w:t>期限品种</w:t>
      </w:r>
      <w:r w:rsidR="008C1A52">
        <w:rPr>
          <w:rFonts w:ascii="华文楷体" w:hAnsi="华文楷体" w:hint="eastAsia"/>
          <w:sz w:val="24"/>
          <w:szCs w:val="24"/>
          <w:lang w:eastAsia="zh-CN"/>
        </w:rPr>
        <w:t>受资金扰动，适度上行调整</w:t>
      </w:r>
      <w:r w:rsidR="006629A0">
        <w:rPr>
          <w:rFonts w:ascii="华文楷体" w:hAnsi="华文楷体" w:hint="eastAsia"/>
          <w:sz w:val="24"/>
          <w:szCs w:val="24"/>
          <w:lang w:eastAsia="zh-CN"/>
        </w:rPr>
        <w:t>，1Y</w:t>
      </w:r>
      <w:proofErr w:type="gramStart"/>
      <w:r w:rsidR="006629A0">
        <w:rPr>
          <w:rFonts w:ascii="华文楷体" w:hAnsi="华文楷体" w:hint="eastAsia"/>
          <w:sz w:val="24"/>
          <w:szCs w:val="24"/>
          <w:lang w:eastAsia="zh-CN"/>
        </w:rPr>
        <w:t>内品种</w:t>
      </w:r>
      <w:proofErr w:type="gramEnd"/>
      <w:r w:rsidR="006629A0">
        <w:rPr>
          <w:rFonts w:ascii="华文楷体" w:hAnsi="华文楷体" w:hint="eastAsia"/>
          <w:sz w:val="24"/>
          <w:szCs w:val="24"/>
          <w:lang w:eastAsia="zh-CN"/>
        </w:rPr>
        <w:t>表现相对突出。</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B17B47">
        <w:rPr>
          <w:rFonts w:ascii="华文楷体" w:hAnsi="华文楷体" w:hint="eastAsia"/>
          <w:sz w:val="24"/>
          <w:szCs w:val="24"/>
          <w:lang w:eastAsia="zh-CN"/>
        </w:rPr>
        <w:t>6</w:t>
      </w:r>
      <w:r w:rsidR="006629A0">
        <w:rPr>
          <w:rFonts w:ascii="华文楷体" w:hAnsi="华文楷体" w:hint="eastAsia"/>
          <w:sz w:val="24"/>
          <w:szCs w:val="24"/>
          <w:lang w:eastAsia="zh-CN"/>
        </w:rPr>
        <w:t>7</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w:t>
      </w:r>
      <w:r w:rsidR="006629A0">
        <w:rPr>
          <w:rFonts w:ascii="华文楷体" w:hAnsi="华文楷体" w:hint="eastAsia"/>
          <w:sz w:val="24"/>
          <w:szCs w:val="24"/>
          <w:lang w:eastAsia="zh-CN"/>
        </w:rPr>
        <w:t>4</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FB0590">
        <w:rPr>
          <w:rFonts w:ascii="华文楷体" w:hAnsi="华文楷体" w:hint="eastAsia"/>
          <w:sz w:val="24"/>
          <w:szCs w:val="24"/>
          <w:lang w:eastAsia="zh-CN"/>
        </w:rPr>
        <w:t>下行</w:t>
      </w:r>
      <w:r w:rsidR="00DD03B3">
        <w:rPr>
          <w:rFonts w:ascii="华文楷体" w:hAnsi="华文楷体" w:hint="eastAsia"/>
          <w:sz w:val="24"/>
          <w:szCs w:val="24"/>
          <w:lang w:eastAsia="zh-CN"/>
        </w:rPr>
        <w:t>0</w:t>
      </w:r>
      <w:r w:rsidR="00B17B47">
        <w:rPr>
          <w:rFonts w:ascii="华文楷体" w:hAnsi="华文楷体" w:hint="eastAsia"/>
          <w:sz w:val="24"/>
          <w:szCs w:val="24"/>
          <w:lang w:eastAsia="zh-CN"/>
        </w:rPr>
        <w:t>.5</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DD03B3">
        <w:rPr>
          <w:rFonts w:ascii="华文楷体" w:hAnsi="华文楷体" w:hint="eastAsia"/>
          <w:sz w:val="24"/>
          <w:szCs w:val="24"/>
          <w:lang w:eastAsia="zh-CN"/>
        </w:rPr>
        <w:t>上行</w:t>
      </w:r>
      <w:proofErr w:type="gramEnd"/>
      <w:r w:rsidR="00DD03B3">
        <w:rPr>
          <w:rFonts w:ascii="华文楷体" w:hAnsi="华文楷体" w:hint="eastAsia"/>
          <w:sz w:val="24"/>
          <w:szCs w:val="24"/>
          <w:lang w:eastAsia="zh-CN"/>
        </w:rPr>
        <w:t>1BP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1F098C">
        <w:rPr>
          <w:rFonts w:ascii="华文楷体" w:hAnsi="华文楷体" w:hint="eastAsia"/>
          <w:sz w:val="24"/>
          <w:szCs w:val="24"/>
          <w:lang w:eastAsia="zh-CN"/>
        </w:rPr>
        <w:t>4</w:t>
      </w:r>
      <w:r w:rsidR="00DD03B3">
        <w:rPr>
          <w:rFonts w:ascii="华文楷体" w:hAnsi="华文楷体" w:hint="eastAsia"/>
          <w:sz w:val="24"/>
          <w:szCs w:val="24"/>
          <w:lang w:eastAsia="zh-CN"/>
        </w:rPr>
        <w:t>1</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DD03B3">
        <w:tblPrEx>
          <w:tblCellMar>
            <w:left w:w="108" w:type="dxa"/>
            <w:right w:w="108" w:type="dxa"/>
          </w:tblCellMar>
        </w:tblPrEx>
        <w:trPr>
          <w:jc w:val="center"/>
        </w:trPr>
        <w:tc>
          <w:tcPr>
            <w:tcW w:w="4939" w:type="dxa"/>
            <w:vAlign w:val="center"/>
          </w:tcPr>
          <w:p w14:paraId="678C97B0" w14:textId="61B4BA8E" w:rsidR="00E0626C" w:rsidRPr="007E0340" w:rsidRDefault="008C1A52" w:rsidP="002104B2">
            <w:pPr>
              <w:rPr>
                <w:noProof/>
              </w:rPr>
            </w:pPr>
            <w:r>
              <w:rPr>
                <w:noProof/>
              </w:rPr>
              <w:drawing>
                <wp:inline distT="0" distB="0" distL="0" distR="0" wp14:anchorId="6D65B359" wp14:editId="6DBEFAF3">
                  <wp:extent cx="2999105" cy="1726841"/>
                  <wp:effectExtent l="0" t="0" r="0" b="6985"/>
                  <wp:docPr id="16" name="图表 1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3493C1DA" w:rsidR="00E0626C" w:rsidRPr="007E0340" w:rsidRDefault="00DD03B3" w:rsidP="009A2BA0">
            <w:pPr>
              <w:jc w:val="center"/>
              <w:rPr>
                <w:noProof/>
                <w:szCs w:val="18"/>
              </w:rPr>
            </w:pPr>
            <w:r>
              <w:rPr>
                <w:noProof/>
              </w:rPr>
              <w:drawing>
                <wp:inline distT="0" distB="0" distL="0" distR="0" wp14:anchorId="23808EA1" wp14:editId="52AE306A">
                  <wp:extent cx="2998470" cy="1769358"/>
                  <wp:effectExtent l="0" t="0" r="0" b="2540"/>
                  <wp:docPr id="17" name="图表 1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509E77A1"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254AC8" w:rsidRPr="00254AC8">
        <w:rPr>
          <w:rFonts w:ascii="华文楷体" w:hAnsi="华文楷体" w:hint="eastAsia"/>
          <w:sz w:val="24"/>
          <w:szCs w:val="24"/>
          <w:lang w:eastAsia="zh-CN"/>
        </w:rPr>
        <w:t>主要期限品种</w:t>
      </w:r>
      <w:r w:rsidR="00DD03B3">
        <w:rPr>
          <w:rFonts w:ascii="华文楷体" w:hAnsi="华文楷体" w:hint="eastAsia"/>
          <w:sz w:val="24"/>
          <w:szCs w:val="24"/>
          <w:lang w:eastAsia="zh-CN"/>
        </w:rPr>
        <w:t>多数</w:t>
      </w:r>
      <w:r w:rsidR="00254AC8" w:rsidRPr="00254AC8">
        <w:rPr>
          <w:rFonts w:ascii="华文楷体" w:hAnsi="华文楷体" w:hint="eastAsia"/>
          <w:sz w:val="24"/>
          <w:szCs w:val="24"/>
          <w:lang w:eastAsia="zh-CN"/>
        </w:rPr>
        <w:t>震荡下行。</w:t>
      </w:r>
      <w:proofErr w:type="gramStart"/>
      <w:r w:rsidR="00DD03B3" w:rsidRPr="00DD03B3">
        <w:rPr>
          <w:rFonts w:ascii="华文楷体" w:hAnsi="华文楷体" w:hint="eastAsia"/>
          <w:sz w:val="24"/>
          <w:szCs w:val="24"/>
          <w:lang w:eastAsia="zh-CN"/>
        </w:rPr>
        <w:t>城投债3年</w:t>
      </w:r>
      <w:proofErr w:type="gramEnd"/>
      <w:r w:rsidR="00DD03B3" w:rsidRPr="00DD03B3">
        <w:rPr>
          <w:rFonts w:ascii="华文楷体" w:hAnsi="华文楷体" w:hint="eastAsia"/>
          <w:sz w:val="24"/>
          <w:szCs w:val="24"/>
          <w:lang w:eastAsia="zh-CN"/>
        </w:rPr>
        <w:t>、5年品种近期表现相对较好，资金面适度收紧，信用债票息优势适度显现。</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F31B87">
        <w:rPr>
          <w:rFonts w:ascii="华文楷体" w:hAnsi="华文楷体" w:hint="eastAsia"/>
          <w:sz w:val="24"/>
          <w:szCs w:val="24"/>
          <w:lang w:eastAsia="zh-CN"/>
        </w:rPr>
        <w:t>17</w:t>
      </w:r>
      <w:r w:rsidR="00DD03B3">
        <w:rPr>
          <w:rFonts w:ascii="华文楷体" w:hAnsi="华文楷体" w:hint="eastAsia"/>
          <w:sz w:val="24"/>
          <w:szCs w:val="24"/>
          <w:lang w:eastAsia="zh-CN"/>
        </w:rPr>
        <w:t>-</w:t>
      </w:r>
      <w:r w:rsidR="00F31B87">
        <w:rPr>
          <w:rFonts w:ascii="华文楷体" w:hAnsi="华文楷体" w:hint="eastAsia"/>
          <w:sz w:val="24"/>
          <w:szCs w:val="24"/>
          <w:lang w:eastAsia="zh-CN"/>
        </w:rPr>
        <w:t>21</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F31B87">
        <w:rPr>
          <w:rFonts w:ascii="华文楷体" w:hAnsi="华文楷体" w:hint="eastAsia"/>
          <w:sz w:val="24"/>
          <w:szCs w:val="24"/>
          <w:lang w:eastAsia="zh-CN"/>
        </w:rPr>
        <w:t>0</w:t>
      </w:r>
      <w:r w:rsidR="00254AC8">
        <w:rPr>
          <w:rFonts w:ascii="华文楷体" w:hAnsi="华文楷体" w:hint="eastAsia"/>
          <w:sz w:val="24"/>
          <w:szCs w:val="24"/>
          <w:lang w:eastAsia="zh-CN"/>
        </w:rPr>
        <w:t>-18</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F34CA2">
        <w:rPr>
          <w:rFonts w:ascii="华文楷体" w:hAnsi="华文楷体" w:hint="eastAsia"/>
          <w:sz w:val="24"/>
          <w:szCs w:val="24"/>
          <w:lang w:eastAsia="zh-CN"/>
        </w:rPr>
        <w:t>；</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F31B87">
        <w:rPr>
          <w:rFonts w:ascii="华文楷体" w:hAnsi="华文楷体" w:hint="eastAsia"/>
          <w:sz w:val="24"/>
          <w:szCs w:val="24"/>
          <w:lang w:eastAsia="zh-CN"/>
        </w:rPr>
        <w:t>7</w:t>
      </w:r>
      <w:r w:rsidR="001F098C">
        <w:rPr>
          <w:rFonts w:ascii="华文楷体" w:hAnsi="华文楷体" w:hint="eastAsia"/>
          <w:sz w:val="24"/>
          <w:szCs w:val="24"/>
          <w:lang w:eastAsia="zh-CN"/>
        </w:rPr>
        <w:t>-13</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F31B87" w:rsidRPr="00F31B87" w14:paraId="094C8CD3" w14:textId="77777777" w:rsidTr="00F31B87">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62E0AD65"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6068E0FE"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28C604B"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E56E5ED"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6BF9647"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2EF51230"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0AC7809A"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29D3A29"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4CD02CD"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7F12606"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r>
            <w:tr w:rsidR="00F31B87" w:rsidRPr="00F31B87" w14:paraId="33772B5E" w14:textId="77777777" w:rsidTr="00F31B87">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58C3298E"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21E218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2.89 </w:t>
                  </w:r>
                </w:p>
              </w:tc>
              <w:tc>
                <w:tcPr>
                  <w:tcW w:w="921" w:type="dxa"/>
                  <w:tcBorders>
                    <w:top w:val="nil"/>
                    <w:left w:val="nil"/>
                    <w:bottom w:val="single" w:sz="8" w:space="0" w:color="FFFFFF"/>
                    <w:right w:val="single" w:sz="8" w:space="0" w:color="FFFFFF"/>
                  </w:tcBorders>
                  <w:shd w:val="clear" w:color="000000" w:fill="FCD5B4"/>
                  <w:noWrap/>
                  <w:vAlign w:val="center"/>
                  <w:hideMark/>
                </w:tcPr>
                <w:p w14:paraId="68F9E67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2.99 </w:t>
                  </w:r>
                </w:p>
              </w:tc>
              <w:tc>
                <w:tcPr>
                  <w:tcW w:w="921" w:type="dxa"/>
                  <w:tcBorders>
                    <w:top w:val="nil"/>
                    <w:left w:val="nil"/>
                    <w:bottom w:val="single" w:sz="8" w:space="0" w:color="FFFFFF"/>
                    <w:right w:val="single" w:sz="8" w:space="0" w:color="FFFFFF"/>
                  </w:tcBorders>
                  <w:shd w:val="clear" w:color="000000" w:fill="FCD5B4"/>
                  <w:noWrap/>
                  <w:vAlign w:val="center"/>
                  <w:hideMark/>
                </w:tcPr>
                <w:p w14:paraId="560ACDE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3.25 </w:t>
                  </w:r>
                </w:p>
              </w:tc>
              <w:tc>
                <w:tcPr>
                  <w:tcW w:w="921" w:type="dxa"/>
                  <w:tcBorders>
                    <w:top w:val="nil"/>
                    <w:left w:val="nil"/>
                    <w:bottom w:val="single" w:sz="8" w:space="0" w:color="FFFFFF"/>
                    <w:right w:val="single" w:sz="8" w:space="0" w:color="FFFFFF"/>
                  </w:tcBorders>
                  <w:shd w:val="clear" w:color="000000" w:fill="FCD5B4"/>
                  <w:noWrap/>
                  <w:vAlign w:val="center"/>
                  <w:hideMark/>
                </w:tcPr>
                <w:p w14:paraId="7788ED2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5.45 </w:t>
                  </w:r>
                </w:p>
              </w:tc>
              <w:tc>
                <w:tcPr>
                  <w:tcW w:w="1157" w:type="dxa"/>
                  <w:tcBorders>
                    <w:top w:val="nil"/>
                    <w:left w:val="nil"/>
                    <w:bottom w:val="single" w:sz="8" w:space="0" w:color="FFFFFF"/>
                    <w:right w:val="single" w:sz="8" w:space="0" w:color="FFFFFF"/>
                  </w:tcBorders>
                  <w:shd w:val="clear" w:color="000000" w:fill="FCD5B4"/>
                  <w:noWrap/>
                  <w:vAlign w:val="center"/>
                  <w:hideMark/>
                </w:tcPr>
                <w:p w14:paraId="5AFDF443"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5B90901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0.48 </w:t>
                  </w:r>
                </w:p>
              </w:tc>
              <w:tc>
                <w:tcPr>
                  <w:tcW w:w="921" w:type="dxa"/>
                  <w:tcBorders>
                    <w:top w:val="nil"/>
                    <w:left w:val="nil"/>
                    <w:bottom w:val="single" w:sz="8" w:space="0" w:color="FFFFFF"/>
                    <w:right w:val="single" w:sz="8" w:space="0" w:color="FFFFFF"/>
                  </w:tcBorders>
                  <w:shd w:val="clear" w:color="000000" w:fill="FCD5B4"/>
                  <w:noWrap/>
                  <w:vAlign w:val="center"/>
                  <w:hideMark/>
                </w:tcPr>
                <w:p w14:paraId="53F5D0A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0.58 </w:t>
                  </w:r>
                </w:p>
              </w:tc>
              <w:tc>
                <w:tcPr>
                  <w:tcW w:w="921" w:type="dxa"/>
                  <w:tcBorders>
                    <w:top w:val="nil"/>
                    <w:left w:val="nil"/>
                    <w:bottom w:val="single" w:sz="8" w:space="0" w:color="FFFFFF"/>
                    <w:right w:val="single" w:sz="8" w:space="0" w:color="FFFFFF"/>
                  </w:tcBorders>
                  <w:shd w:val="clear" w:color="000000" w:fill="FCD5B4"/>
                  <w:noWrap/>
                  <w:vAlign w:val="center"/>
                  <w:hideMark/>
                </w:tcPr>
                <w:p w14:paraId="1853476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0.84 </w:t>
                  </w:r>
                </w:p>
              </w:tc>
              <w:tc>
                <w:tcPr>
                  <w:tcW w:w="921" w:type="dxa"/>
                  <w:tcBorders>
                    <w:top w:val="nil"/>
                    <w:left w:val="nil"/>
                    <w:bottom w:val="single" w:sz="8" w:space="0" w:color="FFFFFF"/>
                    <w:right w:val="single" w:sz="8" w:space="0" w:color="FFFFFF"/>
                  </w:tcBorders>
                  <w:shd w:val="clear" w:color="000000" w:fill="FCD5B4"/>
                  <w:noWrap/>
                  <w:vAlign w:val="center"/>
                  <w:hideMark/>
                </w:tcPr>
                <w:p w14:paraId="4DE709F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3.04 </w:t>
                  </w:r>
                </w:p>
              </w:tc>
            </w:tr>
            <w:tr w:rsidR="00F31B87" w:rsidRPr="00F31B87" w14:paraId="1DE15850"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DC783AB"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A13451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3.39 </w:t>
                  </w:r>
                </w:p>
              </w:tc>
              <w:tc>
                <w:tcPr>
                  <w:tcW w:w="921" w:type="dxa"/>
                  <w:tcBorders>
                    <w:top w:val="nil"/>
                    <w:left w:val="nil"/>
                    <w:bottom w:val="single" w:sz="8" w:space="0" w:color="FFFFFF"/>
                    <w:right w:val="single" w:sz="8" w:space="0" w:color="FFFFFF"/>
                  </w:tcBorders>
                  <w:shd w:val="clear" w:color="000000" w:fill="FDE9D9"/>
                  <w:noWrap/>
                  <w:vAlign w:val="center"/>
                  <w:hideMark/>
                </w:tcPr>
                <w:p w14:paraId="004F251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3.55 </w:t>
                  </w:r>
                </w:p>
              </w:tc>
              <w:tc>
                <w:tcPr>
                  <w:tcW w:w="921" w:type="dxa"/>
                  <w:tcBorders>
                    <w:top w:val="nil"/>
                    <w:left w:val="nil"/>
                    <w:bottom w:val="single" w:sz="8" w:space="0" w:color="FFFFFF"/>
                    <w:right w:val="single" w:sz="8" w:space="0" w:color="FFFFFF"/>
                  </w:tcBorders>
                  <w:shd w:val="clear" w:color="000000" w:fill="FDE9D9"/>
                  <w:noWrap/>
                  <w:vAlign w:val="center"/>
                  <w:hideMark/>
                </w:tcPr>
                <w:p w14:paraId="774F3FC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4.02 </w:t>
                  </w:r>
                </w:p>
              </w:tc>
              <w:tc>
                <w:tcPr>
                  <w:tcW w:w="921" w:type="dxa"/>
                  <w:tcBorders>
                    <w:top w:val="nil"/>
                    <w:left w:val="nil"/>
                    <w:bottom w:val="single" w:sz="8" w:space="0" w:color="FFFFFF"/>
                    <w:right w:val="single" w:sz="8" w:space="0" w:color="FFFFFF"/>
                  </w:tcBorders>
                  <w:shd w:val="clear" w:color="000000" w:fill="FDE9D9"/>
                  <w:noWrap/>
                  <w:vAlign w:val="center"/>
                  <w:hideMark/>
                </w:tcPr>
                <w:p w14:paraId="364F376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6.23 </w:t>
                  </w:r>
                </w:p>
              </w:tc>
              <w:tc>
                <w:tcPr>
                  <w:tcW w:w="1157" w:type="dxa"/>
                  <w:tcBorders>
                    <w:top w:val="nil"/>
                    <w:left w:val="nil"/>
                    <w:bottom w:val="single" w:sz="8" w:space="0" w:color="FFFFFF"/>
                    <w:right w:val="single" w:sz="8" w:space="0" w:color="FFFFFF"/>
                  </w:tcBorders>
                  <w:shd w:val="clear" w:color="000000" w:fill="FDE9D9"/>
                  <w:noWrap/>
                  <w:vAlign w:val="center"/>
                  <w:hideMark/>
                </w:tcPr>
                <w:p w14:paraId="180E0905"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6D7CD60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0.62 </w:t>
                  </w:r>
                </w:p>
              </w:tc>
              <w:tc>
                <w:tcPr>
                  <w:tcW w:w="921" w:type="dxa"/>
                  <w:tcBorders>
                    <w:top w:val="nil"/>
                    <w:left w:val="nil"/>
                    <w:bottom w:val="single" w:sz="8" w:space="0" w:color="FFFFFF"/>
                    <w:right w:val="single" w:sz="8" w:space="0" w:color="FFFFFF"/>
                  </w:tcBorders>
                  <w:shd w:val="clear" w:color="000000" w:fill="FDE9D9"/>
                  <w:noWrap/>
                  <w:vAlign w:val="center"/>
                  <w:hideMark/>
                </w:tcPr>
                <w:p w14:paraId="692C139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0.78 </w:t>
                  </w:r>
                </w:p>
              </w:tc>
              <w:tc>
                <w:tcPr>
                  <w:tcW w:w="921" w:type="dxa"/>
                  <w:tcBorders>
                    <w:top w:val="nil"/>
                    <w:left w:val="nil"/>
                    <w:bottom w:val="single" w:sz="8" w:space="0" w:color="FFFFFF"/>
                    <w:right w:val="single" w:sz="8" w:space="0" w:color="FFFFFF"/>
                  </w:tcBorders>
                  <w:shd w:val="clear" w:color="000000" w:fill="FDE9D9"/>
                  <w:noWrap/>
                  <w:vAlign w:val="center"/>
                  <w:hideMark/>
                </w:tcPr>
                <w:p w14:paraId="5AF7D56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1.25 </w:t>
                  </w:r>
                </w:p>
              </w:tc>
              <w:tc>
                <w:tcPr>
                  <w:tcW w:w="921" w:type="dxa"/>
                  <w:tcBorders>
                    <w:top w:val="nil"/>
                    <w:left w:val="nil"/>
                    <w:bottom w:val="single" w:sz="8" w:space="0" w:color="FFFFFF"/>
                    <w:right w:val="single" w:sz="8" w:space="0" w:color="FFFFFF"/>
                  </w:tcBorders>
                  <w:shd w:val="clear" w:color="000000" w:fill="FDE9D9"/>
                  <w:noWrap/>
                  <w:vAlign w:val="center"/>
                  <w:hideMark/>
                </w:tcPr>
                <w:p w14:paraId="70C3AD6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3.46 </w:t>
                  </w:r>
                </w:p>
              </w:tc>
            </w:tr>
            <w:tr w:rsidR="00F31B87" w:rsidRPr="00F31B87" w14:paraId="1AD3EB08"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905B892"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B86AC2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3.62 </w:t>
                  </w:r>
                </w:p>
              </w:tc>
              <w:tc>
                <w:tcPr>
                  <w:tcW w:w="921" w:type="dxa"/>
                  <w:tcBorders>
                    <w:top w:val="nil"/>
                    <w:left w:val="nil"/>
                    <w:bottom w:val="single" w:sz="8" w:space="0" w:color="FFFFFF"/>
                    <w:right w:val="single" w:sz="8" w:space="0" w:color="FFFFFF"/>
                  </w:tcBorders>
                  <w:shd w:val="clear" w:color="000000" w:fill="FCD5B4"/>
                  <w:noWrap/>
                  <w:vAlign w:val="center"/>
                  <w:hideMark/>
                </w:tcPr>
                <w:p w14:paraId="188647D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3.89 </w:t>
                  </w:r>
                </w:p>
              </w:tc>
              <w:tc>
                <w:tcPr>
                  <w:tcW w:w="921" w:type="dxa"/>
                  <w:tcBorders>
                    <w:top w:val="nil"/>
                    <w:left w:val="nil"/>
                    <w:bottom w:val="single" w:sz="8" w:space="0" w:color="FFFFFF"/>
                    <w:right w:val="single" w:sz="8" w:space="0" w:color="FFFFFF"/>
                  </w:tcBorders>
                  <w:shd w:val="clear" w:color="000000" w:fill="FCD5B4"/>
                  <w:noWrap/>
                  <w:vAlign w:val="center"/>
                  <w:hideMark/>
                </w:tcPr>
                <w:p w14:paraId="727E61A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4.40 </w:t>
                  </w:r>
                </w:p>
              </w:tc>
              <w:tc>
                <w:tcPr>
                  <w:tcW w:w="921" w:type="dxa"/>
                  <w:tcBorders>
                    <w:top w:val="nil"/>
                    <w:left w:val="nil"/>
                    <w:bottom w:val="single" w:sz="8" w:space="0" w:color="FFFFFF"/>
                    <w:right w:val="single" w:sz="8" w:space="0" w:color="FFFFFF"/>
                  </w:tcBorders>
                  <w:shd w:val="clear" w:color="000000" w:fill="FCD5B4"/>
                  <w:noWrap/>
                  <w:vAlign w:val="center"/>
                  <w:hideMark/>
                </w:tcPr>
                <w:p w14:paraId="7576765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6.61 </w:t>
                  </w:r>
                </w:p>
              </w:tc>
              <w:tc>
                <w:tcPr>
                  <w:tcW w:w="1157" w:type="dxa"/>
                  <w:tcBorders>
                    <w:top w:val="nil"/>
                    <w:left w:val="nil"/>
                    <w:bottom w:val="single" w:sz="8" w:space="0" w:color="FFFFFF"/>
                    <w:right w:val="single" w:sz="8" w:space="0" w:color="FFFFFF"/>
                  </w:tcBorders>
                  <w:shd w:val="clear" w:color="000000" w:fill="FCD5B4"/>
                  <w:noWrap/>
                  <w:vAlign w:val="center"/>
                  <w:hideMark/>
                </w:tcPr>
                <w:p w14:paraId="5CA642D0"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715E1EB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0.69 </w:t>
                  </w:r>
                </w:p>
              </w:tc>
              <w:tc>
                <w:tcPr>
                  <w:tcW w:w="921" w:type="dxa"/>
                  <w:tcBorders>
                    <w:top w:val="nil"/>
                    <w:left w:val="nil"/>
                    <w:bottom w:val="single" w:sz="8" w:space="0" w:color="FFFFFF"/>
                    <w:right w:val="single" w:sz="8" w:space="0" w:color="FFFFFF"/>
                  </w:tcBorders>
                  <w:shd w:val="clear" w:color="000000" w:fill="FCD5B4"/>
                  <w:noWrap/>
                  <w:vAlign w:val="center"/>
                  <w:hideMark/>
                </w:tcPr>
                <w:p w14:paraId="42CD6E0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0.96 </w:t>
                  </w:r>
                </w:p>
              </w:tc>
              <w:tc>
                <w:tcPr>
                  <w:tcW w:w="921" w:type="dxa"/>
                  <w:tcBorders>
                    <w:top w:val="nil"/>
                    <w:left w:val="nil"/>
                    <w:bottom w:val="single" w:sz="8" w:space="0" w:color="FFFFFF"/>
                    <w:right w:val="single" w:sz="8" w:space="0" w:color="FFFFFF"/>
                  </w:tcBorders>
                  <w:shd w:val="clear" w:color="000000" w:fill="FCD5B4"/>
                  <w:noWrap/>
                  <w:vAlign w:val="center"/>
                  <w:hideMark/>
                </w:tcPr>
                <w:p w14:paraId="5E03060A"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1.47 </w:t>
                  </w:r>
                </w:p>
              </w:tc>
              <w:tc>
                <w:tcPr>
                  <w:tcW w:w="921" w:type="dxa"/>
                  <w:tcBorders>
                    <w:top w:val="nil"/>
                    <w:left w:val="nil"/>
                    <w:bottom w:val="single" w:sz="8" w:space="0" w:color="FFFFFF"/>
                    <w:right w:val="single" w:sz="8" w:space="0" w:color="FFFFFF"/>
                  </w:tcBorders>
                  <w:shd w:val="clear" w:color="000000" w:fill="FCD5B4"/>
                  <w:noWrap/>
                  <w:vAlign w:val="center"/>
                  <w:hideMark/>
                </w:tcPr>
                <w:p w14:paraId="350BA55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3.68 </w:t>
                  </w:r>
                </w:p>
              </w:tc>
            </w:tr>
            <w:tr w:rsidR="00F31B87" w:rsidRPr="00F31B87" w14:paraId="35A15F6F"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EEC4A40"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59E969D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3.34 </w:t>
                  </w:r>
                </w:p>
              </w:tc>
              <w:tc>
                <w:tcPr>
                  <w:tcW w:w="921" w:type="dxa"/>
                  <w:tcBorders>
                    <w:top w:val="nil"/>
                    <w:left w:val="nil"/>
                    <w:bottom w:val="single" w:sz="8" w:space="0" w:color="FFFFFF"/>
                    <w:right w:val="single" w:sz="8" w:space="0" w:color="FFFFFF"/>
                  </w:tcBorders>
                  <w:shd w:val="clear" w:color="000000" w:fill="FDE9D9"/>
                  <w:noWrap/>
                  <w:vAlign w:val="center"/>
                  <w:hideMark/>
                </w:tcPr>
                <w:p w14:paraId="6A8F43B6"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3.60 </w:t>
                  </w:r>
                </w:p>
              </w:tc>
              <w:tc>
                <w:tcPr>
                  <w:tcW w:w="921" w:type="dxa"/>
                  <w:tcBorders>
                    <w:top w:val="nil"/>
                    <w:left w:val="nil"/>
                    <w:bottom w:val="single" w:sz="8" w:space="0" w:color="FFFFFF"/>
                    <w:right w:val="single" w:sz="8" w:space="0" w:color="FFFFFF"/>
                  </w:tcBorders>
                  <w:shd w:val="clear" w:color="000000" w:fill="FDE9D9"/>
                  <w:noWrap/>
                  <w:vAlign w:val="center"/>
                  <w:hideMark/>
                </w:tcPr>
                <w:p w14:paraId="152583B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4.03 </w:t>
                  </w:r>
                </w:p>
              </w:tc>
              <w:tc>
                <w:tcPr>
                  <w:tcW w:w="921" w:type="dxa"/>
                  <w:tcBorders>
                    <w:top w:val="nil"/>
                    <w:left w:val="nil"/>
                    <w:bottom w:val="single" w:sz="8" w:space="0" w:color="FFFFFF"/>
                    <w:right w:val="single" w:sz="8" w:space="0" w:color="FFFFFF"/>
                  </w:tcBorders>
                  <w:shd w:val="clear" w:color="000000" w:fill="FDE9D9"/>
                  <w:noWrap/>
                  <w:vAlign w:val="center"/>
                  <w:hideMark/>
                </w:tcPr>
                <w:p w14:paraId="5B3A10B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6.23 </w:t>
                  </w:r>
                </w:p>
              </w:tc>
              <w:tc>
                <w:tcPr>
                  <w:tcW w:w="1157" w:type="dxa"/>
                  <w:tcBorders>
                    <w:top w:val="nil"/>
                    <w:left w:val="nil"/>
                    <w:bottom w:val="single" w:sz="8" w:space="0" w:color="FFFFFF"/>
                    <w:right w:val="single" w:sz="8" w:space="0" w:color="FFFFFF"/>
                  </w:tcBorders>
                  <w:shd w:val="clear" w:color="000000" w:fill="FDE9D9"/>
                  <w:noWrap/>
                  <w:vAlign w:val="center"/>
                  <w:hideMark/>
                </w:tcPr>
                <w:p w14:paraId="5D9F25A6"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3D7438D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0.57 </w:t>
                  </w:r>
                </w:p>
              </w:tc>
              <w:tc>
                <w:tcPr>
                  <w:tcW w:w="921" w:type="dxa"/>
                  <w:tcBorders>
                    <w:top w:val="nil"/>
                    <w:left w:val="nil"/>
                    <w:bottom w:val="single" w:sz="8" w:space="0" w:color="FFFFFF"/>
                    <w:right w:val="single" w:sz="8" w:space="0" w:color="FFFFFF"/>
                  </w:tcBorders>
                  <w:shd w:val="clear" w:color="000000" w:fill="FDE9D9"/>
                  <w:noWrap/>
                  <w:vAlign w:val="center"/>
                  <w:hideMark/>
                </w:tcPr>
                <w:p w14:paraId="2EB6047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0.84 </w:t>
                  </w:r>
                </w:p>
              </w:tc>
              <w:tc>
                <w:tcPr>
                  <w:tcW w:w="921" w:type="dxa"/>
                  <w:tcBorders>
                    <w:top w:val="nil"/>
                    <w:left w:val="nil"/>
                    <w:bottom w:val="single" w:sz="8" w:space="0" w:color="FFFFFF"/>
                    <w:right w:val="single" w:sz="8" w:space="0" w:color="FFFFFF"/>
                  </w:tcBorders>
                  <w:shd w:val="clear" w:color="000000" w:fill="FDE9D9"/>
                  <w:noWrap/>
                  <w:vAlign w:val="center"/>
                  <w:hideMark/>
                </w:tcPr>
                <w:p w14:paraId="17D56FE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1.27 </w:t>
                  </w:r>
                </w:p>
              </w:tc>
              <w:tc>
                <w:tcPr>
                  <w:tcW w:w="921" w:type="dxa"/>
                  <w:tcBorders>
                    <w:top w:val="nil"/>
                    <w:left w:val="nil"/>
                    <w:bottom w:val="single" w:sz="8" w:space="0" w:color="FFFFFF"/>
                    <w:right w:val="single" w:sz="8" w:space="0" w:color="FFFFFF"/>
                  </w:tcBorders>
                  <w:shd w:val="clear" w:color="000000" w:fill="FDE9D9"/>
                  <w:noWrap/>
                  <w:vAlign w:val="center"/>
                  <w:hideMark/>
                </w:tcPr>
                <w:p w14:paraId="7233506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3.47 </w:t>
                  </w:r>
                </w:p>
              </w:tc>
            </w:tr>
            <w:tr w:rsidR="00F31B87" w:rsidRPr="00F31B87" w14:paraId="6507B05A"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AD6E64A"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714D6AD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3.61 </w:t>
                  </w:r>
                </w:p>
              </w:tc>
              <w:tc>
                <w:tcPr>
                  <w:tcW w:w="921" w:type="dxa"/>
                  <w:tcBorders>
                    <w:top w:val="nil"/>
                    <w:left w:val="nil"/>
                    <w:bottom w:val="single" w:sz="8" w:space="0" w:color="FFFFFF"/>
                    <w:right w:val="single" w:sz="8" w:space="0" w:color="FFFFFF"/>
                  </w:tcBorders>
                  <w:shd w:val="clear" w:color="000000" w:fill="FCD5B4"/>
                  <w:noWrap/>
                  <w:vAlign w:val="center"/>
                  <w:hideMark/>
                </w:tcPr>
                <w:p w14:paraId="4209932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3.88 </w:t>
                  </w:r>
                </w:p>
              </w:tc>
              <w:tc>
                <w:tcPr>
                  <w:tcW w:w="921" w:type="dxa"/>
                  <w:tcBorders>
                    <w:top w:val="nil"/>
                    <w:left w:val="nil"/>
                    <w:bottom w:val="single" w:sz="8" w:space="0" w:color="FFFFFF"/>
                    <w:right w:val="single" w:sz="8" w:space="0" w:color="FFFFFF"/>
                  </w:tcBorders>
                  <w:shd w:val="clear" w:color="000000" w:fill="FCD5B4"/>
                  <w:noWrap/>
                  <w:vAlign w:val="center"/>
                  <w:hideMark/>
                </w:tcPr>
                <w:p w14:paraId="045F042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4.41 </w:t>
                  </w:r>
                </w:p>
              </w:tc>
              <w:tc>
                <w:tcPr>
                  <w:tcW w:w="921" w:type="dxa"/>
                  <w:tcBorders>
                    <w:top w:val="nil"/>
                    <w:left w:val="nil"/>
                    <w:bottom w:val="single" w:sz="8" w:space="0" w:color="FFFFFF"/>
                    <w:right w:val="single" w:sz="8" w:space="0" w:color="FFFFFF"/>
                  </w:tcBorders>
                  <w:shd w:val="clear" w:color="000000" w:fill="FCD5B4"/>
                  <w:noWrap/>
                  <w:vAlign w:val="center"/>
                  <w:hideMark/>
                </w:tcPr>
                <w:p w14:paraId="4C30175A"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6.61 </w:t>
                  </w:r>
                </w:p>
              </w:tc>
              <w:tc>
                <w:tcPr>
                  <w:tcW w:w="1157" w:type="dxa"/>
                  <w:tcBorders>
                    <w:top w:val="nil"/>
                    <w:left w:val="nil"/>
                    <w:bottom w:val="single" w:sz="8" w:space="0" w:color="FFFFFF"/>
                    <w:right w:val="single" w:sz="8" w:space="0" w:color="FFFFFF"/>
                  </w:tcBorders>
                  <w:shd w:val="clear" w:color="000000" w:fill="FCD5B4"/>
                  <w:noWrap/>
                  <w:vAlign w:val="center"/>
                  <w:hideMark/>
                </w:tcPr>
                <w:p w14:paraId="6BFCABD6"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5759304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0.68 </w:t>
                  </w:r>
                </w:p>
              </w:tc>
              <w:tc>
                <w:tcPr>
                  <w:tcW w:w="921" w:type="dxa"/>
                  <w:tcBorders>
                    <w:top w:val="nil"/>
                    <w:left w:val="nil"/>
                    <w:bottom w:val="single" w:sz="8" w:space="0" w:color="FFFFFF"/>
                    <w:right w:val="single" w:sz="8" w:space="0" w:color="FFFFFF"/>
                  </w:tcBorders>
                  <w:shd w:val="clear" w:color="000000" w:fill="FCD5B4"/>
                  <w:noWrap/>
                  <w:vAlign w:val="center"/>
                  <w:hideMark/>
                </w:tcPr>
                <w:p w14:paraId="139DA6E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0.95 </w:t>
                  </w:r>
                </w:p>
              </w:tc>
              <w:tc>
                <w:tcPr>
                  <w:tcW w:w="921" w:type="dxa"/>
                  <w:tcBorders>
                    <w:top w:val="nil"/>
                    <w:left w:val="nil"/>
                    <w:bottom w:val="single" w:sz="8" w:space="0" w:color="FFFFFF"/>
                    <w:right w:val="single" w:sz="8" w:space="0" w:color="FFFFFF"/>
                  </w:tcBorders>
                  <w:shd w:val="clear" w:color="000000" w:fill="FCD5B4"/>
                  <w:noWrap/>
                  <w:vAlign w:val="center"/>
                  <w:hideMark/>
                </w:tcPr>
                <w:p w14:paraId="2218AB9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1.48 </w:t>
                  </w:r>
                </w:p>
              </w:tc>
              <w:tc>
                <w:tcPr>
                  <w:tcW w:w="921" w:type="dxa"/>
                  <w:tcBorders>
                    <w:top w:val="nil"/>
                    <w:left w:val="nil"/>
                    <w:bottom w:val="single" w:sz="8" w:space="0" w:color="FFFFFF"/>
                    <w:right w:val="single" w:sz="8" w:space="0" w:color="FFFFFF"/>
                  </w:tcBorders>
                  <w:shd w:val="clear" w:color="000000" w:fill="FCD5B4"/>
                  <w:noWrap/>
                  <w:vAlign w:val="center"/>
                  <w:hideMark/>
                </w:tcPr>
                <w:p w14:paraId="277C424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3.68 </w:t>
                  </w:r>
                </w:p>
              </w:tc>
            </w:tr>
            <w:tr w:rsidR="00F31B87" w:rsidRPr="00F31B87" w14:paraId="36828489"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305519F"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E19344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3.87 </w:t>
                  </w:r>
                </w:p>
              </w:tc>
              <w:tc>
                <w:tcPr>
                  <w:tcW w:w="921" w:type="dxa"/>
                  <w:tcBorders>
                    <w:top w:val="nil"/>
                    <w:left w:val="nil"/>
                    <w:bottom w:val="single" w:sz="8" w:space="0" w:color="FFFFFF"/>
                    <w:right w:val="single" w:sz="8" w:space="0" w:color="FFFFFF"/>
                  </w:tcBorders>
                  <w:shd w:val="clear" w:color="000000" w:fill="FDE9D9"/>
                  <w:noWrap/>
                  <w:vAlign w:val="center"/>
                  <w:hideMark/>
                </w:tcPr>
                <w:p w14:paraId="17F84B6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4.16 </w:t>
                  </w:r>
                </w:p>
              </w:tc>
              <w:tc>
                <w:tcPr>
                  <w:tcW w:w="921" w:type="dxa"/>
                  <w:tcBorders>
                    <w:top w:val="nil"/>
                    <w:left w:val="nil"/>
                    <w:bottom w:val="single" w:sz="8" w:space="0" w:color="FFFFFF"/>
                    <w:right w:val="single" w:sz="8" w:space="0" w:color="FFFFFF"/>
                  </w:tcBorders>
                  <w:shd w:val="clear" w:color="000000" w:fill="FDE9D9"/>
                  <w:noWrap/>
                  <w:vAlign w:val="center"/>
                  <w:hideMark/>
                </w:tcPr>
                <w:p w14:paraId="2B71C20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4.69 </w:t>
                  </w:r>
                </w:p>
              </w:tc>
              <w:tc>
                <w:tcPr>
                  <w:tcW w:w="921" w:type="dxa"/>
                  <w:tcBorders>
                    <w:top w:val="nil"/>
                    <w:left w:val="nil"/>
                    <w:bottom w:val="single" w:sz="8" w:space="0" w:color="FFFFFF"/>
                    <w:right w:val="single" w:sz="8" w:space="0" w:color="FFFFFF"/>
                  </w:tcBorders>
                  <w:shd w:val="clear" w:color="000000" w:fill="FDE9D9"/>
                  <w:noWrap/>
                  <w:vAlign w:val="center"/>
                  <w:hideMark/>
                </w:tcPr>
                <w:p w14:paraId="462D59F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6.89 </w:t>
                  </w:r>
                </w:p>
              </w:tc>
              <w:tc>
                <w:tcPr>
                  <w:tcW w:w="1157" w:type="dxa"/>
                  <w:tcBorders>
                    <w:top w:val="nil"/>
                    <w:left w:val="nil"/>
                    <w:bottom w:val="single" w:sz="8" w:space="0" w:color="FFFFFF"/>
                    <w:right w:val="single" w:sz="8" w:space="0" w:color="FFFFFF"/>
                  </w:tcBorders>
                  <w:shd w:val="clear" w:color="000000" w:fill="FDE9D9"/>
                  <w:noWrap/>
                  <w:vAlign w:val="center"/>
                  <w:hideMark/>
                </w:tcPr>
                <w:p w14:paraId="54E02C65"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714013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0.81 </w:t>
                  </w:r>
                </w:p>
              </w:tc>
              <w:tc>
                <w:tcPr>
                  <w:tcW w:w="921" w:type="dxa"/>
                  <w:tcBorders>
                    <w:top w:val="nil"/>
                    <w:left w:val="nil"/>
                    <w:bottom w:val="single" w:sz="8" w:space="0" w:color="FFFFFF"/>
                    <w:right w:val="single" w:sz="8" w:space="0" w:color="FFFFFF"/>
                  </w:tcBorders>
                  <w:shd w:val="clear" w:color="000000" w:fill="FDE9D9"/>
                  <w:noWrap/>
                  <w:vAlign w:val="center"/>
                  <w:hideMark/>
                </w:tcPr>
                <w:p w14:paraId="157FBC1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1.10 </w:t>
                  </w:r>
                </w:p>
              </w:tc>
              <w:tc>
                <w:tcPr>
                  <w:tcW w:w="921" w:type="dxa"/>
                  <w:tcBorders>
                    <w:top w:val="nil"/>
                    <w:left w:val="nil"/>
                    <w:bottom w:val="single" w:sz="8" w:space="0" w:color="FFFFFF"/>
                    <w:right w:val="single" w:sz="8" w:space="0" w:color="FFFFFF"/>
                  </w:tcBorders>
                  <w:shd w:val="clear" w:color="000000" w:fill="FDE9D9"/>
                  <w:noWrap/>
                  <w:vAlign w:val="center"/>
                  <w:hideMark/>
                </w:tcPr>
                <w:p w14:paraId="605F12F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1.63 </w:t>
                  </w:r>
                </w:p>
              </w:tc>
              <w:tc>
                <w:tcPr>
                  <w:tcW w:w="921" w:type="dxa"/>
                  <w:tcBorders>
                    <w:top w:val="nil"/>
                    <w:left w:val="nil"/>
                    <w:bottom w:val="single" w:sz="8" w:space="0" w:color="FFFFFF"/>
                    <w:right w:val="single" w:sz="8" w:space="0" w:color="FFFFFF"/>
                  </w:tcBorders>
                  <w:shd w:val="clear" w:color="000000" w:fill="FDE9D9"/>
                  <w:noWrap/>
                  <w:vAlign w:val="center"/>
                  <w:hideMark/>
                </w:tcPr>
                <w:p w14:paraId="3A67ADC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3.83 </w:t>
                  </w:r>
                </w:p>
              </w:tc>
            </w:tr>
            <w:tr w:rsidR="00F31B87" w:rsidRPr="00F31B87" w14:paraId="1EA4AC78"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48233C0F"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0AC3DF7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3.39 </w:t>
                  </w:r>
                </w:p>
              </w:tc>
              <w:tc>
                <w:tcPr>
                  <w:tcW w:w="921" w:type="dxa"/>
                  <w:tcBorders>
                    <w:top w:val="nil"/>
                    <w:left w:val="nil"/>
                    <w:bottom w:val="single" w:sz="8" w:space="0" w:color="FFFFFF"/>
                    <w:right w:val="single" w:sz="8" w:space="0" w:color="FFFFFF"/>
                  </w:tcBorders>
                  <w:shd w:val="clear" w:color="000000" w:fill="FCD5B4"/>
                  <w:noWrap/>
                  <w:vAlign w:val="center"/>
                  <w:hideMark/>
                </w:tcPr>
                <w:p w14:paraId="175FE3A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3.51 </w:t>
                  </w:r>
                </w:p>
              </w:tc>
              <w:tc>
                <w:tcPr>
                  <w:tcW w:w="921" w:type="dxa"/>
                  <w:tcBorders>
                    <w:top w:val="nil"/>
                    <w:left w:val="nil"/>
                    <w:bottom w:val="single" w:sz="8" w:space="0" w:color="FFFFFF"/>
                    <w:right w:val="single" w:sz="8" w:space="0" w:color="FFFFFF"/>
                  </w:tcBorders>
                  <w:shd w:val="clear" w:color="000000" w:fill="FCD5B4"/>
                  <w:noWrap/>
                  <w:vAlign w:val="center"/>
                  <w:hideMark/>
                </w:tcPr>
                <w:p w14:paraId="54ACF28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3.73 </w:t>
                  </w:r>
                </w:p>
              </w:tc>
              <w:tc>
                <w:tcPr>
                  <w:tcW w:w="921" w:type="dxa"/>
                  <w:tcBorders>
                    <w:top w:val="nil"/>
                    <w:left w:val="nil"/>
                    <w:bottom w:val="single" w:sz="8" w:space="0" w:color="FFFFFF"/>
                    <w:right w:val="single" w:sz="8" w:space="0" w:color="FFFFFF"/>
                  </w:tcBorders>
                  <w:shd w:val="clear" w:color="000000" w:fill="FCD5B4"/>
                  <w:noWrap/>
                  <w:vAlign w:val="center"/>
                  <w:hideMark/>
                </w:tcPr>
                <w:p w14:paraId="09E0163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6.40 </w:t>
                  </w:r>
                </w:p>
              </w:tc>
              <w:tc>
                <w:tcPr>
                  <w:tcW w:w="1157" w:type="dxa"/>
                  <w:tcBorders>
                    <w:top w:val="nil"/>
                    <w:left w:val="nil"/>
                    <w:bottom w:val="single" w:sz="8" w:space="0" w:color="FFFFFF"/>
                    <w:right w:val="single" w:sz="8" w:space="0" w:color="FFFFFF"/>
                  </w:tcBorders>
                  <w:shd w:val="clear" w:color="000000" w:fill="FCD5B4"/>
                  <w:noWrap/>
                  <w:vAlign w:val="center"/>
                  <w:hideMark/>
                </w:tcPr>
                <w:p w14:paraId="74C1A754"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43D2FC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0.62 </w:t>
                  </w:r>
                </w:p>
              </w:tc>
              <w:tc>
                <w:tcPr>
                  <w:tcW w:w="921" w:type="dxa"/>
                  <w:tcBorders>
                    <w:top w:val="nil"/>
                    <w:left w:val="nil"/>
                    <w:bottom w:val="single" w:sz="8" w:space="0" w:color="FFFFFF"/>
                    <w:right w:val="single" w:sz="8" w:space="0" w:color="FFFFFF"/>
                  </w:tcBorders>
                  <w:shd w:val="clear" w:color="000000" w:fill="FCD5B4"/>
                  <w:noWrap/>
                  <w:vAlign w:val="center"/>
                  <w:hideMark/>
                </w:tcPr>
                <w:p w14:paraId="7A60006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0.74 </w:t>
                  </w:r>
                </w:p>
              </w:tc>
              <w:tc>
                <w:tcPr>
                  <w:tcW w:w="921" w:type="dxa"/>
                  <w:tcBorders>
                    <w:top w:val="nil"/>
                    <w:left w:val="nil"/>
                    <w:bottom w:val="single" w:sz="8" w:space="0" w:color="FFFFFF"/>
                    <w:right w:val="single" w:sz="8" w:space="0" w:color="FFFFFF"/>
                  </w:tcBorders>
                  <w:shd w:val="clear" w:color="000000" w:fill="FCD5B4"/>
                  <w:noWrap/>
                  <w:vAlign w:val="center"/>
                  <w:hideMark/>
                </w:tcPr>
                <w:p w14:paraId="4FFD227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0.97 </w:t>
                  </w:r>
                </w:p>
              </w:tc>
              <w:tc>
                <w:tcPr>
                  <w:tcW w:w="921" w:type="dxa"/>
                  <w:tcBorders>
                    <w:top w:val="nil"/>
                    <w:left w:val="nil"/>
                    <w:bottom w:val="single" w:sz="8" w:space="0" w:color="FFFFFF"/>
                    <w:right w:val="single" w:sz="8" w:space="0" w:color="FFFFFF"/>
                  </w:tcBorders>
                  <w:shd w:val="clear" w:color="000000" w:fill="FCD5B4"/>
                  <w:noWrap/>
                  <w:vAlign w:val="center"/>
                  <w:hideMark/>
                </w:tcPr>
                <w:p w14:paraId="3D2063E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3.64 </w:t>
                  </w:r>
                </w:p>
              </w:tc>
            </w:tr>
            <w:tr w:rsidR="00F31B87" w:rsidRPr="00F31B87" w14:paraId="72208E18"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E79497E"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7E052EB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3.66 </w:t>
                  </w:r>
                </w:p>
              </w:tc>
              <w:tc>
                <w:tcPr>
                  <w:tcW w:w="921" w:type="dxa"/>
                  <w:tcBorders>
                    <w:top w:val="nil"/>
                    <w:left w:val="nil"/>
                    <w:bottom w:val="single" w:sz="8" w:space="0" w:color="FFFFFF"/>
                    <w:right w:val="single" w:sz="8" w:space="0" w:color="FFFFFF"/>
                  </w:tcBorders>
                  <w:shd w:val="clear" w:color="000000" w:fill="FDE9D9"/>
                  <w:noWrap/>
                  <w:vAlign w:val="center"/>
                  <w:hideMark/>
                </w:tcPr>
                <w:p w14:paraId="27DD979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3.84 </w:t>
                  </w:r>
                </w:p>
              </w:tc>
              <w:tc>
                <w:tcPr>
                  <w:tcW w:w="921" w:type="dxa"/>
                  <w:tcBorders>
                    <w:top w:val="nil"/>
                    <w:left w:val="nil"/>
                    <w:bottom w:val="single" w:sz="8" w:space="0" w:color="FFFFFF"/>
                    <w:right w:val="single" w:sz="8" w:space="0" w:color="FFFFFF"/>
                  </w:tcBorders>
                  <w:shd w:val="clear" w:color="000000" w:fill="FDE9D9"/>
                  <w:noWrap/>
                  <w:vAlign w:val="center"/>
                  <w:hideMark/>
                </w:tcPr>
                <w:p w14:paraId="7B0E555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4.34 </w:t>
                  </w:r>
                </w:p>
              </w:tc>
              <w:tc>
                <w:tcPr>
                  <w:tcW w:w="921" w:type="dxa"/>
                  <w:tcBorders>
                    <w:top w:val="nil"/>
                    <w:left w:val="nil"/>
                    <w:bottom w:val="single" w:sz="8" w:space="0" w:color="FFFFFF"/>
                    <w:right w:val="single" w:sz="8" w:space="0" w:color="FFFFFF"/>
                  </w:tcBorders>
                  <w:shd w:val="clear" w:color="000000" w:fill="FDE9D9"/>
                  <w:noWrap/>
                  <w:vAlign w:val="center"/>
                  <w:hideMark/>
                </w:tcPr>
                <w:p w14:paraId="6FED261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7.31 </w:t>
                  </w:r>
                </w:p>
              </w:tc>
              <w:tc>
                <w:tcPr>
                  <w:tcW w:w="1157" w:type="dxa"/>
                  <w:tcBorders>
                    <w:top w:val="nil"/>
                    <w:left w:val="nil"/>
                    <w:bottom w:val="single" w:sz="8" w:space="0" w:color="FFFFFF"/>
                    <w:right w:val="single" w:sz="8" w:space="0" w:color="FFFFFF"/>
                  </w:tcBorders>
                  <w:shd w:val="clear" w:color="000000" w:fill="FDE9D9"/>
                  <w:noWrap/>
                  <w:vAlign w:val="center"/>
                  <w:hideMark/>
                </w:tcPr>
                <w:p w14:paraId="77DA92B9"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173BABB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DE9D9"/>
                  <w:noWrap/>
                  <w:vAlign w:val="center"/>
                  <w:hideMark/>
                </w:tcPr>
                <w:p w14:paraId="67380DC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0.91 </w:t>
                  </w:r>
                </w:p>
              </w:tc>
              <w:tc>
                <w:tcPr>
                  <w:tcW w:w="921" w:type="dxa"/>
                  <w:tcBorders>
                    <w:top w:val="nil"/>
                    <w:left w:val="nil"/>
                    <w:bottom w:val="single" w:sz="8" w:space="0" w:color="FFFFFF"/>
                    <w:right w:val="single" w:sz="8" w:space="0" w:color="FFFFFF"/>
                  </w:tcBorders>
                  <w:shd w:val="clear" w:color="000000" w:fill="FDE9D9"/>
                  <w:noWrap/>
                  <w:vAlign w:val="center"/>
                  <w:hideMark/>
                </w:tcPr>
                <w:p w14:paraId="6C74A9B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1.40 </w:t>
                  </w:r>
                </w:p>
              </w:tc>
              <w:tc>
                <w:tcPr>
                  <w:tcW w:w="921" w:type="dxa"/>
                  <w:tcBorders>
                    <w:top w:val="nil"/>
                    <w:left w:val="nil"/>
                    <w:bottom w:val="single" w:sz="8" w:space="0" w:color="FFFFFF"/>
                    <w:right w:val="single" w:sz="8" w:space="0" w:color="FFFFFF"/>
                  </w:tcBorders>
                  <w:shd w:val="clear" w:color="000000" w:fill="FDE9D9"/>
                  <w:noWrap/>
                  <w:vAlign w:val="center"/>
                  <w:hideMark/>
                </w:tcPr>
                <w:p w14:paraId="52A07E7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4.37 </w:t>
                  </w:r>
                </w:p>
              </w:tc>
            </w:tr>
            <w:tr w:rsidR="00F31B87" w:rsidRPr="00F31B87" w14:paraId="37E2BE23" w14:textId="77777777" w:rsidTr="00F31B87">
              <w:trPr>
                <w:trHeight w:val="300"/>
              </w:trPr>
              <w:tc>
                <w:tcPr>
                  <w:tcW w:w="1350" w:type="dxa"/>
                  <w:tcBorders>
                    <w:top w:val="nil"/>
                    <w:left w:val="nil"/>
                    <w:bottom w:val="nil"/>
                    <w:right w:val="nil"/>
                  </w:tcBorders>
                  <w:shd w:val="clear" w:color="000000" w:fill="FCD5B4"/>
                  <w:noWrap/>
                  <w:vAlign w:val="center"/>
                  <w:hideMark/>
                </w:tcPr>
                <w:p w14:paraId="65F81A04"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7A0AE97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3.89 </w:t>
                  </w:r>
                </w:p>
              </w:tc>
              <w:tc>
                <w:tcPr>
                  <w:tcW w:w="921" w:type="dxa"/>
                  <w:tcBorders>
                    <w:top w:val="nil"/>
                    <w:left w:val="nil"/>
                    <w:bottom w:val="single" w:sz="8" w:space="0" w:color="FFFFFF"/>
                    <w:right w:val="single" w:sz="8" w:space="0" w:color="FFFFFF"/>
                  </w:tcBorders>
                  <w:shd w:val="clear" w:color="000000" w:fill="FCD5B4"/>
                  <w:noWrap/>
                  <w:vAlign w:val="center"/>
                  <w:hideMark/>
                </w:tcPr>
                <w:p w14:paraId="0FAC38A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4.12 </w:t>
                  </w:r>
                </w:p>
              </w:tc>
              <w:tc>
                <w:tcPr>
                  <w:tcW w:w="921" w:type="dxa"/>
                  <w:tcBorders>
                    <w:top w:val="nil"/>
                    <w:left w:val="nil"/>
                    <w:bottom w:val="single" w:sz="8" w:space="0" w:color="FFFFFF"/>
                    <w:right w:val="single" w:sz="8" w:space="0" w:color="FFFFFF"/>
                  </w:tcBorders>
                  <w:shd w:val="clear" w:color="000000" w:fill="FCD5B4"/>
                  <w:noWrap/>
                  <w:vAlign w:val="center"/>
                  <w:hideMark/>
                </w:tcPr>
                <w:p w14:paraId="5D071DC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4.63 </w:t>
                  </w:r>
                </w:p>
              </w:tc>
              <w:tc>
                <w:tcPr>
                  <w:tcW w:w="921" w:type="dxa"/>
                  <w:tcBorders>
                    <w:top w:val="nil"/>
                    <w:left w:val="nil"/>
                    <w:bottom w:val="single" w:sz="8" w:space="0" w:color="FFFFFF"/>
                    <w:right w:val="single" w:sz="8" w:space="0" w:color="FFFFFF"/>
                  </w:tcBorders>
                  <w:shd w:val="clear" w:color="000000" w:fill="FCD5B4"/>
                  <w:noWrap/>
                  <w:vAlign w:val="center"/>
                  <w:hideMark/>
                </w:tcPr>
                <w:p w14:paraId="750E992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7.60 </w:t>
                  </w:r>
                </w:p>
              </w:tc>
              <w:tc>
                <w:tcPr>
                  <w:tcW w:w="1157" w:type="dxa"/>
                  <w:tcBorders>
                    <w:top w:val="nil"/>
                    <w:left w:val="nil"/>
                    <w:bottom w:val="nil"/>
                    <w:right w:val="nil"/>
                  </w:tcBorders>
                  <w:shd w:val="clear" w:color="000000" w:fill="FCD5B4"/>
                  <w:noWrap/>
                  <w:vAlign w:val="center"/>
                  <w:hideMark/>
                </w:tcPr>
                <w:p w14:paraId="4C169E5F"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1AC692A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0.83 </w:t>
                  </w:r>
                </w:p>
              </w:tc>
              <w:tc>
                <w:tcPr>
                  <w:tcW w:w="921" w:type="dxa"/>
                  <w:tcBorders>
                    <w:top w:val="nil"/>
                    <w:left w:val="nil"/>
                    <w:bottom w:val="single" w:sz="8" w:space="0" w:color="FFFFFF"/>
                    <w:right w:val="single" w:sz="8" w:space="0" w:color="FFFFFF"/>
                  </w:tcBorders>
                  <w:shd w:val="clear" w:color="000000" w:fill="FCD5B4"/>
                  <w:noWrap/>
                  <w:vAlign w:val="center"/>
                  <w:hideMark/>
                </w:tcPr>
                <w:p w14:paraId="4EF5F3D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1.06 </w:t>
                  </w:r>
                </w:p>
              </w:tc>
              <w:tc>
                <w:tcPr>
                  <w:tcW w:w="921" w:type="dxa"/>
                  <w:tcBorders>
                    <w:top w:val="nil"/>
                    <w:left w:val="nil"/>
                    <w:bottom w:val="single" w:sz="8" w:space="0" w:color="FFFFFF"/>
                    <w:right w:val="single" w:sz="8" w:space="0" w:color="FFFFFF"/>
                  </w:tcBorders>
                  <w:shd w:val="clear" w:color="000000" w:fill="FCD5B4"/>
                  <w:noWrap/>
                  <w:vAlign w:val="center"/>
                  <w:hideMark/>
                </w:tcPr>
                <w:p w14:paraId="4C97E4F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1.57 </w:t>
                  </w:r>
                </w:p>
              </w:tc>
              <w:tc>
                <w:tcPr>
                  <w:tcW w:w="921" w:type="dxa"/>
                  <w:tcBorders>
                    <w:top w:val="nil"/>
                    <w:left w:val="nil"/>
                    <w:bottom w:val="single" w:sz="8" w:space="0" w:color="FFFFFF"/>
                    <w:right w:val="single" w:sz="8" w:space="0" w:color="FFFFFF"/>
                  </w:tcBorders>
                  <w:shd w:val="clear" w:color="000000" w:fill="FCD5B4"/>
                  <w:noWrap/>
                  <w:vAlign w:val="center"/>
                  <w:hideMark/>
                </w:tcPr>
                <w:p w14:paraId="7A3755C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4.54 </w:t>
                  </w:r>
                </w:p>
              </w:tc>
            </w:tr>
            <w:tr w:rsidR="00F31B87" w:rsidRPr="00F31B87" w14:paraId="4DC415A2" w14:textId="77777777" w:rsidTr="00F31B87">
              <w:trPr>
                <w:trHeight w:val="150"/>
              </w:trPr>
              <w:tc>
                <w:tcPr>
                  <w:tcW w:w="1350" w:type="dxa"/>
                  <w:tcBorders>
                    <w:top w:val="nil"/>
                    <w:left w:val="nil"/>
                    <w:bottom w:val="nil"/>
                    <w:right w:val="nil"/>
                  </w:tcBorders>
                  <w:shd w:val="clear" w:color="auto" w:fill="auto"/>
                  <w:noWrap/>
                  <w:vAlign w:val="center"/>
                  <w:hideMark/>
                </w:tcPr>
                <w:p w14:paraId="10A50E86" w14:textId="77777777" w:rsidR="00F31B87" w:rsidRPr="00F31B87" w:rsidRDefault="00F31B87" w:rsidP="00F31B87">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272ADAEF"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21DDBC4"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E84B8FB"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4B959AB" w14:textId="77777777" w:rsidR="00F31B87" w:rsidRPr="00F31B87" w:rsidRDefault="00F31B87" w:rsidP="00F31B87">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55B1987C"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933C310"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1CEF382"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B60B2FF"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7BFA25A" w14:textId="77777777" w:rsidR="00F31B87" w:rsidRPr="00F31B87" w:rsidRDefault="00F31B87" w:rsidP="00F31B87">
                  <w:pPr>
                    <w:widowControl/>
                    <w:jc w:val="center"/>
                    <w:rPr>
                      <w:rFonts w:ascii="Times New Roman" w:eastAsia="Times New Roman" w:hAnsi="Times New Roman"/>
                      <w:kern w:val="0"/>
                      <w:sz w:val="20"/>
                      <w:szCs w:val="20"/>
                    </w:rPr>
                  </w:pPr>
                </w:p>
              </w:tc>
            </w:tr>
            <w:tr w:rsidR="00F31B87" w:rsidRPr="00F31B87" w14:paraId="633724D4" w14:textId="77777777" w:rsidTr="00F31B87">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767ED7DE" w14:textId="77777777" w:rsidR="00F31B87" w:rsidRPr="00F31B87" w:rsidRDefault="00F31B87" w:rsidP="00F31B87">
                  <w:pPr>
                    <w:widowControl/>
                    <w:jc w:val="center"/>
                    <w:rPr>
                      <w:rFonts w:ascii="楷体" w:eastAsia="楷体" w:hAnsi="楷体" w:cs="宋体"/>
                      <w:b/>
                      <w:bCs/>
                      <w:color w:val="FFFFFF"/>
                      <w:kern w:val="0"/>
                      <w:sz w:val="20"/>
                      <w:szCs w:val="20"/>
                    </w:rPr>
                  </w:pPr>
                  <w:proofErr w:type="gramStart"/>
                  <w:r w:rsidRPr="00F31B87">
                    <w:rPr>
                      <w:rFonts w:ascii="楷体" w:eastAsia="楷体" w:hAnsi="楷体" w:cs="宋体" w:hint="eastAsia"/>
                      <w:b/>
                      <w:bCs/>
                      <w:color w:val="FFFFFF"/>
                      <w:kern w:val="0"/>
                      <w:sz w:val="20"/>
                      <w:szCs w:val="20"/>
                    </w:rPr>
                    <w:t>周变化</w:t>
                  </w:r>
                  <w:proofErr w:type="gramEnd"/>
                  <w:r w:rsidRPr="00F31B87">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7B2C4EB0"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DD3BDA1"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F1EC7E4"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AE76028"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6960886A"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375E38F4"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4BBB871"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09F8BB0"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3BEA11A"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r>
            <w:tr w:rsidR="00F31B87" w:rsidRPr="00F31B87" w14:paraId="3724B548" w14:textId="77777777" w:rsidTr="00F31B87">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558CD6AB"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7144F6A"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CD5B4"/>
                  <w:noWrap/>
                  <w:vAlign w:val="center"/>
                  <w:hideMark/>
                </w:tcPr>
                <w:p w14:paraId="0137619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-0.3 </w:t>
                  </w:r>
                </w:p>
              </w:tc>
              <w:tc>
                <w:tcPr>
                  <w:tcW w:w="921" w:type="dxa"/>
                  <w:tcBorders>
                    <w:top w:val="nil"/>
                    <w:left w:val="nil"/>
                    <w:bottom w:val="single" w:sz="8" w:space="0" w:color="FFFFFF"/>
                    <w:right w:val="single" w:sz="8" w:space="0" w:color="FFFFFF"/>
                  </w:tcBorders>
                  <w:shd w:val="clear" w:color="000000" w:fill="FCD5B4"/>
                  <w:noWrap/>
                  <w:vAlign w:val="center"/>
                  <w:hideMark/>
                </w:tcPr>
                <w:p w14:paraId="44A692C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455A92D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-1.3 </w:t>
                  </w:r>
                </w:p>
              </w:tc>
              <w:tc>
                <w:tcPr>
                  <w:tcW w:w="1157" w:type="dxa"/>
                  <w:tcBorders>
                    <w:top w:val="nil"/>
                    <w:left w:val="nil"/>
                    <w:bottom w:val="single" w:sz="8" w:space="0" w:color="FFFFFF"/>
                    <w:right w:val="single" w:sz="8" w:space="0" w:color="FFFFFF"/>
                  </w:tcBorders>
                  <w:shd w:val="clear" w:color="000000" w:fill="FCD5B4"/>
                  <w:noWrap/>
                  <w:vAlign w:val="center"/>
                  <w:hideMark/>
                </w:tcPr>
                <w:p w14:paraId="3EC1567E"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1A2005A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-7.6 </w:t>
                  </w:r>
                </w:p>
              </w:tc>
              <w:tc>
                <w:tcPr>
                  <w:tcW w:w="921" w:type="dxa"/>
                  <w:tcBorders>
                    <w:top w:val="nil"/>
                    <w:left w:val="nil"/>
                    <w:bottom w:val="single" w:sz="8" w:space="0" w:color="FFFFFF"/>
                    <w:right w:val="single" w:sz="8" w:space="0" w:color="FFFFFF"/>
                  </w:tcBorders>
                  <w:shd w:val="clear" w:color="000000" w:fill="FCD5B4"/>
                  <w:noWrap/>
                  <w:vAlign w:val="center"/>
                  <w:hideMark/>
                </w:tcPr>
                <w:p w14:paraId="598698E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-8.6 </w:t>
                  </w:r>
                </w:p>
              </w:tc>
              <w:tc>
                <w:tcPr>
                  <w:tcW w:w="921" w:type="dxa"/>
                  <w:tcBorders>
                    <w:top w:val="nil"/>
                    <w:left w:val="nil"/>
                    <w:bottom w:val="single" w:sz="8" w:space="0" w:color="FFFFFF"/>
                    <w:right w:val="single" w:sz="8" w:space="0" w:color="FFFFFF"/>
                  </w:tcBorders>
                  <w:shd w:val="clear" w:color="000000" w:fill="FCD5B4"/>
                  <w:noWrap/>
                  <w:vAlign w:val="center"/>
                  <w:hideMark/>
                </w:tcPr>
                <w:p w14:paraId="1BA40A8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-9.6 </w:t>
                  </w:r>
                </w:p>
              </w:tc>
              <w:tc>
                <w:tcPr>
                  <w:tcW w:w="921" w:type="dxa"/>
                  <w:tcBorders>
                    <w:top w:val="nil"/>
                    <w:left w:val="nil"/>
                    <w:bottom w:val="single" w:sz="8" w:space="0" w:color="FFFFFF"/>
                    <w:right w:val="single" w:sz="8" w:space="0" w:color="FFFFFF"/>
                  </w:tcBorders>
                  <w:shd w:val="clear" w:color="000000" w:fill="FCD5B4"/>
                  <w:noWrap/>
                  <w:vAlign w:val="center"/>
                  <w:hideMark/>
                </w:tcPr>
                <w:p w14:paraId="7F35344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-9.6 </w:t>
                  </w:r>
                </w:p>
              </w:tc>
            </w:tr>
            <w:tr w:rsidR="00F31B87" w:rsidRPr="00F31B87" w14:paraId="78153BD8"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64B6B4B"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65FD17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-0.3 </w:t>
                  </w:r>
                </w:p>
              </w:tc>
              <w:tc>
                <w:tcPr>
                  <w:tcW w:w="921" w:type="dxa"/>
                  <w:tcBorders>
                    <w:top w:val="nil"/>
                    <w:left w:val="nil"/>
                    <w:bottom w:val="single" w:sz="8" w:space="0" w:color="FFFFFF"/>
                    <w:right w:val="single" w:sz="8" w:space="0" w:color="FFFFFF"/>
                  </w:tcBorders>
                  <w:shd w:val="clear" w:color="000000" w:fill="FDE9D9"/>
                  <w:noWrap/>
                  <w:vAlign w:val="center"/>
                  <w:hideMark/>
                </w:tcPr>
                <w:p w14:paraId="04F2DAE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-2.3 </w:t>
                  </w:r>
                </w:p>
              </w:tc>
              <w:tc>
                <w:tcPr>
                  <w:tcW w:w="921" w:type="dxa"/>
                  <w:tcBorders>
                    <w:top w:val="nil"/>
                    <w:left w:val="nil"/>
                    <w:bottom w:val="single" w:sz="8" w:space="0" w:color="FFFFFF"/>
                    <w:right w:val="single" w:sz="8" w:space="0" w:color="FFFFFF"/>
                  </w:tcBorders>
                  <w:shd w:val="clear" w:color="000000" w:fill="FDE9D9"/>
                  <w:noWrap/>
                  <w:vAlign w:val="center"/>
                  <w:hideMark/>
                </w:tcPr>
                <w:p w14:paraId="73C4BD9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-7.3 </w:t>
                  </w:r>
                </w:p>
              </w:tc>
              <w:tc>
                <w:tcPr>
                  <w:tcW w:w="921" w:type="dxa"/>
                  <w:tcBorders>
                    <w:top w:val="nil"/>
                    <w:left w:val="nil"/>
                    <w:bottom w:val="single" w:sz="8" w:space="0" w:color="FFFFFF"/>
                    <w:right w:val="single" w:sz="8" w:space="0" w:color="FFFFFF"/>
                  </w:tcBorders>
                  <w:shd w:val="clear" w:color="000000" w:fill="FDE9D9"/>
                  <w:noWrap/>
                  <w:vAlign w:val="center"/>
                  <w:hideMark/>
                </w:tcPr>
                <w:p w14:paraId="5DAB06E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-7.3 </w:t>
                  </w:r>
                </w:p>
              </w:tc>
              <w:tc>
                <w:tcPr>
                  <w:tcW w:w="1157" w:type="dxa"/>
                  <w:tcBorders>
                    <w:top w:val="nil"/>
                    <w:left w:val="nil"/>
                    <w:bottom w:val="single" w:sz="8" w:space="0" w:color="FFFFFF"/>
                    <w:right w:val="single" w:sz="8" w:space="0" w:color="FFFFFF"/>
                  </w:tcBorders>
                  <w:shd w:val="clear" w:color="000000" w:fill="FDE9D9"/>
                  <w:noWrap/>
                  <w:vAlign w:val="center"/>
                  <w:hideMark/>
                </w:tcPr>
                <w:p w14:paraId="0533AD4C"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2A8C01F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-4.6 </w:t>
                  </w:r>
                </w:p>
              </w:tc>
              <w:tc>
                <w:tcPr>
                  <w:tcW w:w="921" w:type="dxa"/>
                  <w:tcBorders>
                    <w:top w:val="nil"/>
                    <w:left w:val="nil"/>
                    <w:bottom w:val="single" w:sz="8" w:space="0" w:color="FFFFFF"/>
                    <w:right w:val="single" w:sz="8" w:space="0" w:color="FFFFFF"/>
                  </w:tcBorders>
                  <w:shd w:val="clear" w:color="000000" w:fill="FDE9D9"/>
                  <w:noWrap/>
                  <w:vAlign w:val="center"/>
                  <w:hideMark/>
                </w:tcPr>
                <w:p w14:paraId="58354EC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-6.6 </w:t>
                  </w:r>
                </w:p>
              </w:tc>
              <w:tc>
                <w:tcPr>
                  <w:tcW w:w="921" w:type="dxa"/>
                  <w:tcBorders>
                    <w:top w:val="nil"/>
                    <w:left w:val="nil"/>
                    <w:bottom w:val="single" w:sz="8" w:space="0" w:color="FFFFFF"/>
                    <w:right w:val="single" w:sz="8" w:space="0" w:color="FFFFFF"/>
                  </w:tcBorders>
                  <w:shd w:val="clear" w:color="000000" w:fill="FDE9D9"/>
                  <w:noWrap/>
                  <w:vAlign w:val="center"/>
                  <w:hideMark/>
                </w:tcPr>
                <w:p w14:paraId="101B280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-11.6 </w:t>
                  </w:r>
                </w:p>
              </w:tc>
              <w:tc>
                <w:tcPr>
                  <w:tcW w:w="921" w:type="dxa"/>
                  <w:tcBorders>
                    <w:top w:val="nil"/>
                    <w:left w:val="nil"/>
                    <w:bottom w:val="single" w:sz="8" w:space="0" w:color="FFFFFF"/>
                    <w:right w:val="single" w:sz="8" w:space="0" w:color="FFFFFF"/>
                  </w:tcBorders>
                  <w:shd w:val="clear" w:color="000000" w:fill="FDE9D9"/>
                  <w:noWrap/>
                  <w:vAlign w:val="center"/>
                  <w:hideMark/>
                </w:tcPr>
                <w:p w14:paraId="7CDAFC7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-11.6 </w:t>
                  </w:r>
                </w:p>
              </w:tc>
            </w:tr>
            <w:tr w:rsidR="00F31B87" w:rsidRPr="00F31B87" w14:paraId="6038AD7A"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1A5D829"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32627F2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-2.4 </w:t>
                  </w:r>
                </w:p>
              </w:tc>
              <w:tc>
                <w:tcPr>
                  <w:tcW w:w="921" w:type="dxa"/>
                  <w:tcBorders>
                    <w:top w:val="nil"/>
                    <w:left w:val="nil"/>
                    <w:bottom w:val="single" w:sz="8" w:space="0" w:color="FFFFFF"/>
                    <w:right w:val="single" w:sz="8" w:space="0" w:color="FFFFFF"/>
                  </w:tcBorders>
                  <w:shd w:val="clear" w:color="000000" w:fill="FCD5B4"/>
                  <w:noWrap/>
                  <w:vAlign w:val="center"/>
                  <w:hideMark/>
                </w:tcPr>
                <w:p w14:paraId="07B3CD7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-3.4 </w:t>
                  </w:r>
                </w:p>
              </w:tc>
              <w:tc>
                <w:tcPr>
                  <w:tcW w:w="921" w:type="dxa"/>
                  <w:tcBorders>
                    <w:top w:val="nil"/>
                    <w:left w:val="nil"/>
                    <w:bottom w:val="single" w:sz="8" w:space="0" w:color="FFFFFF"/>
                    <w:right w:val="single" w:sz="8" w:space="0" w:color="FFFFFF"/>
                  </w:tcBorders>
                  <w:shd w:val="clear" w:color="000000" w:fill="FCD5B4"/>
                  <w:noWrap/>
                  <w:vAlign w:val="center"/>
                  <w:hideMark/>
                </w:tcPr>
                <w:p w14:paraId="17DEE63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-4.4 </w:t>
                  </w:r>
                </w:p>
              </w:tc>
              <w:tc>
                <w:tcPr>
                  <w:tcW w:w="921" w:type="dxa"/>
                  <w:tcBorders>
                    <w:top w:val="nil"/>
                    <w:left w:val="nil"/>
                    <w:bottom w:val="single" w:sz="8" w:space="0" w:color="FFFFFF"/>
                    <w:right w:val="single" w:sz="8" w:space="0" w:color="FFFFFF"/>
                  </w:tcBorders>
                  <w:shd w:val="clear" w:color="000000" w:fill="FCD5B4"/>
                  <w:noWrap/>
                  <w:vAlign w:val="center"/>
                  <w:hideMark/>
                </w:tcPr>
                <w:p w14:paraId="5D3383F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-4.4 </w:t>
                  </w:r>
                </w:p>
              </w:tc>
              <w:tc>
                <w:tcPr>
                  <w:tcW w:w="1157" w:type="dxa"/>
                  <w:tcBorders>
                    <w:top w:val="nil"/>
                    <w:left w:val="nil"/>
                    <w:bottom w:val="single" w:sz="8" w:space="0" w:color="FFFFFF"/>
                    <w:right w:val="single" w:sz="8" w:space="0" w:color="FFFFFF"/>
                  </w:tcBorders>
                  <w:shd w:val="clear" w:color="000000" w:fill="FCD5B4"/>
                  <w:noWrap/>
                  <w:vAlign w:val="center"/>
                  <w:hideMark/>
                </w:tcPr>
                <w:p w14:paraId="1C5B1B83"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6E3B369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-6.4 </w:t>
                  </w:r>
                </w:p>
              </w:tc>
              <w:tc>
                <w:tcPr>
                  <w:tcW w:w="921" w:type="dxa"/>
                  <w:tcBorders>
                    <w:top w:val="nil"/>
                    <w:left w:val="nil"/>
                    <w:bottom w:val="single" w:sz="8" w:space="0" w:color="FFFFFF"/>
                    <w:right w:val="single" w:sz="8" w:space="0" w:color="FFFFFF"/>
                  </w:tcBorders>
                  <w:shd w:val="clear" w:color="000000" w:fill="FCD5B4"/>
                  <w:noWrap/>
                  <w:vAlign w:val="center"/>
                  <w:hideMark/>
                </w:tcPr>
                <w:p w14:paraId="70A971E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-7.4 </w:t>
                  </w:r>
                </w:p>
              </w:tc>
              <w:tc>
                <w:tcPr>
                  <w:tcW w:w="921" w:type="dxa"/>
                  <w:tcBorders>
                    <w:top w:val="nil"/>
                    <w:left w:val="nil"/>
                    <w:bottom w:val="single" w:sz="8" w:space="0" w:color="FFFFFF"/>
                    <w:right w:val="single" w:sz="8" w:space="0" w:color="FFFFFF"/>
                  </w:tcBorders>
                  <w:shd w:val="clear" w:color="000000" w:fill="FCD5B4"/>
                  <w:noWrap/>
                  <w:vAlign w:val="center"/>
                  <w:hideMark/>
                </w:tcPr>
                <w:p w14:paraId="2F83964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-8.4 </w:t>
                  </w:r>
                </w:p>
              </w:tc>
              <w:tc>
                <w:tcPr>
                  <w:tcW w:w="921" w:type="dxa"/>
                  <w:tcBorders>
                    <w:top w:val="nil"/>
                    <w:left w:val="nil"/>
                    <w:bottom w:val="single" w:sz="8" w:space="0" w:color="FFFFFF"/>
                    <w:right w:val="single" w:sz="8" w:space="0" w:color="FFFFFF"/>
                  </w:tcBorders>
                  <w:shd w:val="clear" w:color="000000" w:fill="FCD5B4"/>
                  <w:noWrap/>
                  <w:vAlign w:val="center"/>
                  <w:hideMark/>
                </w:tcPr>
                <w:p w14:paraId="662979F6"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-8.4 </w:t>
                  </w:r>
                </w:p>
              </w:tc>
            </w:tr>
            <w:tr w:rsidR="00F31B87" w:rsidRPr="00F31B87" w14:paraId="47FAC801"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9641CB9"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0AEEBA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-0.5 </w:t>
                  </w:r>
                </w:p>
              </w:tc>
              <w:tc>
                <w:tcPr>
                  <w:tcW w:w="921" w:type="dxa"/>
                  <w:tcBorders>
                    <w:top w:val="nil"/>
                    <w:left w:val="nil"/>
                    <w:bottom w:val="single" w:sz="8" w:space="0" w:color="FFFFFF"/>
                    <w:right w:val="single" w:sz="8" w:space="0" w:color="FFFFFF"/>
                  </w:tcBorders>
                  <w:shd w:val="clear" w:color="000000" w:fill="FDE9D9"/>
                  <w:noWrap/>
                  <w:vAlign w:val="center"/>
                  <w:hideMark/>
                </w:tcPr>
                <w:p w14:paraId="2192543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0.5 </w:t>
                  </w:r>
                </w:p>
              </w:tc>
              <w:tc>
                <w:tcPr>
                  <w:tcW w:w="921" w:type="dxa"/>
                  <w:tcBorders>
                    <w:top w:val="nil"/>
                    <w:left w:val="nil"/>
                    <w:bottom w:val="single" w:sz="8" w:space="0" w:color="FFFFFF"/>
                    <w:right w:val="single" w:sz="8" w:space="0" w:color="FFFFFF"/>
                  </w:tcBorders>
                  <w:shd w:val="clear" w:color="000000" w:fill="FDE9D9"/>
                  <w:noWrap/>
                  <w:vAlign w:val="center"/>
                  <w:hideMark/>
                </w:tcPr>
                <w:p w14:paraId="05B645F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-0.5 </w:t>
                  </w:r>
                </w:p>
              </w:tc>
              <w:tc>
                <w:tcPr>
                  <w:tcW w:w="921" w:type="dxa"/>
                  <w:tcBorders>
                    <w:top w:val="nil"/>
                    <w:left w:val="nil"/>
                    <w:bottom w:val="single" w:sz="8" w:space="0" w:color="FFFFFF"/>
                    <w:right w:val="single" w:sz="8" w:space="0" w:color="FFFFFF"/>
                  </w:tcBorders>
                  <w:shd w:val="clear" w:color="000000" w:fill="FDE9D9"/>
                  <w:noWrap/>
                  <w:vAlign w:val="center"/>
                  <w:hideMark/>
                </w:tcPr>
                <w:p w14:paraId="3CA7934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-0.5 </w:t>
                  </w:r>
                </w:p>
              </w:tc>
              <w:tc>
                <w:tcPr>
                  <w:tcW w:w="1157" w:type="dxa"/>
                  <w:tcBorders>
                    <w:top w:val="nil"/>
                    <w:left w:val="nil"/>
                    <w:bottom w:val="single" w:sz="8" w:space="0" w:color="FFFFFF"/>
                    <w:right w:val="single" w:sz="8" w:space="0" w:color="FFFFFF"/>
                  </w:tcBorders>
                  <w:shd w:val="clear" w:color="000000" w:fill="FDE9D9"/>
                  <w:noWrap/>
                  <w:vAlign w:val="center"/>
                  <w:hideMark/>
                </w:tcPr>
                <w:p w14:paraId="03C94C75"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5C86D32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DE9D9"/>
                  <w:noWrap/>
                  <w:vAlign w:val="center"/>
                  <w:hideMark/>
                </w:tcPr>
                <w:p w14:paraId="3B60922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-3.8 </w:t>
                  </w:r>
                </w:p>
              </w:tc>
              <w:tc>
                <w:tcPr>
                  <w:tcW w:w="921" w:type="dxa"/>
                  <w:tcBorders>
                    <w:top w:val="nil"/>
                    <w:left w:val="nil"/>
                    <w:bottom w:val="single" w:sz="8" w:space="0" w:color="FFFFFF"/>
                    <w:right w:val="single" w:sz="8" w:space="0" w:color="FFFFFF"/>
                  </w:tcBorders>
                  <w:shd w:val="clear" w:color="000000" w:fill="FDE9D9"/>
                  <w:noWrap/>
                  <w:vAlign w:val="center"/>
                  <w:hideMark/>
                </w:tcPr>
                <w:p w14:paraId="02D2F6F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DE9D9"/>
                  <w:noWrap/>
                  <w:vAlign w:val="center"/>
                  <w:hideMark/>
                </w:tcPr>
                <w:p w14:paraId="72587E86"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-4.8 </w:t>
                  </w:r>
                </w:p>
              </w:tc>
            </w:tr>
            <w:tr w:rsidR="00F31B87" w:rsidRPr="00F31B87" w14:paraId="30361D27"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AD7995D"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C237E2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-1.2 </w:t>
                  </w:r>
                </w:p>
              </w:tc>
              <w:tc>
                <w:tcPr>
                  <w:tcW w:w="921" w:type="dxa"/>
                  <w:tcBorders>
                    <w:top w:val="nil"/>
                    <w:left w:val="nil"/>
                    <w:bottom w:val="single" w:sz="8" w:space="0" w:color="FFFFFF"/>
                    <w:right w:val="single" w:sz="8" w:space="0" w:color="FFFFFF"/>
                  </w:tcBorders>
                  <w:shd w:val="clear" w:color="000000" w:fill="FCD5B4"/>
                  <w:noWrap/>
                  <w:vAlign w:val="center"/>
                  <w:hideMark/>
                </w:tcPr>
                <w:p w14:paraId="38AC1B5A"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CD5B4"/>
                  <w:noWrap/>
                  <w:vAlign w:val="center"/>
                  <w:hideMark/>
                </w:tcPr>
                <w:p w14:paraId="3DA21C7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CD5B4"/>
                  <w:noWrap/>
                  <w:vAlign w:val="center"/>
                  <w:hideMark/>
                </w:tcPr>
                <w:p w14:paraId="0F2AFA1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-0.2 </w:t>
                  </w:r>
                </w:p>
              </w:tc>
              <w:tc>
                <w:tcPr>
                  <w:tcW w:w="1157" w:type="dxa"/>
                  <w:tcBorders>
                    <w:top w:val="nil"/>
                    <w:left w:val="nil"/>
                    <w:bottom w:val="single" w:sz="8" w:space="0" w:color="FFFFFF"/>
                    <w:right w:val="single" w:sz="8" w:space="0" w:color="FFFFFF"/>
                  </w:tcBorders>
                  <w:shd w:val="clear" w:color="000000" w:fill="FCD5B4"/>
                  <w:noWrap/>
                  <w:vAlign w:val="center"/>
                  <w:hideMark/>
                </w:tcPr>
                <w:p w14:paraId="7EC91DAB"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048416B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-5.1 </w:t>
                  </w:r>
                </w:p>
              </w:tc>
              <w:tc>
                <w:tcPr>
                  <w:tcW w:w="921" w:type="dxa"/>
                  <w:tcBorders>
                    <w:top w:val="nil"/>
                    <w:left w:val="nil"/>
                    <w:bottom w:val="single" w:sz="8" w:space="0" w:color="FFFFFF"/>
                    <w:right w:val="single" w:sz="8" w:space="0" w:color="FFFFFF"/>
                  </w:tcBorders>
                  <w:shd w:val="clear" w:color="000000" w:fill="FCD5B4"/>
                  <w:noWrap/>
                  <w:vAlign w:val="center"/>
                  <w:hideMark/>
                </w:tcPr>
                <w:p w14:paraId="5A6946F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-4.1 </w:t>
                  </w:r>
                </w:p>
              </w:tc>
              <w:tc>
                <w:tcPr>
                  <w:tcW w:w="921" w:type="dxa"/>
                  <w:tcBorders>
                    <w:top w:val="nil"/>
                    <w:left w:val="nil"/>
                    <w:bottom w:val="single" w:sz="8" w:space="0" w:color="FFFFFF"/>
                    <w:right w:val="single" w:sz="8" w:space="0" w:color="FFFFFF"/>
                  </w:tcBorders>
                  <w:shd w:val="clear" w:color="000000" w:fill="FCD5B4"/>
                  <w:noWrap/>
                  <w:vAlign w:val="center"/>
                  <w:hideMark/>
                </w:tcPr>
                <w:p w14:paraId="13D4910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-4.1 </w:t>
                  </w:r>
                </w:p>
              </w:tc>
              <w:tc>
                <w:tcPr>
                  <w:tcW w:w="921" w:type="dxa"/>
                  <w:tcBorders>
                    <w:top w:val="nil"/>
                    <w:left w:val="nil"/>
                    <w:bottom w:val="single" w:sz="8" w:space="0" w:color="FFFFFF"/>
                    <w:right w:val="single" w:sz="8" w:space="0" w:color="FFFFFF"/>
                  </w:tcBorders>
                  <w:shd w:val="clear" w:color="000000" w:fill="FCD5B4"/>
                  <w:noWrap/>
                  <w:vAlign w:val="center"/>
                  <w:hideMark/>
                </w:tcPr>
                <w:p w14:paraId="5CCC99D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-4.1 </w:t>
                  </w:r>
                </w:p>
              </w:tc>
            </w:tr>
            <w:tr w:rsidR="00F31B87" w:rsidRPr="00F31B87" w14:paraId="0D34929D"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709316B"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6B99DF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-1.4 </w:t>
                  </w:r>
                </w:p>
              </w:tc>
              <w:tc>
                <w:tcPr>
                  <w:tcW w:w="921" w:type="dxa"/>
                  <w:tcBorders>
                    <w:top w:val="nil"/>
                    <w:left w:val="nil"/>
                    <w:bottom w:val="single" w:sz="8" w:space="0" w:color="FFFFFF"/>
                    <w:right w:val="single" w:sz="8" w:space="0" w:color="FFFFFF"/>
                  </w:tcBorders>
                  <w:shd w:val="clear" w:color="000000" w:fill="FDE9D9"/>
                  <w:noWrap/>
                  <w:vAlign w:val="center"/>
                  <w:hideMark/>
                </w:tcPr>
                <w:p w14:paraId="39ED697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-1.4 </w:t>
                  </w:r>
                </w:p>
              </w:tc>
              <w:tc>
                <w:tcPr>
                  <w:tcW w:w="921" w:type="dxa"/>
                  <w:tcBorders>
                    <w:top w:val="nil"/>
                    <w:left w:val="nil"/>
                    <w:bottom w:val="single" w:sz="8" w:space="0" w:color="FFFFFF"/>
                    <w:right w:val="single" w:sz="8" w:space="0" w:color="FFFFFF"/>
                  </w:tcBorders>
                  <w:shd w:val="clear" w:color="000000" w:fill="FDE9D9"/>
                  <w:noWrap/>
                  <w:vAlign w:val="center"/>
                  <w:hideMark/>
                </w:tcPr>
                <w:p w14:paraId="63F2D8A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-1.4 </w:t>
                  </w:r>
                </w:p>
              </w:tc>
              <w:tc>
                <w:tcPr>
                  <w:tcW w:w="921" w:type="dxa"/>
                  <w:tcBorders>
                    <w:top w:val="nil"/>
                    <w:left w:val="nil"/>
                    <w:bottom w:val="single" w:sz="8" w:space="0" w:color="FFFFFF"/>
                    <w:right w:val="single" w:sz="8" w:space="0" w:color="FFFFFF"/>
                  </w:tcBorders>
                  <w:shd w:val="clear" w:color="000000" w:fill="FDE9D9"/>
                  <w:noWrap/>
                  <w:vAlign w:val="center"/>
                  <w:hideMark/>
                </w:tcPr>
                <w:p w14:paraId="766F9A1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-1.4 </w:t>
                  </w:r>
                </w:p>
              </w:tc>
              <w:tc>
                <w:tcPr>
                  <w:tcW w:w="1157" w:type="dxa"/>
                  <w:tcBorders>
                    <w:top w:val="nil"/>
                    <w:left w:val="nil"/>
                    <w:bottom w:val="single" w:sz="8" w:space="0" w:color="FFFFFF"/>
                    <w:right w:val="single" w:sz="8" w:space="0" w:color="FFFFFF"/>
                  </w:tcBorders>
                  <w:shd w:val="clear" w:color="000000" w:fill="FDE9D9"/>
                  <w:noWrap/>
                  <w:vAlign w:val="center"/>
                  <w:hideMark/>
                </w:tcPr>
                <w:p w14:paraId="327799D5"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15557D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DE9D9"/>
                  <w:noWrap/>
                  <w:vAlign w:val="center"/>
                  <w:hideMark/>
                </w:tcPr>
                <w:p w14:paraId="3216EC2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DE9D9"/>
                  <w:noWrap/>
                  <w:vAlign w:val="center"/>
                  <w:hideMark/>
                </w:tcPr>
                <w:p w14:paraId="346E7E5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DE9D9"/>
                  <w:noWrap/>
                  <w:vAlign w:val="center"/>
                  <w:hideMark/>
                </w:tcPr>
                <w:p w14:paraId="0DF1B83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-4.8 </w:t>
                  </w:r>
                </w:p>
              </w:tc>
            </w:tr>
            <w:tr w:rsidR="00F31B87" w:rsidRPr="00F31B87" w14:paraId="132A0EB2"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4E93DD8"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72F652C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 xml:space="preserve">0.0 </w:t>
                  </w:r>
                </w:p>
              </w:tc>
              <w:tc>
                <w:tcPr>
                  <w:tcW w:w="921" w:type="dxa"/>
                  <w:tcBorders>
                    <w:top w:val="nil"/>
                    <w:left w:val="nil"/>
                    <w:bottom w:val="single" w:sz="8" w:space="0" w:color="FFFFFF"/>
                    <w:right w:val="single" w:sz="8" w:space="0" w:color="FFFFFF"/>
                  </w:tcBorders>
                  <w:shd w:val="clear" w:color="000000" w:fill="FCD5B4"/>
                  <w:noWrap/>
                  <w:vAlign w:val="center"/>
                  <w:hideMark/>
                </w:tcPr>
                <w:p w14:paraId="6ED23E7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CD5B4"/>
                  <w:noWrap/>
                  <w:vAlign w:val="center"/>
                  <w:hideMark/>
                </w:tcPr>
                <w:p w14:paraId="12B3081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-7.0 </w:t>
                  </w:r>
                </w:p>
              </w:tc>
              <w:tc>
                <w:tcPr>
                  <w:tcW w:w="921" w:type="dxa"/>
                  <w:tcBorders>
                    <w:top w:val="nil"/>
                    <w:left w:val="nil"/>
                    <w:bottom w:val="single" w:sz="8" w:space="0" w:color="FFFFFF"/>
                    <w:right w:val="single" w:sz="8" w:space="0" w:color="FFFFFF"/>
                  </w:tcBorders>
                  <w:shd w:val="clear" w:color="000000" w:fill="FCD5B4"/>
                  <w:noWrap/>
                  <w:vAlign w:val="center"/>
                  <w:hideMark/>
                </w:tcPr>
                <w:p w14:paraId="794B12E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-4.0 </w:t>
                  </w:r>
                </w:p>
              </w:tc>
              <w:tc>
                <w:tcPr>
                  <w:tcW w:w="1157" w:type="dxa"/>
                  <w:tcBorders>
                    <w:top w:val="nil"/>
                    <w:left w:val="nil"/>
                    <w:bottom w:val="single" w:sz="8" w:space="0" w:color="FFFFFF"/>
                    <w:right w:val="single" w:sz="8" w:space="0" w:color="FFFFFF"/>
                  </w:tcBorders>
                  <w:shd w:val="clear" w:color="000000" w:fill="FCD5B4"/>
                  <w:noWrap/>
                  <w:vAlign w:val="center"/>
                  <w:hideMark/>
                </w:tcPr>
                <w:p w14:paraId="5020337B"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7E63C55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-4.3 </w:t>
                  </w:r>
                </w:p>
              </w:tc>
              <w:tc>
                <w:tcPr>
                  <w:tcW w:w="921" w:type="dxa"/>
                  <w:tcBorders>
                    <w:top w:val="nil"/>
                    <w:left w:val="nil"/>
                    <w:bottom w:val="single" w:sz="8" w:space="0" w:color="FFFFFF"/>
                    <w:right w:val="single" w:sz="8" w:space="0" w:color="FFFFFF"/>
                  </w:tcBorders>
                  <w:shd w:val="clear" w:color="000000" w:fill="FCD5B4"/>
                  <w:noWrap/>
                  <w:vAlign w:val="center"/>
                  <w:hideMark/>
                </w:tcPr>
                <w:p w14:paraId="54962AF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-10.3 </w:t>
                  </w:r>
                </w:p>
              </w:tc>
              <w:tc>
                <w:tcPr>
                  <w:tcW w:w="921" w:type="dxa"/>
                  <w:tcBorders>
                    <w:top w:val="nil"/>
                    <w:left w:val="nil"/>
                    <w:bottom w:val="single" w:sz="8" w:space="0" w:color="FFFFFF"/>
                    <w:right w:val="single" w:sz="8" w:space="0" w:color="FFFFFF"/>
                  </w:tcBorders>
                  <w:shd w:val="clear" w:color="000000" w:fill="FCD5B4"/>
                  <w:noWrap/>
                  <w:vAlign w:val="center"/>
                  <w:hideMark/>
                </w:tcPr>
                <w:p w14:paraId="1FFA2A1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-11.3 </w:t>
                  </w:r>
                </w:p>
              </w:tc>
              <w:tc>
                <w:tcPr>
                  <w:tcW w:w="921" w:type="dxa"/>
                  <w:tcBorders>
                    <w:top w:val="nil"/>
                    <w:left w:val="nil"/>
                    <w:bottom w:val="single" w:sz="8" w:space="0" w:color="FFFFFF"/>
                    <w:right w:val="single" w:sz="8" w:space="0" w:color="FFFFFF"/>
                  </w:tcBorders>
                  <w:shd w:val="clear" w:color="000000" w:fill="FCD5B4"/>
                  <w:noWrap/>
                  <w:vAlign w:val="center"/>
                  <w:hideMark/>
                </w:tcPr>
                <w:p w14:paraId="5B2E1D6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-8.3 </w:t>
                  </w:r>
                </w:p>
              </w:tc>
            </w:tr>
            <w:tr w:rsidR="00F31B87" w:rsidRPr="00F31B87" w14:paraId="4FB402C1"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F829130"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5F08C61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-2.5 </w:t>
                  </w:r>
                </w:p>
              </w:tc>
              <w:tc>
                <w:tcPr>
                  <w:tcW w:w="921" w:type="dxa"/>
                  <w:tcBorders>
                    <w:top w:val="nil"/>
                    <w:left w:val="nil"/>
                    <w:bottom w:val="single" w:sz="8" w:space="0" w:color="FFFFFF"/>
                    <w:right w:val="single" w:sz="8" w:space="0" w:color="FFFFFF"/>
                  </w:tcBorders>
                  <w:shd w:val="clear" w:color="000000" w:fill="FDE9D9"/>
                  <w:noWrap/>
                  <w:vAlign w:val="center"/>
                  <w:hideMark/>
                </w:tcPr>
                <w:p w14:paraId="6EA335A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-8.5 </w:t>
                  </w:r>
                </w:p>
              </w:tc>
              <w:tc>
                <w:tcPr>
                  <w:tcW w:w="921" w:type="dxa"/>
                  <w:tcBorders>
                    <w:top w:val="nil"/>
                    <w:left w:val="nil"/>
                    <w:bottom w:val="single" w:sz="8" w:space="0" w:color="FFFFFF"/>
                    <w:right w:val="single" w:sz="8" w:space="0" w:color="FFFFFF"/>
                  </w:tcBorders>
                  <w:shd w:val="clear" w:color="000000" w:fill="FDE9D9"/>
                  <w:noWrap/>
                  <w:vAlign w:val="center"/>
                  <w:hideMark/>
                </w:tcPr>
                <w:p w14:paraId="064EC38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-7.5 </w:t>
                  </w:r>
                </w:p>
              </w:tc>
              <w:tc>
                <w:tcPr>
                  <w:tcW w:w="921" w:type="dxa"/>
                  <w:tcBorders>
                    <w:top w:val="nil"/>
                    <w:left w:val="nil"/>
                    <w:bottom w:val="single" w:sz="8" w:space="0" w:color="FFFFFF"/>
                    <w:right w:val="single" w:sz="8" w:space="0" w:color="FFFFFF"/>
                  </w:tcBorders>
                  <w:shd w:val="clear" w:color="000000" w:fill="FDE9D9"/>
                  <w:noWrap/>
                  <w:vAlign w:val="center"/>
                  <w:hideMark/>
                </w:tcPr>
                <w:p w14:paraId="16AEF26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-5.5 </w:t>
                  </w:r>
                </w:p>
              </w:tc>
              <w:tc>
                <w:tcPr>
                  <w:tcW w:w="1157" w:type="dxa"/>
                  <w:tcBorders>
                    <w:top w:val="nil"/>
                    <w:left w:val="nil"/>
                    <w:bottom w:val="single" w:sz="8" w:space="0" w:color="FFFFFF"/>
                    <w:right w:val="single" w:sz="8" w:space="0" w:color="FFFFFF"/>
                  </w:tcBorders>
                  <w:shd w:val="clear" w:color="000000" w:fill="FDE9D9"/>
                  <w:noWrap/>
                  <w:vAlign w:val="center"/>
                  <w:hideMark/>
                </w:tcPr>
                <w:p w14:paraId="5094FD6E"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7ECB336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-6.4 </w:t>
                  </w:r>
                </w:p>
              </w:tc>
              <w:tc>
                <w:tcPr>
                  <w:tcW w:w="921" w:type="dxa"/>
                  <w:tcBorders>
                    <w:top w:val="nil"/>
                    <w:left w:val="nil"/>
                    <w:bottom w:val="single" w:sz="8" w:space="0" w:color="FFFFFF"/>
                    <w:right w:val="single" w:sz="8" w:space="0" w:color="FFFFFF"/>
                  </w:tcBorders>
                  <w:shd w:val="clear" w:color="000000" w:fill="FDE9D9"/>
                  <w:noWrap/>
                  <w:vAlign w:val="center"/>
                  <w:hideMark/>
                </w:tcPr>
                <w:p w14:paraId="548023C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-12.4 </w:t>
                  </w:r>
                </w:p>
              </w:tc>
              <w:tc>
                <w:tcPr>
                  <w:tcW w:w="921" w:type="dxa"/>
                  <w:tcBorders>
                    <w:top w:val="nil"/>
                    <w:left w:val="nil"/>
                    <w:bottom w:val="single" w:sz="8" w:space="0" w:color="FFFFFF"/>
                    <w:right w:val="single" w:sz="8" w:space="0" w:color="FFFFFF"/>
                  </w:tcBorders>
                  <w:shd w:val="clear" w:color="000000" w:fill="FDE9D9"/>
                  <w:noWrap/>
                  <w:vAlign w:val="center"/>
                  <w:hideMark/>
                </w:tcPr>
                <w:p w14:paraId="52EA559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-11.4 </w:t>
                  </w:r>
                </w:p>
              </w:tc>
              <w:tc>
                <w:tcPr>
                  <w:tcW w:w="921" w:type="dxa"/>
                  <w:tcBorders>
                    <w:top w:val="nil"/>
                    <w:left w:val="nil"/>
                    <w:bottom w:val="single" w:sz="8" w:space="0" w:color="FFFFFF"/>
                    <w:right w:val="single" w:sz="8" w:space="0" w:color="FFFFFF"/>
                  </w:tcBorders>
                  <w:shd w:val="clear" w:color="000000" w:fill="FDE9D9"/>
                  <w:noWrap/>
                  <w:vAlign w:val="center"/>
                  <w:hideMark/>
                </w:tcPr>
                <w:p w14:paraId="02E2BE8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-9.4 </w:t>
                  </w:r>
                </w:p>
              </w:tc>
            </w:tr>
            <w:tr w:rsidR="00F31B87" w:rsidRPr="00F31B87" w14:paraId="206AC8D3" w14:textId="77777777" w:rsidTr="00F31B87">
              <w:trPr>
                <w:trHeight w:val="300"/>
              </w:trPr>
              <w:tc>
                <w:tcPr>
                  <w:tcW w:w="1350" w:type="dxa"/>
                  <w:tcBorders>
                    <w:top w:val="nil"/>
                    <w:left w:val="nil"/>
                    <w:bottom w:val="nil"/>
                    <w:right w:val="nil"/>
                  </w:tcBorders>
                  <w:shd w:val="clear" w:color="000000" w:fill="FCD5B4"/>
                  <w:noWrap/>
                  <w:vAlign w:val="center"/>
                  <w:hideMark/>
                </w:tcPr>
                <w:p w14:paraId="47DA8B6B"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623688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-3.7 </w:t>
                  </w:r>
                </w:p>
              </w:tc>
              <w:tc>
                <w:tcPr>
                  <w:tcW w:w="921" w:type="dxa"/>
                  <w:tcBorders>
                    <w:top w:val="nil"/>
                    <w:left w:val="nil"/>
                    <w:bottom w:val="single" w:sz="8" w:space="0" w:color="FFFFFF"/>
                    <w:right w:val="single" w:sz="8" w:space="0" w:color="FFFFFF"/>
                  </w:tcBorders>
                  <w:shd w:val="clear" w:color="000000" w:fill="FCD5B4"/>
                  <w:noWrap/>
                  <w:vAlign w:val="center"/>
                  <w:hideMark/>
                </w:tcPr>
                <w:p w14:paraId="376DE90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-5.7 </w:t>
                  </w:r>
                </w:p>
              </w:tc>
              <w:tc>
                <w:tcPr>
                  <w:tcW w:w="921" w:type="dxa"/>
                  <w:tcBorders>
                    <w:top w:val="nil"/>
                    <w:left w:val="nil"/>
                    <w:bottom w:val="single" w:sz="8" w:space="0" w:color="FFFFFF"/>
                    <w:right w:val="single" w:sz="8" w:space="0" w:color="FFFFFF"/>
                  </w:tcBorders>
                  <w:shd w:val="clear" w:color="000000" w:fill="FCD5B4"/>
                  <w:noWrap/>
                  <w:vAlign w:val="center"/>
                  <w:hideMark/>
                </w:tcPr>
                <w:p w14:paraId="0E9146D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-7.7 </w:t>
                  </w:r>
                </w:p>
              </w:tc>
              <w:tc>
                <w:tcPr>
                  <w:tcW w:w="921" w:type="dxa"/>
                  <w:tcBorders>
                    <w:top w:val="nil"/>
                    <w:left w:val="nil"/>
                    <w:bottom w:val="single" w:sz="8" w:space="0" w:color="FFFFFF"/>
                    <w:right w:val="single" w:sz="8" w:space="0" w:color="FFFFFF"/>
                  </w:tcBorders>
                  <w:shd w:val="clear" w:color="000000" w:fill="FCD5B4"/>
                  <w:noWrap/>
                  <w:vAlign w:val="center"/>
                  <w:hideMark/>
                </w:tcPr>
                <w:p w14:paraId="7656D69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-4.7 </w:t>
                  </w:r>
                </w:p>
              </w:tc>
              <w:tc>
                <w:tcPr>
                  <w:tcW w:w="1157" w:type="dxa"/>
                  <w:tcBorders>
                    <w:top w:val="nil"/>
                    <w:left w:val="nil"/>
                    <w:bottom w:val="nil"/>
                    <w:right w:val="nil"/>
                  </w:tcBorders>
                  <w:shd w:val="clear" w:color="000000" w:fill="FCD5B4"/>
                  <w:noWrap/>
                  <w:vAlign w:val="center"/>
                  <w:hideMark/>
                </w:tcPr>
                <w:p w14:paraId="7C73DCDC"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03ECDB2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-7.2 </w:t>
                  </w:r>
                </w:p>
              </w:tc>
              <w:tc>
                <w:tcPr>
                  <w:tcW w:w="921" w:type="dxa"/>
                  <w:tcBorders>
                    <w:top w:val="nil"/>
                    <w:left w:val="nil"/>
                    <w:bottom w:val="single" w:sz="8" w:space="0" w:color="FFFFFF"/>
                    <w:right w:val="single" w:sz="8" w:space="0" w:color="FFFFFF"/>
                  </w:tcBorders>
                  <w:shd w:val="clear" w:color="000000" w:fill="FCD5B4"/>
                  <w:noWrap/>
                  <w:vAlign w:val="center"/>
                  <w:hideMark/>
                </w:tcPr>
                <w:p w14:paraId="309F80E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-9.2 </w:t>
                  </w:r>
                </w:p>
              </w:tc>
              <w:tc>
                <w:tcPr>
                  <w:tcW w:w="921" w:type="dxa"/>
                  <w:tcBorders>
                    <w:top w:val="nil"/>
                    <w:left w:val="nil"/>
                    <w:bottom w:val="single" w:sz="8" w:space="0" w:color="FFFFFF"/>
                    <w:right w:val="single" w:sz="8" w:space="0" w:color="FFFFFF"/>
                  </w:tcBorders>
                  <w:shd w:val="clear" w:color="000000" w:fill="FCD5B4"/>
                  <w:noWrap/>
                  <w:vAlign w:val="center"/>
                  <w:hideMark/>
                </w:tcPr>
                <w:p w14:paraId="722086F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-11.2 </w:t>
                  </w:r>
                </w:p>
              </w:tc>
              <w:tc>
                <w:tcPr>
                  <w:tcW w:w="921" w:type="dxa"/>
                  <w:tcBorders>
                    <w:top w:val="nil"/>
                    <w:left w:val="nil"/>
                    <w:bottom w:val="single" w:sz="8" w:space="0" w:color="FFFFFF"/>
                    <w:right w:val="single" w:sz="8" w:space="0" w:color="FFFFFF"/>
                  </w:tcBorders>
                  <w:shd w:val="clear" w:color="000000" w:fill="FCD5B4"/>
                  <w:noWrap/>
                  <w:vAlign w:val="center"/>
                  <w:hideMark/>
                </w:tcPr>
                <w:p w14:paraId="64E781C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FF0000"/>
                      <w:kern w:val="0"/>
                      <w:szCs w:val="21"/>
                    </w:rPr>
                    <w:t xml:space="preserve">-8.2 </w:t>
                  </w:r>
                </w:p>
              </w:tc>
            </w:tr>
            <w:tr w:rsidR="00F31B87" w:rsidRPr="00F31B87" w14:paraId="2BCC8AF2" w14:textId="77777777" w:rsidTr="00F31B87">
              <w:trPr>
                <w:trHeight w:val="150"/>
              </w:trPr>
              <w:tc>
                <w:tcPr>
                  <w:tcW w:w="1350" w:type="dxa"/>
                  <w:tcBorders>
                    <w:top w:val="nil"/>
                    <w:left w:val="nil"/>
                    <w:bottom w:val="nil"/>
                    <w:right w:val="nil"/>
                  </w:tcBorders>
                  <w:shd w:val="clear" w:color="auto" w:fill="auto"/>
                  <w:noWrap/>
                  <w:vAlign w:val="center"/>
                  <w:hideMark/>
                </w:tcPr>
                <w:p w14:paraId="3BA70119" w14:textId="77777777" w:rsidR="00F31B87" w:rsidRPr="00F31B87" w:rsidRDefault="00F31B87" w:rsidP="00F31B87">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10E1E9A3"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5CCC59E"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BC6091A"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75807F4" w14:textId="77777777" w:rsidR="00F31B87" w:rsidRPr="00F31B87" w:rsidRDefault="00F31B87" w:rsidP="00F31B87">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67360FDA"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00B13D6"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404B2F6"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3526661" w14:textId="77777777" w:rsidR="00F31B87" w:rsidRPr="00F31B87" w:rsidRDefault="00F31B87" w:rsidP="00F31B87">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B2E5701" w14:textId="77777777" w:rsidR="00F31B87" w:rsidRPr="00F31B87" w:rsidRDefault="00F31B87" w:rsidP="00F31B87">
                  <w:pPr>
                    <w:widowControl/>
                    <w:jc w:val="center"/>
                    <w:rPr>
                      <w:rFonts w:ascii="Times New Roman" w:eastAsia="Times New Roman" w:hAnsi="Times New Roman"/>
                      <w:kern w:val="0"/>
                      <w:sz w:val="20"/>
                      <w:szCs w:val="20"/>
                    </w:rPr>
                  </w:pPr>
                </w:p>
              </w:tc>
            </w:tr>
            <w:tr w:rsidR="00F31B87" w:rsidRPr="00F31B87" w14:paraId="768A1A7F" w14:textId="77777777" w:rsidTr="00F31B87">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60FB27A0"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1E2C0A6E"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A98E79E"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6FA6113"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E6B1D72"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6E558EE1"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357404D"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54ABFD6"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FAE43DE"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B6E6E4C" w14:textId="77777777" w:rsidR="00F31B87" w:rsidRPr="00F31B87" w:rsidRDefault="00F31B87" w:rsidP="00F31B87">
                  <w:pPr>
                    <w:widowControl/>
                    <w:jc w:val="center"/>
                    <w:rPr>
                      <w:rFonts w:ascii="楷体" w:eastAsia="楷体" w:hAnsi="楷体" w:cs="宋体"/>
                      <w:b/>
                      <w:bCs/>
                      <w:color w:val="FFFFFF"/>
                      <w:kern w:val="0"/>
                      <w:sz w:val="20"/>
                      <w:szCs w:val="20"/>
                    </w:rPr>
                  </w:pPr>
                  <w:r w:rsidRPr="00F31B87">
                    <w:rPr>
                      <w:rFonts w:ascii="楷体" w:eastAsia="楷体" w:hAnsi="楷体" w:cs="宋体" w:hint="eastAsia"/>
                      <w:b/>
                      <w:bCs/>
                      <w:color w:val="FFFFFF"/>
                      <w:kern w:val="0"/>
                      <w:sz w:val="20"/>
                      <w:szCs w:val="20"/>
                    </w:rPr>
                    <w:t>AA-</w:t>
                  </w:r>
                </w:p>
              </w:tc>
            </w:tr>
            <w:tr w:rsidR="00F31B87" w:rsidRPr="00F31B87" w14:paraId="331CDA18" w14:textId="77777777" w:rsidTr="00F31B87">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2B275F84"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0881BA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2099A13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40C9D89A"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1A8752D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49%</w:t>
                  </w:r>
                </w:p>
              </w:tc>
              <w:tc>
                <w:tcPr>
                  <w:tcW w:w="1157" w:type="dxa"/>
                  <w:tcBorders>
                    <w:top w:val="nil"/>
                    <w:left w:val="nil"/>
                    <w:bottom w:val="single" w:sz="8" w:space="0" w:color="FFFFFF"/>
                    <w:right w:val="single" w:sz="8" w:space="0" w:color="FFFFFF"/>
                  </w:tcBorders>
                  <w:shd w:val="clear" w:color="000000" w:fill="FCD5B4"/>
                  <w:noWrap/>
                  <w:vAlign w:val="center"/>
                  <w:hideMark/>
                </w:tcPr>
                <w:p w14:paraId="54816269"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02A9365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3096FD3A"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2B7D6E7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0602C3C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61%</w:t>
                  </w:r>
                </w:p>
              </w:tc>
            </w:tr>
            <w:tr w:rsidR="00F31B87" w:rsidRPr="00F31B87" w14:paraId="054C63E6"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4E7A4C8"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75A9733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00B691E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7707FAF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0833005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58%</w:t>
                  </w:r>
                </w:p>
              </w:tc>
              <w:tc>
                <w:tcPr>
                  <w:tcW w:w="1157" w:type="dxa"/>
                  <w:tcBorders>
                    <w:top w:val="nil"/>
                    <w:left w:val="nil"/>
                    <w:bottom w:val="single" w:sz="8" w:space="0" w:color="FFFFFF"/>
                    <w:right w:val="single" w:sz="8" w:space="0" w:color="FFFFFF"/>
                  </w:tcBorders>
                  <w:shd w:val="clear" w:color="000000" w:fill="FDE9D9"/>
                  <w:noWrap/>
                  <w:vAlign w:val="center"/>
                  <w:hideMark/>
                </w:tcPr>
                <w:p w14:paraId="279FDFBF"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3B575E5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DE9D9"/>
                  <w:noWrap/>
                  <w:vAlign w:val="center"/>
                  <w:hideMark/>
                </w:tcPr>
                <w:p w14:paraId="21CAA25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DE9D9"/>
                  <w:noWrap/>
                  <w:vAlign w:val="center"/>
                  <w:hideMark/>
                </w:tcPr>
                <w:p w14:paraId="75C2DE0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4FCCF7D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69%</w:t>
                  </w:r>
                </w:p>
              </w:tc>
            </w:tr>
            <w:tr w:rsidR="00F31B87" w:rsidRPr="00F31B87" w14:paraId="00D17185"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EA126E6"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75E362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2451100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54E182E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6A68FE36"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49%</w:t>
                  </w:r>
                </w:p>
              </w:tc>
              <w:tc>
                <w:tcPr>
                  <w:tcW w:w="1157" w:type="dxa"/>
                  <w:tcBorders>
                    <w:top w:val="nil"/>
                    <w:left w:val="nil"/>
                    <w:bottom w:val="single" w:sz="8" w:space="0" w:color="FFFFFF"/>
                    <w:right w:val="single" w:sz="8" w:space="0" w:color="FFFFFF"/>
                  </w:tcBorders>
                  <w:shd w:val="clear" w:color="000000" w:fill="FCD5B4"/>
                  <w:noWrap/>
                  <w:vAlign w:val="center"/>
                  <w:hideMark/>
                </w:tcPr>
                <w:p w14:paraId="58ED5354"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23A2A51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31A3581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6276445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6E279D7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60%</w:t>
                  </w:r>
                </w:p>
              </w:tc>
            </w:tr>
            <w:tr w:rsidR="00F31B87" w:rsidRPr="00F31B87" w14:paraId="00B67F13"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DFCBC47"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3CFDC23"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DE9D9"/>
                  <w:noWrap/>
                  <w:vAlign w:val="center"/>
                  <w:hideMark/>
                </w:tcPr>
                <w:p w14:paraId="383D291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1D5F4E26"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6C45D10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56%</w:t>
                  </w:r>
                </w:p>
              </w:tc>
              <w:tc>
                <w:tcPr>
                  <w:tcW w:w="1157" w:type="dxa"/>
                  <w:tcBorders>
                    <w:top w:val="nil"/>
                    <w:left w:val="nil"/>
                    <w:bottom w:val="single" w:sz="8" w:space="0" w:color="FFFFFF"/>
                    <w:right w:val="single" w:sz="8" w:space="0" w:color="FFFFFF"/>
                  </w:tcBorders>
                  <w:shd w:val="clear" w:color="000000" w:fill="FDE9D9"/>
                  <w:noWrap/>
                  <w:vAlign w:val="center"/>
                  <w:hideMark/>
                </w:tcPr>
                <w:p w14:paraId="4D702553"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6254B4B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66A4FECE"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62D0257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663B018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68%</w:t>
                  </w:r>
                </w:p>
              </w:tc>
            </w:tr>
            <w:tr w:rsidR="00F31B87" w:rsidRPr="00F31B87" w14:paraId="6D72CD4C"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435A602"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492E9E1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C73345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0AAAD31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567177D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46%</w:t>
                  </w:r>
                </w:p>
              </w:tc>
              <w:tc>
                <w:tcPr>
                  <w:tcW w:w="1157" w:type="dxa"/>
                  <w:tcBorders>
                    <w:top w:val="nil"/>
                    <w:left w:val="nil"/>
                    <w:bottom w:val="single" w:sz="8" w:space="0" w:color="FFFFFF"/>
                    <w:right w:val="single" w:sz="8" w:space="0" w:color="FFFFFF"/>
                  </w:tcBorders>
                  <w:shd w:val="clear" w:color="000000" w:fill="FCD5B4"/>
                  <w:noWrap/>
                  <w:vAlign w:val="center"/>
                  <w:hideMark/>
                </w:tcPr>
                <w:p w14:paraId="5A0E71EE"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77358B9A"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5C39927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27B50BC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67922A6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58%</w:t>
                  </w:r>
                </w:p>
              </w:tc>
            </w:tr>
            <w:tr w:rsidR="00F31B87" w:rsidRPr="00F31B87" w14:paraId="63B49EDE"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83AC8CE"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32366BC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6CD10B6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2AAE658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7F79A50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41%</w:t>
                  </w:r>
                </w:p>
              </w:tc>
              <w:tc>
                <w:tcPr>
                  <w:tcW w:w="1157" w:type="dxa"/>
                  <w:tcBorders>
                    <w:top w:val="nil"/>
                    <w:left w:val="nil"/>
                    <w:bottom w:val="single" w:sz="8" w:space="0" w:color="FFFFFF"/>
                    <w:right w:val="single" w:sz="8" w:space="0" w:color="FFFFFF"/>
                  </w:tcBorders>
                  <w:shd w:val="clear" w:color="000000" w:fill="FDE9D9"/>
                  <w:noWrap/>
                  <w:vAlign w:val="center"/>
                  <w:hideMark/>
                </w:tcPr>
                <w:p w14:paraId="78BE396A" w14:textId="77777777" w:rsidR="00F31B87" w:rsidRPr="00F31B87" w:rsidRDefault="00F31B87" w:rsidP="00F31B87">
                  <w:pPr>
                    <w:widowControl/>
                    <w:jc w:val="center"/>
                    <w:rPr>
                      <w:rFonts w:ascii="楷体" w:eastAsia="楷体" w:hAnsi="楷体" w:cs="宋体"/>
                      <w:color w:val="000000"/>
                      <w:kern w:val="0"/>
                      <w:sz w:val="20"/>
                      <w:szCs w:val="20"/>
                    </w:rPr>
                  </w:pPr>
                  <w:r w:rsidRPr="00F31B87">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4AD9936"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02DB7048"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376F2E7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3F56101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58%</w:t>
                  </w:r>
                </w:p>
              </w:tc>
            </w:tr>
            <w:tr w:rsidR="00F31B87" w:rsidRPr="00F31B87" w14:paraId="41D5FBB5" w14:textId="77777777" w:rsidTr="00F31B87">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33F9A4B"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5A0EFB7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CD5B4"/>
                  <w:noWrap/>
                  <w:vAlign w:val="center"/>
                  <w:hideMark/>
                </w:tcPr>
                <w:p w14:paraId="0BD13A3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74B2A50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0472942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66%</w:t>
                  </w:r>
                </w:p>
              </w:tc>
              <w:tc>
                <w:tcPr>
                  <w:tcW w:w="1157" w:type="dxa"/>
                  <w:tcBorders>
                    <w:top w:val="nil"/>
                    <w:left w:val="nil"/>
                    <w:bottom w:val="single" w:sz="8" w:space="0" w:color="FFFFFF"/>
                    <w:right w:val="single" w:sz="8" w:space="0" w:color="FFFFFF"/>
                  </w:tcBorders>
                  <w:shd w:val="clear" w:color="000000" w:fill="FCD5B4"/>
                  <w:noWrap/>
                  <w:vAlign w:val="center"/>
                  <w:hideMark/>
                </w:tcPr>
                <w:p w14:paraId="3AA976A7"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1239B52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4AE70310"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1B6D669D"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FC7CE"/>
                  <w:noWrap/>
                  <w:vAlign w:val="center"/>
                  <w:hideMark/>
                </w:tcPr>
                <w:p w14:paraId="4F065ACB" w14:textId="77777777" w:rsidR="00F31B87" w:rsidRPr="00F31B87" w:rsidRDefault="00F31B87" w:rsidP="00F31B87">
                  <w:pPr>
                    <w:widowControl/>
                    <w:jc w:val="center"/>
                    <w:rPr>
                      <w:rFonts w:eastAsia="等线" w:cs="Calibri"/>
                      <w:color w:val="9C0006"/>
                      <w:kern w:val="0"/>
                      <w:szCs w:val="21"/>
                    </w:rPr>
                  </w:pPr>
                  <w:r w:rsidRPr="00F31B87">
                    <w:rPr>
                      <w:rFonts w:eastAsia="等线" w:cs="Calibri"/>
                      <w:color w:val="9C0006"/>
                      <w:kern w:val="0"/>
                      <w:szCs w:val="21"/>
                    </w:rPr>
                    <w:t>80%</w:t>
                  </w:r>
                </w:p>
              </w:tc>
            </w:tr>
            <w:tr w:rsidR="00F31B87" w:rsidRPr="00F31B87" w14:paraId="6334967A" w14:textId="77777777" w:rsidTr="00F31B87">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926200D"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56A86FA2"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16CF7CAF"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30EF0F7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DE9D9"/>
                  <w:noWrap/>
                  <w:vAlign w:val="center"/>
                  <w:hideMark/>
                </w:tcPr>
                <w:p w14:paraId="5E30B2B9"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81%</w:t>
                  </w:r>
                </w:p>
              </w:tc>
              <w:tc>
                <w:tcPr>
                  <w:tcW w:w="1157" w:type="dxa"/>
                  <w:tcBorders>
                    <w:top w:val="nil"/>
                    <w:left w:val="nil"/>
                    <w:bottom w:val="single" w:sz="8" w:space="0" w:color="FFFFFF"/>
                    <w:right w:val="single" w:sz="8" w:space="0" w:color="FFFFFF"/>
                  </w:tcBorders>
                  <w:shd w:val="clear" w:color="000000" w:fill="FDE9D9"/>
                  <w:noWrap/>
                  <w:vAlign w:val="center"/>
                  <w:hideMark/>
                </w:tcPr>
                <w:p w14:paraId="0D455E64"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3942ED7B"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579D68A4"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4CC4371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FC7CE"/>
                  <w:noWrap/>
                  <w:vAlign w:val="center"/>
                  <w:hideMark/>
                </w:tcPr>
                <w:p w14:paraId="1E8158B3" w14:textId="77777777" w:rsidR="00F31B87" w:rsidRPr="00F31B87" w:rsidRDefault="00F31B87" w:rsidP="00F31B87">
                  <w:pPr>
                    <w:widowControl/>
                    <w:jc w:val="center"/>
                    <w:rPr>
                      <w:rFonts w:eastAsia="等线" w:cs="Calibri"/>
                      <w:color w:val="9C0006"/>
                      <w:kern w:val="0"/>
                      <w:szCs w:val="21"/>
                    </w:rPr>
                  </w:pPr>
                  <w:r w:rsidRPr="00F31B87">
                    <w:rPr>
                      <w:rFonts w:eastAsia="等线" w:cs="Calibri"/>
                      <w:color w:val="9C0006"/>
                      <w:kern w:val="0"/>
                      <w:szCs w:val="21"/>
                    </w:rPr>
                    <w:t>92%</w:t>
                  </w:r>
                </w:p>
              </w:tc>
            </w:tr>
            <w:tr w:rsidR="00F31B87" w:rsidRPr="00F31B87" w14:paraId="66628CC8" w14:textId="77777777" w:rsidTr="00F31B87">
              <w:trPr>
                <w:trHeight w:val="300"/>
              </w:trPr>
              <w:tc>
                <w:tcPr>
                  <w:tcW w:w="1350" w:type="dxa"/>
                  <w:tcBorders>
                    <w:top w:val="nil"/>
                    <w:left w:val="nil"/>
                    <w:bottom w:val="nil"/>
                    <w:right w:val="nil"/>
                  </w:tcBorders>
                  <w:shd w:val="clear" w:color="000000" w:fill="FCD5B4"/>
                  <w:noWrap/>
                  <w:vAlign w:val="center"/>
                  <w:hideMark/>
                </w:tcPr>
                <w:p w14:paraId="737DC326"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3AB47A2C"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38BFBD15"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2EC592F7"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6CA3DA6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75%</w:t>
                  </w:r>
                </w:p>
              </w:tc>
              <w:tc>
                <w:tcPr>
                  <w:tcW w:w="1157" w:type="dxa"/>
                  <w:tcBorders>
                    <w:top w:val="nil"/>
                    <w:left w:val="nil"/>
                    <w:bottom w:val="nil"/>
                    <w:right w:val="nil"/>
                  </w:tcBorders>
                  <w:shd w:val="clear" w:color="000000" w:fill="FCD5B4"/>
                  <w:noWrap/>
                  <w:vAlign w:val="center"/>
                  <w:hideMark/>
                </w:tcPr>
                <w:p w14:paraId="64FDB478" w14:textId="77777777" w:rsidR="00F31B87" w:rsidRPr="00F31B87" w:rsidRDefault="00F31B87" w:rsidP="00F31B87">
                  <w:pPr>
                    <w:widowControl/>
                    <w:jc w:val="center"/>
                    <w:rPr>
                      <w:rFonts w:ascii="楷体" w:eastAsia="楷体" w:hAnsi="楷体" w:cs="宋体"/>
                      <w:color w:val="000000"/>
                      <w:kern w:val="0"/>
                      <w:sz w:val="20"/>
                      <w:szCs w:val="20"/>
                    </w:rPr>
                  </w:pPr>
                  <w:proofErr w:type="gramStart"/>
                  <w:r w:rsidRPr="00F31B87">
                    <w:rPr>
                      <w:rFonts w:ascii="楷体" w:eastAsia="楷体" w:hAnsi="楷体" w:cs="宋体" w:hint="eastAsia"/>
                      <w:color w:val="000000"/>
                      <w:kern w:val="0"/>
                      <w:sz w:val="20"/>
                      <w:szCs w:val="20"/>
                    </w:rPr>
                    <w:t>城投债</w:t>
                  </w:r>
                  <w:proofErr w:type="gramEnd"/>
                  <w:r w:rsidRPr="00F31B87">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74015BE6"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732F6D8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7D88DDE1" w14:textId="77777777" w:rsidR="00F31B87" w:rsidRPr="00F31B87" w:rsidRDefault="00F31B87" w:rsidP="00F31B87">
                  <w:pPr>
                    <w:widowControl/>
                    <w:jc w:val="center"/>
                    <w:rPr>
                      <w:rFonts w:eastAsia="等线" w:cs="Calibri"/>
                      <w:color w:val="000000"/>
                      <w:kern w:val="0"/>
                      <w:szCs w:val="21"/>
                    </w:rPr>
                  </w:pPr>
                  <w:r w:rsidRPr="00F31B87">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FC7CE"/>
                  <w:noWrap/>
                  <w:vAlign w:val="center"/>
                  <w:hideMark/>
                </w:tcPr>
                <w:p w14:paraId="06B4EFDC" w14:textId="77777777" w:rsidR="00F31B87" w:rsidRPr="00F31B87" w:rsidRDefault="00F31B87" w:rsidP="00F31B87">
                  <w:pPr>
                    <w:widowControl/>
                    <w:jc w:val="center"/>
                    <w:rPr>
                      <w:rFonts w:eastAsia="等线" w:cs="Calibri"/>
                      <w:color w:val="9C0006"/>
                      <w:kern w:val="0"/>
                      <w:szCs w:val="21"/>
                    </w:rPr>
                  </w:pPr>
                  <w:r w:rsidRPr="00F31B87">
                    <w:rPr>
                      <w:rFonts w:eastAsia="等线" w:cs="Calibri"/>
                      <w:color w:val="9C0006"/>
                      <w:kern w:val="0"/>
                      <w:szCs w:val="21"/>
                    </w:rPr>
                    <w:t>89%</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775135BF"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2C4A75" w:rsidRPr="002C4A75">
        <w:rPr>
          <w:rFonts w:ascii="华文楷体" w:hAnsi="华文楷体" w:hint="eastAsia"/>
          <w:sz w:val="24"/>
          <w:szCs w:val="24"/>
          <w:lang w:eastAsia="zh-CN"/>
        </w:rPr>
        <w:t>各主要板块指数多数上行，多数板块成交量</w:t>
      </w:r>
      <w:r w:rsidR="00DD03B3">
        <w:rPr>
          <w:rFonts w:ascii="华文楷体" w:hAnsi="华文楷体" w:hint="eastAsia"/>
          <w:sz w:val="24"/>
          <w:szCs w:val="24"/>
          <w:lang w:eastAsia="zh-CN"/>
        </w:rPr>
        <w:t>上涨</w:t>
      </w:r>
      <w:r w:rsidR="002C4A75" w:rsidRPr="002C4A75">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DD03B3">
        <w:rPr>
          <w:rFonts w:ascii="华文楷体" w:hAnsi="华文楷体" w:hint="eastAsia"/>
          <w:sz w:val="24"/>
          <w:szCs w:val="24"/>
          <w:lang w:eastAsia="zh-CN"/>
        </w:rPr>
        <w:t>+3.3</w:t>
      </w:r>
      <w:r w:rsidR="00AC28BB">
        <w:rPr>
          <w:rFonts w:ascii="华文楷体" w:hAnsi="华文楷体"/>
          <w:sz w:val="24"/>
          <w:szCs w:val="24"/>
          <w:lang w:eastAsia="zh-CN"/>
        </w:rPr>
        <w:t>%、</w:t>
      </w:r>
      <w:r w:rsidR="001F098C">
        <w:rPr>
          <w:rFonts w:ascii="华文楷体" w:hAnsi="华文楷体" w:hint="eastAsia"/>
          <w:sz w:val="24"/>
          <w:szCs w:val="24"/>
          <w:lang w:eastAsia="zh-CN"/>
        </w:rPr>
        <w:t>+</w:t>
      </w:r>
      <w:r w:rsidR="00DD03B3">
        <w:rPr>
          <w:rFonts w:ascii="华文楷体" w:hAnsi="华文楷体" w:hint="eastAsia"/>
          <w:sz w:val="24"/>
          <w:szCs w:val="24"/>
          <w:lang w:eastAsia="zh-CN"/>
        </w:rPr>
        <w:t>3.8</w:t>
      </w:r>
      <w:r w:rsidR="00AC28BB">
        <w:rPr>
          <w:rFonts w:ascii="华文楷体" w:hAnsi="华文楷体"/>
          <w:sz w:val="24"/>
          <w:szCs w:val="24"/>
          <w:lang w:eastAsia="zh-CN"/>
        </w:rPr>
        <w:t>%、</w:t>
      </w:r>
      <w:r w:rsidR="00DD03B3">
        <w:rPr>
          <w:rFonts w:ascii="华文楷体" w:hAnsi="华文楷体" w:hint="eastAsia"/>
          <w:sz w:val="24"/>
          <w:szCs w:val="24"/>
          <w:lang w:eastAsia="zh-CN"/>
        </w:rPr>
        <w:t>+5.1</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1F098C">
        <w:rPr>
          <w:rFonts w:ascii="华文楷体" w:hAnsi="华文楷体" w:hint="eastAsia"/>
          <w:sz w:val="24"/>
          <w:szCs w:val="24"/>
          <w:lang w:eastAsia="zh-CN"/>
        </w:rPr>
        <w:t>+</w:t>
      </w:r>
      <w:r w:rsidR="00DD03B3">
        <w:rPr>
          <w:rFonts w:ascii="华文楷体" w:hAnsi="华文楷体" w:hint="eastAsia"/>
          <w:sz w:val="24"/>
          <w:szCs w:val="24"/>
          <w:lang w:eastAsia="zh-CN"/>
        </w:rPr>
        <w:t>3.6</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F34CA2">
        <w:rPr>
          <w:rFonts w:ascii="华文楷体" w:hAnsi="华文楷体" w:hint="eastAsia"/>
          <w:sz w:val="24"/>
          <w:szCs w:val="24"/>
          <w:lang w:eastAsia="zh-CN"/>
        </w:rPr>
        <w:t>受权益市场反弹提振</w:t>
      </w:r>
      <w:r w:rsidR="00DC05C7">
        <w:rPr>
          <w:rFonts w:ascii="华文楷体" w:hAnsi="华文楷体" w:hint="eastAsia"/>
          <w:sz w:val="24"/>
          <w:szCs w:val="24"/>
          <w:lang w:eastAsia="zh-CN"/>
        </w:rPr>
        <w:t>，</w:t>
      </w:r>
      <w:r w:rsidR="00F34CA2">
        <w:rPr>
          <w:rFonts w:ascii="华文楷体" w:hAnsi="华文楷体" w:hint="eastAsia"/>
          <w:sz w:val="24"/>
          <w:szCs w:val="24"/>
          <w:lang w:eastAsia="zh-CN"/>
        </w:rPr>
        <w:t>转</w:t>
      </w:r>
      <w:proofErr w:type="gramStart"/>
      <w:r w:rsidR="00F34CA2">
        <w:rPr>
          <w:rFonts w:ascii="华文楷体" w:hAnsi="华文楷体" w:hint="eastAsia"/>
          <w:sz w:val="24"/>
          <w:szCs w:val="24"/>
          <w:lang w:eastAsia="zh-CN"/>
        </w:rPr>
        <w:t>债整体</w:t>
      </w:r>
      <w:proofErr w:type="gramEnd"/>
      <w:r w:rsidR="00F34CA2">
        <w:rPr>
          <w:rFonts w:ascii="华文楷体" w:hAnsi="华文楷体" w:hint="eastAsia"/>
          <w:sz w:val="24"/>
          <w:szCs w:val="24"/>
          <w:lang w:eastAsia="zh-CN"/>
        </w:rPr>
        <w:t>表现较好，</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F34CA2">
        <w:rPr>
          <w:rFonts w:ascii="华文楷体" w:hAnsi="华文楷体" w:hint="eastAsia"/>
          <w:sz w:val="24"/>
          <w:szCs w:val="24"/>
          <w:lang w:eastAsia="zh-CN"/>
        </w:rPr>
        <w:t>上涨</w:t>
      </w:r>
      <w:r w:rsidR="00DD03B3">
        <w:rPr>
          <w:rFonts w:ascii="华文楷体" w:hAnsi="华文楷体" w:hint="eastAsia"/>
          <w:sz w:val="24"/>
          <w:szCs w:val="24"/>
          <w:lang w:eastAsia="zh-CN"/>
        </w:rPr>
        <w:t>1.7</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DD03B3">
        <w:tblPrEx>
          <w:tblCellMar>
            <w:left w:w="108" w:type="dxa"/>
            <w:right w:w="108" w:type="dxa"/>
          </w:tblCellMar>
        </w:tblPrEx>
        <w:trPr>
          <w:trHeight w:val="2921"/>
          <w:jc w:val="center"/>
        </w:trPr>
        <w:tc>
          <w:tcPr>
            <w:tcW w:w="4939" w:type="dxa"/>
            <w:vAlign w:val="center"/>
          </w:tcPr>
          <w:p w14:paraId="5C83721A" w14:textId="2A111B10" w:rsidR="00E0626C" w:rsidRPr="00345C30" w:rsidRDefault="00DD03B3" w:rsidP="00345C30">
            <w:pPr>
              <w:widowControl/>
              <w:jc w:val="left"/>
              <w:rPr>
                <w:rFonts w:ascii="宋体" w:hAnsi="宋体" w:cs="宋体"/>
                <w:kern w:val="0"/>
                <w:sz w:val="24"/>
                <w:szCs w:val="24"/>
              </w:rPr>
            </w:pPr>
            <w:r w:rsidRPr="00DD03B3">
              <w:rPr>
                <w:rFonts w:ascii="宋体" w:hAnsi="宋体" w:cs="宋体"/>
                <w:noProof/>
                <w:kern w:val="0"/>
                <w:sz w:val="24"/>
                <w:szCs w:val="24"/>
              </w:rPr>
              <w:drawing>
                <wp:inline distT="0" distB="0" distL="0" distR="0" wp14:anchorId="6B4019DA" wp14:editId="75B35564">
                  <wp:extent cx="3116580" cy="1924216"/>
                  <wp:effectExtent l="0" t="0" r="7620" b="0"/>
                  <wp:docPr id="19" name="图片 19" descr="C:\Users\Tang\AppData\Local\Temp\16224281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22428116(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97648" cy="1974268"/>
                          </a:xfrm>
                          <a:prstGeom prst="rect">
                            <a:avLst/>
                          </a:prstGeom>
                          <a:noFill/>
                          <a:ln>
                            <a:noFill/>
                          </a:ln>
                        </pic:spPr>
                      </pic:pic>
                    </a:graphicData>
                  </a:graphic>
                </wp:inline>
              </w:drawing>
            </w:r>
          </w:p>
        </w:tc>
        <w:tc>
          <w:tcPr>
            <w:tcW w:w="4938" w:type="dxa"/>
            <w:vAlign w:val="center"/>
          </w:tcPr>
          <w:p w14:paraId="39BD4383" w14:textId="7FD9C8A1" w:rsidR="00E0626C" w:rsidRPr="007E0340" w:rsidRDefault="00DD03B3" w:rsidP="009A2BA0">
            <w:pPr>
              <w:jc w:val="center"/>
              <w:rPr>
                <w:noProof/>
                <w:szCs w:val="18"/>
              </w:rPr>
            </w:pPr>
            <w:r>
              <w:rPr>
                <w:noProof/>
              </w:rPr>
              <w:drawing>
                <wp:inline distT="0" distB="0" distL="0" distR="0" wp14:anchorId="60F2C8FD" wp14:editId="1DB58D63">
                  <wp:extent cx="2998470" cy="1937993"/>
                  <wp:effectExtent l="0" t="0" r="0" b="5715"/>
                  <wp:docPr id="20" name="图表 20">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5F9D2C75"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8A65A0">
        <w:rPr>
          <w:rFonts w:ascii="华文楷体" w:hAnsi="华文楷体" w:hint="eastAsia"/>
          <w:sz w:val="24"/>
          <w:szCs w:val="24"/>
          <w:lang w:eastAsia="zh-CN"/>
        </w:rPr>
        <w:t>上</w:t>
      </w:r>
      <w:r w:rsidR="00D17748" w:rsidRPr="00D17748">
        <w:rPr>
          <w:rFonts w:ascii="华文楷体" w:hAnsi="华文楷体" w:hint="eastAsia"/>
          <w:sz w:val="24"/>
          <w:szCs w:val="24"/>
          <w:lang w:eastAsia="zh-CN"/>
        </w:rPr>
        <w:t>周主要港口动力煤平均价环比下跌3.43%</w:t>
      </w:r>
      <w:r w:rsidR="00D17748">
        <w:rPr>
          <w:rFonts w:ascii="华文楷体" w:hAnsi="华文楷体" w:hint="eastAsia"/>
          <w:sz w:val="24"/>
          <w:szCs w:val="24"/>
          <w:lang w:eastAsia="zh-CN"/>
        </w:rPr>
        <w:t>。</w:t>
      </w:r>
      <w:r w:rsidR="00D17748" w:rsidRPr="00D17748">
        <w:rPr>
          <w:rFonts w:ascii="华文楷体" w:hAnsi="华文楷体" w:hint="eastAsia"/>
          <w:sz w:val="24"/>
          <w:szCs w:val="24"/>
          <w:lang w:eastAsia="zh-CN"/>
        </w:rPr>
        <w:t>PTA产业链负荷率小幅下降0.69个百分点至83.46%</w:t>
      </w:r>
      <w:r w:rsidR="00AE5690" w:rsidRPr="00AE5690">
        <w:rPr>
          <w:rFonts w:ascii="华文楷体" w:hAnsi="华文楷体" w:hint="eastAsia"/>
          <w:sz w:val="24"/>
          <w:szCs w:val="24"/>
          <w:lang w:eastAsia="zh-CN"/>
        </w:rPr>
        <w:t>。</w:t>
      </w:r>
      <w:r w:rsidR="00D17748" w:rsidRPr="00D17748">
        <w:rPr>
          <w:rFonts w:ascii="华文楷体" w:hAnsi="华文楷体" w:hint="eastAsia"/>
          <w:sz w:val="24"/>
          <w:szCs w:val="24"/>
          <w:lang w:eastAsia="zh-CN"/>
        </w:rPr>
        <w:t>中国玻璃综合指数上行1.78%，涨幅较上</w:t>
      </w:r>
      <w:r w:rsidR="008A65A0">
        <w:rPr>
          <w:rFonts w:ascii="华文楷体" w:hAnsi="华文楷体" w:hint="eastAsia"/>
          <w:sz w:val="24"/>
          <w:szCs w:val="24"/>
          <w:lang w:eastAsia="zh-CN"/>
        </w:rPr>
        <w:t>一</w:t>
      </w:r>
      <w:r w:rsidR="00D17748" w:rsidRPr="00D17748">
        <w:rPr>
          <w:rFonts w:ascii="华文楷体" w:hAnsi="华文楷体" w:hint="eastAsia"/>
          <w:sz w:val="24"/>
          <w:szCs w:val="24"/>
          <w:lang w:eastAsia="zh-CN"/>
        </w:rPr>
        <w:t>周有所收敛。</w:t>
      </w:r>
      <w:r w:rsidR="008A65A0">
        <w:rPr>
          <w:rFonts w:ascii="华文楷体" w:hAnsi="华文楷体" w:hint="eastAsia"/>
          <w:sz w:val="24"/>
          <w:szCs w:val="24"/>
          <w:lang w:eastAsia="zh-CN"/>
        </w:rPr>
        <w:t>上</w:t>
      </w:r>
      <w:r w:rsidR="00D17748" w:rsidRPr="00D17748">
        <w:rPr>
          <w:rFonts w:ascii="华文楷体" w:hAnsi="华文楷体" w:hint="eastAsia"/>
          <w:sz w:val="24"/>
          <w:szCs w:val="24"/>
          <w:lang w:eastAsia="zh-CN"/>
        </w:rPr>
        <w:t>周</w:t>
      </w:r>
      <w:proofErr w:type="spellStart"/>
      <w:r w:rsidR="00D17748" w:rsidRPr="00D17748">
        <w:rPr>
          <w:rFonts w:ascii="华文楷体" w:hAnsi="华文楷体" w:hint="eastAsia"/>
          <w:sz w:val="24"/>
          <w:szCs w:val="24"/>
          <w:lang w:eastAsia="zh-CN"/>
        </w:rPr>
        <w:t>Myspic</w:t>
      </w:r>
      <w:proofErr w:type="spellEnd"/>
      <w:r w:rsidR="00D17748" w:rsidRPr="00D17748">
        <w:rPr>
          <w:rFonts w:ascii="华文楷体" w:hAnsi="华文楷体" w:hint="eastAsia"/>
          <w:sz w:val="24"/>
          <w:szCs w:val="24"/>
          <w:lang w:eastAsia="zh-CN"/>
        </w:rPr>
        <w:t>综合全国钢铁价格指数回落8.71%，主要品种价格分别回调9-10%左右。按品种看，螺纹钢、热卷、高线价格本周分别下跌9.4%、9.72%、8.56%</w:t>
      </w:r>
      <w:r w:rsidR="00D17748">
        <w:rPr>
          <w:rFonts w:ascii="华文楷体" w:hAnsi="华文楷体" w:hint="eastAsia"/>
          <w:sz w:val="24"/>
          <w:szCs w:val="24"/>
          <w:lang w:eastAsia="zh-CN"/>
        </w:rPr>
        <w:t>。库存方面，主要品种整体延续下降态势，</w:t>
      </w:r>
      <w:proofErr w:type="gramStart"/>
      <w:r w:rsidR="00D17748" w:rsidRPr="00D17748">
        <w:rPr>
          <w:rFonts w:ascii="华文楷体" w:hAnsi="华文楷体" w:hint="eastAsia"/>
          <w:sz w:val="24"/>
          <w:szCs w:val="24"/>
          <w:lang w:eastAsia="zh-CN"/>
        </w:rPr>
        <w:t>降幅收</w:t>
      </w:r>
      <w:proofErr w:type="gramEnd"/>
      <w:r w:rsidR="00D17748" w:rsidRPr="00D17748">
        <w:rPr>
          <w:rFonts w:ascii="华文楷体" w:hAnsi="华文楷体" w:hint="eastAsia"/>
          <w:sz w:val="24"/>
          <w:szCs w:val="24"/>
          <w:lang w:eastAsia="zh-CN"/>
        </w:rPr>
        <w:t>窄</w:t>
      </w:r>
      <w:r w:rsidR="00D17748">
        <w:rPr>
          <w:rFonts w:ascii="华文楷体" w:hAnsi="华文楷体" w:hint="eastAsia"/>
          <w:sz w:val="24"/>
          <w:szCs w:val="24"/>
          <w:lang w:eastAsia="zh-CN"/>
        </w:rPr>
        <w:t>，</w:t>
      </w:r>
      <w:r w:rsidR="00D17748" w:rsidRPr="00D17748">
        <w:rPr>
          <w:rFonts w:ascii="华文楷体" w:hAnsi="华文楷体" w:hint="eastAsia"/>
          <w:sz w:val="24"/>
          <w:szCs w:val="24"/>
          <w:lang w:eastAsia="zh-CN"/>
        </w:rPr>
        <w:t>螺纹钢、热卷、线材总库存分别变化-4.21%、+0.21%、-8.09%。</w:t>
      </w:r>
    </w:p>
    <w:p w14:paraId="21425444" w14:textId="300E3502"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D17748" w:rsidRPr="00D17748">
        <w:rPr>
          <w:rFonts w:ascii="华文楷体" w:hAnsi="华文楷体" w:hint="eastAsia"/>
          <w:sz w:val="24"/>
          <w:szCs w:val="24"/>
          <w:lang w:eastAsia="zh-CN"/>
        </w:rPr>
        <w:t>30大中城市商品房平均成交</w:t>
      </w:r>
      <w:proofErr w:type="gramStart"/>
      <w:r w:rsidR="00D17748" w:rsidRPr="00D17748">
        <w:rPr>
          <w:rFonts w:ascii="华文楷体" w:hAnsi="华文楷体" w:hint="eastAsia"/>
          <w:sz w:val="24"/>
          <w:szCs w:val="24"/>
          <w:lang w:eastAsia="zh-CN"/>
        </w:rPr>
        <w:t>面积环</w:t>
      </w:r>
      <w:proofErr w:type="gramEnd"/>
      <w:r w:rsidR="00D17748" w:rsidRPr="00D17748">
        <w:rPr>
          <w:rFonts w:ascii="华文楷体" w:hAnsi="华文楷体" w:hint="eastAsia"/>
          <w:sz w:val="24"/>
          <w:szCs w:val="24"/>
          <w:lang w:eastAsia="zh-CN"/>
        </w:rPr>
        <w:t>比回落3.99%。其中，一、二、三线城市分别变化+16.58%、-0.28%、-20.25%</w:t>
      </w:r>
      <w:r w:rsidR="00D17748">
        <w:rPr>
          <w:rFonts w:ascii="华文楷体" w:hAnsi="华文楷体" w:hint="eastAsia"/>
          <w:sz w:val="24"/>
          <w:szCs w:val="24"/>
          <w:lang w:eastAsia="zh-CN"/>
        </w:rPr>
        <w:t>。</w:t>
      </w:r>
      <w:r w:rsidR="00D17748" w:rsidRPr="00D17748">
        <w:rPr>
          <w:rFonts w:ascii="华文楷体" w:hAnsi="华文楷体" w:hint="eastAsia"/>
          <w:sz w:val="24"/>
          <w:szCs w:val="24"/>
          <w:lang w:eastAsia="zh-CN"/>
        </w:rPr>
        <w:t>拿地方面，5月下旬集中拍地的重点城市有所减少，一线、二线、三线城市</w:t>
      </w:r>
      <w:proofErr w:type="gramStart"/>
      <w:r w:rsidR="00D17748" w:rsidRPr="00D17748">
        <w:rPr>
          <w:rFonts w:ascii="华文楷体" w:hAnsi="华文楷体" w:hint="eastAsia"/>
          <w:sz w:val="24"/>
          <w:szCs w:val="24"/>
          <w:lang w:eastAsia="zh-CN"/>
        </w:rPr>
        <w:t>土拍面积环</w:t>
      </w:r>
      <w:proofErr w:type="gramEnd"/>
      <w:r w:rsidR="00D17748" w:rsidRPr="00D17748">
        <w:rPr>
          <w:rFonts w:ascii="华文楷体" w:hAnsi="华文楷体" w:hint="eastAsia"/>
          <w:sz w:val="24"/>
          <w:szCs w:val="24"/>
          <w:lang w:eastAsia="zh-CN"/>
        </w:rPr>
        <w:t>比分别变化 -61.1%、-18.93%、+21.98%。</w:t>
      </w:r>
      <w:r w:rsidR="00AE5690">
        <w:rPr>
          <w:rFonts w:ascii="华文楷体" w:hAnsi="华文楷体" w:hint="eastAsia"/>
          <w:sz w:val="24"/>
          <w:szCs w:val="24"/>
          <w:lang w:eastAsia="zh-CN"/>
        </w:rPr>
        <w:t>。</w:t>
      </w:r>
    </w:p>
    <w:p w14:paraId="77CCCEDF" w14:textId="6ACF0264"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D17748" w:rsidRPr="00D17748">
        <w:rPr>
          <w:rFonts w:ascii="华文楷体" w:hAnsi="华文楷体" w:hint="eastAsia"/>
          <w:bCs/>
          <w:sz w:val="24"/>
          <w:szCs w:val="24"/>
          <w:lang w:eastAsia="zh-CN"/>
        </w:rPr>
        <w:t>上海出口集装箱指数（SCFI）</w:t>
      </w:r>
      <w:r w:rsidR="008A65A0">
        <w:rPr>
          <w:rFonts w:ascii="华文楷体" w:hAnsi="华文楷体" w:hint="eastAsia"/>
          <w:bCs/>
          <w:sz w:val="24"/>
          <w:szCs w:val="24"/>
          <w:lang w:eastAsia="zh-CN"/>
        </w:rPr>
        <w:t>上</w:t>
      </w:r>
      <w:r w:rsidR="00D17748" w:rsidRPr="00D17748">
        <w:rPr>
          <w:rFonts w:ascii="华文楷体" w:hAnsi="华文楷体" w:hint="eastAsia"/>
          <w:bCs/>
          <w:sz w:val="24"/>
          <w:szCs w:val="24"/>
          <w:lang w:eastAsia="zh-CN"/>
        </w:rPr>
        <w:t>周环比回升1.84%，中国出口集装箱运价指数（CCFI）上行3.60%</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D17748" w:rsidRPr="00D17748">
        <w:rPr>
          <w:rFonts w:ascii="华文楷体" w:hAnsi="华文楷体" w:hint="eastAsia"/>
          <w:bCs/>
          <w:sz w:val="24"/>
          <w:szCs w:val="24"/>
          <w:lang w:eastAsia="zh-CN"/>
        </w:rPr>
        <w:t>波罗的海干散货</w:t>
      </w:r>
      <w:proofErr w:type="gramStart"/>
      <w:r w:rsidR="00D17748" w:rsidRPr="00D17748">
        <w:rPr>
          <w:rFonts w:ascii="华文楷体" w:hAnsi="华文楷体" w:hint="eastAsia"/>
          <w:bCs/>
          <w:sz w:val="24"/>
          <w:szCs w:val="24"/>
          <w:lang w:eastAsia="zh-CN"/>
        </w:rPr>
        <w:t>指数环</w:t>
      </w:r>
      <w:proofErr w:type="gramEnd"/>
      <w:r w:rsidR="00D17748" w:rsidRPr="00D17748">
        <w:rPr>
          <w:rFonts w:ascii="华文楷体" w:hAnsi="华文楷体" w:hint="eastAsia"/>
          <w:bCs/>
          <w:sz w:val="24"/>
          <w:szCs w:val="24"/>
          <w:lang w:eastAsia="zh-CN"/>
        </w:rPr>
        <w:t>比进一步下行2.95%，中国进口干散货运价</w:t>
      </w:r>
      <w:proofErr w:type="gramStart"/>
      <w:r w:rsidR="00D17748" w:rsidRPr="00D17748">
        <w:rPr>
          <w:rFonts w:ascii="华文楷体" w:hAnsi="华文楷体" w:hint="eastAsia"/>
          <w:bCs/>
          <w:sz w:val="24"/>
          <w:szCs w:val="24"/>
          <w:lang w:eastAsia="zh-CN"/>
        </w:rPr>
        <w:t>指数环</w:t>
      </w:r>
      <w:proofErr w:type="gramEnd"/>
      <w:r w:rsidR="00D17748" w:rsidRPr="00D17748">
        <w:rPr>
          <w:rFonts w:ascii="华文楷体" w:hAnsi="华文楷体" w:hint="eastAsia"/>
          <w:bCs/>
          <w:sz w:val="24"/>
          <w:szCs w:val="24"/>
          <w:lang w:eastAsia="zh-CN"/>
        </w:rPr>
        <w:t>比增0.3%</w:t>
      </w:r>
      <w:r w:rsidR="001F098C" w:rsidRPr="001F098C">
        <w:rPr>
          <w:rFonts w:ascii="华文楷体" w:hAnsi="华文楷体" w:hint="eastAsia"/>
          <w:bCs/>
          <w:sz w:val="24"/>
          <w:szCs w:val="24"/>
          <w:lang w:eastAsia="zh-CN"/>
        </w:rPr>
        <w:t>。</w:t>
      </w:r>
    </w:p>
    <w:p w14:paraId="0542DAC4" w14:textId="3B038ADA"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8A65A0">
        <w:rPr>
          <w:rFonts w:ascii="华文楷体" w:hAnsi="华文楷体" w:hint="eastAsia"/>
          <w:bCs/>
          <w:sz w:val="24"/>
          <w:szCs w:val="24"/>
          <w:lang w:eastAsia="zh-CN"/>
        </w:rPr>
        <w:t>上</w:t>
      </w:r>
      <w:r w:rsidR="003B19EF" w:rsidRPr="003B19EF">
        <w:rPr>
          <w:rFonts w:ascii="华文楷体" w:hAnsi="华文楷体" w:hint="eastAsia"/>
          <w:bCs/>
          <w:sz w:val="24"/>
          <w:szCs w:val="24"/>
          <w:lang w:eastAsia="zh-CN"/>
        </w:rPr>
        <w:t>周</w:t>
      </w:r>
      <w:r w:rsidR="001F098C" w:rsidRPr="001F098C">
        <w:rPr>
          <w:rFonts w:ascii="华文楷体" w:hAnsi="华文楷体" w:hint="eastAsia"/>
          <w:bCs/>
          <w:sz w:val="24"/>
          <w:szCs w:val="24"/>
          <w:lang w:eastAsia="zh-CN"/>
        </w:rPr>
        <w:t>猪价方面，</w:t>
      </w:r>
      <w:r w:rsidR="00D17748" w:rsidRPr="00D17748">
        <w:rPr>
          <w:rFonts w:ascii="华文楷体" w:hAnsi="华文楷体" w:hint="eastAsia"/>
          <w:bCs/>
          <w:sz w:val="24"/>
          <w:szCs w:val="24"/>
          <w:lang w:eastAsia="zh-CN"/>
        </w:rPr>
        <w:t>农业部公布的全国平均批发价下降至26.25元/公斤，环比跌幅收窄至2.39%。蔬菜、牛肉价格转涨，水产品价格涨幅收窄，生鲜乳制品持平上</w:t>
      </w:r>
      <w:r w:rsidR="008A65A0">
        <w:rPr>
          <w:rFonts w:ascii="华文楷体" w:hAnsi="华文楷体" w:hint="eastAsia"/>
          <w:bCs/>
          <w:sz w:val="24"/>
          <w:szCs w:val="24"/>
          <w:lang w:eastAsia="zh-CN"/>
        </w:rPr>
        <w:t>一</w:t>
      </w:r>
      <w:r w:rsidR="00D17748" w:rsidRPr="00D17748">
        <w:rPr>
          <w:rFonts w:ascii="华文楷体" w:hAnsi="华文楷体" w:hint="eastAsia"/>
          <w:bCs/>
          <w:sz w:val="24"/>
          <w:szCs w:val="24"/>
          <w:lang w:eastAsia="zh-CN"/>
        </w:rPr>
        <w:t>周，水果价格跌幅收窄。</w:t>
      </w:r>
      <w:r w:rsidR="003B19EF" w:rsidRPr="003B19EF">
        <w:rPr>
          <w:rFonts w:ascii="华文楷体" w:hAnsi="华文楷体" w:hint="eastAsia"/>
          <w:bCs/>
          <w:sz w:val="24"/>
          <w:szCs w:val="24"/>
          <w:lang w:eastAsia="zh-CN"/>
        </w:rPr>
        <w:t>工业品价格方面，</w:t>
      </w:r>
      <w:r w:rsidR="008A65A0">
        <w:rPr>
          <w:rFonts w:ascii="华文楷体" w:hAnsi="华文楷体" w:hint="eastAsia"/>
          <w:bCs/>
          <w:sz w:val="24"/>
          <w:szCs w:val="24"/>
          <w:lang w:eastAsia="zh-CN"/>
        </w:rPr>
        <w:t>上</w:t>
      </w:r>
      <w:r w:rsidR="00D17748" w:rsidRPr="00D17748">
        <w:rPr>
          <w:rFonts w:ascii="华文楷体" w:hAnsi="华文楷体" w:hint="eastAsia"/>
          <w:bCs/>
          <w:sz w:val="24"/>
          <w:szCs w:val="24"/>
          <w:lang w:eastAsia="zh-CN"/>
        </w:rPr>
        <w:t>周国内长江有色市场铜价下跌2.48%，铝、铅、锌价分别下跌4.51%、0.52%、0.26%；海外方面，LME铜、铝、铅、</w:t>
      </w:r>
      <w:proofErr w:type="gramStart"/>
      <w:r w:rsidR="00D17748" w:rsidRPr="00D17748">
        <w:rPr>
          <w:rFonts w:ascii="华文楷体" w:hAnsi="华文楷体" w:hint="eastAsia"/>
          <w:bCs/>
          <w:sz w:val="24"/>
          <w:szCs w:val="24"/>
          <w:lang w:eastAsia="zh-CN"/>
        </w:rPr>
        <w:t>锌环比</w:t>
      </w:r>
      <w:proofErr w:type="gramEnd"/>
      <w:r w:rsidR="00D17748" w:rsidRPr="00D17748">
        <w:rPr>
          <w:rFonts w:ascii="华文楷体" w:hAnsi="华文楷体" w:hint="eastAsia"/>
          <w:bCs/>
          <w:sz w:val="24"/>
          <w:szCs w:val="24"/>
          <w:lang w:eastAsia="zh-CN"/>
        </w:rPr>
        <w:t>分别下跌2.37%、2.92%、1.87%、0.77%。</w:t>
      </w:r>
    </w:p>
    <w:p w14:paraId="3425BC76" w14:textId="01BED12D"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AE5690" w:rsidRPr="00AE5690">
        <w:rPr>
          <w:rFonts w:ascii="华文楷体" w:hAnsi="华文楷体" w:hint="eastAsia"/>
          <w:bCs/>
          <w:sz w:val="24"/>
          <w:szCs w:val="24"/>
          <w:lang w:eastAsia="zh-CN"/>
        </w:rPr>
        <w:t>乘联会最新数据显示，</w:t>
      </w:r>
      <w:r w:rsidR="00D17748" w:rsidRPr="00D17748">
        <w:rPr>
          <w:rFonts w:ascii="华文楷体" w:hAnsi="华文楷体" w:hint="eastAsia"/>
          <w:bCs/>
          <w:sz w:val="24"/>
          <w:szCs w:val="24"/>
          <w:lang w:eastAsia="zh-CN"/>
        </w:rPr>
        <w:t>5月第三周（17日-23日）的日均零售在4.2万辆左右，环比4月同期下降18%，较19年同期下降5%</w:t>
      </w:r>
      <w:r w:rsidR="003B19EF" w:rsidRPr="003B19EF">
        <w:rPr>
          <w:rFonts w:ascii="华文楷体" w:hAnsi="华文楷体" w:hint="eastAsia"/>
          <w:bCs/>
          <w:sz w:val="24"/>
          <w:szCs w:val="24"/>
          <w:lang w:eastAsia="zh-CN"/>
        </w:rPr>
        <w:t>。</w:t>
      </w:r>
      <w:r w:rsidR="00AE5690" w:rsidRPr="00AE5690">
        <w:rPr>
          <w:rFonts w:ascii="华文楷体" w:hAnsi="华文楷体" w:hint="eastAsia"/>
          <w:bCs/>
          <w:sz w:val="24"/>
          <w:szCs w:val="24"/>
          <w:lang w:eastAsia="zh-CN"/>
        </w:rPr>
        <w:t>批发方面，</w:t>
      </w:r>
      <w:r w:rsidR="00D17748" w:rsidRPr="00D17748">
        <w:rPr>
          <w:rFonts w:ascii="华文楷体" w:hAnsi="华文楷体" w:hint="eastAsia"/>
          <w:bCs/>
          <w:sz w:val="24"/>
          <w:szCs w:val="24"/>
          <w:lang w:eastAsia="zh-CN"/>
        </w:rPr>
        <w:t>当周主要厂商批发销量为日均4.61万辆，环比4月下降7%，较2019年同期增长20%</w:t>
      </w:r>
      <w:r w:rsidR="00AE5690">
        <w:rPr>
          <w:rFonts w:ascii="华文楷体" w:hAnsi="华文楷体" w:hint="eastAsia"/>
          <w:bCs/>
          <w:sz w:val="24"/>
          <w:szCs w:val="24"/>
          <w:lang w:eastAsia="zh-CN"/>
        </w:rPr>
        <w:t>。</w:t>
      </w:r>
    </w:p>
    <w:p w14:paraId="6C0621FD" w14:textId="11F29AC0"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D17748" w:rsidRPr="00D17748">
        <w:rPr>
          <w:rFonts w:ascii="华文楷体" w:hAnsi="华文楷体" w:hint="eastAsia"/>
          <w:bCs/>
          <w:sz w:val="24"/>
          <w:szCs w:val="24"/>
          <w:lang w:eastAsia="zh-CN"/>
        </w:rPr>
        <w:t>布伦</w:t>
      </w:r>
      <w:proofErr w:type="gramStart"/>
      <w:r w:rsidR="00D17748" w:rsidRPr="00D17748">
        <w:rPr>
          <w:rFonts w:ascii="华文楷体" w:hAnsi="华文楷体" w:hint="eastAsia"/>
          <w:bCs/>
          <w:sz w:val="24"/>
          <w:szCs w:val="24"/>
          <w:lang w:eastAsia="zh-CN"/>
        </w:rPr>
        <w:t>特</w:t>
      </w:r>
      <w:proofErr w:type="gramEnd"/>
      <w:r w:rsidR="00D17748" w:rsidRPr="00D17748">
        <w:rPr>
          <w:rFonts w:ascii="华文楷体" w:hAnsi="华文楷体" w:hint="eastAsia"/>
          <w:bCs/>
          <w:sz w:val="24"/>
          <w:szCs w:val="24"/>
          <w:lang w:eastAsia="zh-CN"/>
        </w:rPr>
        <w:t>原油环比上</w:t>
      </w:r>
      <w:r w:rsidR="008A65A0">
        <w:rPr>
          <w:rFonts w:ascii="华文楷体" w:hAnsi="华文楷体" w:hint="eastAsia"/>
          <w:bCs/>
          <w:sz w:val="24"/>
          <w:szCs w:val="24"/>
          <w:lang w:eastAsia="zh-CN"/>
        </w:rPr>
        <w:t>一</w:t>
      </w:r>
      <w:r w:rsidR="00D17748" w:rsidRPr="00D17748">
        <w:rPr>
          <w:rFonts w:ascii="华文楷体" w:hAnsi="华文楷体" w:hint="eastAsia"/>
          <w:bCs/>
          <w:sz w:val="24"/>
          <w:szCs w:val="24"/>
          <w:lang w:eastAsia="zh-CN"/>
        </w:rPr>
        <w:t>周五涨4.8%至69.63美元/桶；WTI原油价格涨4.31%至66.32美元/桶。</w:t>
      </w:r>
    </w:p>
    <w:p w14:paraId="35D3E229" w14:textId="3A4681DF" w:rsidR="00DA6262" w:rsidRDefault="008A65A0"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r w:rsidR="00D17748" w:rsidRPr="00D17748">
        <w:rPr>
          <w:rFonts w:ascii="华文楷体" w:hAnsi="华文楷体" w:hint="eastAsia"/>
          <w:bCs/>
          <w:sz w:val="24"/>
          <w:szCs w:val="24"/>
          <w:lang w:eastAsia="zh-CN"/>
        </w:rPr>
        <w:t>国内官方PMI，美国就业数据，OPEC+部长级会议，G7财长会议。</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67395387" w:rsidR="00FF7903" w:rsidRPr="00884635" w:rsidRDefault="00FF7903" w:rsidP="009A2BA0">
      <w:pPr>
        <w:pStyle w:val="Header2"/>
        <w:spacing w:before="120"/>
        <w:rPr>
          <w:rFonts w:eastAsia="PMingLiU"/>
          <w:sz w:val="28"/>
          <w:szCs w:val="21"/>
          <w:lang w:eastAsia="zh-CN"/>
        </w:rPr>
      </w:pPr>
      <w:r>
        <w:rPr>
          <w:sz w:val="28"/>
          <w:szCs w:val="21"/>
          <w:lang w:eastAsia="zh-CN"/>
        </w:rPr>
        <w:lastRenderedPageBreak/>
        <w:t>2</w:t>
      </w:r>
      <w:r>
        <w:rPr>
          <w:rFonts w:hint="eastAsia"/>
          <w:sz w:val="28"/>
          <w:szCs w:val="21"/>
          <w:lang w:eastAsia="zh-CN"/>
        </w:rPr>
        <w:t>、</w:t>
      </w:r>
      <w:r w:rsidR="008A65A0">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011B3E1B"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D17748" w:rsidRPr="00D17748">
        <w:rPr>
          <w:rFonts w:ascii="华文楷体" w:hAnsi="华文楷体" w:hint="eastAsia"/>
          <w:sz w:val="24"/>
          <w:szCs w:val="24"/>
          <w:lang w:eastAsia="zh-CN"/>
        </w:rPr>
        <w:t>从基本面和数据出发，经济延续温和复苏态势，政策上</w:t>
      </w:r>
      <w:r w:rsidR="008A65A0">
        <w:rPr>
          <w:rFonts w:ascii="华文楷体" w:hAnsi="华文楷体" w:hint="eastAsia"/>
          <w:sz w:val="24"/>
          <w:szCs w:val="24"/>
          <w:lang w:eastAsia="zh-CN"/>
        </w:rPr>
        <w:t>，</w:t>
      </w:r>
      <w:r w:rsidR="00D17748" w:rsidRPr="00D17748">
        <w:rPr>
          <w:rFonts w:ascii="华文楷体" w:hAnsi="华文楷体" w:hint="eastAsia"/>
          <w:sz w:val="24"/>
          <w:szCs w:val="24"/>
          <w:lang w:eastAsia="zh-CN"/>
        </w:rPr>
        <w:t>房地产和地方债务问题监管层关注度仍相对较高，政策相对偏紧。二季度及下半年，伴随海外经济修复加快，国内内需市场能否成为全年经济</w:t>
      </w:r>
      <w:proofErr w:type="gramStart"/>
      <w:r w:rsidR="00D17748" w:rsidRPr="00D17748">
        <w:rPr>
          <w:rFonts w:ascii="华文楷体" w:hAnsi="华文楷体" w:hint="eastAsia"/>
          <w:sz w:val="24"/>
          <w:szCs w:val="24"/>
          <w:lang w:eastAsia="zh-CN"/>
        </w:rPr>
        <w:t>稳增长</w:t>
      </w:r>
      <w:proofErr w:type="gramEnd"/>
      <w:r w:rsidR="00D17748" w:rsidRPr="00D17748">
        <w:rPr>
          <w:rFonts w:ascii="华文楷体" w:hAnsi="华文楷体" w:hint="eastAsia"/>
          <w:sz w:val="24"/>
          <w:szCs w:val="24"/>
          <w:lang w:eastAsia="zh-CN"/>
        </w:rPr>
        <w:t>的接力棒，仍有待验证，尤其关注后续就业和消费的持续表现情况。大宗商品国内和海外市场短期内受政策影响，可能会出现一定偏离，目前看通胀的压力有限，关注原油下半年表现情况。市场情况</w:t>
      </w:r>
      <w:r w:rsidR="008A65A0">
        <w:rPr>
          <w:rFonts w:ascii="华文楷体" w:hAnsi="华文楷体" w:hint="eastAsia"/>
          <w:sz w:val="24"/>
          <w:szCs w:val="24"/>
          <w:lang w:eastAsia="zh-CN"/>
        </w:rPr>
        <w:t>方面</w:t>
      </w:r>
      <w:r w:rsidR="00D17748" w:rsidRPr="00D17748">
        <w:rPr>
          <w:rFonts w:ascii="华文楷体" w:hAnsi="华文楷体" w:hint="eastAsia"/>
          <w:sz w:val="24"/>
          <w:szCs w:val="24"/>
          <w:lang w:eastAsia="zh-CN"/>
        </w:rPr>
        <w:t>，受月末扰动影响，5月超储率同比2020年略低，预计在1%上下，资金面近期边际收紧，长</w:t>
      </w:r>
      <w:proofErr w:type="gramStart"/>
      <w:r w:rsidR="00D17748" w:rsidRPr="00D17748">
        <w:rPr>
          <w:rFonts w:ascii="华文楷体" w:hAnsi="华文楷体" w:hint="eastAsia"/>
          <w:sz w:val="24"/>
          <w:szCs w:val="24"/>
          <w:lang w:eastAsia="zh-CN"/>
        </w:rPr>
        <w:t>端利率</w:t>
      </w:r>
      <w:proofErr w:type="gramEnd"/>
      <w:r w:rsidR="00D17748" w:rsidRPr="00D17748">
        <w:rPr>
          <w:rFonts w:ascii="华文楷体" w:hAnsi="华文楷体" w:hint="eastAsia"/>
          <w:sz w:val="24"/>
          <w:szCs w:val="24"/>
          <w:lang w:eastAsia="zh-CN"/>
        </w:rPr>
        <w:t>表现了一定韧性，但短端波动略大。</w:t>
      </w:r>
    </w:p>
    <w:p w14:paraId="2C3F4BD1" w14:textId="6D64B70D"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AE5690" w:rsidRPr="00AE5690">
        <w:rPr>
          <w:rFonts w:ascii="华文楷体" w:hAnsi="华文楷体" w:hint="eastAsia"/>
          <w:sz w:val="24"/>
          <w:szCs w:val="24"/>
          <w:lang w:eastAsia="zh-CN"/>
        </w:rPr>
        <w:t>考虑到票息压力，可适当关注中长期限信用债、产业债、并有选择地在</w:t>
      </w:r>
      <w:proofErr w:type="gramStart"/>
      <w:r w:rsidR="00AE5690" w:rsidRPr="00AE5690">
        <w:rPr>
          <w:rFonts w:ascii="华文楷体" w:hAnsi="华文楷体" w:hint="eastAsia"/>
          <w:sz w:val="24"/>
          <w:szCs w:val="24"/>
          <w:lang w:eastAsia="zh-CN"/>
        </w:rPr>
        <w:t>弱区域</w:t>
      </w:r>
      <w:proofErr w:type="gramEnd"/>
      <w:r w:rsidR="00AE5690" w:rsidRPr="00AE5690">
        <w:rPr>
          <w:rFonts w:ascii="华文楷体" w:hAnsi="华文楷体" w:hint="eastAsia"/>
          <w:sz w:val="24"/>
          <w:szCs w:val="24"/>
          <w:lang w:eastAsia="zh-CN"/>
        </w:rPr>
        <w:t>国企和城投债中挖掘结构性机会。</w:t>
      </w:r>
      <w:proofErr w:type="gramStart"/>
      <w:r w:rsidR="00D17748" w:rsidRPr="00D17748">
        <w:rPr>
          <w:rFonts w:ascii="华文楷体" w:hAnsi="华文楷体" w:hint="eastAsia"/>
          <w:sz w:val="24"/>
          <w:szCs w:val="24"/>
          <w:lang w:eastAsia="zh-CN"/>
        </w:rPr>
        <w:t>城投债3年</w:t>
      </w:r>
      <w:proofErr w:type="gramEnd"/>
      <w:r w:rsidR="00D17748" w:rsidRPr="00D17748">
        <w:rPr>
          <w:rFonts w:ascii="华文楷体" w:hAnsi="华文楷体" w:hint="eastAsia"/>
          <w:sz w:val="24"/>
          <w:szCs w:val="24"/>
          <w:lang w:eastAsia="zh-CN"/>
        </w:rPr>
        <w:t>、5年品种近期表现相对较好，资金面适度收紧，信用债票息优势适度显现。</w:t>
      </w:r>
    </w:p>
    <w:p w14:paraId="4C893BAE" w14:textId="645D0F52"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D17748" w:rsidRPr="00D17748">
        <w:rPr>
          <w:rFonts w:ascii="华文楷体" w:hAnsi="华文楷体" w:hint="eastAsia"/>
          <w:sz w:val="24"/>
          <w:szCs w:val="24"/>
          <w:lang w:eastAsia="zh-CN"/>
        </w:rPr>
        <w:t>转债跟随权益市场，迎来强势反弹，在北向资金的带动下上证综指大涨，中</w:t>
      </w:r>
      <w:proofErr w:type="gramStart"/>
      <w:r w:rsidR="00D17748" w:rsidRPr="00D17748">
        <w:rPr>
          <w:rFonts w:ascii="华文楷体" w:hAnsi="华文楷体" w:hint="eastAsia"/>
          <w:sz w:val="24"/>
          <w:szCs w:val="24"/>
          <w:lang w:eastAsia="zh-CN"/>
        </w:rPr>
        <w:t>证转债指数</w:t>
      </w:r>
      <w:proofErr w:type="gramEnd"/>
      <w:r w:rsidR="00D17748" w:rsidRPr="00D17748">
        <w:rPr>
          <w:rFonts w:ascii="华文楷体" w:hAnsi="华文楷体" w:hint="eastAsia"/>
          <w:sz w:val="24"/>
          <w:szCs w:val="24"/>
          <w:lang w:eastAsia="zh-CN"/>
        </w:rPr>
        <w:t>跟随</w:t>
      </w:r>
      <w:r w:rsidR="006E60BF">
        <w:rPr>
          <w:rFonts w:ascii="华文楷体" w:hAnsi="华文楷体" w:hint="eastAsia"/>
          <w:sz w:val="24"/>
          <w:szCs w:val="24"/>
          <w:lang w:eastAsia="zh-CN"/>
        </w:rPr>
        <w:t>上涨</w:t>
      </w:r>
      <w:r w:rsidR="00D17748" w:rsidRPr="00D17748">
        <w:rPr>
          <w:rFonts w:ascii="华文楷体" w:hAnsi="华文楷体" w:hint="eastAsia"/>
          <w:sz w:val="24"/>
          <w:szCs w:val="24"/>
          <w:lang w:eastAsia="zh-CN"/>
        </w:rPr>
        <w:t>。市场反弹关注几个要点：人民币升值</w:t>
      </w:r>
      <w:r w:rsidR="008A65A0">
        <w:rPr>
          <w:rFonts w:ascii="华文楷体" w:hAnsi="华文楷体" w:hint="eastAsia"/>
          <w:sz w:val="24"/>
          <w:szCs w:val="24"/>
          <w:lang w:eastAsia="zh-CN"/>
        </w:rPr>
        <w:t>，</w:t>
      </w:r>
      <w:r w:rsidR="00D17748" w:rsidRPr="00D17748">
        <w:rPr>
          <w:rFonts w:ascii="华文楷体" w:hAnsi="华文楷体" w:hint="eastAsia"/>
          <w:sz w:val="24"/>
          <w:szCs w:val="24"/>
          <w:lang w:eastAsia="zh-CN"/>
        </w:rPr>
        <w:t>海外疫情反复国内疫情控制得当，促使外资加快流入，</w:t>
      </w:r>
      <w:r w:rsidR="008A65A0">
        <w:rPr>
          <w:rFonts w:ascii="华文楷体" w:hAnsi="华文楷体" w:hint="eastAsia"/>
          <w:sz w:val="24"/>
          <w:szCs w:val="24"/>
          <w:lang w:eastAsia="zh-CN"/>
        </w:rPr>
        <w:t>上</w:t>
      </w:r>
      <w:r w:rsidR="00D17748" w:rsidRPr="00D17748">
        <w:rPr>
          <w:rFonts w:ascii="华文楷体" w:hAnsi="华文楷体" w:hint="eastAsia"/>
          <w:sz w:val="24"/>
          <w:szCs w:val="24"/>
          <w:lang w:eastAsia="zh-CN"/>
        </w:rPr>
        <w:t>周北向资金共流入468.14亿元，带动核心资产上涨</w:t>
      </w:r>
      <w:r w:rsidR="008A65A0">
        <w:rPr>
          <w:rFonts w:ascii="华文楷体" w:hAnsi="华文楷体" w:hint="eastAsia"/>
          <w:sz w:val="24"/>
          <w:szCs w:val="24"/>
          <w:lang w:eastAsia="zh-CN"/>
        </w:rPr>
        <w:t>；</w:t>
      </w:r>
      <w:r w:rsidR="00D17748" w:rsidRPr="00D17748">
        <w:rPr>
          <w:rFonts w:ascii="华文楷体" w:hAnsi="华文楷体" w:hint="eastAsia"/>
          <w:sz w:val="24"/>
          <w:szCs w:val="24"/>
          <w:lang w:eastAsia="zh-CN"/>
        </w:rPr>
        <w:t>政策调控下大宗商品价格回落，市场前期担忧的通胀问题得</w:t>
      </w:r>
      <w:bookmarkStart w:id="2" w:name="_GoBack"/>
      <w:bookmarkEnd w:id="2"/>
      <w:r w:rsidR="00D17748" w:rsidRPr="00D17748">
        <w:rPr>
          <w:rFonts w:ascii="华文楷体" w:hAnsi="华文楷体" w:hint="eastAsia"/>
          <w:sz w:val="24"/>
          <w:szCs w:val="24"/>
          <w:lang w:eastAsia="zh-CN"/>
        </w:rPr>
        <w:t>到缓解。后续关注：风险偏好是否能够持续抬升，后续仍需继续关注中小盘成长股，对应到转债市场，关注中小盘成长股对应转债的投资机会；持续关注业绩好、低估值转债的配置机会。</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E8D60F8" w:rsidR="001D35B3" w:rsidRPr="006A5F34" w:rsidRDefault="001D35B3" w:rsidP="001858A9">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1858A9">
              <w:rPr>
                <w:rFonts w:hint="eastAsia"/>
              </w:rPr>
              <w:t>出现适度</w:t>
            </w:r>
            <w:r w:rsidR="00993D03">
              <w:rPr>
                <w:rFonts w:hint="eastAsia"/>
              </w:rPr>
              <w:t>震荡</w:t>
            </w:r>
          </w:p>
        </w:tc>
        <w:tc>
          <w:tcPr>
            <w:tcW w:w="4938" w:type="dxa"/>
            <w:vAlign w:val="center"/>
          </w:tcPr>
          <w:p w14:paraId="02A10F26" w14:textId="7A679A1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33F53">
              <w:rPr>
                <w:rFonts w:hint="eastAsia"/>
              </w:rPr>
              <w:t>持续</w:t>
            </w:r>
            <w:r w:rsidR="00993D03">
              <w:rPr>
                <w:rFonts w:hint="eastAsia"/>
              </w:rPr>
              <w:t>上行</w:t>
            </w:r>
            <w:r w:rsidR="006D72C8">
              <w:rPr>
                <w:rFonts w:hint="eastAsia"/>
              </w:rPr>
              <w:t>回调</w:t>
            </w:r>
          </w:p>
        </w:tc>
      </w:tr>
      <w:tr w:rsidR="001D35B3" w:rsidRPr="006A5F34" w14:paraId="205667F1" w14:textId="77777777" w:rsidTr="00D17748">
        <w:tblPrEx>
          <w:tblCellMar>
            <w:left w:w="108" w:type="dxa"/>
            <w:right w:w="108" w:type="dxa"/>
          </w:tblCellMar>
        </w:tblPrEx>
        <w:trPr>
          <w:jc w:val="center"/>
        </w:trPr>
        <w:tc>
          <w:tcPr>
            <w:tcW w:w="4939" w:type="dxa"/>
            <w:vAlign w:val="center"/>
          </w:tcPr>
          <w:p w14:paraId="56C782C2" w14:textId="5EC915F3" w:rsidR="001D35B3" w:rsidRPr="007E0340" w:rsidRDefault="00D17748" w:rsidP="009A2BA0">
            <w:pPr>
              <w:jc w:val="center"/>
              <w:rPr>
                <w:noProof/>
              </w:rPr>
            </w:pPr>
            <w:r>
              <w:rPr>
                <w:noProof/>
              </w:rPr>
              <w:drawing>
                <wp:inline distT="0" distB="0" distL="0" distR="0" wp14:anchorId="635C0077" wp14:editId="3DE98231">
                  <wp:extent cx="2999105" cy="1926314"/>
                  <wp:effectExtent l="0" t="0" r="0" b="0"/>
                  <wp:docPr id="4" name="图表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06CF175C" w:rsidR="001D35B3" w:rsidRPr="007E0340" w:rsidRDefault="00D17748" w:rsidP="009A2BA0">
            <w:pPr>
              <w:jc w:val="center"/>
              <w:rPr>
                <w:noProof/>
                <w:szCs w:val="18"/>
              </w:rPr>
            </w:pPr>
            <w:r>
              <w:rPr>
                <w:noProof/>
              </w:rPr>
              <w:drawing>
                <wp:inline distT="0" distB="0" distL="0" distR="0" wp14:anchorId="51BFCD55" wp14:editId="423459E2">
                  <wp:extent cx="2998470" cy="1935176"/>
                  <wp:effectExtent l="0" t="0" r="0" b="8255"/>
                  <wp:docPr id="6" name="图表 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6D3EDA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966A21">
              <w:rPr>
                <w:rFonts w:hint="eastAsia"/>
              </w:rPr>
              <w:t>小幅下行</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D15EA9">
        <w:tblPrEx>
          <w:tblCellMar>
            <w:left w:w="108" w:type="dxa"/>
            <w:right w:w="108" w:type="dxa"/>
          </w:tblCellMar>
        </w:tblPrEx>
        <w:trPr>
          <w:trHeight w:val="2987"/>
          <w:jc w:val="center"/>
        </w:trPr>
        <w:tc>
          <w:tcPr>
            <w:tcW w:w="4939" w:type="dxa"/>
            <w:vAlign w:val="center"/>
          </w:tcPr>
          <w:p w14:paraId="0BAC1731" w14:textId="50C636D5" w:rsidR="001D35B3" w:rsidRPr="007E0340" w:rsidRDefault="00D15EA9" w:rsidP="009A2BA0">
            <w:pPr>
              <w:jc w:val="center"/>
              <w:rPr>
                <w:noProof/>
              </w:rPr>
            </w:pPr>
            <w:r>
              <w:rPr>
                <w:noProof/>
              </w:rPr>
              <w:drawing>
                <wp:inline distT="0" distB="0" distL="0" distR="0" wp14:anchorId="5F32598D" wp14:editId="6D6902E6">
                  <wp:extent cx="2999105" cy="1921372"/>
                  <wp:effectExtent l="0" t="0" r="10795" b="3175"/>
                  <wp:docPr id="7" name="图表 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57D849DD" w:rsidR="001D35B3" w:rsidRPr="007E0340" w:rsidRDefault="00D15EA9" w:rsidP="009A2BA0">
            <w:pPr>
              <w:jc w:val="center"/>
              <w:rPr>
                <w:noProof/>
                <w:szCs w:val="18"/>
              </w:rPr>
            </w:pPr>
            <w:r>
              <w:rPr>
                <w:noProof/>
              </w:rPr>
              <w:drawing>
                <wp:inline distT="0" distB="0" distL="0" distR="0" wp14:anchorId="1F968C1D" wp14:editId="70A11C8D">
                  <wp:extent cx="2998470" cy="1956711"/>
                  <wp:effectExtent l="0" t="0" r="0" b="5715"/>
                  <wp:docPr id="8" name="图表 8">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33426386" w14:textId="77777777" w:rsidR="008A65A0" w:rsidRPr="000E03B7" w:rsidRDefault="008A65A0" w:rsidP="008A65A0">
      <w:pPr>
        <w:jc w:val="left"/>
        <w:rPr>
          <w:sz w:val="15"/>
          <w:szCs w:val="15"/>
        </w:rPr>
      </w:pPr>
      <w:r w:rsidRPr="000E03B7">
        <w:rPr>
          <w:rFonts w:ascii="微软雅黑" w:eastAsia="微软雅黑" w:hAnsi="微软雅黑" w:hint="eastAsia"/>
          <w:color w:val="474747"/>
          <w:sz w:val="15"/>
          <w:szCs w:val="15"/>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E03B7">
        <w:rPr>
          <w:rFonts w:ascii="微软雅黑" w:eastAsia="微软雅黑" w:hAnsi="微软雅黑" w:hint="eastAsia"/>
          <w:color w:val="474747"/>
          <w:sz w:val="15"/>
          <w:szCs w:val="15"/>
          <w:shd w:val="clear" w:color="auto" w:fill="FFFFFF"/>
        </w:rPr>
        <w:t>作出</w:t>
      </w:r>
      <w:proofErr w:type="gramEnd"/>
      <w:r w:rsidRPr="000E03B7">
        <w:rPr>
          <w:rFonts w:ascii="微软雅黑" w:eastAsia="微软雅黑" w:hAnsi="微软雅黑" w:hint="eastAsia"/>
          <w:color w:val="474747"/>
          <w:sz w:val="15"/>
          <w:szCs w:val="15"/>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1363F1" w14:textId="77777777" w:rsidR="007E55D4" w:rsidRDefault="007E55D4">
      <w:r>
        <w:separator/>
      </w:r>
    </w:p>
  </w:endnote>
  <w:endnote w:type="continuationSeparator" w:id="0">
    <w:p w14:paraId="6276195A" w14:textId="77777777" w:rsidR="007E55D4" w:rsidRDefault="007E5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DA1B15" w:rsidRDefault="00DA1B15">
        <w:pPr>
          <w:pStyle w:val="a4"/>
          <w:jc w:val="right"/>
        </w:pPr>
        <w:r>
          <w:fldChar w:fldCharType="begin"/>
        </w:r>
        <w:r>
          <w:instrText>PAGE   \* MERGEFORMAT</w:instrText>
        </w:r>
        <w:r>
          <w:fldChar w:fldCharType="separate"/>
        </w:r>
        <w:r w:rsidR="006E60BF" w:rsidRPr="006E60BF">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951B0A" w14:textId="77777777" w:rsidR="007E55D4" w:rsidRDefault="007E55D4">
      <w:r>
        <w:separator/>
      </w:r>
    </w:p>
  </w:footnote>
  <w:footnote w:type="continuationSeparator" w:id="0">
    <w:p w14:paraId="354F44CC" w14:textId="77777777" w:rsidR="007E55D4" w:rsidRDefault="007E55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DA1B15" w:rsidRDefault="00DA1B15"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4A"/>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456"/>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0B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4D8"/>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5D4"/>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5A0"/>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CA2"/>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44190</c:v>
                </c:pt>
                <c:pt idx="1">
                  <c:v>44197</c:v>
                </c:pt>
                <c:pt idx="2">
                  <c:v>44204</c:v>
                </c:pt>
                <c:pt idx="3">
                  <c:v>44211</c:v>
                </c:pt>
                <c:pt idx="4">
                  <c:v>44218</c:v>
                </c:pt>
                <c:pt idx="5">
                  <c:v>44225</c:v>
                </c:pt>
                <c:pt idx="6">
                  <c:v>44232</c:v>
                </c:pt>
                <c:pt idx="7">
                  <c:v>44239</c:v>
                </c:pt>
                <c:pt idx="8">
                  <c:v>44246</c:v>
                </c:pt>
                <c:pt idx="9">
                  <c:v>44253</c:v>
                </c:pt>
                <c:pt idx="10">
                  <c:v>44260</c:v>
                </c:pt>
                <c:pt idx="11">
                  <c:v>44267</c:v>
                </c:pt>
                <c:pt idx="12">
                  <c:v>44274</c:v>
                </c:pt>
                <c:pt idx="13">
                  <c:v>44281</c:v>
                </c:pt>
                <c:pt idx="14">
                  <c:v>44288</c:v>
                </c:pt>
                <c:pt idx="15">
                  <c:v>44295</c:v>
                </c:pt>
                <c:pt idx="16">
                  <c:v>44302</c:v>
                </c:pt>
                <c:pt idx="17">
                  <c:v>44309</c:v>
                </c:pt>
                <c:pt idx="18">
                  <c:v>44316</c:v>
                </c:pt>
                <c:pt idx="19">
                  <c:v>44323</c:v>
                </c:pt>
                <c:pt idx="20">
                  <c:v>44330</c:v>
                </c:pt>
                <c:pt idx="21">
                  <c:v>44337</c:v>
                </c:pt>
                <c:pt idx="22">
                  <c:v>44344</c:v>
                </c:pt>
              </c:numCache>
            </c:numRef>
          </c:cat>
          <c:val>
            <c:numRef>
              <c:f>央行!$B$5:$B$27</c:f>
              <c:numCache>
                <c:formatCode>###,###,###,###,##0.00</c:formatCode>
                <c:ptCount val="23"/>
                <c:pt idx="0">
                  <c:v>4300</c:v>
                </c:pt>
                <c:pt idx="1">
                  <c:v>1750</c:v>
                </c:pt>
                <c:pt idx="2">
                  <c:v>550</c:v>
                </c:pt>
                <c:pt idx="3">
                  <c:v>160</c:v>
                </c:pt>
                <c:pt idx="4">
                  <c:v>6140</c:v>
                </c:pt>
                <c:pt idx="5">
                  <c:v>3890</c:v>
                </c:pt>
                <c:pt idx="6">
                  <c:v>4800</c:v>
                </c:pt>
                <c:pt idx="7">
                  <c:v>2300</c:v>
                </c:pt>
                <c:pt idx="8">
                  <c:v>400</c:v>
                </c:pt>
                <c:pt idx="9">
                  <c:v>800</c:v>
                </c:pt>
                <c:pt idx="10">
                  <c:v>550</c:v>
                </c:pt>
                <c:pt idx="11">
                  <c:v>500</c:v>
                </c:pt>
                <c:pt idx="12">
                  <c:v>500</c:v>
                </c:pt>
                <c:pt idx="13">
                  <c:v>550</c:v>
                </c:pt>
                <c:pt idx="14">
                  <c:v>500</c:v>
                </c:pt>
                <c:pt idx="15">
                  <c:v>400</c:v>
                </c:pt>
                <c:pt idx="16">
                  <c:v>500</c:v>
                </c:pt>
                <c:pt idx="17">
                  <c:v>500</c:v>
                </c:pt>
                <c:pt idx="18">
                  <c:v>650</c:v>
                </c:pt>
                <c:pt idx="19">
                  <c:v>200</c:v>
                </c:pt>
                <c:pt idx="20">
                  <c:v>600</c:v>
                </c:pt>
                <c:pt idx="21">
                  <c:v>500</c:v>
                </c:pt>
                <c:pt idx="22">
                  <c:v>550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44190</c:v>
                </c:pt>
                <c:pt idx="1">
                  <c:v>44197</c:v>
                </c:pt>
                <c:pt idx="2">
                  <c:v>44204</c:v>
                </c:pt>
                <c:pt idx="3">
                  <c:v>44211</c:v>
                </c:pt>
                <c:pt idx="4">
                  <c:v>44218</c:v>
                </c:pt>
                <c:pt idx="5">
                  <c:v>44225</c:v>
                </c:pt>
                <c:pt idx="6">
                  <c:v>44232</c:v>
                </c:pt>
                <c:pt idx="7">
                  <c:v>44239</c:v>
                </c:pt>
                <c:pt idx="8">
                  <c:v>44246</c:v>
                </c:pt>
                <c:pt idx="9">
                  <c:v>44253</c:v>
                </c:pt>
                <c:pt idx="10">
                  <c:v>44260</c:v>
                </c:pt>
                <c:pt idx="11">
                  <c:v>44267</c:v>
                </c:pt>
                <c:pt idx="12">
                  <c:v>44274</c:v>
                </c:pt>
                <c:pt idx="13">
                  <c:v>44281</c:v>
                </c:pt>
                <c:pt idx="14">
                  <c:v>44288</c:v>
                </c:pt>
                <c:pt idx="15">
                  <c:v>44295</c:v>
                </c:pt>
                <c:pt idx="16">
                  <c:v>44302</c:v>
                </c:pt>
                <c:pt idx="17">
                  <c:v>44309</c:v>
                </c:pt>
                <c:pt idx="18">
                  <c:v>44316</c:v>
                </c:pt>
                <c:pt idx="19">
                  <c:v>44323</c:v>
                </c:pt>
                <c:pt idx="20">
                  <c:v>44330</c:v>
                </c:pt>
                <c:pt idx="21">
                  <c:v>44337</c:v>
                </c:pt>
                <c:pt idx="22">
                  <c:v>44344</c:v>
                </c:pt>
              </c:numCache>
            </c:numRef>
          </c:cat>
          <c:val>
            <c:numRef>
              <c:f>央行!$C$5:$C$27</c:f>
              <c:numCache>
                <c:formatCode>###,###,###,###,##0.00</c:formatCode>
                <c:ptCount val="23"/>
                <c:pt idx="0">
                  <c:v>-650</c:v>
                </c:pt>
                <c:pt idx="1">
                  <c:v>-800</c:v>
                </c:pt>
                <c:pt idx="2">
                  <c:v>-5200</c:v>
                </c:pt>
                <c:pt idx="3">
                  <c:v>-550</c:v>
                </c:pt>
                <c:pt idx="4">
                  <c:v>-160</c:v>
                </c:pt>
                <c:pt idx="5">
                  <c:v>-6190</c:v>
                </c:pt>
                <c:pt idx="6">
                  <c:v>-3840</c:v>
                </c:pt>
                <c:pt idx="7">
                  <c:v>-2800</c:v>
                </c:pt>
                <c:pt idx="8">
                  <c:v>-3800</c:v>
                </c:pt>
                <c:pt idx="9">
                  <c:v>-950</c:v>
                </c:pt>
                <c:pt idx="10">
                  <c:v>-800</c:v>
                </c:pt>
                <c:pt idx="11">
                  <c:v>-500</c:v>
                </c:pt>
                <c:pt idx="12">
                  <c:v>-500</c:v>
                </c:pt>
                <c:pt idx="13">
                  <c:v>-550</c:v>
                </c:pt>
                <c:pt idx="14">
                  <c:v>-500</c:v>
                </c:pt>
                <c:pt idx="15">
                  <c:v>-500</c:v>
                </c:pt>
                <c:pt idx="16">
                  <c:v>-400</c:v>
                </c:pt>
                <c:pt idx="17">
                  <c:v>-500</c:v>
                </c:pt>
                <c:pt idx="18">
                  <c:v>-550</c:v>
                </c:pt>
                <c:pt idx="19">
                  <c:v>-600</c:v>
                </c:pt>
                <c:pt idx="20">
                  <c:v>-200</c:v>
                </c:pt>
                <c:pt idx="21">
                  <c:v>-600</c:v>
                </c:pt>
                <c:pt idx="22">
                  <c:v>-550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06794880"/>
        <c:axId val="30679680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44190</c:v>
                </c:pt>
                <c:pt idx="1">
                  <c:v>44197</c:v>
                </c:pt>
                <c:pt idx="2">
                  <c:v>44204</c:v>
                </c:pt>
                <c:pt idx="3">
                  <c:v>44211</c:v>
                </c:pt>
                <c:pt idx="4">
                  <c:v>44218</c:v>
                </c:pt>
                <c:pt idx="5">
                  <c:v>44225</c:v>
                </c:pt>
                <c:pt idx="6">
                  <c:v>44232</c:v>
                </c:pt>
                <c:pt idx="7">
                  <c:v>44239</c:v>
                </c:pt>
                <c:pt idx="8">
                  <c:v>44246</c:v>
                </c:pt>
                <c:pt idx="9">
                  <c:v>44253</c:v>
                </c:pt>
                <c:pt idx="10">
                  <c:v>44260</c:v>
                </c:pt>
                <c:pt idx="11">
                  <c:v>44267</c:v>
                </c:pt>
                <c:pt idx="12">
                  <c:v>44274</c:v>
                </c:pt>
                <c:pt idx="13">
                  <c:v>44281</c:v>
                </c:pt>
                <c:pt idx="14">
                  <c:v>44288</c:v>
                </c:pt>
                <c:pt idx="15">
                  <c:v>44295</c:v>
                </c:pt>
                <c:pt idx="16">
                  <c:v>44302</c:v>
                </c:pt>
                <c:pt idx="17">
                  <c:v>44309</c:v>
                </c:pt>
                <c:pt idx="18">
                  <c:v>44316</c:v>
                </c:pt>
                <c:pt idx="19">
                  <c:v>44323</c:v>
                </c:pt>
                <c:pt idx="20">
                  <c:v>44330</c:v>
                </c:pt>
                <c:pt idx="21">
                  <c:v>44337</c:v>
                </c:pt>
                <c:pt idx="22">
                  <c:v>44344</c:v>
                </c:pt>
              </c:numCache>
            </c:numRef>
          </c:cat>
          <c:val>
            <c:numRef>
              <c:f>央行!$D$5:$D$27</c:f>
              <c:numCache>
                <c:formatCode>###,###,###,###,##0.00</c:formatCode>
                <c:ptCount val="23"/>
                <c:pt idx="0">
                  <c:v>3650</c:v>
                </c:pt>
                <c:pt idx="1">
                  <c:v>950</c:v>
                </c:pt>
                <c:pt idx="2">
                  <c:v>-4650</c:v>
                </c:pt>
                <c:pt idx="3">
                  <c:v>-390</c:v>
                </c:pt>
                <c:pt idx="4">
                  <c:v>5980</c:v>
                </c:pt>
                <c:pt idx="5">
                  <c:v>-2300</c:v>
                </c:pt>
                <c:pt idx="6">
                  <c:v>960</c:v>
                </c:pt>
                <c:pt idx="7">
                  <c:v>-500</c:v>
                </c:pt>
                <c:pt idx="8">
                  <c:v>-3400</c:v>
                </c:pt>
                <c:pt idx="9">
                  <c:v>-150</c:v>
                </c:pt>
                <c:pt idx="10">
                  <c:v>-250</c:v>
                </c:pt>
                <c:pt idx="11">
                  <c:v>0</c:v>
                </c:pt>
                <c:pt idx="12">
                  <c:v>0</c:v>
                </c:pt>
                <c:pt idx="13">
                  <c:v>0</c:v>
                </c:pt>
                <c:pt idx="14">
                  <c:v>0</c:v>
                </c:pt>
                <c:pt idx="15">
                  <c:v>-100</c:v>
                </c:pt>
                <c:pt idx="16">
                  <c:v>100</c:v>
                </c:pt>
                <c:pt idx="17">
                  <c:v>0</c:v>
                </c:pt>
                <c:pt idx="18">
                  <c:v>100</c:v>
                </c:pt>
                <c:pt idx="19">
                  <c:v>-400</c:v>
                </c:pt>
                <c:pt idx="20">
                  <c:v>400</c:v>
                </c:pt>
                <c:pt idx="21">
                  <c:v>-100</c:v>
                </c:pt>
                <c:pt idx="22">
                  <c:v>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06794880"/>
        <c:axId val="306796800"/>
      </c:lineChart>
      <c:catAx>
        <c:axId val="30679488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6796800"/>
        <c:crosses val="autoZero"/>
        <c:auto val="0"/>
        <c:lblAlgn val="ctr"/>
        <c:lblOffset val="0"/>
        <c:tickMarkSkip val="2"/>
        <c:noMultiLvlLbl val="0"/>
      </c:catAx>
      <c:valAx>
        <c:axId val="3067968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679488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2469866360153732"/>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44344</c:v>
                </c:pt>
                <c:pt idx="1">
                  <c:v>44343</c:v>
                </c:pt>
                <c:pt idx="2">
                  <c:v>44342</c:v>
                </c:pt>
                <c:pt idx="3">
                  <c:v>44341</c:v>
                </c:pt>
                <c:pt idx="4">
                  <c:v>44340</c:v>
                </c:pt>
                <c:pt idx="5">
                  <c:v>44337</c:v>
                </c:pt>
                <c:pt idx="6">
                  <c:v>44336</c:v>
                </c:pt>
                <c:pt idx="7">
                  <c:v>44335</c:v>
                </c:pt>
                <c:pt idx="8">
                  <c:v>44334</c:v>
                </c:pt>
                <c:pt idx="9">
                  <c:v>44333</c:v>
                </c:pt>
                <c:pt idx="10">
                  <c:v>44330</c:v>
                </c:pt>
                <c:pt idx="11">
                  <c:v>44329</c:v>
                </c:pt>
                <c:pt idx="12">
                  <c:v>44328</c:v>
                </c:pt>
                <c:pt idx="13">
                  <c:v>44327</c:v>
                </c:pt>
                <c:pt idx="14">
                  <c:v>44326</c:v>
                </c:pt>
                <c:pt idx="15">
                  <c:v>44324</c:v>
                </c:pt>
                <c:pt idx="16">
                  <c:v>44323</c:v>
                </c:pt>
                <c:pt idx="17">
                  <c:v>44322</c:v>
                </c:pt>
                <c:pt idx="18">
                  <c:v>44316</c:v>
                </c:pt>
                <c:pt idx="19">
                  <c:v>44315</c:v>
                </c:pt>
                <c:pt idx="20">
                  <c:v>44314</c:v>
                </c:pt>
                <c:pt idx="21">
                  <c:v>44313</c:v>
                </c:pt>
                <c:pt idx="22">
                  <c:v>44312</c:v>
                </c:pt>
                <c:pt idx="23">
                  <c:v>44311</c:v>
                </c:pt>
                <c:pt idx="24">
                  <c:v>44309</c:v>
                </c:pt>
                <c:pt idx="25">
                  <c:v>44308</c:v>
                </c:pt>
                <c:pt idx="26">
                  <c:v>44307</c:v>
                </c:pt>
                <c:pt idx="27">
                  <c:v>44306</c:v>
                </c:pt>
                <c:pt idx="28">
                  <c:v>44305</c:v>
                </c:pt>
                <c:pt idx="29">
                  <c:v>44302</c:v>
                </c:pt>
                <c:pt idx="30">
                  <c:v>44301</c:v>
                </c:pt>
                <c:pt idx="31">
                  <c:v>44300</c:v>
                </c:pt>
                <c:pt idx="32">
                  <c:v>44299</c:v>
                </c:pt>
                <c:pt idx="33">
                  <c:v>44298</c:v>
                </c:pt>
                <c:pt idx="34">
                  <c:v>44295</c:v>
                </c:pt>
                <c:pt idx="35">
                  <c:v>44294</c:v>
                </c:pt>
                <c:pt idx="36">
                  <c:v>44293</c:v>
                </c:pt>
                <c:pt idx="37">
                  <c:v>44292</c:v>
                </c:pt>
                <c:pt idx="38">
                  <c:v>44288</c:v>
                </c:pt>
                <c:pt idx="39">
                  <c:v>44287</c:v>
                </c:pt>
                <c:pt idx="40">
                  <c:v>44286</c:v>
                </c:pt>
                <c:pt idx="41">
                  <c:v>44285</c:v>
                </c:pt>
                <c:pt idx="42">
                  <c:v>44284</c:v>
                </c:pt>
                <c:pt idx="43">
                  <c:v>44281</c:v>
                </c:pt>
                <c:pt idx="44">
                  <c:v>44280</c:v>
                </c:pt>
                <c:pt idx="45">
                  <c:v>44279</c:v>
                </c:pt>
                <c:pt idx="46">
                  <c:v>44278</c:v>
                </c:pt>
                <c:pt idx="47">
                  <c:v>44277</c:v>
                </c:pt>
                <c:pt idx="48">
                  <c:v>44274</c:v>
                </c:pt>
                <c:pt idx="49">
                  <c:v>44273</c:v>
                </c:pt>
                <c:pt idx="50">
                  <c:v>44272</c:v>
                </c:pt>
                <c:pt idx="51">
                  <c:v>44271</c:v>
                </c:pt>
                <c:pt idx="52">
                  <c:v>44270</c:v>
                </c:pt>
                <c:pt idx="53">
                  <c:v>44267</c:v>
                </c:pt>
                <c:pt idx="54">
                  <c:v>44266</c:v>
                </c:pt>
                <c:pt idx="55">
                  <c:v>44265</c:v>
                </c:pt>
                <c:pt idx="56">
                  <c:v>44264</c:v>
                </c:pt>
                <c:pt idx="57">
                  <c:v>44263</c:v>
                </c:pt>
                <c:pt idx="58">
                  <c:v>44260</c:v>
                </c:pt>
              </c:numCache>
            </c:numRef>
          </c:cat>
          <c:val>
            <c:numRef>
              <c:f>资金!$B$3:$B$61</c:f>
              <c:numCache>
                <c:formatCode>###,###,###,###,##0.0000</c:formatCode>
                <c:ptCount val="59"/>
                <c:pt idx="0">
                  <c:v>2.2092000000000001</c:v>
                </c:pt>
                <c:pt idx="1">
                  <c:v>2.1524000000000001</c:v>
                </c:pt>
                <c:pt idx="2">
                  <c:v>2.0261</c:v>
                </c:pt>
                <c:pt idx="3">
                  <c:v>2.2078000000000002</c:v>
                </c:pt>
                <c:pt idx="4">
                  <c:v>2.2084999999999999</c:v>
                </c:pt>
                <c:pt idx="5">
                  <c:v>2.0007000000000001</c:v>
                </c:pt>
                <c:pt idx="6">
                  <c:v>2.1055999999999999</c:v>
                </c:pt>
                <c:pt idx="7">
                  <c:v>2.0579999999999998</c:v>
                </c:pt>
                <c:pt idx="8">
                  <c:v>2.1303999999999998</c:v>
                </c:pt>
                <c:pt idx="9">
                  <c:v>2.1846000000000001</c:v>
                </c:pt>
                <c:pt idx="10">
                  <c:v>1.8376999999999999</c:v>
                </c:pt>
                <c:pt idx="11">
                  <c:v>1.9856</c:v>
                </c:pt>
                <c:pt idx="12">
                  <c:v>1.9772000000000001</c:v>
                </c:pt>
                <c:pt idx="13">
                  <c:v>1.9589000000000001</c:v>
                </c:pt>
                <c:pt idx="14">
                  <c:v>1.6997</c:v>
                </c:pt>
                <c:pt idx="15">
                  <c:v>1.4749000000000001</c:v>
                </c:pt>
                <c:pt idx="16">
                  <c:v>1.7567999999999999</c:v>
                </c:pt>
                <c:pt idx="17">
                  <c:v>2.1004999999999998</c:v>
                </c:pt>
                <c:pt idx="18">
                  <c:v>2.3130000000000002</c:v>
                </c:pt>
                <c:pt idx="19">
                  <c:v>1.8532</c:v>
                </c:pt>
                <c:pt idx="20">
                  <c:v>1.8116000000000001</c:v>
                </c:pt>
                <c:pt idx="21">
                  <c:v>1.8314999999999999</c:v>
                </c:pt>
                <c:pt idx="22">
                  <c:v>2.0872999999999999</c:v>
                </c:pt>
                <c:pt idx="23">
                  <c:v>2.0192000000000001</c:v>
                </c:pt>
                <c:pt idx="24">
                  <c:v>1.9596</c:v>
                </c:pt>
                <c:pt idx="25">
                  <c:v>2.1551999999999998</c:v>
                </c:pt>
                <c:pt idx="26">
                  <c:v>1.9048</c:v>
                </c:pt>
                <c:pt idx="27">
                  <c:v>1.873</c:v>
                </c:pt>
                <c:pt idx="28">
                  <c:v>2.1116999999999999</c:v>
                </c:pt>
                <c:pt idx="29">
                  <c:v>1.9665999999999999</c:v>
                </c:pt>
                <c:pt idx="30">
                  <c:v>1.8460000000000001</c:v>
                </c:pt>
                <c:pt idx="31">
                  <c:v>1.8394999999999999</c:v>
                </c:pt>
                <c:pt idx="32">
                  <c:v>1.8163</c:v>
                </c:pt>
                <c:pt idx="33">
                  <c:v>1.8184</c:v>
                </c:pt>
                <c:pt idx="34">
                  <c:v>1.8128</c:v>
                </c:pt>
                <c:pt idx="35">
                  <c:v>1.7882</c:v>
                </c:pt>
                <c:pt idx="36">
                  <c:v>1.8531</c:v>
                </c:pt>
                <c:pt idx="37">
                  <c:v>1.8081</c:v>
                </c:pt>
                <c:pt idx="38">
                  <c:v>1.7512000000000001</c:v>
                </c:pt>
                <c:pt idx="39">
                  <c:v>2.1960000000000002</c:v>
                </c:pt>
                <c:pt idx="40">
                  <c:v>2.3929</c:v>
                </c:pt>
                <c:pt idx="41">
                  <c:v>1.8808</c:v>
                </c:pt>
                <c:pt idx="42">
                  <c:v>1.8393999999999999</c:v>
                </c:pt>
                <c:pt idx="43">
                  <c:v>1.8057000000000001</c:v>
                </c:pt>
                <c:pt idx="44">
                  <c:v>2.0571999999999999</c:v>
                </c:pt>
                <c:pt idx="45">
                  <c:v>1.8817999999999999</c:v>
                </c:pt>
                <c:pt idx="46">
                  <c:v>2.0042</c:v>
                </c:pt>
                <c:pt idx="47">
                  <c:v>2.0869</c:v>
                </c:pt>
                <c:pt idx="48">
                  <c:v>2.1583999999999999</c:v>
                </c:pt>
                <c:pt idx="49">
                  <c:v>2.2496999999999998</c:v>
                </c:pt>
                <c:pt idx="50">
                  <c:v>2.024</c:v>
                </c:pt>
                <c:pt idx="51">
                  <c:v>2.1652</c:v>
                </c:pt>
                <c:pt idx="52">
                  <c:v>2.2884000000000002</c:v>
                </c:pt>
                <c:pt idx="53">
                  <c:v>1.8247</c:v>
                </c:pt>
                <c:pt idx="54">
                  <c:v>1.8349</c:v>
                </c:pt>
                <c:pt idx="55">
                  <c:v>1.7825</c:v>
                </c:pt>
                <c:pt idx="56">
                  <c:v>2.0304000000000002</c:v>
                </c:pt>
                <c:pt idx="57">
                  <c:v>1.7479</c:v>
                </c:pt>
                <c:pt idx="58">
                  <c:v>1.6113999999999999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44344</c:v>
                </c:pt>
                <c:pt idx="1">
                  <c:v>44343</c:v>
                </c:pt>
                <c:pt idx="2">
                  <c:v>44342</c:v>
                </c:pt>
                <c:pt idx="3">
                  <c:v>44341</c:v>
                </c:pt>
                <c:pt idx="4">
                  <c:v>44340</c:v>
                </c:pt>
                <c:pt idx="5">
                  <c:v>44337</c:v>
                </c:pt>
                <c:pt idx="6">
                  <c:v>44336</c:v>
                </c:pt>
                <c:pt idx="7">
                  <c:v>44335</c:v>
                </c:pt>
                <c:pt idx="8">
                  <c:v>44334</c:v>
                </c:pt>
                <c:pt idx="9">
                  <c:v>44333</c:v>
                </c:pt>
                <c:pt idx="10">
                  <c:v>44330</c:v>
                </c:pt>
                <c:pt idx="11">
                  <c:v>44329</c:v>
                </c:pt>
                <c:pt idx="12">
                  <c:v>44328</c:v>
                </c:pt>
                <c:pt idx="13">
                  <c:v>44327</c:v>
                </c:pt>
                <c:pt idx="14">
                  <c:v>44326</c:v>
                </c:pt>
                <c:pt idx="15">
                  <c:v>44324</c:v>
                </c:pt>
                <c:pt idx="16">
                  <c:v>44323</c:v>
                </c:pt>
                <c:pt idx="17">
                  <c:v>44322</c:v>
                </c:pt>
                <c:pt idx="18">
                  <c:v>44316</c:v>
                </c:pt>
                <c:pt idx="19">
                  <c:v>44315</c:v>
                </c:pt>
                <c:pt idx="20">
                  <c:v>44314</c:v>
                </c:pt>
                <c:pt idx="21">
                  <c:v>44313</c:v>
                </c:pt>
                <c:pt idx="22">
                  <c:v>44312</c:v>
                </c:pt>
                <c:pt idx="23">
                  <c:v>44311</c:v>
                </c:pt>
                <c:pt idx="24">
                  <c:v>44309</c:v>
                </c:pt>
                <c:pt idx="25">
                  <c:v>44308</c:v>
                </c:pt>
                <c:pt idx="26">
                  <c:v>44307</c:v>
                </c:pt>
                <c:pt idx="27">
                  <c:v>44306</c:v>
                </c:pt>
                <c:pt idx="28">
                  <c:v>44305</c:v>
                </c:pt>
                <c:pt idx="29">
                  <c:v>44302</c:v>
                </c:pt>
                <c:pt idx="30">
                  <c:v>44301</c:v>
                </c:pt>
                <c:pt idx="31">
                  <c:v>44300</c:v>
                </c:pt>
                <c:pt idx="32">
                  <c:v>44299</c:v>
                </c:pt>
                <c:pt idx="33">
                  <c:v>44298</c:v>
                </c:pt>
                <c:pt idx="34">
                  <c:v>44295</c:v>
                </c:pt>
                <c:pt idx="35">
                  <c:v>44294</c:v>
                </c:pt>
                <c:pt idx="36">
                  <c:v>44293</c:v>
                </c:pt>
                <c:pt idx="37">
                  <c:v>44292</c:v>
                </c:pt>
                <c:pt idx="38">
                  <c:v>44288</c:v>
                </c:pt>
                <c:pt idx="39">
                  <c:v>44287</c:v>
                </c:pt>
                <c:pt idx="40">
                  <c:v>44286</c:v>
                </c:pt>
                <c:pt idx="41">
                  <c:v>44285</c:v>
                </c:pt>
                <c:pt idx="42">
                  <c:v>44284</c:v>
                </c:pt>
                <c:pt idx="43">
                  <c:v>44281</c:v>
                </c:pt>
                <c:pt idx="44">
                  <c:v>44280</c:v>
                </c:pt>
                <c:pt idx="45">
                  <c:v>44279</c:v>
                </c:pt>
                <c:pt idx="46">
                  <c:v>44278</c:v>
                </c:pt>
                <c:pt idx="47">
                  <c:v>44277</c:v>
                </c:pt>
                <c:pt idx="48">
                  <c:v>44274</c:v>
                </c:pt>
                <c:pt idx="49">
                  <c:v>44273</c:v>
                </c:pt>
                <c:pt idx="50">
                  <c:v>44272</c:v>
                </c:pt>
                <c:pt idx="51">
                  <c:v>44271</c:v>
                </c:pt>
                <c:pt idx="52">
                  <c:v>44270</c:v>
                </c:pt>
                <c:pt idx="53">
                  <c:v>44267</c:v>
                </c:pt>
                <c:pt idx="54">
                  <c:v>44266</c:v>
                </c:pt>
                <c:pt idx="55">
                  <c:v>44265</c:v>
                </c:pt>
                <c:pt idx="56">
                  <c:v>44264</c:v>
                </c:pt>
                <c:pt idx="57">
                  <c:v>44263</c:v>
                </c:pt>
                <c:pt idx="58">
                  <c:v>44260</c:v>
                </c:pt>
              </c:numCache>
            </c:numRef>
          </c:cat>
          <c:val>
            <c:numRef>
              <c:f>资金!$C$3:$C$61</c:f>
              <c:numCache>
                <c:formatCode>###,###,###,###,##0.0000</c:formatCode>
                <c:ptCount val="59"/>
                <c:pt idx="0">
                  <c:v>2.4354</c:v>
                </c:pt>
                <c:pt idx="1">
                  <c:v>2.3687999999999998</c:v>
                </c:pt>
                <c:pt idx="2">
                  <c:v>2.3936999999999999</c:v>
                </c:pt>
                <c:pt idx="3">
                  <c:v>2.4274</c:v>
                </c:pt>
                <c:pt idx="4">
                  <c:v>2.1537999999999999</c:v>
                </c:pt>
                <c:pt idx="5">
                  <c:v>2.1427</c:v>
                </c:pt>
                <c:pt idx="6">
                  <c:v>2.2088000000000001</c:v>
                </c:pt>
                <c:pt idx="7">
                  <c:v>2.1913</c:v>
                </c:pt>
                <c:pt idx="8">
                  <c:v>2.2437</c:v>
                </c:pt>
                <c:pt idx="9">
                  <c:v>2.1873999999999998</c:v>
                </c:pt>
                <c:pt idx="10">
                  <c:v>2.0255000000000001</c:v>
                </c:pt>
                <c:pt idx="11">
                  <c:v>2.0687000000000002</c:v>
                </c:pt>
                <c:pt idx="12">
                  <c:v>1.9994000000000001</c:v>
                </c:pt>
                <c:pt idx="13">
                  <c:v>1.9733000000000001</c:v>
                </c:pt>
                <c:pt idx="14">
                  <c:v>1.9528000000000001</c:v>
                </c:pt>
                <c:pt idx="15">
                  <c:v>1.821</c:v>
                </c:pt>
                <c:pt idx="16">
                  <c:v>1.9728000000000001</c:v>
                </c:pt>
                <c:pt idx="17">
                  <c:v>2.1395</c:v>
                </c:pt>
                <c:pt idx="18">
                  <c:v>2.3769</c:v>
                </c:pt>
                <c:pt idx="19">
                  <c:v>2.3264999999999998</c:v>
                </c:pt>
                <c:pt idx="20">
                  <c:v>2.2690000000000001</c:v>
                </c:pt>
                <c:pt idx="21">
                  <c:v>2.2949999999999999</c:v>
                </c:pt>
                <c:pt idx="22">
                  <c:v>2.3549000000000002</c:v>
                </c:pt>
                <c:pt idx="23">
                  <c:v>2.2372000000000001</c:v>
                </c:pt>
                <c:pt idx="24">
                  <c:v>2.1141000000000001</c:v>
                </c:pt>
                <c:pt idx="25">
                  <c:v>2.1456</c:v>
                </c:pt>
                <c:pt idx="26">
                  <c:v>2.0910000000000002</c:v>
                </c:pt>
                <c:pt idx="27">
                  <c:v>2.2360000000000002</c:v>
                </c:pt>
                <c:pt idx="28">
                  <c:v>2.3254000000000001</c:v>
                </c:pt>
                <c:pt idx="29">
                  <c:v>2.1677</c:v>
                </c:pt>
                <c:pt idx="30">
                  <c:v>2.0480999999999998</c:v>
                </c:pt>
                <c:pt idx="31">
                  <c:v>1.9805999999999999</c:v>
                </c:pt>
                <c:pt idx="32">
                  <c:v>1.9778</c:v>
                </c:pt>
                <c:pt idx="33">
                  <c:v>1.982</c:v>
                </c:pt>
                <c:pt idx="34">
                  <c:v>1.9272</c:v>
                </c:pt>
                <c:pt idx="35">
                  <c:v>1.9629000000000001</c:v>
                </c:pt>
                <c:pt idx="36">
                  <c:v>1.9476</c:v>
                </c:pt>
                <c:pt idx="37">
                  <c:v>1.9693000000000001</c:v>
                </c:pt>
                <c:pt idx="38">
                  <c:v>2.0823999999999998</c:v>
                </c:pt>
                <c:pt idx="39">
                  <c:v>2.2355999999999998</c:v>
                </c:pt>
                <c:pt idx="40">
                  <c:v>2.6713</c:v>
                </c:pt>
                <c:pt idx="41">
                  <c:v>2.4952000000000001</c:v>
                </c:pt>
                <c:pt idx="42">
                  <c:v>2.4664000000000001</c:v>
                </c:pt>
                <c:pt idx="43">
                  <c:v>2.4746000000000001</c:v>
                </c:pt>
                <c:pt idx="44">
                  <c:v>2.4559000000000002</c:v>
                </c:pt>
                <c:pt idx="45">
                  <c:v>1.9964</c:v>
                </c:pt>
                <c:pt idx="46">
                  <c:v>2.1162000000000001</c:v>
                </c:pt>
                <c:pt idx="47">
                  <c:v>2.1791</c:v>
                </c:pt>
                <c:pt idx="48">
                  <c:v>2.1913999999999998</c:v>
                </c:pt>
                <c:pt idx="49">
                  <c:v>2.1907999999999999</c:v>
                </c:pt>
                <c:pt idx="50">
                  <c:v>2.1332</c:v>
                </c:pt>
                <c:pt idx="51">
                  <c:v>2.302</c:v>
                </c:pt>
                <c:pt idx="52">
                  <c:v>2.3008000000000002</c:v>
                </c:pt>
                <c:pt idx="53">
                  <c:v>2.0649999999999999</c:v>
                </c:pt>
                <c:pt idx="54">
                  <c:v>2.0508999999999999</c:v>
                </c:pt>
                <c:pt idx="55">
                  <c:v>2.0379</c:v>
                </c:pt>
                <c:pt idx="56">
                  <c:v>2.0366</c:v>
                </c:pt>
                <c:pt idx="57">
                  <c:v>2.0465</c:v>
                </c:pt>
                <c:pt idx="58">
                  <c:v>1.9971000000000001</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06816512"/>
        <c:axId val="306818048"/>
      </c:lineChart>
      <c:dateAx>
        <c:axId val="30681651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6818048"/>
        <c:crosses val="autoZero"/>
        <c:auto val="0"/>
        <c:lblOffset val="0"/>
        <c:baseTimeUnit val="days"/>
        <c:majorUnit val="14"/>
        <c:majorTimeUnit val="days"/>
        <c:minorUnit val="7"/>
        <c:minorTimeUnit val="days"/>
      </c:dateAx>
      <c:valAx>
        <c:axId val="306818048"/>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681651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7.2300000000000031</c:v>
                </c:pt>
                <c:pt idx="1">
                  <c:v>7.3499999999999899</c:v>
                </c:pt>
                <c:pt idx="2">
                  <c:v>8.2800000000000207</c:v>
                </c:pt>
                <c:pt idx="3">
                  <c:v>4.310000000000036</c:v>
                </c:pt>
                <c:pt idx="4">
                  <c:v>3.919999999999968</c:v>
                </c:pt>
                <c:pt idx="5">
                  <c:v>3.4699999999999953</c:v>
                </c:pt>
                <c:pt idx="6">
                  <c:v>-0.51000000000001044</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08103808"/>
        <c:axId val="30811008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1.7786999999999999</c:v>
                </c:pt>
                <c:pt idx="1">
                  <c:v>1.8953</c:v>
                </c:pt>
                <c:pt idx="2">
                  <c:v>2.41</c:v>
                </c:pt>
                <c:pt idx="3">
                  <c:v>2.7648000000000001</c:v>
                </c:pt>
                <c:pt idx="4">
                  <c:v>2.9310999999999998</c:v>
                </c:pt>
                <c:pt idx="5">
                  <c:v>3.0585</c:v>
                </c:pt>
                <c:pt idx="6">
                  <c:v>3.0825</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1.7063999999999999</c:v>
                </c:pt>
                <c:pt idx="1">
                  <c:v>1.8218000000000001</c:v>
                </c:pt>
                <c:pt idx="2">
                  <c:v>2.3271999999999999</c:v>
                </c:pt>
                <c:pt idx="3">
                  <c:v>2.7216999999999998</c:v>
                </c:pt>
                <c:pt idx="4">
                  <c:v>2.8919000000000001</c:v>
                </c:pt>
                <c:pt idx="5">
                  <c:v>3.0238</c:v>
                </c:pt>
                <c:pt idx="6">
                  <c:v>3.0876000000000001</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08125696"/>
        <c:axId val="308111616"/>
      </c:lineChart>
      <c:dateAx>
        <c:axId val="30810380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8110080"/>
        <c:crosses val="autoZero"/>
        <c:auto val="0"/>
        <c:lblOffset val="0"/>
        <c:baseTimeUnit val="days"/>
      </c:dateAx>
      <c:valAx>
        <c:axId val="30811008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8103808"/>
        <c:crosses val="autoZero"/>
        <c:crossBetween val="between"/>
      </c:valAx>
      <c:valAx>
        <c:axId val="308111616"/>
        <c:scaling>
          <c:orientation val="minMax"/>
        </c:scaling>
        <c:delete val="0"/>
        <c:axPos val="r"/>
        <c:numFmt formatCode="#,##0.0_);[Red]\(#,##0.0\)" sourceLinked="0"/>
        <c:majorTickMark val="out"/>
        <c:minorTickMark val="none"/>
        <c:tickLblPos val="nextTo"/>
        <c:spPr>
          <a:ln w="3175">
            <a:solidFill>
              <a:sysClr val="windowText" lastClr="000000"/>
            </a:solidFill>
          </a:ln>
        </c:spPr>
        <c:crossAx val="308125696"/>
        <c:crosses val="max"/>
        <c:crossBetween val="between"/>
      </c:valAx>
      <c:dateAx>
        <c:axId val="308125696"/>
        <c:scaling>
          <c:orientation val="minMax"/>
        </c:scaling>
        <c:delete val="1"/>
        <c:axPos val="b"/>
        <c:numFmt formatCode="General" sourceLinked="1"/>
        <c:majorTickMark val="out"/>
        <c:minorTickMark val="none"/>
        <c:tickLblPos val="nextTo"/>
        <c:crossAx val="308111616"/>
        <c:crosses val="autoZero"/>
        <c:auto val="0"/>
        <c:lblOffset val="100"/>
        <c:baseTimeUnit val="years"/>
      </c:dateAx>
    </c:plotArea>
    <c:legend>
      <c:legendPos val="r"/>
      <c:layout>
        <c:manualLayout>
          <c:xMode val="edge"/>
          <c:yMode val="edge"/>
          <c:x val="0.10990412139621653"/>
          <c:y val="2.333535082664133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11.829999999999984</c:v>
                </c:pt>
                <c:pt idx="1">
                  <c:v>7.0999999999999952</c:v>
                </c:pt>
                <c:pt idx="2">
                  <c:v>3.420000000000023</c:v>
                </c:pt>
                <c:pt idx="3">
                  <c:v>3.9200000000000124</c:v>
                </c:pt>
                <c:pt idx="4">
                  <c:v>2.8999999999999915</c:v>
                </c:pt>
                <c:pt idx="5">
                  <c:v>1.6100000000000225</c:v>
                </c:pt>
                <c:pt idx="6">
                  <c:v>1.0199999999999765</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08199424"/>
        <c:axId val="30820134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1.8613999999999999</c:v>
                </c:pt>
                <c:pt idx="1">
                  <c:v>1.9373</c:v>
                </c:pt>
                <c:pt idx="2">
                  <c:v>2.5541</c:v>
                </c:pt>
                <c:pt idx="3">
                  <c:v>3.0710999999999999</c:v>
                </c:pt>
                <c:pt idx="4">
                  <c:v>3.2395999999999998</c:v>
                </c:pt>
                <c:pt idx="5">
                  <c:v>3.411</c:v>
                </c:pt>
                <c:pt idx="6">
                  <c:v>3.4937999999999998</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1.7431000000000001</c:v>
                </c:pt>
                <c:pt idx="1">
                  <c:v>1.8663000000000001</c:v>
                </c:pt>
                <c:pt idx="2">
                  <c:v>2.5198999999999998</c:v>
                </c:pt>
                <c:pt idx="3">
                  <c:v>3.0318999999999998</c:v>
                </c:pt>
                <c:pt idx="4">
                  <c:v>3.2105999999999999</c:v>
                </c:pt>
                <c:pt idx="5">
                  <c:v>3.3948999999999998</c:v>
                </c:pt>
                <c:pt idx="6">
                  <c:v>3.4836</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08208768"/>
        <c:axId val="308202880"/>
      </c:lineChart>
      <c:dateAx>
        <c:axId val="30819942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8201344"/>
        <c:crosses val="autoZero"/>
        <c:auto val="0"/>
        <c:lblOffset val="0"/>
        <c:baseTimeUnit val="days"/>
      </c:dateAx>
      <c:valAx>
        <c:axId val="30820134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8199424"/>
        <c:crosses val="autoZero"/>
        <c:crossBetween val="between"/>
      </c:valAx>
      <c:valAx>
        <c:axId val="308202880"/>
        <c:scaling>
          <c:orientation val="minMax"/>
        </c:scaling>
        <c:delete val="0"/>
        <c:axPos val="r"/>
        <c:numFmt formatCode="#,##0.0_);[Red]\(#,##0.0\)" sourceLinked="0"/>
        <c:majorTickMark val="out"/>
        <c:minorTickMark val="none"/>
        <c:tickLblPos val="nextTo"/>
        <c:spPr>
          <a:ln w="3175">
            <a:solidFill>
              <a:sysClr val="windowText" lastClr="000000"/>
            </a:solidFill>
          </a:ln>
        </c:spPr>
        <c:crossAx val="308208768"/>
        <c:crosses val="max"/>
        <c:crossBetween val="between"/>
      </c:valAx>
      <c:dateAx>
        <c:axId val="308208768"/>
        <c:scaling>
          <c:orientation val="minMax"/>
        </c:scaling>
        <c:delete val="1"/>
        <c:axPos val="b"/>
        <c:numFmt formatCode="General" sourceLinked="1"/>
        <c:majorTickMark val="out"/>
        <c:minorTickMark val="none"/>
        <c:tickLblPos val="nextTo"/>
        <c:crossAx val="30820288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44344</c:v>
                </c:pt>
                <c:pt idx="1">
                  <c:v>44337</c:v>
                </c:pt>
                <c:pt idx="2">
                  <c:v>44330</c:v>
                </c:pt>
                <c:pt idx="3">
                  <c:v>44323</c:v>
                </c:pt>
                <c:pt idx="4">
                  <c:v>44316</c:v>
                </c:pt>
                <c:pt idx="5">
                  <c:v>44309</c:v>
                </c:pt>
                <c:pt idx="6">
                  <c:v>44302</c:v>
                </c:pt>
                <c:pt idx="7">
                  <c:v>44295</c:v>
                </c:pt>
                <c:pt idx="8">
                  <c:v>44288</c:v>
                </c:pt>
                <c:pt idx="9">
                  <c:v>44281</c:v>
                </c:pt>
                <c:pt idx="10">
                  <c:v>44274</c:v>
                </c:pt>
                <c:pt idx="11">
                  <c:v>44267</c:v>
                </c:pt>
                <c:pt idx="12">
                  <c:v>44260</c:v>
                </c:pt>
                <c:pt idx="13">
                  <c:v>44253</c:v>
                </c:pt>
                <c:pt idx="14">
                  <c:v>44246</c:v>
                </c:pt>
                <c:pt idx="15">
                  <c:v>44237</c:v>
                </c:pt>
                <c:pt idx="16">
                  <c:v>44232</c:v>
                </c:pt>
                <c:pt idx="17">
                  <c:v>44225</c:v>
                </c:pt>
                <c:pt idx="18">
                  <c:v>44218</c:v>
                </c:pt>
                <c:pt idx="19">
                  <c:v>44211</c:v>
                </c:pt>
                <c:pt idx="20">
                  <c:v>44204</c:v>
                </c:pt>
                <c:pt idx="21">
                  <c:v>44196</c:v>
                </c:pt>
                <c:pt idx="22">
                  <c:v>44190</c:v>
                </c:pt>
                <c:pt idx="23">
                  <c:v>44183</c:v>
                </c:pt>
              </c:numCache>
            </c:numRef>
          </c:cat>
          <c:val>
            <c:numRef>
              <c:f>转债!$H$5:$H$28</c:f>
              <c:numCache>
                <c:formatCode>General</c:formatCode>
                <c:ptCount val="24"/>
                <c:pt idx="0">
                  <c:v>5.3665580022481452</c:v>
                </c:pt>
                <c:pt idx="1">
                  <c:v>3.6558916042149114</c:v>
                </c:pt>
                <c:pt idx="2">
                  <c:v>3.4252962399028419</c:v>
                </c:pt>
                <c:pt idx="3">
                  <c:v>2.5196768472125486</c:v>
                </c:pt>
                <c:pt idx="4">
                  <c:v>2.2303179232435077</c:v>
                </c:pt>
                <c:pt idx="5">
                  <c:v>2.2322445973306237</c:v>
                </c:pt>
                <c:pt idx="6">
                  <c:v>1.5001634920582596</c:v>
                </c:pt>
                <c:pt idx="7">
                  <c:v>1.7883388876594797</c:v>
                </c:pt>
                <c:pt idx="8">
                  <c:v>1.4090318077377484</c:v>
                </c:pt>
                <c:pt idx="9">
                  <c:v>0.81825848479744057</c:v>
                </c:pt>
                <c:pt idx="10">
                  <c:v>1.396921284904451</c:v>
                </c:pt>
                <c:pt idx="11">
                  <c:v>1.3813427487143537</c:v>
                </c:pt>
                <c:pt idx="12">
                  <c:v>1.0594780805041504</c:v>
                </c:pt>
                <c:pt idx="13">
                  <c:v>0.58422263104411787</c:v>
                </c:pt>
                <c:pt idx="14">
                  <c:v>2.1137816648886254</c:v>
                </c:pt>
                <c:pt idx="15">
                  <c:v>0.43793302000108003</c:v>
                </c:pt>
                <c:pt idx="16">
                  <c:v>-2.3565976476960904</c:v>
                </c:pt>
                <c:pt idx="17">
                  <c:v>-9.5232747734508294E-2</c:v>
                </c:pt>
                <c:pt idx="18">
                  <c:v>3.8516692153812482</c:v>
                </c:pt>
                <c:pt idx="19">
                  <c:v>2.9067181473982684</c:v>
                </c:pt>
                <c:pt idx="20">
                  <c:v>2.9502609817670722</c:v>
                </c:pt>
                <c:pt idx="21">
                  <c:v>1.3710212803905275</c:v>
                </c:pt>
                <c:pt idx="22">
                  <c:v>0.1761530593933136</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44344</c:v>
                </c:pt>
                <c:pt idx="1">
                  <c:v>44337</c:v>
                </c:pt>
                <c:pt idx="2">
                  <c:v>44330</c:v>
                </c:pt>
                <c:pt idx="3">
                  <c:v>44323</c:v>
                </c:pt>
                <c:pt idx="4">
                  <c:v>44316</c:v>
                </c:pt>
                <c:pt idx="5">
                  <c:v>44309</c:v>
                </c:pt>
                <c:pt idx="6">
                  <c:v>44302</c:v>
                </c:pt>
                <c:pt idx="7">
                  <c:v>44295</c:v>
                </c:pt>
                <c:pt idx="8">
                  <c:v>44288</c:v>
                </c:pt>
                <c:pt idx="9">
                  <c:v>44281</c:v>
                </c:pt>
                <c:pt idx="10">
                  <c:v>44274</c:v>
                </c:pt>
                <c:pt idx="11">
                  <c:v>44267</c:v>
                </c:pt>
                <c:pt idx="12">
                  <c:v>44260</c:v>
                </c:pt>
                <c:pt idx="13">
                  <c:v>44253</c:v>
                </c:pt>
                <c:pt idx="14">
                  <c:v>44246</c:v>
                </c:pt>
                <c:pt idx="15">
                  <c:v>44237</c:v>
                </c:pt>
                <c:pt idx="16">
                  <c:v>44232</c:v>
                </c:pt>
                <c:pt idx="17">
                  <c:v>44225</c:v>
                </c:pt>
                <c:pt idx="18">
                  <c:v>44218</c:v>
                </c:pt>
                <c:pt idx="19">
                  <c:v>44211</c:v>
                </c:pt>
                <c:pt idx="20">
                  <c:v>44204</c:v>
                </c:pt>
                <c:pt idx="21">
                  <c:v>44196</c:v>
                </c:pt>
                <c:pt idx="22">
                  <c:v>44190</c:v>
                </c:pt>
                <c:pt idx="23">
                  <c:v>44183</c:v>
                </c:pt>
              </c:numCache>
            </c:numRef>
          </c:cat>
          <c:val>
            <c:numRef>
              <c:f>转债!$I$5:$I$28</c:f>
              <c:numCache>
                <c:formatCode>General</c:formatCode>
                <c:ptCount val="24"/>
                <c:pt idx="0">
                  <c:v>1.1462345631048088</c:v>
                </c:pt>
                <c:pt idx="1">
                  <c:v>1.2107017185833735</c:v>
                </c:pt>
                <c:pt idx="2">
                  <c:v>0.9405373742997325</c:v>
                </c:pt>
                <c:pt idx="3">
                  <c:v>0.85028335662975518</c:v>
                </c:pt>
                <c:pt idx="4">
                  <c:v>0.79264715802307428</c:v>
                </c:pt>
                <c:pt idx="5">
                  <c:v>0.83235209484100459</c:v>
                </c:pt>
                <c:pt idx="6">
                  <c:v>0.70427165349287169</c:v>
                </c:pt>
                <c:pt idx="7">
                  <c:v>0.4087473818223053</c:v>
                </c:pt>
                <c:pt idx="8">
                  <c:v>0.43683969195800199</c:v>
                </c:pt>
                <c:pt idx="9">
                  <c:v>0.40977202535310564</c:v>
                </c:pt>
                <c:pt idx="10">
                  <c:v>0.24070584277355866</c:v>
                </c:pt>
                <c:pt idx="11">
                  <c:v>0.1545503992267383</c:v>
                </c:pt>
                <c:pt idx="12">
                  <c:v>0.14438935087979221</c:v>
                </c:pt>
                <c:pt idx="13">
                  <c:v>-5.1232176539239838E-3</c:v>
                </c:pt>
                <c:pt idx="14">
                  <c:v>2.1773675029179707E-2</c:v>
                </c:pt>
                <c:pt idx="15">
                  <c:v>9.6743426698275847E-2</c:v>
                </c:pt>
                <c:pt idx="16">
                  <c:v>0.11262540142544797</c:v>
                </c:pt>
                <c:pt idx="17">
                  <c:v>0.30696612443099625</c:v>
                </c:pt>
                <c:pt idx="18">
                  <c:v>0.68796274396121238</c:v>
                </c:pt>
                <c:pt idx="19">
                  <c:v>0.61282221837031248</c:v>
                </c:pt>
                <c:pt idx="20">
                  <c:v>0.62349558848266984</c:v>
                </c:pt>
                <c:pt idx="21">
                  <c:v>0.59847720893932976</c:v>
                </c:pt>
                <c:pt idx="22">
                  <c:v>0.32105497297929553</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44344</c:v>
                </c:pt>
                <c:pt idx="1">
                  <c:v>44337</c:v>
                </c:pt>
                <c:pt idx="2">
                  <c:v>44330</c:v>
                </c:pt>
                <c:pt idx="3">
                  <c:v>44323</c:v>
                </c:pt>
                <c:pt idx="4">
                  <c:v>44316</c:v>
                </c:pt>
                <c:pt idx="5">
                  <c:v>44309</c:v>
                </c:pt>
                <c:pt idx="6">
                  <c:v>44302</c:v>
                </c:pt>
                <c:pt idx="7">
                  <c:v>44295</c:v>
                </c:pt>
                <c:pt idx="8">
                  <c:v>44288</c:v>
                </c:pt>
                <c:pt idx="9">
                  <c:v>44281</c:v>
                </c:pt>
                <c:pt idx="10">
                  <c:v>44274</c:v>
                </c:pt>
                <c:pt idx="11">
                  <c:v>44267</c:v>
                </c:pt>
                <c:pt idx="12">
                  <c:v>44260</c:v>
                </c:pt>
                <c:pt idx="13">
                  <c:v>44253</c:v>
                </c:pt>
                <c:pt idx="14">
                  <c:v>44246</c:v>
                </c:pt>
                <c:pt idx="15">
                  <c:v>44237</c:v>
                </c:pt>
                <c:pt idx="16">
                  <c:v>44232</c:v>
                </c:pt>
                <c:pt idx="17">
                  <c:v>44225</c:v>
                </c:pt>
                <c:pt idx="18">
                  <c:v>44218</c:v>
                </c:pt>
                <c:pt idx="19">
                  <c:v>44211</c:v>
                </c:pt>
                <c:pt idx="20">
                  <c:v>44204</c:v>
                </c:pt>
                <c:pt idx="21">
                  <c:v>44196</c:v>
                </c:pt>
                <c:pt idx="22">
                  <c:v>44190</c:v>
                </c:pt>
                <c:pt idx="23">
                  <c:v>44183</c:v>
                </c:pt>
              </c:numCache>
            </c:numRef>
          </c:cat>
          <c:val>
            <c:numRef>
              <c:f>转债!$J$5:$J$28</c:f>
              <c:numCache>
                <c:formatCode>General</c:formatCode>
                <c:ptCount val="24"/>
                <c:pt idx="0">
                  <c:v>6.4224573606253887</c:v>
                </c:pt>
                <c:pt idx="1">
                  <c:v>2.6836272825596863</c:v>
                </c:pt>
                <c:pt idx="2">
                  <c:v>2.212460248243997</c:v>
                </c:pt>
                <c:pt idx="3">
                  <c:v>-7.830250426813512E-2</c:v>
                </c:pt>
                <c:pt idx="4">
                  <c:v>2.4704399096330043</c:v>
                </c:pt>
                <c:pt idx="5">
                  <c:v>2.7097294506576608</c:v>
                </c:pt>
                <c:pt idx="6">
                  <c:v>-0.6757383517549953</c:v>
                </c:pt>
                <c:pt idx="7">
                  <c:v>0.70739655563381021</c:v>
                </c:pt>
                <c:pt idx="8">
                  <c:v>3.2318028128101028</c:v>
                </c:pt>
                <c:pt idx="9">
                  <c:v>0.76044689727801096</c:v>
                </c:pt>
                <c:pt idx="10">
                  <c:v>0.14245891743540628</c:v>
                </c:pt>
                <c:pt idx="11">
                  <c:v>2.928234857832468</c:v>
                </c:pt>
                <c:pt idx="12">
                  <c:v>5.2565938524643974</c:v>
                </c:pt>
                <c:pt idx="13">
                  <c:v>6.7359053792306334</c:v>
                </c:pt>
                <c:pt idx="14">
                  <c:v>15.577584319643002</c:v>
                </c:pt>
                <c:pt idx="15">
                  <c:v>16.155130039037459</c:v>
                </c:pt>
                <c:pt idx="16">
                  <c:v>9.6689862682715511</c:v>
                </c:pt>
                <c:pt idx="17">
                  <c:v>7.0399813374798059</c:v>
                </c:pt>
                <c:pt idx="18">
                  <c:v>11.396237391768782</c:v>
                </c:pt>
                <c:pt idx="19">
                  <c:v>9.1623270053859063</c:v>
                </c:pt>
                <c:pt idx="20">
                  <c:v>9.9093198160195897</c:v>
                </c:pt>
                <c:pt idx="21">
                  <c:v>4.2264412182814404</c:v>
                </c:pt>
                <c:pt idx="22">
                  <c:v>0.8409234155468015</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08836992"/>
        <c:axId val="308838784"/>
      </c:lineChart>
      <c:dateAx>
        <c:axId val="30883699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308838784"/>
        <c:crosses val="autoZero"/>
        <c:auto val="0"/>
        <c:lblOffset val="0"/>
        <c:baseTimeUnit val="days"/>
        <c:majorUnit val="14"/>
        <c:majorTimeUnit val="days"/>
      </c:dateAx>
      <c:valAx>
        <c:axId val="30883878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883699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08880128"/>
        <c:axId val="308881664"/>
      </c:lineChart>
      <c:dateAx>
        <c:axId val="30888012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8881664"/>
        <c:crosses val="autoZero"/>
        <c:auto val="0"/>
        <c:lblOffset val="0"/>
        <c:baseTimeUnit val="days"/>
        <c:majorUnit val="1"/>
        <c:majorTimeUnit val="months"/>
      </c:dateAx>
      <c:valAx>
        <c:axId val="308881664"/>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888012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08925184"/>
        <c:axId val="308926720"/>
      </c:lineChart>
      <c:dateAx>
        <c:axId val="30892518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8926720"/>
        <c:crosses val="autoZero"/>
        <c:auto val="0"/>
        <c:lblOffset val="0"/>
        <c:baseTimeUnit val="days"/>
        <c:majorUnit val="1"/>
        <c:majorTimeUnit val="months"/>
      </c:dateAx>
      <c:valAx>
        <c:axId val="30892672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892518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44345</c:v>
                </c:pt>
                <c:pt idx="1">
                  <c:v>44338</c:v>
                </c:pt>
                <c:pt idx="2">
                  <c:v>44331</c:v>
                </c:pt>
                <c:pt idx="3">
                  <c:v>44324</c:v>
                </c:pt>
                <c:pt idx="4">
                  <c:v>44317</c:v>
                </c:pt>
                <c:pt idx="5">
                  <c:v>44310</c:v>
                </c:pt>
                <c:pt idx="6">
                  <c:v>44303</c:v>
                </c:pt>
                <c:pt idx="7">
                  <c:v>44296</c:v>
                </c:pt>
                <c:pt idx="8">
                  <c:v>44289</c:v>
                </c:pt>
                <c:pt idx="9">
                  <c:v>44282</c:v>
                </c:pt>
                <c:pt idx="10">
                  <c:v>44275</c:v>
                </c:pt>
                <c:pt idx="11">
                  <c:v>44268</c:v>
                </c:pt>
                <c:pt idx="12">
                  <c:v>44261</c:v>
                </c:pt>
                <c:pt idx="13">
                  <c:v>44254</c:v>
                </c:pt>
                <c:pt idx="14">
                  <c:v>44247</c:v>
                </c:pt>
                <c:pt idx="15">
                  <c:v>44240</c:v>
                </c:pt>
                <c:pt idx="16">
                  <c:v>44233</c:v>
                </c:pt>
                <c:pt idx="17">
                  <c:v>44226</c:v>
                </c:pt>
                <c:pt idx="18">
                  <c:v>44219</c:v>
                </c:pt>
                <c:pt idx="19">
                  <c:v>44212</c:v>
                </c:pt>
                <c:pt idx="20">
                  <c:v>44205</c:v>
                </c:pt>
                <c:pt idx="21">
                  <c:v>44198</c:v>
                </c:pt>
                <c:pt idx="22">
                  <c:v>44191</c:v>
                </c:pt>
                <c:pt idx="23">
                  <c:v>44184</c:v>
                </c:pt>
                <c:pt idx="24">
                  <c:v>44177</c:v>
                </c:pt>
                <c:pt idx="25">
                  <c:v>44170</c:v>
                </c:pt>
              </c:numCache>
            </c:numRef>
          </c:cat>
          <c:val>
            <c:numRef>
              <c:f>汇率!$B$3:$B$28</c:f>
              <c:numCache>
                <c:formatCode>###,###,###,###,##0.00</c:formatCode>
                <c:ptCount val="26"/>
                <c:pt idx="0">
                  <c:v>6.3654000000000002</c:v>
                </c:pt>
                <c:pt idx="1">
                  <c:v>6.4337</c:v>
                </c:pt>
                <c:pt idx="2">
                  <c:v>6.4347000000000003</c:v>
                </c:pt>
                <c:pt idx="3">
                  <c:v>6.4588999999999999</c:v>
                </c:pt>
                <c:pt idx="4">
                  <c:v>6.4715999999999996</c:v>
                </c:pt>
                <c:pt idx="5">
                  <c:v>6.4935999999999998</c:v>
                </c:pt>
                <c:pt idx="6">
                  <c:v>6.5228000000000002</c:v>
                </c:pt>
                <c:pt idx="7">
                  <c:v>6.5589000000000004</c:v>
                </c:pt>
                <c:pt idx="8">
                  <c:v>6.5612000000000004</c:v>
                </c:pt>
                <c:pt idx="9">
                  <c:v>6.5407000000000002</c:v>
                </c:pt>
                <c:pt idx="10">
                  <c:v>6.5045000000000002</c:v>
                </c:pt>
                <c:pt idx="11">
                  <c:v>6.5035999999999996</c:v>
                </c:pt>
                <c:pt idx="12">
                  <c:v>6.4767999999999999</c:v>
                </c:pt>
                <c:pt idx="13">
                  <c:v>6.4589999999999996</c:v>
                </c:pt>
                <c:pt idx="14">
                  <c:v>6.4574999999999996</c:v>
                </c:pt>
                <c:pt idx="15">
                  <c:v>6.4379999999999997</c:v>
                </c:pt>
                <c:pt idx="16">
                  <c:v>6.4809999999999999</c:v>
                </c:pt>
                <c:pt idx="17">
                  <c:v>6.4611999999999998</c:v>
                </c:pt>
                <c:pt idx="18">
                  <c:v>6.4776999999999996</c:v>
                </c:pt>
                <c:pt idx="19">
                  <c:v>6.4752000000000001</c:v>
                </c:pt>
                <c:pt idx="20">
                  <c:v>6.4718999999999998</c:v>
                </c:pt>
                <c:pt idx="21">
                  <c:v>6.5397999999999996</c:v>
                </c:pt>
                <c:pt idx="22">
                  <c:v>6.5240999999999998</c:v>
                </c:pt>
                <c:pt idx="23">
                  <c:v>6.5415000000000001</c:v>
                </c:pt>
                <c:pt idx="24">
                  <c:v>6.5411000000000001</c:v>
                </c:pt>
                <c:pt idx="25">
                  <c:v>6.5301999999999998</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308966144"/>
        <c:axId val="308967680"/>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44345</c:v>
                </c:pt>
                <c:pt idx="1">
                  <c:v>44338</c:v>
                </c:pt>
                <c:pt idx="2">
                  <c:v>44331</c:v>
                </c:pt>
                <c:pt idx="3">
                  <c:v>44324</c:v>
                </c:pt>
                <c:pt idx="4">
                  <c:v>44317</c:v>
                </c:pt>
                <c:pt idx="5">
                  <c:v>44310</c:v>
                </c:pt>
                <c:pt idx="6">
                  <c:v>44303</c:v>
                </c:pt>
                <c:pt idx="7">
                  <c:v>44296</c:v>
                </c:pt>
                <c:pt idx="8">
                  <c:v>44289</c:v>
                </c:pt>
                <c:pt idx="9">
                  <c:v>44282</c:v>
                </c:pt>
                <c:pt idx="10">
                  <c:v>44275</c:v>
                </c:pt>
                <c:pt idx="11">
                  <c:v>44268</c:v>
                </c:pt>
                <c:pt idx="12">
                  <c:v>44261</c:v>
                </c:pt>
                <c:pt idx="13">
                  <c:v>44254</c:v>
                </c:pt>
                <c:pt idx="14">
                  <c:v>44247</c:v>
                </c:pt>
                <c:pt idx="15">
                  <c:v>44240</c:v>
                </c:pt>
                <c:pt idx="16">
                  <c:v>44233</c:v>
                </c:pt>
                <c:pt idx="17">
                  <c:v>44226</c:v>
                </c:pt>
                <c:pt idx="18">
                  <c:v>44219</c:v>
                </c:pt>
                <c:pt idx="19">
                  <c:v>44212</c:v>
                </c:pt>
                <c:pt idx="20">
                  <c:v>44205</c:v>
                </c:pt>
                <c:pt idx="21">
                  <c:v>44198</c:v>
                </c:pt>
                <c:pt idx="22">
                  <c:v>44191</c:v>
                </c:pt>
                <c:pt idx="23">
                  <c:v>44184</c:v>
                </c:pt>
                <c:pt idx="24">
                  <c:v>44177</c:v>
                </c:pt>
                <c:pt idx="25">
                  <c:v>44170</c:v>
                </c:pt>
              </c:numCache>
            </c:numRef>
          </c:cat>
          <c:val>
            <c:numRef>
              <c:f>汇率!$C$3:$C$28</c:f>
              <c:numCache>
                <c:formatCode>###,###,###,###,##0.00</c:formatCode>
                <c:ptCount val="26"/>
                <c:pt idx="0">
                  <c:v>150.25</c:v>
                </c:pt>
                <c:pt idx="1">
                  <c:v>145.76000000000002</c:v>
                </c:pt>
                <c:pt idx="2">
                  <c:v>151.22</c:v>
                </c:pt>
                <c:pt idx="3">
                  <c:v>155.88999999999999</c:v>
                </c:pt>
                <c:pt idx="4">
                  <c:v>151.40000000000003</c:v>
                </c:pt>
                <c:pt idx="5">
                  <c:v>159.19</c:v>
                </c:pt>
                <c:pt idx="6">
                  <c:v>157.31</c:v>
                </c:pt>
                <c:pt idx="7">
                  <c:v>154.21</c:v>
                </c:pt>
                <c:pt idx="8">
                  <c:v>148.13</c:v>
                </c:pt>
                <c:pt idx="9">
                  <c:v>152.85000000000002</c:v>
                </c:pt>
                <c:pt idx="10">
                  <c:v>149.64000000000001</c:v>
                </c:pt>
                <c:pt idx="11">
                  <c:v>162.13</c:v>
                </c:pt>
                <c:pt idx="12">
                  <c:v>168.56999999999996</c:v>
                </c:pt>
                <c:pt idx="13">
                  <c:v>183.98</c:v>
                </c:pt>
                <c:pt idx="14">
                  <c:v>191.78</c:v>
                </c:pt>
                <c:pt idx="15">
                  <c:v>209.49</c:v>
                </c:pt>
                <c:pt idx="16">
                  <c:v>202.64000000000001</c:v>
                </c:pt>
                <c:pt idx="17">
                  <c:v>206.86</c:v>
                </c:pt>
                <c:pt idx="18">
                  <c:v>201.85</c:v>
                </c:pt>
                <c:pt idx="19">
                  <c:v>204.07999999999998</c:v>
                </c:pt>
                <c:pt idx="20">
                  <c:v>201.56</c:v>
                </c:pt>
                <c:pt idx="21">
                  <c:v>221.29</c:v>
                </c:pt>
                <c:pt idx="22">
                  <c:v>229.03000000000003</c:v>
                </c:pt>
                <c:pt idx="23">
                  <c:v>234.02000000000004</c:v>
                </c:pt>
                <c:pt idx="24">
                  <c:v>239.51000000000002</c:v>
                </c:pt>
                <c:pt idx="25">
                  <c:v>229.50999999999996</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08975104"/>
        <c:axId val="308973568"/>
      </c:lineChart>
      <c:dateAx>
        <c:axId val="30896614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8967680"/>
        <c:crosses val="autoZero"/>
        <c:auto val="0"/>
        <c:lblOffset val="0"/>
        <c:baseTimeUnit val="days"/>
      </c:dateAx>
      <c:valAx>
        <c:axId val="308967680"/>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8966144"/>
        <c:crosses val="autoZero"/>
        <c:crossBetween val="between"/>
      </c:valAx>
      <c:valAx>
        <c:axId val="308973568"/>
        <c:scaling>
          <c:orientation val="minMax"/>
        </c:scaling>
        <c:delete val="0"/>
        <c:axPos val="r"/>
        <c:numFmt formatCode="#,##0_);[Red]\(#,##0\)" sourceLinked="0"/>
        <c:majorTickMark val="out"/>
        <c:minorTickMark val="none"/>
        <c:tickLblPos val="nextTo"/>
        <c:spPr>
          <a:ln w="3175">
            <a:solidFill>
              <a:sysClr val="windowText" lastClr="000000"/>
            </a:solidFill>
          </a:ln>
        </c:spPr>
        <c:crossAx val="308975104"/>
        <c:crosses val="max"/>
        <c:crossBetween val="between"/>
      </c:valAx>
      <c:dateAx>
        <c:axId val="308975104"/>
        <c:scaling>
          <c:orientation val="minMax"/>
        </c:scaling>
        <c:delete val="1"/>
        <c:axPos val="b"/>
        <c:numFmt formatCode="yyyy\-mm\-dd;@" sourceLinked="1"/>
        <c:majorTickMark val="out"/>
        <c:minorTickMark val="none"/>
        <c:tickLblPos val="nextTo"/>
        <c:crossAx val="30897356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309071872"/>
        <c:axId val="309073408"/>
      </c:lineChart>
      <c:dateAx>
        <c:axId val="309071872"/>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09073408"/>
        <c:crosses val="autoZero"/>
        <c:auto val="0"/>
        <c:lblOffset val="0"/>
        <c:baseTimeUnit val="days"/>
        <c:majorUnit val="1"/>
        <c:majorTimeUnit val="months"/>
      </c:dateAx>
      <c:valAx>
        <c:axId val="309073408"/>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09071872"/>
        <c:crosses val="autoZero"/>
        <c:crossBetween val="between"/>
      </c:valAx>
      <c:spPr>
        <a:solidFill>
          <a:schemeClr val="bg1"/>
        </a:solidFill>
        <a:ln>
          <a:noFill/>
        </a:ln>
        <a:effectLst/>
      </c:spPr>
    </c:plotArea>
    <c:legend>
      <c:legendPos val="r"/>
      <c:layout>
        <c:manualLayout>
          <c:xMode val="edge"/>
          <c:yMode val="edge"/>
          <c:x val="0.15225"/>
          <c:y val="2.3337707786526686E-3"/>
          <c:w val="0.72153464933782907"/>
          <c:h val="8.7996790079915774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5.11134E-7</cdr:y>
    </cdr:from>
    <cdr:to>
      <cdr:x>0.11668</cdr:x>
      <cdr:y>0.08535</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49858" cy="166977"/>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488D52-E39D-4F81-9B84-18873D3A2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797</Words>
  <Characters>4544</Characters>
  <Application>Microsoft Office Word</Application>
  <DocSecurity>0</DocSecurity>
  <Lines>37</Lines>
  <Paragraphs>10</Paragraphs>
  <ScaleCrop>false</ScaleCrop>
  <Company>Microsoft</Company>
  <LinksUpToDate>false</LinksUpToDate>
  <CharactersWithSpaces>5331</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2021-05-31T05:32:00Z</dcterms:created>
  <dcterms:modified xsi:type="dcterms:W3CDTF">2021-05-31T07:15:00Z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