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1A9BED14" w:rsidR="007E1695" w:rsidRPr="00006470" w:rsidRDefault="007301B0">
            <w:pPr>
              <w:jc w:val="center"/>
              <w:rPr>
                <w:rFonts w:ascii="Times New Roman" w:hAnsi="Times New Roman" w:cs="Times New Roman"/>
                <w:b/>
                <w:sz w:val="32"/>
                <w:szCs w:val="32"/>
              </w:rPr>
            </w:pPr>
            <w:r w:rsidRPr="007301B0">
              <w:rPr>
                <w:rFonts w:ascii="Times New Roman" w:hAnsi="Times New Roman" w:cs="Times New Roman" w:hint="eastAsia"/>
                <w:b/>
                <w:sz w:val="32"/>
                <w:szCs w:val="32"/>
              </w:rPr>
              <w:t>北上资金大幅流入，成长风格继续占优</w:t>
            </w:r>
            <w:r w:rsidR="00470117" w:rsidRPr="007301B0">
              <w:rPr>
                <w:rFonts w:ascii="Times New Roman" w:hAnsi="Times New Roman" w:cs="Times New Roman" w:hint="eastAsia"/>
                <w:b/>
                <w:sz w:val="32"/>
                <w:szCs w:val="32"/>
              </w:rPr>
              <w:t xml:space="preserve"> </w:t>
            </w:r>
            <w:r w:rsidR="007378A4" w:rsidRPr="007301B0">
              <w:rPr>
                <w:rFonts w:ascii="Times New Roman" w:hAnsi="Times New Roman" w:cs="Times New Roman"/>
                <w:b/>
                <w:sz w:val="32"/>
                <w:szCs w:val="32"/>
              </w:rPr>
              <w:t>(</w:t>
            </w:r>
            <w:r w:rsidR="007378A4" w:rsidRPr="00006470">
              <w:rPr>
                <w:rFonts w:ascii="Times New Roman" w:hAnsi="Times New Roman" w:cs="Times New Roman"/>
                <w:b/>
                <w:sz w:val="32"/>
                <w:szCs w:val="32"/>
              </w:rPr>
              <w:t>202</w:t>
            </w:r>
            <w:r w:rsidR="00EB1C40">
              <w:rPr>
                <w:rFonts w:ascii="Times New Roman" w:hAnsi="Times New Roman" w:cs="Times New Roman"/>
                <w:b/>
                <w:sz w:val="32"/>
                <w:szCs w:val="32"/>
              </w:rPr>
              <w:t>1</w:t>
            </w:r>
            <w:r w:rsidR="007378A4" w:rsidRPr="00006470">
              <w:rPr>
                <w:rFonts w:ascii="Times New Roman" w:hAnsi="Times New Roman" w:cs="Times New Roman"/>
                <w:b/>
                <w:sz w:val="32"/>
                <w:szCs w:val="32"/>
              </w:rPr>
              <w:t>.</w:t>
            </w:r>
            <w:r w:rsidR="007D37E5">
              <w:rPr>
                <w:rFonts w:ascii="Times New Roman" w:hAnsi="Times New Roman" w:cs="Times New Roman" w:hint="eastAsia"/>
                <w:b/>
                <w:sz w:val="32"/>
                <w:szCs w:val="32"/>
              </w:rPr>
              <w:t>5.</w:t>
            </w:r>
            <w:r w:rsidR="00CC2C52">
              <w:rPr>
                <w:rFonts w:ascii="Times New Roman" w:hAnsi="Times New Roman" w:cs="Times New Roman" w:hint="eastAsia"/>
                <w:b/>
                <w:sz w:val="32"/>
                <w:szCs w:val="32"/>
              </w:rPr>
              <w:t>24</w:t>
            </w:r>
            <w:r w:rsidR="007378A4" w:rsidRPr="00006470">
              <w:rPr>
                <w:rFonts w:ascii="Times New Roman" w:hAnsi="Times New Roman" w:cs="Times New Roman"/>
                <w:b/>
                <w:sz w:val="32"/>
                <w:szCs w:val="32"/>
              </w:rPr>
              <w:t>-202</w:t>
            </w:r>
            <w:r w:rsidR="007F578A">
              <w:rPr>
                <w:rFonts w:ascii="Times New Roman" w:hAnsi="Times New Roman" w:cs="Times New Roman" w:hint="eastAsia"/>
                <w:b/>
                <w:sz w:val="32"/>
                <w:szCs w:val="32"/>
              </w:rPr>
              <w:t>1</w:t>
            </w:r>
            <w:r w:rsidR="007378A4" w:rsidRPr="00006470">
              <w:rPr>
                <w:rFonts w:ascii="Times New Roman" w:hAnsi="Times New Roman" w:cs="Times New Roman"/>
                <w:b/>
                <w:sz w:val="32"/>
                <w:szCs w:val="32"/>
              </w:rPr>
              <w:t>.</w:t>
            </w:r>
            <w:r w:rsidR="007D37E5">
              <w:rPr>
                <w:rFonts w:ascii="Times New Roman" w:hAnsi="Times New Roman" w:cs="Times New Roman" w:hint="eastAsia"/>
                <w:b/>
                <w:sz w:val="32"/>
                <w:szCs w:val="32"/>
              </w:rPr>
              <w:t>5.</w:t>
            </w:r>
            <w:r w:rsidR="00CC2C52">
              <w:rPr>
                <w:rFonts w:ascii="Times New Roman" w:hAnsi="Times New Roman" w:cs="Times New Roman" w:hint="eastAsia"/>
                <w:b/>
                <w:sz w:val="32"/>
                <w:szCs w:val="32"/>
              </w:rPr>
              <w:t>30</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45162733" w:rsidR="002D1026" w:rsidRPr="00006470" w:rsidRDefault="007378A4" w:rsidP="002D1026">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990F7F">
        <w:rPr>
          <w:rFonts w:ascii="Times New Roman" w:eastAsia="楷体" w:hAnsi="Times New Roman" w:cs="Times New Roman" w:hint="eastAsia"/>
          <w:sz w:val="24"/>
        </w:rPr>
        <w:t>4</w:t>
      </w:r>
      <w:r w:rsidR="00990F7F">
        <w:rPr>
          <w:rFonts w:ascii="Times New Roman" w:eastAsia="楷体" w:hAnsi="Times New Roman" w:cs="Times New Roman" w:hint="eastAsia"/>
          <w:sz w:val="24"/>
        </w:rPr>
        <w:t>月工业企业利润数据公布</w:t>
      </w:r>
      <w:r w:rsidR="00C57760" w:rsidRPr="00006470">
        <w:rPr>
          <w:rFonts w:ascii="Times New Roman" w:eastAsia="楷体" w:hAnsi="Times New Roman" w:cs="Times New Roman"/>
          <w:sz w:val="24"/>
        </w:rPr>
        <w:t xml:space="preserve"> </w:t>
      </w:r>
    </w:p>
    <w:bookmarkEnd w:id="0"/>
    <w:p w14:paraId="204E4DF2" w14:textId="5B7621B5" w:rsidR="00BB3336" w:rsidRDefault="00E35B3D" w:rsidP="00D430D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2021</w:t>
      </w:r>
      <w:r>
        <w:rPr>
          <w:rFonts w:ascii="Times New Roman" w:eastAsia="楷体" w:hAnsi="Times New Roman" w:cs="Times New Roman" w:hint="eastAsia"/>
          <w:color w:val="000000" w:themeColor="text1"/>
        </w:rPr>
        <w:t>年</w:t>
      </w:r>
      <w:r w:rsidR="00A57AC7" w:rsidRPr="00A57AC7">
        <w:rPr>
          <w:rFonts w:ascii="Times New Roman" w:eastAsia="楷体" w:hAnsi="Times New Roman" w:cs="Times New Roman" w:hint="eastAsia"/>
          <w:color w:val="000000" w:themeColor="text1"/>
        </w:rPr>
        <w:t>1-4</w:t>
      </w:r>
      <w:r w:rsidR="00A57AC7" w:rsidRPr="00A57AC7">
        <w:rPr>
          <w:rFonts w:ascii="Times New Roman" w:eastAsia="楷体" w:hAnsi="Times New Roman" w:cs="Times New Roman" w:hint="eastAsia"/>
          <w:color w:val="000000" w:themeColor="text1"/>
        </w:rPr>
        <w:t>月份，全国规模以上工业企业实现利润总额</w:t>
      </w:r>
      <w:r w:rsidR="00A57AC7" w:rsidRPr="00A57AC7">
        <w:rPr>
          <w:rFonts w:ascii="Times New Roman" w:eastAsia="楷体" w:hAnsi="Times New Roman" w:cs="Times New Roman" w:hint="eastAsia"/>
          <w:color w:val="000000" w:themeColor="text1"/>
        </w:rPr>
        <w:t>25943.5</w:t>
      </w:r>
      <w:r w:rsidR="00A57AC7" w:rsidRPr="00A57AC7">
        <w:rPr>
          <w:rFonts w:ascii="Times New Roman" w:eastAsia="楷体" w:hAnsi="Times New Roman" w:cs="Times New Roman" w:hint="eastAsia"/>
          <w:color w:val="000000" w:themeColor="text1"/>
        </w:rPr>
        <w:t>亿元，同比增长</w:t>
      </w:r>
      <w:r w:rsidR="00A57AC7" w:rsidRPr="00A57AC7">
        <w:rPr>
          <w:rFonts w:ascii="Times New Roman" w:eastAsia="楷体" w:hAnsi="Times New Roman" w:cs="Times New Roman" w:hint="eastAsia"/>
          <w:color w:val="000000" w:themeColor="text1"/>
        </w:rPr>
        <w:t>106%</w:t>
      </w:r>
      <w:r w:rsidR="00A57AC7" w:rsidRPr="00A57AC7">
        <w:rPr>
          <w:rFonts w:ascii="Times New Roman" w:eastAsia="楷体" w:hAnsi="Times New Roman" w:cs="Times New Roman" w:hint="eastAsia"/>
          <w:color w:val="000000" w:themeColor="text1"/>
        </w:rPr>
        <w:t>（按可比口径计算），前</w:t>
      </w:r>
      <w:r w:rsidR="00A57AC7">
        <w:rPr>
          <w:rFonts w:ascii="Times New Roman" w:eastAsia="楷体" w:hAnsi="Times New Roman" w:cs="Times New Roman" w:hint="eastAsia"/>
          <w:color w:val="000000" w:themeColor="text1"/>
        </w:rPr>
        <w:t>值</w:t>
      </w:r>
      <w:r w:rsidR="00A57AC7" w:rsidRPr="00A57AC7">
        <w:rPr>
          <w:rFonts w:ascii="Times New Roman" w:eastAsia="楷体" w:hAnsi="Times New Roman" w:cs="Times New Roman" w:hint="eastAsia"/>
          <w:color w:val="000000" w:themeColor="text1"/>
        </w:rPr>
        <w:t>137%</w:t>
      </w:r>
      <w:r w:rsidR="00A57AC7" w:rsidRPr="00A57AC7">
        <w:rPr>
          <w:rFonts w:ascii="Times New Roman" w:eastAsia="楷体" w:hAnsi="Times New Roman" w:cs="Times New Roman" w:hint="eastAsia"/>
          <w:color w:val="000000" w:themeColor="text1"/>
        </w:rPr>
        <w:t>，两年平均增长</w:t>
      </w:r>
      <w:r w:rsidR="00A57AC7" w:rsidRPr="00A57AC7">
        <w:rPr>
          <w:rFonts w:ascii="Times New Roman" w:eastAsia="楷体" w:hAnsi="Times New Roman" w:cs="Times New Roman" w:hint="eastAsia"/>
          <w:color w:val="000000" w:themeColor="text1"/>
        </w:rPr>
        <w:t>22.3%</w:t>
      </w:r>
      <w:r w:rsidR="00A57AC7" w:rsidRPr="00A57AC7">
        <w:rPr>
          <w:rFonts w:ascii="Times New Roman" w:eastAsia="楷体" w:hAnsi="Times New Roman" w:cs="Times New Roman" w:hint="eastAsia"/>
          <w:color w:val="000000" w:themeColor="text1"/>
        </w:rPr>
        <w:t>，前值</w:t>
      </w:r>
      <w:r w:rsidR="00A57AC7" w:rsidRPr="00A57AC7">
        <w:rPr>
          <w:rFonts w:ascii="Times New Roman" w:eastAsia="楷体" w:hAnsi="Times New Roman" w:cs="Times New Roman" w:hint="eastAsia"/>
          <w:color w:val="000000" w:themeColor="text1"/>
        </w:rPr>
        <w:t>22.6%</w:t>
      </w:r>
      <w:r w:rsidR="00A57AC7" w:rsidRPr="00A57AC7">
        <w:rPr>
          <w:rFonts w:ascii="Times New Roman" w:eastAsia="楷体" w:hAnsi="Times New Roman" w:cs="Times New Roman" w:hint="eastAsia"/>
          <w:color w:val="000000" w:themeColor="text1"/>
        </w:rPr>
        <w:t>。其中</w:t>
      </w:r>
      <w:r w:rsidR="00A57AC7" w:rsidRPr="00A57AC7">
        <w:rPr>
          <w:rFonts w:ascii="Times New Roman" w:eastAsia="楷体" w:hAnsi="Times New Roman" w:cs="Times New Roman" w:hint="eastAsia"/>
          <w:color w:val="000000" w:themeColor="text1"/>
        </w:rPr>
        <w:t>4</w:t>
      </w:r>
      <w:r w:rsidR="00A57AC7" w:rsidRPr="00A57AC7">
        <w:rPr>
          <w:rFonts w:ascii="Times New Roman" w:eastAsia="楷体" w:hAnsi="Times New Roman" w:cs="Times New Roman" w:hint="eastAsia"/>
          <w:color w:val="000000" w:themeColor="text1"/>
        </w:rPr>
        <w:t>月当月同比</w:t>
      </w:r>
      <w:r w:rsidR="00A57AC7" w:rsidRPr="00A57AC7">
        <w:rPr>
          <w:rFonts w:ascii="Times New Roman" w:eastAsia="楷体" w:hAnsi="Times New Roman" w:cs="Times New Roman" w:hint="eastAsia"/>
          <w:color w:val="000000" w:themeColor="text1"/>
        </w:rPr>
        <w:t>57%</w:t>
      </w:r>
      <w:r w:rsidR="00A57AC7" w:rsidRPr="00A57AC7">
        <w:rPr>
          <w:rFonts w:ascii="Times New Roman" w:eastAsia="楷体" w:hAnsi="Times New Roman" w:cs="Times New Roman" w:hint="eastAsia"/>
          <w:color w:val="000000" w:themeColor="text1"/>
        </w:rPr>
        <w:t>，两年复合增速</w:t>
      </w:r>
      <w:r w:rsidR="00A57AC7" w:rsidRPr="00A57AC7">
        <w:rPr>
          <w:rFonts w:ascii="Times New Roman" w:eastAsia="楷体" w:hAnsi="Times New Roman" w:cs="Times New Roman" w:hint="eastAsia"/>
          <w:color w:val="000000" w:themeColor="text1"/>
        </w:rPr>
        <w:t>22.1%</w:t>
      </w:r>
      <w:r w:rsidR="001A6E31">
        <w:rPr>
          <w:rFonts w:ascii="Times New Roman" w:eastAsia="楷体" w:hAnsi="Times New Roman" w:cs="Times New Roman" w:hint="eastAsia"/>
          <w:color w:val="000000" w:themeColor="text1"/>
        </w:rPr>
        <w:t>。</w:t>
      </w:r>
    </w:p>
    <w:p w14:paraId="6FA0006B" w14:textId="42882417" w:rsidR="007301B0" w:rsidRDefault="00E35B3D" w:rsidP="007301B0">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2021</w:t>
      </w:r>
      <w:r>
        <w:rPr>
          <w:rFonts w:ascii="Times New Roman" w:eastAsia="楷体" w:hAnsi="Times New Roman" w:cs="Times New Roman" w:hint="eastAsia"/>
          <w:color w:val="000000" w:themeColor="text1"/>
        </w:rPr>
        <w:t>年</w:t>
      </w:r>
      <w:r w:rsidR="00990F7F" w:rsidRPr="00990F7F">
        <w:rPr>
          <w:rFonts w:ascii="Times New Roman" w:eastAsia="楷体" w:hAnsi="Times New Roman" w:cs="Times New Roman" w:hint="eastAsia"/>
          <w:color w:val="000000" w:themeColor="text1"/>
        </w:rPr>
        <w:t>1-4</w:t>
      </w:r>
      <w:r w:rsidR="00990F7F" w:rsidRPr="00990F7F">
        <w:rPr>
          <w:rFonts w:ascii="Times New Roman" w:eastAsia="楷体" w:hAnsi="Times New Roman" w:cs="Times New Roman" w:hint="eastAsia"/>
          <w:color w:val="000000" w:themeColor="text1"/>
        </w:rPr>
        <w:t>月利润结构显示，采矿业、原材料、装备制造业和消费制造业分别拉动规模以上工业企业利润</w:t>
      </w:r>
      <w:r w:rsidR="00990F7F" w:rsidRPr="00990F7F">
        <w:rPr>
          <w:rFonts w:ascii="Times New Roman" w:eastAsia="楷体" w:hAnsi="Times New Roman" w:cs="Times New Roman" w:hint="eastAsia"/>
          <w:color w:val="000000" w:themeColor="text1"/>
        </w:rPr>
        <w:t>10.6%</w:t>
      </w:r>
      <w:r w:rsidR="00990F7F" w:rsidRPr="00990F7F">
        <w:rPr>
          <w:rFonts w:ascii="Times New Roman" w:eastAsia="楷体" w:hAnsi="Times New Roman" w:cs="Times New Roman" w:hint="eastAsia"/>
          <w:color w:val="000000" w:themeColor="text1"/>
        </w:rPr>
        <w:t>、</w:t>
      </w:r>
      <w:r w:rsidR="00990F7F" w:rsidRPr="00990F7F">
        <w:rPr>
          <w:rFonts w:ascii="Times New Roman" w:eastAsia="楷体" w:hAnsi="Times New Roman" w:cs="Times New Roman" w:hint="eastAsia"/>
          <w:color w:val="000000" w:themeColor="text1"/>
        </w:rPr>
        <w:t>45.9%</w:t>
      </w:r>
      <w:r w:rsidR="00990F7F" w:rsidRPr="00990F7F">
        <w:rPr>
          <w:rFonts w:ascii="Times New Roman" w:eastAsia="楷体" w:hAnsi="Times New Roman" w:cs="Times New Roman" w:hint="eastAsia"/>
          <w:color w:val="000000" w:themeColor="text1"/>
        </w:rPr>
        <w:t>、</w:t>
      </w:r>
      <w:r w:rsidR="00990F7F" w:rsidRPr="00990F7F">
        <w:rPr>
          <w:rFonts w:ascii="Times New Roman" w:eastAsia="楷体" w:hAnsi="Times New Roman" w:cs="Times New Roman" w:hint="eastAsia"/>
          <w:color w:val="000000" w:themeColor="text1"/>
        </w:rPr>
        <w:t>29.7%</w:t>
      </w:r>
      <w:r w:rsidR="00990F7F" w:rsidRPr="00990F7F">
        <w:rPr>
          <w:rFonts w:ascii="Times New Roman" w:eastAsia="楷体" w:hAnsi="Times New Roman" w:cs="Times New Roman" w:hint="eastAsia"/>
          <w:color w:val="000000" w:themeColor="text1"/>
        </w:rPr>
        <w:t>和</w:t>
      </w:r>
      <w:r w:rsidR="00990F7F" w:rsidRPr="00990F7F">
        <w:rPr>
          <w:rFonts w:ascii="Times New Roman" w:eastAsia="楷体" w:hAnsi="Times New Roman" w:cs="Times New Roman" w:hint="eastAsia"/>
          <w:color w:val="000000" w:themeColor="text1"/>
        </w:rPr>
        <w:t>14.8%</w:t>
      </w:r>
      <w:r w:rsidR="00990F7F" w:rsidRPr="00990F7F">
        <w:rPr>
          <w:rFonts w:ascii="Times New Roman" w:eastAsia="楷体" w:hAnsi="Times New Roman" w:cs="Times New Roman" w:hint="eastAsia"/>
          <w:color w:val="000000" w:themeColor="text1"/>
        </w:rPr>
        <w:t>，</w:t>
      </w:r>
      <w:r w:rsidR="00990F7F">
        <w:rPr>
          <w:rFonts w:ascii="Times New Roman" w:eastAsia="楷体" w:hAnsi="Times New Roman" w:cs="Times New Roman" w:hint="eastAsia"/>
          <w:color w:val="000000" w:themeColor="text1"/>
        </w:rPr>
        <w:t>利润持续改善</w:t>
      </w:r>
      <w:r w:rsidR="00990F7F" w:rsidRPr="00990F7F">
        <w:rPr>
          <w:rFonts w:ascii="Times New Roman" w:eastAsia="楷体" w:hAnsi="Times New Roman" w:cs="Times New Roman" w:hint="eastAsia"/>
          <w:color w:val="000000" w:themeColor="text1"/>
        </w:rPr>
        <w:t>。出口持续景气叠加经济</w:t>
      </w:r>
      <w:r>
        <w:rPr>
          <w:rFonts w:ascii="Times New Roman" w:eastAsia="楷体" w:hAnsi="Times New Roman" w:cs="Times New Roman" w:hint="eastAsia"/>
          <w:color w:val="000000" w:themeColor="text1"/>
        </w:rPr>
        <w:t>复苏</w:t>
      </w:r>
      <w:r w:rsidR="00990F7F" w:rsidRPr="00990F7F">
        <w:rPr>
          <w:rFonts w:ascii="Times New Roman" w:eastAsia="楷体" w:hAnsi="Times New Roman" w:cs="Times New Roman" w:hint="eastAsia"/>
          <w:color w:val="000000" w:themeColor="text1"/>
        </w:rPr>
        <w:t>内需恢复，装备制造业补库积极。另一方面再通胀逻辑下大宗商品价格上涨，带动煤炭、石油、黑金、有色等相关行业基本面改善，原材料业的库存企稳回升</w:t>
      </w:r>
      <w:r w:rsidR="00990F7F">
        <w:rPr>
          <w:rFonts w:ascii="Times New Roman" w:eastAsia="楷体" w:hAnsi="Times New Roman" w:cs="Times New Roman" w:hint="eastAsia"/>
          <w:color w:val="000000" w:themeColor="text1"/>
        </w:rPr>
        <w:t>。</w:t>
      </w:r>
    </w:p>
    <w:p w14:paraId="34ADF320" w14:textId="5C95A414" w:rsidR="007301B0" w:rsidRDefault="007301B0" w:rsidP="007301B0">
      <w:pPr>
        <w:pStyle w:val="3"/>
        <w:rPr>
          <w:rFonts w:ascii="Times New Roman" w:eastAsia="楷体" w:hAnsi="Times New Roman" w:cs="Times New Roman"/>
          <w:sz w:val="24"/>
        </w:rPr>
      </w:pPr>
      <w:r w:rsidRPr="007301B0">
        <w:rPr>
          <w:rFonts w:ascii="Times New Roman" w:eastAsia="楷体" w:hAnsi="Times New Roman" w:cs="Times New Roman" w:hint="eastAsia"/>
          <w:sz w:val="24"/>
        </w:rPr>
        <w:t>1.2.</w:t>
      </w:r>
      <w:r w:rsidRPr="007301B0">
        <w:rPr>
          <w:rFonts w:ascii="Times New Roman" w:eastAsia="楷体" w:hAnsi="Times New Roman" w:cs="Times New Roman" w:hint="eastAsia"/>
          <w:sz w:val="24"/>
        </w:rPr>
        <w:t>社</w:t>
      </w:r>
      <w:proofErr w:type="gramStart"/>
      <w:r w:rsidRPr="007301B0">
        <w:rPr>
          <w:rFonts w:ascii="Times New Roman" w:eastAsia="楷体" w:hAnsi="Times New Roman" w:cs="Times New Roman" w:hint="eastAsia"/>
          <w:sz w:val="24"/>
        </w:rPr>
        <w:t>服行业</w:t>
      </w:r>
      <w:proofErr w:type="gramEnd"/>
      <w:r w:rsidRPr="007301B0">
        <w:rPr>
          <w:rFonts w:ascii="Times New Roman" w:eastAsia="楷体" w:hAnsi="Times New Roman" w:cs="Times New Roman" w:hint="eastAsia"/>
          <w:sz w:val="24"/>
        </w:rPr>
        <w:t>点评</w:t>
      </w:r>
    </w:p>
    <w:p w14:paraId="28A7FD51" w14:textId="77777777" w:rsidR="004C40D8" w:rsidRPr="008E3BCB" w:rsidRDefault="004C40D8" w:rsidP="004C40D8">
      <w:pPr>
        <w:ind w:firstLineChars="200" w:firstLine="480"/>
        <w:rPr>
          <w:rFonts w:ascii="Times New Roman" w:eastAsia="楷体" w:hAnsi="Times New Roman" w:cs="Times New Roman"/>
          <w:color w:val="000000" w:themeColor="text1"/>
        </w:rPr>
      </w:pPr>
      <w:r w:rsidRPr="008E3BCB">
        <w:rPr>
          <w:rFonts w:ascii="Times New Roman" w:eastAsia="楷体" w:hAnsi="Times New Roman" w:cs="Times New Roman" w:hint="eastAsia"/>
          <w:color w:val="000000" w:themeColor="text1"/>
        </w:rPr>
        <w:t>上周在</w:t>
      </w:r>
      <w:r w:rsidRPr="008E3BCB">
        <w:rPr>
          <w:rFonts w:ascii="Times New Roman" w:eastAsia="楷体" w:hAnsi="Times New Roman" w:cs="Times New Roman"/>
          <w:color w:val="000000" w:themeColor="text1"/>
        </w:rPr>
        <w:t>28</w:t>
      </w:r>
      <w:r w:rsidRPr="008E3BCB">
        <w:rPr>
          <w:rFonts w:ascii="Times New Roman" w:eastAsia="楷体" w:hAnsi="Times New Roman" w:cs="Times New Roman"/>
          <w:color w:val="000000" w:themeColor="text1"/>
        </w:rPr>
        <w:t>个</w:t>
      </w:r>
      <w:r w:rsidRPr="008E3BCB">
        <w:rPr>
          <w:rFonts w:ascii="Times New Roman" w:eastAsia="楷体" w:hAnsi="Times New Roman" w:cs="Times New Roman" w:hint="eastAsia"/>
          <w:color w:val="000000" w:themeColor="text1"/>
        </w:rPr>
        <w:t>申万</w:t>
      </w:r>
      <w:proofErr w:type="gramStart"/>
      <w:r w:rsidRPr="008E3BCB">
        <w:rPr>
          <w:rFonts w:ascii="Times New Roman" w:eastAsia="楷体" w:hAnsi="Times New Roman" w:cs="Times New Roman" w:hint="eastAsia"/>
          <w:color w:val="000000" w:themeColor="text1"/>
        </w:rPr>
        <w:t>一级行业</w:t>
      </w:r>
      <w:proofErr w:type="gramEnd"/>
      <w:r w:rsidRPr="008E3BCB">
        <w:rPr>
          <w:rFonts w:ascii="Times New Roman" w:eastAsia="楷体" w:hAnsi="Times New Roman" w:cs="Times New Roman" w:hint="eastAsia"/>
          <w:color w:val="000000" w:themeColor="text1"/>
        </w:rPr>
        <w:t>中，</w:t>
      </w:r>
      <w:r w:rsidRPr="008E3BCB">
        <w:rPr>
          <w:rFonts w:ascii="Times New Roman" w:eastAsia="楷体" w:hAnsi="Times New Roman" w:cs="Times New Roman"/>
          <w:color w:val="000000" w:themeColor="text1"/>
        </w:rPr>
        <w:t>社会服务板块</w:t>
      </w:r>
      <w:r w:rsidRPr="008E3BCB">
        <w:rPr>
          <w:rFonts w:ascii="Times New Roman" w:eastAsia="楷体" w:hAnsi="Times New Roman" w:cs="Times New Roman" w:hint="eastAsia"/>
          <w:color w:val="000000" w:themeColor="text1"/>
        </w:rPr>
        <w:t>涨幅</w:t>
      </w:r>
      <w:r w:rsidRPr="008E3BCB">
        <w:rPr>
          <w:rFonts w:ascii="Times New Roman" w:eastAsia="楷体" w:hAnsi="Times New Roman" w:cs="Times New Roman"/>
          <w:color w:val="000000" w:themeColor="text1"/>
        </w:rPr>
        <w:t>排名第</w:t>
      </w:r>
      <w:r w:rsidRPr="008E3BCB">
        <w:rPr>
          <w:rFonts w:ascii="Times New Roman" w:eastAsia="楷体" w:hAnsi="Times New Roman" w:cs="Times New Roman"/>
          <w:color w:val="000000" w:themeColor="text1"/>
        </w:rPr>
        <w:t>1</w:t>
      </w:r>
      <w:r w:rsidRPr="008E3BCB">
        <w:rPr>
          <w:rFonts w:ascii="Times New Roman" w:eastAsia="楷体" w:hAnsi="Times New Roman" w:cs="Times New Roman"/>
          <w:color w:val="000000" w:themeColor="text1"/>
        </w:rPr>
        <w:t>位，涨幅</w:t>
      </w:r>
      <w:r w:rsidRPr="008E3BCB">
        <w:rPr>
          <w:rFonts w:ascii="Times New Roman" w:eastAsia="楷体" w:hAnsi="Times New Roman" w:cs="Times New Roman" w:hint="eastAsia"/>
          <w:color w:val="000000" w:themeColor="text1"/>
        </w:rPr>
        <w:t>6.93%</w:t>
      </w:r>
      <w:r w:rsidRPr="008E3BCB">
        <w:rPr>
          <w:rFonts w:ascii="Times New Roman" w:eastAsia="楷体" w:hAnsi="Times New Roman" w:cs="Times New Roman" w:hint="eastAsia"/>
          <w:color w:val="000000" w:themeColor="text1"/>
        </w:rPr>
        <w:t>；</w:t>
      </w:r>
      <w:r w:rsidRPr="008E3BCB">
        <w:rPr>
          <w:rFonts w:ascii="Times New Roman" w:eastAsia="楷体" w:hAnsi="Times New Roman" w:cs="Times New Roman"/>
          <w:color w:val="000000" w:themeColor="text1"/>
        </w:rPr>
        <w:t>各</w:t>
      </w:r>
      <w:proofErr w:type="gramStart"/>
      <w:r w:rsidRPr="008E3BCB">
        <w:rPr>
          <w:rFonts w:ascii="Times New Roman" w:eastAsia="楷体" w:hAnsi="Times New Roman" w:cs="Times New Roman"/>
          <w:color w:val="000000" w:themeColor="text1"/>
        </w:rPr>
        <w:t>子板块</w:t>
      </w:r>
      <w:proofErr w:type="gramEnd"/>
      <w:r w:rsidRPr="008E3BCB">
        <w:rPr>
          <w:rFonts w:ascii="Times New Roman" w:eastAsia="楷体" w:hAnsi="Times New Roman" w:cs="Times New Roman"/>
          <w:color w:val="000000" w:themeColor="text1"/>
        </w:rPr>
        <w:t>涨跌幅依次为：</w:t>
      </w:r>
      <w:r w:rsidRPr="008E3BCB">
        <w:rPr>
          <w:rFonts w:ascii="Times New Roman" w:eastAsia="楷体" w:hAnsi="Times New Roman" w:cs="Times New Roman" w:hint="eastAsia"/>
          <w:color w:val="000000" w:themeColor="text1"/>
        </w:rPr>
        <w:t>申万旅游综合</w:t>
      </w:r>
      <w:r w:rsidRPr="008E3BCB">
        <w:rPr>
          <w:rFonts w:ascii="Times New Roman" w:eastAsia="楷体" w:hAnsi="Times New Roman" w:cs="Times New Roman" w:hint="eastAsia"/>
          <w:color w:val="000000" w:themeColor="text1"/>
        </w:rPr>
        <w:t>+7.89%</w:t>
      </w:r>
      <w:r w:rsidRPr="008E3BCB">
        <w:rPr>
          <w:rFonts w:ascii="Times New Roman" w:eastAsia="楷体" w:hAnsi="Times New Roman" w:cs="Times New Roman" w:hint="eastAsia"/>
          <w:color w:val="000000" w:themeColor="text1"/>
        </w:rPr>
        <w:t>，申万酒店</w:t>
      </w:r>
      <w:r w:rsidRPr="008E3BCB">
        <w:rPr>
          <w:rFonts w:ascii="Times New Roman" w:eastAsia="楷体" w:hAnsi="Times New Roman" w:cs="Times New Roman" w:hint="eastAsia"/>
          <w:color w:val="000000" w:themeColor="text1"/>
        </w:rPr>
        <w:t>+7.86%</w:t>
      </w:r>
      <w:r w:rsidRPr="008E3BCB">
        <w:rPr>
          <w:rFonts w:ascii="Times New Roman" w:eastAsia="楷体" w:hAnsi="Times New Roman" w:cs="Times New Roman" w:hint="eastAsia"/>
          <w:color w:val="000000" w:themeColor="text1"/>
        </w:rPr>
        <w:t>，申万其他休闲服务</w:t>
      </w:r>
      <w:r w:rsidRPr="008E3BCB">
        <w:rPr>
          <w:rFonts w:ascii="Times New Roman" w:eastAsia="楷体" w:hAnsi="Times New Roman" w:cs="Times New Roman" w:hint="eastAsia"/>
          <w:color w:val="000000" w:themeColor="text1"/>
        </w:rPr>
        <w:t>+4.21%</w:t>
      </w:r>
      <w:r w:rsidRPr="008E3BCB">
        <w:rPr>
          <w:rFonts w:ascii="Times New Roman" w:eastAsia="楷体" w:hAnsi="Times New Roman" w:cs="Times New Roman" w:hint="eastAsia"/>
          <w:color w:val="000000" w:themeColor="text1"/>
        </w:rPr>
        <w:t>，申万餐饮</w:t>
      </w:r>
      <w:r w:rsidRPr="008E3BCB">
        <w:rPr>
          <w:rFonts w:ascii="Times New Roman" w:eastAsia="楷体" w:hAnsi="Times New Roman" w:cs="Times New Roman" w:hint="eastAsia"/>
          <w:color w:val="000000" w:themeColor="text1"/>
        </w:rPr>
        <w:t>+3.81%</w:t>
      </w:r>
      <w:r w:rsidRPr="008E3BCB">
        <w:rPr>
          <w:rFonts w:ascii="Times New Roman" w:eastAsia="楷体" w:hAnsi="Times New Roman" w:cs="Times New Roman" w:hint="eastAsia"/>
          <w:color w:val="000000" w:themeColor="text1"/>
        </w:rPr>
        <w:t>，申万景区</w:t>
      </w:r>
      <w:r w:rsidRPr="008E3BCB">
        <w:rPr>
          <w:rFonts w:ascii="Times New Roman" w:eastAsia="楷体" w:hAnsi="Times New Roman" w:cs="Times New Roman" w:hint="eastAsia"/>
          <w:color w:val="000000" w:themeColor="text1"/>
        </w:rPr>
        <w:t>+0.04%</w:t>
      </w:r>
      <w:r w:rsidRPr="008E3BCB">
        <w:rPr>
          <w:rFonts w:ascii="Times New Roman" w:eastAsia="楷体" w:hAnsi="Times New Roman" w:cs="Times New Roman" w:hint="eastAsia"/>
          <w:color w:val="000000" w:themeColor="text1"/>
        </w:rPr>
        <w:t>；同期沪深</w:t>
      </w:r>
      <w:r w:rsidRPr="008E3BCB">
        <w:rPr>
          <w:rFonts w:ascii="Times New Roman" w:eastAsia="楷体" w:hAnsi="Times New Roman" w:cs="Times New Roman" w:hint="eastAsia"/>
          <w:color w:val="000000" w:themeColor="text1"/>
        </w:rPr>
        <w:t>300</w:t>
      </w:r>
      <w:r w:rsidRPr="008E3BCB">
        <w:rPr>
          <w:rFonts w:ascii="Times New Roman" w:eastAsia="楷体" w:hAnsi="Times New Roman" w:cs="Times New Roman" w:hint="eastAsia"/>
          <w:color w:val="000000" w:themeColor="text1"/>
        </w:rPr>
        <w:t>涨幅</w:t>
      </w:r>
      <w:r w:rsidRPr="008E3BCB">
        <w:rPr>
          <w:rFonts w:ascii="Times New Roman" w:eastAsia="楷体" w:hAnsi="Times New Roman" w:cs="Times New Roman" w:hint="eastAsia"/>
          <w:color w:val="000000" w:themeColor="text1"/>
        </w:rPr>
        <w:t>3.64%</w:t>
      </w:r>
      <w:r w:rsidRPr="008E3BCB">
        <w:rPr>
          <w:rFonts w:ascii="Times New Roman" w:eastAsia="楷体" w:hAnsi="Times New Roman" w:cs="Times New Roman" w:hint="eastAsia"/>
          <w:color w:val="000000" w:themeColor="text1"/>
        </w:rPr>
        <w:t>。</w:t>
      </w:r>
    </w:p>
    <w:p w14:paraId="5CEED5CE" w14:textId="168A647D" w:rsidR="004C40D8" w:rsidRPr="008E3BCB" w:rsidRDefault="004C40D8" w:rsidP="004C40D8">
      <w:pPr>
        <w:ind w:firstLineChars="200" w:firstLine="480"/>
        <w:rPr>
          <w:rFonts w:ascii="Times New Roman" w:eastAsia="楷体" w:hAnsi="Times New Roman" w:cs="Times New Roman"/>
          <w:color w:val="000000" w:themeColor="text1"/>
        </w:rPr>
      </w:pPr>
      <w:r w:rsidRPr="008E3BCB">
        <w:rPr>
          <w:rFonts w:ascii="Times New Roman" w:eastAsia="楷体" w:hAnsi="Times New Roman" w:cs="Times New Roman" w:hint="eastAsia"/>
          <w:color w:val="000000" w:themeColor="text1"/>
        </w:rPr>
        <w:t>由于免税行业在整个板块市值</w:t>
      </w:r>
      <w:proofErr w:type="gramStart"/>
      <w:r w:rsidRPr="008E3BCB">
        <w:rPr>
          <w:rFonts w:ascii="Times New Roman" w:eastAsia="楷体" w:hAnsi="Times New Roman" w:cs="Times New Roman" w:hint="eastAsia"/>
          <w:color w:val="000000" w:themeColor="text1"/>
        </w:rPr>
        <w:t>占比较</w:t>
      </w:r>
      <w:proofErr w:type="gramEnd"/>
      <w:r w:rsidRPr="008E3BCB">
        <w:rPr>
          <w:rFonts w:ascii="Times New Roman" w:eastAsia="楷体" w:hAnsi="Times New Roman" w:cs="Times New Roman" w:hint="eastAsia"/>
          <w:color w:val="000000" w:themeColor="text1"/>
        </w:rPr>
        <w:t>大，因此</w:t>
      </w:r>
      <w:proofErr w:type="gramStart"/>
      <w:r w:rsidRPr="008E3BCB">
        <w:rPr>
          <w:rFonts w:ascii="Times New Roman" w:eastAsia="楷体" w:hAnsi="Times New Roman" w:cs="Times New Roman" w:hint="eastAsia"/>
          <w:color w:val="000000" w:themeColor="text1"/>
        </w:rPr>
        <w:t>往往该</w:t>
      </w:r>
      <w:proofErr w:type="gramEnd"/>
      <w:r w:rsidRPr="008E3BCB">
        <w:rPr>
          <w:rFonts w:ascii="Times New Roman" w:eastAsia="楷体" w:hAnsi="Times New Roman" w:cs="Times New Roman" w:hint="eastAsia"/>
          <w:color w:val="000000" w:themeColor="text1"/>
        </w:rPr>
        <w:t>细分板块走势直接影响整体大板块</w:t>
      </w:r>
      <w:r>
        <w:rPr>
          <w:rFonts w:ascii="Times New Roman" w:eastAsia="楷体" w:hAnsi="Times New Roman" w:cs="Times New Roman" w:hint="eastAsia"/>
          <w:color w:val="000000" w:themeColor="text1"/>
        </w:rPr>
        <w:t>的</w:t>
      </w:r>
      <w:r w:rsidRPr="008E3BCB">
        <w:rPr>
          <w:rFonts w:ascii="Times New Roman" w:eastAsia="楷体" w:hAnsi="Times New Roman" w:cs="Times New Roman" w:hint="eastAsia"/>
          <w:color w:val="000000" w:themeColor="text1"/>
        </w:rPr>
        <w:t>表现。前期因国内外疫情反复，加上免税行业一季度业绩恢复略不及预期的原因，股价一直保持较低位置；近期由于环比数据向好，股价略有回升，主要是免税行业在十四五规划下仍具备中长期逻辑以及数据向好。</w:t>
      </w:r>
      <w:r w:rsidRPr="008E3BCB">
        <w:rPr>
          <w:rFonts w:ascii="Times New Roman" w:eastAsia="楷体" w:hAnsi="Times New Roman" w:cs="Times New Roman" w:hint="eastAsia"/>
          <w:color w:val="000000" w:themeColor="text1"/>
        </w:rPr>
        <w:t>1</w:t>
      </w:r>
      <w:r w:rsidRPr="008E3BCB">
        <w:rPr>
          <w:rFonts w:ascii="Times New Roman" w:eastAsia="楷体" w:hAnsi="Times New Roman" w:cs="Times New Roman" w:hint="eastAsia"/>
          <w:color w:val="000000" w:themeColor="text1"/>
        </w:rPr>
        <w:t>）关于海南的长期发展，原商务部副部长认为海南省发展并不仅仅局限于免税购物，而是充分利用其交通便利、气候适宜、政策支持等优势，建设成为“全能冠军”的自由贸易港。海南的免税商城正不断加密，海口新海港免税城预计</w:t>
      </w:r>
      <w:r w:rsidRPr="008E3BCB">
        <w:rPr>
          <w:rFonts w:ascii="Times New Roman" w:eastAsia="楷体" w:hAnsi="Times New Roman" w:cs="Times New Roman" w:hint="eastAsia"/>
          <w:color w:val="000000" w:themeColor="text1"/>
        </w:rPr>
        <w:t>2022</w:t>
      </w:r>
      <w:r w:rsidRPr="008E3BCB">
        <w:rPr>
          <w:rFonts w:ascii="Times New Roman" w:eastAsia="楷体" w:hAnsi="Times New Roman" w:cs="Times New Roman" w:hint="eastAsia"/>
          <w:color w:val="000000" w:themeColor="text1"/>
        </w:rPr>
        <w:t>年建成使用，三亚海棠湾二期也在建设之中，之后将随着海南</w:t>
      </w:r>
      <w:proofErr w:type="gramStart"/>
      <w:r w:rsidRPr="008E3BCB">
        <w:rPr>
          <w:rFonts w:ascii="Times New Roman" w:eastAsia="楷体" w:hAnsi="Times New Roman" w:cs="Times New Roman" w:hint="eastAsia"/>
          <w:color w:val="000000" w:themeColor="text1"/>
        </w:rPr>
        <w:t>自贸港建设</w:t>
      </w:r>
      <w:proofErr w:type="gramEnd"/>
      <w:r w:rsidRPr="008E3BCB">
        <w:rPr>
          <w:rFonts w:ascii="Times New Roman" w:eastAsia="楷体" w:hAnsi="Times New Roman" w:cs="Times New Roman" w:hint="eastAsia"/>
          <w:color w:val="000000" w:themeColor="text1"/>
        </w:rPr>
        <w:t>成为海南两个重镇的最大的免税购物中心。</w:t>
      </w:r>
      <w:r w:rsidRPr="008E3BCB">
        <w:rPr>
          <w:rFonts w:ascii="Times New Roman" w:eastAsia="楷体" w:hAnsi="Times New Roman" w:cs="Times New Roman" w:hint="eastAsia"/>
          <w:color w:val="000000" w:themeColor="text1"/>
        </w:rPr>
        <w:t>2</w:t>
      </w:r>
      <w:r w:rsidRPr="008E3BCB">
        <w:rPr>
          <w:rFonts w:ascii="Times New Roman" w:eastAsia="楷体" w:hAnsi="Times New Roman" w:cs="Times New Roman" w:hint="eastAsia"/>
          <w:color w:val="000000" w:themeColor="text1"/>
        </w:rPr>
        <w:t>）从海南数据上来看，</w:t>
      </w:r>
      <w:r w:rsidRPr="008E3BCB">
        <w:rPr>
          <w:rFonts w:ascii="Times New Roman" w:eastAsia="楷体" w:hAnsi="Times New Roman" w:cs="Times New Roman"/>
          <w:color w:val="000000" w:themeColor="text1"/>
        </w:rPr>
        <w:t>2021</w:t>
      </w:r>
      <w:r w:rsidRPr="008E3BCB">
        <w:rPr>
          <w:rFonts w:ascii="Times New Roman" w:eastAsia="楷体" w:hAnsi="Times New Roman" w:cs="Times New Roman"/>
          <w:color w:val="000000" w:themeColor="text1"/>
        </w:rPr>
        <w:t>年一季度全国旅行</w:t>
      </w:r>
      <w:r w:rsidRPr="008E3BCB">
        <w:rPr>
          <w:rFonts w:ascii="Times New Roman" w:eastAsia="楷体" w:hAnsi="Times New Roman" w:cs="Times New Roman" w:hint="eastAsia"/>
          <w:color w:val="000000" w:themeColor="text1"/>
        </w:rPr>
        <w:t>社国内旅游组织</w:t>
      </w:r>
      <w:r w:rsidRPr="008E3BCB">
        <w:rPr>
          <w:rFonts w:ascii="Times New Roman" w:eastAsia="楷体" w:hAnsi="Times New Roman" w:cs="Times New Roman"/>
          <w:color w:val="000000" w:themeColor="text1"/>
        </w:rPr>
        <w:t>1187.27</w:t>
      </w:r>
      <w:r w:rsidRPr="008E3BCB">
        <w:rPr>
          <w:rFonts w:ascii="Times New Roman" w:eastAsia="楷体" w:hAnsi="Times New Roman" w:cs="Times New Roman"/>
          <w:color w:val="000000" w:themeColor="text1"/>
        </w:rPr>
        <w:t>万人次，同比增加</w:t>
      </w:r>
      <w:r w:rsidRPr="008E3BCB">
        <w:rPr>
          <w:rFonts w:ascii="Times New Roman" w:eastAsia="楷体" w:hAnsi="Times New Roman" w:cs="Times New Roman"/>
          <w:color w:val="000000" w:themeColor="text1"/>
        </w:rPr>
        <w:t>138.5%</w:t>
      </w:r>
      <w:r w:rsidRPr="008E3BCB">
        <w:rPr>
          <w:rFonts w:ascii="Times New Roman" w:eastAsia="楷体" w:hAnsi="Times New Roman" w:cs="Times New Roman"/>
          <w:color w:val="000000" w:themeColor="text1"/>
        </w:rPr>
        <w:t>。</w:t>
      </w:r>
      <w:r w:rsidRPr="008E3BCB">
        <w:rPr>
          <w:rFonts w:ascii="Times New Roman" w:eastAsia="楷体" w:hAnsi="Times New Roman" w:cs="Times New Roman" w:hint="eastAsia"/>
          <w:color w:val="000000" w:themeColor="text1"/>
        </w:rPr>
        <w:t>二季度以来，</w:t>
      </w:r>
      <w:r w:rsidRPr="008E3BCB">
        <w:rPr>
          <w:rFonts w:ascii="Times New Roman" w:eastAsia="楷体" w:hAnsi="Times New Roman" w:cs="Times New Roman" w:hint="eastAsia"/>
          <w:color w:val="000000" w:themeColor="text1"/>
        </w:rPr>
        <w:t>4</w:t>
      </w:r>
      <w:r w:rsidRPr="008E3BCB">
        <w:rPr>
          <w:rFonts w:ascii="Times New Roman" w:eastAsia="楷体" w:hAnsi="Times New Roman" w:cs="Times New Roman" w:hint="eastAsia"/>
          <w:color w:val="000000" w:themeColor="text1"/>
        </w:rPr>
        <w:t>月下旬开始销售</w:t>
      </w:r>
      <w:proofErr w:type="gramStart"/>
      <w:r w:rsidRPr="008E3BCB">
        <w:rPr>
          <w:rFonts w:ascii="Times New Roman" w:eastAsia="楷体" w:hAnsi="Times New Roman" w:cs="Times New Roman" w:hint="eastAsia"/>
          <w:color w:val="000000" w:themeColor="text1"/>
        </w:rPr>
        <w:t>数据环比持续</w:t>
      </w:r>
      <w:proofErr w:type="gramEnd"/>
      <w:r w:rsidRPr="008E3BCB">
        <w:rPr>
          <w:rFonts w:ascii="Times New Roman" w:eastAsia="楷体" w:hAnsi="Times New Roman" w:cs="Times New Roman" w:hint="eastAsia"/>
          <w:color w:val="000000" w:themeColor="text1"/>
        </w:rPr>
        <w:t>向好，同比增长非常明显。五一节海南旅游热度不减，</w:t>
      </w:r>
      <w:r w:rsidRPr="008E3BCB">
        <w:rPr>
          <w:rFonts w:ascii="Times New Roman" w:eastAsia="楷体" w:hAnsi="Times New Roman" w:cs="Times New Roman"/>
          <w:color w:val="000000" w:themeColor="text1"/>
        </w:rPr>
        <w:t>5</w:t>
      </w:r>
      <w:r w:rsidRPr="008E3BCB">
        <w:rPr>
          <w:rFonts w:ascii="Times New Roman" w:eastAsia="楷体" w:hAnsi="Times New Roman" w:cs="Times New Roman"/>
          <w:color w:val="000000" w:themeColor="text1"/>
        </w:rPr>
        <w:t>月海南重点</w:t>
      </w:r>
      <w:proofErr w:type="gramStart"/>
      <w:r w:rsidRPr="008E3BCB">
        <w:rPr>
          <w:rFonts w:ascii="Times New Roman" w:eastAsia="楷体" w:hAnsi="Times New Roman" w:cs="Times New Roman"/>
          <w:color w:val="000000" w:themeColor="text1"/>
        </w:rPr>
        <w:t>免税商</w:t>
      </w:r>
      <w:proofErr w:type="gramEnd"/>
      <w:r w:rsidRPr="008E3BCB">
        <w:rPr>
          <w:rFonts w:ascii="Times New Roman" w:eastAsia="楷体" w:hAnsi="Times New Roman" w:cs="Times New Roman"/>
          <w:color w:val="000000" w:themeColor="text1"/>
        </w:rPr>
        <w:t>预期营</w:t>
      </w:r>
      <w:proofErr w:type="gramStart"/>
      <w:r w:rsidRPr="008E3BCB">
        <w:rPr>
          <w:rFonts w:ascii="Times New Roman" w:eastAsia="楷体" w:hAnsi="Times New Roman" w:cs="Times New Roman"/>
          <w:color w:val="000000" w:themeColor="text1"/>
        </w:rPr>
        <w:t>收超过</w:t>
      </w:r>
      <w:proofErr w:type="gramEnd"/>
      <w:r w:rsidRPr="008E3BCB">
        <w:rPr>
          <w:rFonts w:ascii="Times New Roman" w:eastAsia="楷体" w:hAnsi="Times New Roman" w:cs="Times New Roman" w:hint="eastAsia"/>
          <w:color w:val="000000" w:themeColor="text1"/>
        </w:rPr>
        <w:t>50</w:t>
      </w:r>
      <w:r w:rsidRPr="008E3BCB">
        <w:rPr>
          <w:rFonts w:ascii="Times New Roman" w:eastAsia="楷体" w:hAnsi="Times New Roman" w:cs="Times New Roman"/>
          <w:color w:val="000000" w:themeColor="text1"/>
        </w:rPr>
        <w:t>亿，业绩保持回暖态势（</w:t>
      </w:r>
      <w:r w:rsidRPr="008E3BCB">
        <w:rPr>
          <w:rFonts w:ascii="Times New Roman" w:eastAsia="楷体" w:hAnsi="Times New Roman" w:cs="Times New Roman"/>
          <w:color w:val="000000" w:themeColor="text1"/>
        </w:rPr>
        <w:t>3</w:t>
      </w:r>
      <w:r w:rsidRPr="008E3BCB">
        <w:rPr>
          <w:rFonts w:ascii="Times New Roman" w:eastAsia="楷体" w:hAnsi="Times New Roman" w:cs="Times New Roman"/>
          <w:color w:val="000000" w:themeColor="text1"/>
        </w:rPr>
        <w:t>月</w:t>
      </w:r>
      <w:r w:rsidRPr="008E3BCB">
        <w:rPr>
          <w:rFonts w:ascii="Times New Roman" w:eastAsia="楷体" w:hAnsi="Times New Roman" w:cs="Times New Roman"/>
          <w:color w:val="000000" w:themeColor="text1"/>
        </w:rPr>
        <w:t>53.3</w:t>
      </w:r>
      <w:r w:rsidRPr="008E3BCB">
        <w:rPr>
          <w:rFonts w:ascii="Times New Roman" w:eastAsia="楷体" w:hAnsi="Times New Roman" w:cs="Times New Roman"/>
          <w:color w:val="000000" w:themeColor="text1"/>
        </w:rPr>
        <w:t>亿，</w:t>
      </w:r>
      <w:r w:rsidRPr="008E3BCB">
        <w:rPr>
          <w:rFonts w:ascii="Times New Roman" w:eastAsia="楷体" w:hAnsi="Times New Roman" w:cs="Times New Roman"/>
          <w:color w:val="000000" w:themeColor="text1"/>
        </w:rPr>
        <w:t>4</w:t>
      </w:r>
      <w:r w:rsidRPr="008E3BCB">
        <w:rPr>
          <w:rFonts w:ascii="Times New Roman" w:eastAsia="楷体" w:hAnsi="Times New Roman" w:cs="Times New Roman"/>
          <w:color w:val="000000" w:themeColor="text1"/>
        </w:rPr>
        <w:t>月</w:t>
      </w:r>
      <w:r w:rsidRPr="008E3BCB">
        <w:rPr>
          <w:rFonts w:ascii="Times New Roman" w:eastAsia="楷体" w:hAnsi="Times New Roman" w:cs="Times New Roman"/>
          <w:color w:val="000000" w:themeColor="text1"/>
        </w:rPr>
        <w:t>48.2</w:t>
      </w:r>
      <w:r w:rsidRPr="008E3BCB">
        <w:rPr>
          <w:rFonts w:ascii="Times New Roman" w:eastAsia="楷体" w:hAnsi="Times New Roman" w:cs="Times New Roman"/>
          <w:color w:val="000000" w:themeColor="text1"/>
        </w:rPr>
        <w:t>亿）。而且从</w:t>
      </w:r>
      <w:r w:rsidRPr="008E3BCB">
        <w:rPr>
          <w:rFonts w:ascii="Times New Roman" w:eastAsia="楷体" w:hAnsi="Times New Roman" w:cs="Times New Roman" w:hint="eastAsia"/>
          <w:color w:val="000000" w:themeColor="text1"/>
        </w:rPr>
        <w:t>整体来看，往年</w:t>
      </w:r>
      <w:r w:rsidRPr="008E3BCB">
        <w:rPr>
          <w:rFonts w:ascii="Times New Roman" w:eastAsia="楷体" w:hAnsi="Times New Roman" w:cs="Times New Roman"/>
          <w:color w:val="000000" w:themeColor="text1"/>
        </w:rPr>
        <w:t>5</w:t>
      </w:r>
      <w:r w:rsidRPr="008E3BCB">
        <w:rPr>
          <w:rFonts w:ascii="Times New Roman" w:eastAsia="楷体" w:hAnsi="Times New Roman" w:cs="Times New Roman"/>
          <w:color w:val="000000" w:themeColor="text1"/>
        </w:rPr>
        <w:t>月营收比</w:t>
      </w:r>
      <w:r w:rsidRPr="008E3BCB">
        <w:rPr>
          <w:rFonts w:ascii="Times New Roman" w:eastAsia="楷体" w:hAnsi="Times New Roman" w:cs="Times New Roman"/>
          <w:color w:val="000000" w:themeColor="text1"/>
        </w:rPr>
        <w:t>4</w:t>
      </w:r>
      <w:r w:rsidRPr="008E3BCB">
        <w:rPr>
          <w:rFonts w:ascii="Times New Roman" w:eastAsia="楷体" w:hAnsi="Times New Roman" w:cs="Times New Roman"/>
          <w:color w:val="000000" w:themeColor="text1"/>
        </w:rPr>
        <w:t>月低</w:t>
      </w:r>
      <w:r w:rsidRPr="008E3BCB">
        <w:rPr>
          <w:rFonts w:ascii="Times New Roman" w:eastAsia="楷体" w:hAnsi="Times New Roman" w:cs="Times New Roman"/>
          <w:color w:val="000000" w:themeColor="text1"/>
        </w:rPr>
        <w:t>10%</w:t>
      </w:r>
      <w:r w:rsidRPr="008E3BCB">
        <w:rPr>
          <w:rFonts w:ascii="Times New Roman" w:eastAsia="楷体" w:hAnsi="Times New Roman" w:cs="Times New Roman"/>
          <w:color w:val="000000" w:themeColor="text1"/>
        </w:rPr>
        <w:t>左右，数据显示在新的免税政策下今年</w:t>
      </w:r>
      <w:r w:rsidRPr="008E3BCB">
        <w:rPr>
          <w:rFonts w:ascii="Times New Roman" w:eastAsia="楷体" w:hAnsi="Times New Roman" w:cs="Times New Roman"/>
          <w:color w:val="000000" w:themeColor="text1"/>
        </w:rPr>
        <w:t>5</w:t>
      </w:r>
      <w:r w:rsidRPr="008E3BCB">
        <w:rPr>
          <w:rFonts w:ascii="Times New Roman" w:eastAsia="楷体" w:hAnsi="Times New Roman" w:cs="Times New Roman"/>
          <w:color w:val="000000" w:themeColor="text1"/>
        </w:rPr>
        <w:t>月海南免税行业表现优异。因此，免税</w:t>
      </w:r>
      <w:r w:rsidR="0069562F">
        <w:rPr>
          <w:rFonts w:ascii="Times New Roman" w:eastAsia="楷体" w:hAnsi="Times New Roman" w:cs="Times New Roman" w:hint="eastAsia"/>
          <w:color w:val="000000" w:themeColor="text1"/>
        </w:rPr>
        <w:t>板</w:t>
      </w:r>
      <w:r w:rsidR="0069562F">
        <w:rPr>
          <w:rFonts w:ascii="Times New Roman" w:eastAsia="楷体" w:hAnsi="Times New Roman" w:cs="Times New Roman" w:hint="eastAsia"/>
          <w:color w:val="000000" w:themeColor="text1"/>
        </w:rPr>
        <w:lastRenderedPageBreak/>
        <w:t>块</w:t>
      </w:r>
      <w:r w:rsidRPr="008E3BCB">
        <w:rPr>
          <w:rFonts w:ascii="Times New Roman" w:eastAsia="楷体" w:hAnsi="Times New Roman" w:cs="Times New Roman"/>
          <w:color w:val="000000" w:themeColor="text1"/>
        </w:rPr>
        <w:t>整体股价抬升，带动</w:t>
      </w:r>
      <w:r w:rsidR="0069562F" w:rsidRPr="008E3BCB">
        <w:rPr>
          <w:rFonts w:ascii="Times New Roman" w:eastAsia="楷体" w:hAnsi="Times New Roman" w:cs="Times New Roman"/>
          <w:color w:val="000000" w:themeColor="text1"/>
        </w:rPr>
        <w:t>社会服务板块</w:t>
      </w:r>
      <w:bookmarkStart w:id="1" w:name="_GoBack"/>
      <w:bookmarkEnd w:id="1"/>
      <w:r w:rsidRPr="008E3BCB">
        <w:rPr>
          <w:rFonts w:ascii="Times New Roman" w:eastAsia="楷体" w:hAnsi="Times New Roman" w:cs="Times New Roman"/>
          <w:color w:val="000000" w:themeColor="text1"/>
        </w:rPr>
        <w:t>涨幅相对较大。</w:t>
      </w:r>
    </w:p>
    <w:p w14:paraId="2B7BEAC4" w14:textId="518D2CDB" w:rsidR="007301B0" w:rsidRPr="007301B0" w:rsidRDefault="004C40D8" w:rsidP="004C40D8">
      <w:pPr>
        <w:ind w:firstLineChars="200" w:firstLine="480"/>
        <w:rPr>
          <w:rFonts w:ascii="Times New Roman" w:eastAsia="楷体" w:hAnsi="Times New Roman" w:cs="Times New Roman"/>
          <w:color w:val="000000" w:themeColor="text1"/>
        </w:rPr>
      </w:pPr>
      <w:r w:rsidRPr="008E3BCB">
        <w:rPr>
          <w:rFonts w:ascii="Times New Roman" w:eastAsia="楷体" w:hAnsi="Times New Roman" w:cs="Times New Roman"/>
          <w:color w:val="000000" w:themeColor="text1"/>
        </w:rPr>
        <w:t>休闲服务行业逐</w:t>
      </w:r>
      <w:r w:rsidRPr="008E3BCB">
        <w:rPr>
          <w:rFonts w:ascii="Times New Roman" w:eastAsia="楷体" w:hAnsi="Times New Roman" w:cs="Times New Roman" w:hint="eastAsia"/>
          <w:color w:val="000000" w:themeColor="text1"/>
        </w:rPr>
        <w:t>渐恢复，且疫情使得行业重新洗牌，但仍需关注国内疫情复发态势。短期来看，受压抑的旅游需求转向国内市场，景区、酒店业绩改善明显，看好各细分板块布局国内旅游市场的龙头企业，具备优质成长性的演艺、免税、教育等板块龙头具有中长期逻辑，值得在合适位置进入并长期持有。</w:t>
      </w:r>
      <w:r w:rsidR="007301B0" w:rsidRPr="007301B0">
        <w:rPr>
          <w:rFonts w:ascii="Times New Roman" w:eastAsia="楷体" w:hAnsi="Times New Roman" w:cs="Times New Roman"/>
          <w:color w:val="000000" w:themeColor="text1"/>
        </w:rPr>
        <w:cr/>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7C861FDD"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CC2C52">
        <w:rPr>
          <w:rFonts w:ascii="Times New Roman" w:eastAsia="楷体" w:hAnsi="Times New Roman" w:cs="Times New Roman" w:hint="eastAsia"/>
          <w:color w:val="000000" w:themeColor="text1"/>
        </w:rPr>
        <w:t>LME</w:t>
      </w:r>
      <w:r w:rsidR="00CC2C52">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5.74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CC2C52">
        <w:rPr>
          <w:rFonts w:ascii="Times New Roman" w:eastAsia="楷体" w:hAnsi="Times New Roman" w:cs="Times New Roman" w:hint="eastAsia"/>
          <w:color w:val="000000" w:themeColor="text1"/>
        </w:rPr>
        <w:t>NYMEX</w:t>
      </w:r>
      <w:r w:rsidR="00CC2C52">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4.80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LME</w:t>
      </w:r>
      <w:r w:rsidR="00CC2C52">
        <w:rPr>
          <w:rFonts w:ascii="Times New Roman" w:eastAsia="楷体" w:hAnsi="Times New Roman" w:cs="Times New Roman" w:hint="eastAsia"/>
          <w:color w:val="000000" w:themeColor="text1"/>
        </w:rPr>
        <w:t>铜</w:t>
      </w:r>
      <w:r w:rsidR="0008197A">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3.98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）；而</w:t>
      </w:r>
      <w:r w:rsidR="0008197A">
        <w:rPr>
          <w:rFonts w:ascii="Times New Roman" w:eastAsia="楷体" w:hAnsi="Times New Roman" w:cs="Times New Roman" w:hint="eastAsia"/>
          <w:color w:val="000000" w:themeColor="text1"/>
        </w:rPr>
        <w:t>螺纹指数</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3.53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00CC2C52">
        <w:rPr>
          <w:rFonts w:ascii="Times New Roman" w:eastAsia="楷体" w:hAnsi="Times New Roman" w:cs="Times New Roman" w:hint="eastAsia"/>
          <w:color w:val="000000" w:themeColor="text1"/>
        </w:rPr>
        <w:t>中债总指数</w:t>
      </w:r>
      <w:proofErr w:type="gramEnd"/>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0.00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美元指数</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+0.01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CC2C52">
        <w:rPr>
          <w:rFonts w:ascii="Times New Roman" w:eastAsia="楷体" w:hAnsi="Times New Roman" w:cs="Times New Roman" w:hint="eastAsia"/>
          <w:color w:val="000000" w:themeColor="text1"/>
        </w:rPr>
        <w:t>普遍上涨</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CC2C52">
        <w:rPr>
          <w:rFonts w:ascii="Times New Roman" w:eastAsia="楷体" w:hAnsi="Times New Roman" w:cs="Times New Roman" w:hint="eastAsia"/>
          <w:color w:val="000000" w:themeColor="text1"/>
        </w:rPr>
        <w:t>+0.0</w:t>
      </w:r>
      <w:r w:rsidR="000C5501">
        <w:rPr>
          <w:rFonts w:ascii="Times New Roman" w:eastAsia="楷体" w:hAnsi="Times New Roman" w:cs="Times New Roman" w:hint="eastAsia"/>
          <w:color w:val="000000" w:themeColor="text1"/>
        </w:rPr>
        <w:t>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772498">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0.53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08197A">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1.53</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4C5C29">
        <w:rPr>
          <w:rFonts w:ascii="Times New Roman" w:eastAsia="楷体" w:hAnsi="Times New Roman" w:cs="Times New Roman" w:hint="eastAsia"/>
          <w:color w:val="000000" w:themeColor="text1"/>
        </w:rPr>
        <w:t>表现</w:t>
      </w:r>
      <w:r w:rsidR="004A3A79">
        <w:rPr>
          <w:rFonts w:ascii="Times New Roman" w:eastAsia="楷体" w:hAnsi="Times New Roman" w:cs="Times New Roman" w:hint="eastAsia"/>
          <w:color w:val="000000" w:themeColor="text1"/>
        </w:rPr>
        <w:t>较</w:t>
      </w:r>
      <w:r w:rsidR="00CC2C52">
        <w:rPr>
          <w:rFonts w:ascii="Times New Roman" w:eastAsia="楷体" w:hAnsi="Times New Roman" w:cs="Times New Roman" w:hint="eastAsia"/>
          <w:color w:val="000000" w:themeColor="text1"/>
        </w:rPr>
        <w:t>强</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08197A">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2.06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CC2C52">
        <w:rPr>
          <w:rFonts w:ascii="Times New Roman" w:eastAsia="楷体" w:hAnsi="Times New Roman" w:cs="Times New Roman" w:hint="eastAsia"/>
          <w:color w:val="000000" w:themeColor="text1"/>
        </w:rPr>
        <w:t>+1.16</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CC2C52">
        <w:rPr>
          <w:rFonts w:ascii="Times New Roman" w:eastAsia="楷体" w:hAnsi="Times New Roman" w:cs="Times New Roman" w:hint="eastAsia"/>
          <w:color w:val="000000" w:themeColor="text1"/>
        </w:rPr>
        <w:t>+0.94</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651BE417" w:rsidR="00D7571B" w:rsidRPr="00C2678E" w:rsidRDefault="00D127E3" w:rsidP="00356BF9">
      <w:pPr>
        <w:ind w:firstLineChars="200" w:firstLine="480"/>
        <w:rPr>
          <w:rFonts w:ascii="Times New Roman" w:eastAsia="楷体" w:hAnsi="Times New Roman" w:cs="Times New Roman"/>
        </w:rPr>
      </w:pPr>
      <w:bookmarkStart w:id="2"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772498">
        <w:rPr>
          <w:rFonts w:ascii="Times New Roman" w:eastAsia="楷体" w:hAnsi="Times New Roman" w:cs="Times New Roman" w:hint="eastAsia"/>
          <w:color w:val="000000" w:themeColor="text1"/>
        </w:rPr>
        <w:t>普遍</w:t>
      </w:r>
      <w:r w:rsidR="004A3A79">
        <w:rPr>
          <w:rFonts w:ascii="Times New Roman" w:eastAsia="楷体" w:hAnsi="Times New Roman" w:cs="Times New Roman" w:hint="eastAsia"/>
          <w:color w:val="000000" w:themeColor="text1"/>
        </w:rPr>
        <w:t>上涨</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上证</w:t>
      </w:r>
      <w:r w:rsidR="00CC2C52">
        <w:rPr>
          <w:rFonts w:ascii="Times New Roman" w:eastAsia="楷体" w:hAnsi="Times New Roman" w:cs="Times New Roman" w:hint="eastAsia"/>
          <w:color w:val="000000" w:themeColor="text1"/>
        </w:rPr>
        <w:t>50</w:t>
      </w:r>
      <w:r w:rsidR="004A3A79">
        <w:rPr>
          <w:rFonts w:ascii="Times New Roman" w:eastAsia="楷体" w:hAnsi="Times New Roman" w:cs="Times New Roman" w:hint="eastAsia"/>
          <w:color w:val="000000" w:themeColor="text1"/>
        </w:rPr>
        <w:t>指数</w:t>
      </w:r>
      <w:r w:rsidR="00820B9F">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4A3A79">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5.10</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。上证综指周内</w:t>
      </w:r>
      <w:r w:rsidR="00CC2C52">
        <w:rPr>
          <w:rFonts w:ascii="Times New Roman" w:eastAsia="楷体" w:hAnsi="Times New Roman" w:cs="Times New Roman" w:hint="eastAsia"/>
          <w:color w:val="000000" w:themeColor="text1"/>
        </w:rPr>
        <w:t>上涨</w:t>
      </w:r>
      <w:r w:rsidR="00CC2C52">
        <w:rPr>
          <w:rFonts w:ascii="Times New Roman" w:eastAsia="楷体" w:hAnsi="Times New Roman" w:cs="Times New Roman" w:hint="eastAsia"/>
          <w:color w:val="000000" w:themeColor="text1"/>
        </w:rPr>
        <w:t>3.28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4C5C29">
        <w:rPr>
          <w:rFonts w:ascii="Times New Roman" w:eastAsia="楷体" w:hAnsi="Times New Roman" w:cs="Times New Roman" w:hint="eastAsia"/>
          <w:color w:val="000000" w:themeColor="text1"/>
        </w:rPr>
        <w:t>3</w:t>
      </w:r>
      <w:r w:rsidR="00CC2C52">
        <w:rPr>
          <w:rFonts w:ascii="Times New Roman" w:eastAsia="楷体" w:hAnsi="Times New Roman" w:cs="Times New Roman" w:hint="eastAsia"/>
          <w:color w:val="000000" w:themeColor="text1"/>
        </w:rPr>
        <w:t>600.78</w:t>
      </w:r>
      <w:r w:rsidRPr="00D127E3">
        <w:rPr>
          <w:rFonts w:ascii="Times New Roman" w:eastAsia="楷体" w:hAnsi="Times New Roman" w:cs="Times New Roman" w:hint="eastAsia"/>
          <w:color w:val="000000" w:themeColor="text1"/>
        </w:rPr>
        <w:t>点；深证成指周内</w:t>
      </w:r>
      <w:r w:rsidR="004A3A79">
        <w:rPr>
          <w:rFonts w:ascii="Times New Roman" w:eastAsia="楷体" w:hAnsi="Times New Roman" w:cs="Times New Roman" w:hint="eastAsia"/>
          <w:color w:val="000000" w:themeColor="text1"/>
        </w:rPr>
        <w:t>上涨</w:t>
      </w:r>
      <w:r w:rsidR="00CC2C52">
        <w:rPr>
          <w:rFonts w:ascii="Times New Roman" w:eastAsia="楷体" w:hAnsi="Times New Roman" w:cs="Times New Roman" w:hint="eastAsia"/>
          <w:color w:val="000000" w:themeColor="text1"/>
        </w:rPr>
        <w:t>3.02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72498">
        <w:rPr>
          <w:rFonts w:ascii="Times New Roman" w:eastAsia="楷体" w:hAnsi="Times New Roman" w:cs="Times New Roman" w:hint="eastAsia"/>
          <w:color w:val="000000" w:themeColor="text1"/>
        </w:rPr>
        <w:t>1</w:t>
      </w:r>
      <w:r w:rsidR="0008197A">
        <w:rPr>
          <w:rFonts w:ascii="Times New Roman" w:eastAsia="楷体" w:hAnsi="Times New Roman" w:cs="Times New Roman" w:hint="eastAsia"/>
          <w:color w:val="000000" w:themeColor="text1"/>
        </w:rPr>
        <w:t>4</w:t>
      </w:r>
      <w:r w:rsidR="00CC2C52">
        <w:rPr>
          <w:rFonts w:ascii="Times New Roman" w:eastAsia="楷体" w:hAnsi="Times New Roman" w:cs="Times New Roman" w:hint="eastAsia"/>
          <w:color w:val="000000" w:themeColor="text1"/>
        </w:rPr>
        <w:t>852.88</w:t>
      </w:r>
      <w:r w:rsidRPr="00D127E3">
        <w:rPr>
          <w:rFonts w:ascii="Times New Roman" w:eastAsia="楷体" w:hAnsi="Times New Roman" w:cs="Times New Roman" w:hint="eastAsia"/>
          <w:color w:val="000000" w:themeColor="text1"/>
        </w:rPr>
        <w:t>点；创业板指周内</w:t>
      </w:r>
      <w:r w:rsidR="00542421">
        <w:rPr>
          <w:rFonts w:ascii="Times New Roman" w:eastAsia="楷体" w:hAnsi="Times New Roman" w:cs="Times New Roman" w:hint="eastAsia"/>
          <w:color w:val="000000" w:themeColor="text1"/>
        </w:rPr>
        <w:t>上涨</w:t>
      </w:r>
      <w:r w:rsidR="00CC2C52">
        <w:rPr>
          <w:rFonts w:ascii="Times New Roman" w:eastAsia="楷体" w:hAnsi="Times New Roman" w:cs="Times New Roman" w:hint="eastAsia"/>
          <w:color w:val="000000" w:themeColor="text1"/>
        </w:rPr>
        <w:t>3.82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542421">
        <w:rPr>
          <w:rFonts w:ascii="Times New Roman" w:eastAsia="楷体" w:hAnsi="Times New Roman" w:cs="Times New Roman" w:hint="eastAsia"/>
          <w:color w:val="000000" w:themeColor="text1"/>
        </w:rPr>
        <w:t>3</w:t>
      </w:r>
      <w:r w:rsidR="00CC2C52">
        <w:rPr>
          <w:rFonts w:ascii="Times New Roman" w:eastAsia="楷体" w:hAnsi="Times New Roman" w:cs="Times New Roman" w:hint="eastAsia"/>
          <w:color w:val="000000" w:themeColor="text1"/>
        </w:rPr>
        <w:t>232.29</w:t>
      </w:r>
      <w:r w:rsidRPr="00D127E3">
        <w:rPr>
          <w:rFonts w:ascii="Times New Roman" w:eastAsia="楷体" w:hAnsi="Times New Roman" w:cs="Times New Roman" w:hint="eastAsia"/>
          <w:color w:val="000000" w:themeColor="text1"/>
        </w:rPr>
        <w:t>点。两市周内日均成交</w:t>
      </w:r>
      <w:r w:rsidR="00CC2C52">
        <w:rPr>
          <w:rFonts w:ascii="Times New Roman" w:eastAsia="楷体" w:hAnsi="Times New Roman" w:cs="Times New Roman" w:hint="eastAsia"/>
          <w:color w:val="000000" w:themeColor="text1"/>
        </w:rPr>
        <w:t>9542.30</w:t>
      </w:r>
      <w:r w:rsidRPr="00D127E3">
        <w:rPr>
          <w:rFonts w:ascii="Times New Roman" w:eastAsia="楷体" w:hAnsi="Times New Roman" w:cs="Times New Roman" w:hint="eastAsia"/>
          <w:color w:val="000000" w:themeColor="text1"/>
        </w:rPr>
        <w:t>亿元，较上周</w:t>
      </w:r>
      <w:r w:rsidR="00542421">
        <w:rPr>
          <w:rFonts w:ascii="Times New Roman" w:eastAsia="楷体" w:hAnsi="Times New Roman" w:cs="Times New Roman" w:hint="eastAsia"/>
          <w:color w:val="000000" w:themeColor="text1"/>
        </w:rPr>
        <w:t>减少</w:t>
      </w:r>
      <w:r w:rsidR="00CC2C52">
        <w:rPr>
          <w:rFonts w:ascii="Times New Roman" w:eastAsia="楷体" w:hAnsi="Times New Roman" w:cs="Times New Roman" w:hint="eastAsia"/>
          <w:color w:val="000000" w:themeColor="text1"/>
        </w:rPr>
        <w:t>1249.97</w:t>
      </w:r>
      <w:r w:rsidRPr="00D127E3">
        <w:rPr>
          <w:rFonts w:ascii="Times New Roman" w:eastAsia="楷体" w:hAnsi="Times New Roman" w:cs="Times New Roman" w:hint="eastAsia"/>
          <w:color w:val="000000" w:themeColor="text1"/>
        </w:rPr>
        <w:t>亿元。两市个股周内</w:t>
      </w:r>
      <w:r w:rsidR="00CC2C52">
        <w:rPr>
          <w:rFonts w:ascii="Times New Roman" w:eastAsia="楷体" w:hAnsi="Times New Roman" w:cs="Times New Roman" w:hint="eastAsia"/>
          <w:color w:val="000000" w:themeColor="text1"/>
        </w:rPr>
        <w:t>涨多跌少</w:t>
      </w:r>
      <w:r w:rsidRPr="00D127E3">
        <w:rPr>
          <w:rFonts w:ascii="Times New Roman" w:eastAsia="楷体" w:hAnsi="Times New Roman" w:cs="Times New Roman" w:hint="eastAsia"/>
          <w:color w:val="000000" w:themeColor="text1"/>
        </w:rPr>
        <w:t>，</w:t>
      </w:r>
      <w:r w:rsidR="00CC2C52">
        <w:rPr>
          <w:rFonts w:ascii="Times New Roman" w:eastAsia="楷体" w:hAnsi="Times New Roman" w:cs="Times New Roman" w:hint="eastAsia"/>
          <w:color w:val="000000" w:themeColor="text1"/>
        </w:rPr>
        <w:t>3020</w:t>
      </w:r>
      <w:r w:rsidRPr="00D127E3">
        <w:rPr>
          <w:rFonts w:ascii="Times New Roman" w:eastAsia="楷体" w:hAnsi="Times New Roman" w:cs="Times New Roman" w:hint="eastAsia"/>
          <w:color w:val="000000" w:themeColor="text1"/>
        </w:rPr>
        <w:t>家上涨，</w:t>
      </w:r>
      <w:r w:rsidR="00CC2C52">
        <w:rPr>
          <w:rFonts w:ascii="Times New Roman" w:eastAsia="楷体" w:hAnsi="Times New Roman" w:cs="Times New Roman" w:hint="eastAsia"/>
          <w:color w:val="000000" w:themeColor="text1"/>
        </w:rPr>
        <w:t>91</w:t>
      </w:r>
      <w:r w:rsidRPr="00D127E3">
        <w:rPr>
          <w:rFonts w:ascii="Times New Roman" w:eastAsia="楷体" w:hAnsi="Times New Roman" w:cs="Times New Roman" w:hint="eastAsia"/>
          <w:color w:val="000000" w:themeColor="text1"/>
        </w:rPr>
        <w:t>家平盘，</w:t>
      </w:r>
      <w:r w:rsidR="00CC2C52">
        <w:rPr>
          <w:rFonts w:ascii="Times New Roman" w:eastAsia="楷体" w:hAnsi="Times New Roman" w:cs="Times New Roman" w:hint="eastAsia"/>
          <w:color w:val="000000" w:themeColor="text1"/>
        </w:rPr>
        <w:t>1204</w:t>
      </w:r>
      <w:r w:rsidRPr="00D127E3">
        <w:rPr>
          <w:rFonts w:ascii="Times New Roman" w:eastAsia="楷体" w:hAnsi="Times New Roman" w:cs="Times New Roman" w:hint="eastAsia"/>
          <w:color w:val="000000" w:themeColor="text1"/>
        </w:rPr>
        <w:t>家下跌；全市场</w:t>
      </w:r>
      <w:r w:rsidR="000C5501">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周累计涨停</w:t>
      </w:r>
      <w:r w:rsidR="00FB38AB">
        <w:rPr>
          <w:rFonts w:ascii="Times New Roman" w:eastAsia="楷体" w:hAnsi="Times New Roman" w:cs="Times New Roman" w:hint="eastAsia"/>
          <w:color w:val="000000" w:themeColor="text1"/>
        </w:rPr>
        <w:t>3</w:t>
      </w:r>
      <w:r w:rsidR="007C5056">
        <w:rPr>
          <w:rFonts w:ascii="Times New Roman" w:eastAsia="楷体" w:hAnsi="Times New Roman" w:cs="Times New Roman" w:hint="eastAsia"/>
          <w:color w:val="000000" w:themeColor="text1"/>
        </w:rPr>
        <w:t>96</w:t>
      </w:r>
      <w:r w:rsidRPr="00D127E3">
        <w:rPr>
          <w:rFonts w:ascii="Times New Roman" w:eastAsia="楷体" w:hAnsi="Times New Roman" w:cs="Times New Roman" w:hint="eastAsia"/>
          <w:color w:val="000000" w:themeColor="text1"/>
        </w:rPr>
        <w:t>家，</w:t>
      </w:r>
      <w:r w:rsidR="000C5501">
        <w:rPr>
          <w:rFonts w:ascii="Times New Roman" w:eastAsia="楷体" w:hAnsi="Times New Roman" w:cs="Times New Roman" w:hint="eastAsia"/>
          <w:color w:val="000000" w:themeColor="text1"/>
        </w:rPr>
        <w:t>上</w:t>
      </w:r>
      <w:r w:rsidRPr="00D127E3">
        <w:rPr>
          <w:rFonts w:ascii="Times New Roman" w:eastAsia="楷体" w:hAnsi="Times New Roman" w:cs="Times New Roman" w:hint="eastAsia"/>
          <w:color w:val="000000" w:themeColor="text1"/>
        </w:rPr>
        <w:t>周累计跌停</w:t>
      </w:r>
      <w:r w:rsidR="007C5056">
        <w:rPr>
          <w:rFonts w:ascii="Times New Roman" w:eastAsia="楷体" w:hAnsi="Times New Roman" w:cs="Times New Roman" w:hint="eastAsia"/>
          <w:color w:val="000000" w:themeColor="text1"/>
        </w:rPr>
        <w:t>48</w:t>
      </w:r>
      <w:r w:rsidRPr="00D127E3">
        <w:rPr>
          <w:rFonts w:ascii="Times New Roman" w:eastAsia="楷体" w:hAnsi="Times New Roman" w:cs="Times New Roman" w:hint="eastAsia"/>
          <w:color w:val="000000" w:themeColor="text1"/>
        </w:rPr>
        <w:t>家。</w:t>
      </w:r>
    </w:p>
    <w:bookmarkEnd w:id="2"/>
    <w:p w14:paraId="001A09E6" w14:textId="4FB3693C"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r w:rsidR="007C5056">
        <w:rPr>
          <w:rFonts w:ascii="Times New Roman" w:eastAsia="楷体" w:hAnsi="Times New Roman" w:cs="Times New Roman" w:hint="eastAsia"/>
          <w:b/>
        </w:rPr>
        <w:t>上证</w:t>
      </w:r>
      <w:r w:rsidR="007C5056">
        <w:rPr>
          <w:rFonts w:ascii="Times New Roman" w:eastAsia="楷体" w:hAnsi="Times New Roman" w:cs="Times New Roman" w:hint="eastAsia"/>
          <w:b/>
        </w:rPr>
        <w:t>50</w:t>
      </w:r>
      <w:r w:rsidR="00820B9F">
        <w:rPr>
          <w:rFonts w:ascii="Times New Roman" w:eastAsia="楷体" w:hAnsi="Times New Roman" w:cs="Times New Roman" w:hint="eastAsia"/>
          <w:b/>
        </w:rPr>
        <w:t>指数</w:t>
      </w:r>
      <w:r w:rsidR="00D50855">
        <w:rPr>
          <w:rFonts w:ascii="Times New Roman" w:eastAsia="楷体" w:hAnsi="Times New Roman" w:cs="Times New Roman" w:hint="eastAsia"/>
          <w:b/>
        </w:rPr>
        <w:t>领</w:t>
      </w:r>
      <w:r w:rsidR="00D127E3">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4AD4D727" w:rsidR="007E1695" w:rsidRPr="00006470" w:rsidRDefault="007C5056">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267E7FC3" wp14:editId="324CE408">
            <wp:extent cx="6041390" cy="2761615"/>
            <wp:effectExtent l="0" t="0" r="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57EED117" w:rsidR="007E1695" w:rsidRPr="00006470" w:rsidRDefault="00B41C69" w:rsidP="00B10FA6">
      <w:pPr>
        <w:ind w:firstLineChars="200" w:firstLine="480"/>
        <w:rPr>
          <w:rFonts w:ascii="Times New Roman" w:eastAsia="楷体" w:hAnsi="Times New Roman" w:cs="Times New Roman"/>
          <w:color w:val="000000" w:themeColor="text1"/>
        </w:rPr>
      </w:pPr>
      <w:r w:rsidRPr="00B41C69">
        <w:rPr>
          <w:rFonts w:ascii="Times New Roman" w:eastAsia="楷体" w:hAnsi="Times New Roman" w:cs="Times New Roman" w:hint="eastAsia"/>
          <w:color w:val="000000" w:themeColor="text1"/>
        </w:rPr>
        <w:t>行业方面，</w:t>
      </w:r>
      <w:r w:rsidR="007C5056">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6.93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7C5056">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6.44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7C5056">
        <w:rPr>
          <w:rFonts w:ascii="Times New Roman" w:eastAsia="楷体" w:hAnsi="Times New Roman" w:cs="Times New Roman" w:hint="eastAsia"/>
          <w:color w:val="000000" w:themeColor="text1"/>
        </w:rPr>
        <w:t>食品</w:t>
      </w:r>
      <w:r w:rsidR="007C5056">
        <w:rPr>
          <w:rFonts w:ascii="Times New Roman" w:eastAsia="楷体" w:hAnsi="Times New Roman" w:cs="Times New Roman" w:hint="eastAsia"/>
          <w:color w:val="000000" w:themeColor="text1"/>
        </w:rPr>
        <w:lastRenderedPageBreak/>
        <w:t>饮料</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5.96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4A0AD3">
        <w:rPr>
          <w:rFonts w:ascii="Times New Roman" w:eastAsia="楷体" w:hAnsi="Times New Roman" w:cs="Times New Roman" w:hint="eastAsia"/>
          <w:color w:val="000000" w:themeColor="text1"/>
        </w:rPr>
        <w:t>钢铁</w:t>
      </w:r>
      <w:r w:rsidRPr="00B41C69">
        <w:rPr>
          <w:rFonts w:ascii="Times New Roman" w:eastAsia="楷体" w:hAnsi="Times New Roman" w:cs="Times New Roman" w:hint="eastAsia"/>
          <w:color w:val="000000" w:themeColor="text1"/>
        </w:rPr>
        <w:t>板块表现较好，钢铁（</w:t>
      </w:r>
      <w:r w:rsidRPr="00B41C6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24.77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休闲服务</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FB38AB">
        <w:rPr>
          <w:rFonts w:ascii="Times New Roman" w:eastAsia="楷体" w:hAnsi="Times New Roman" w:cs="Times New Roman" w:hint="eastAsia"/>
          <w:color w:val="000000" w:themeColor="text1"/>
        </w:rPr>
        <w:t>1</w:t>
      </w:r>
      <w:r w:rsidR="007C5056">
        <w:rPr>
          <w:rFonts w:ascii="Times New Roman" w:eastAsia="楷体" w:hAnsi="Times New Roman" w:cs="Times New Roman" w:hint="eastAsia"/>
          <w:color w:val="000000" w:themeColor="text1"/>
        </w:rPr>
        <w:t>8.02</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1</w:t>
      </w:r>
      <w:r w:rsidR="007C5056">
        <w:rPr>
          <w:rFonts w:ascii="Times New Roman" w:eastAsia="楷体" w:hAnsi="Times New Roman" w:cs="Times New Roman" w:hint="eastAsia"/>
          <w:color w:val="000000" w:themeColor="text1"/>
        </w:rPr>
        <w:t>4.96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7C5056">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9.26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通信</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7C5056">
        <w:rPr>
          <w:rFonts w:ascii="Times New Roman" w:eastAsia="楷体" w:hAnsi="Times New Roman" w:cs="Times New Roman" w:hint="eastAsia"/>
          <w:color w:val="000000" w:themeColor="text1"/>
        </w:rPr>
        <w:t>9.55</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）、国防军工（</w:t>
      </w:r>
      <w:r w:rsidRPr="00B41C69">
        <w:rPr>
          <w:rFonts w:ascii="Times New Roman" w:eastAsia="楷体" w:hAnsi="Times New Roman" w:cs="Times New Roman" w:hint="eastAsia"/>
          <w:color w:val="000000" w:themeColor="text1"/>
        </w:rPr>
        <w:t>-</w:t>
      </w:r>
      <w:r w:rsidR="00542421">
        <w:rPr>
          <w:rFonts w:ascii="Times New Roman" w:eastAsia="楷体" w:hAnsi="Times New Roman" w:cs="Times New Roman" w:hint="eastAsia"/>
          <w:color w:val="000000" w:themeColor="text1"/>
        </w:rPr>
        <w:t>1</w:t>
      </w:r>
      <w:r w:rsidR="007C5056">
        <w:rPr>
          <w:rFonts w:ascii="Times New Roman" w:eastAsia="楷体" w:hAnsi="Times New Roman" w:cs="Times New Roman" w:hint="eastAsia"/>
          <w:color w:val="000000" w:themeColor="text1"/>
        </w:rPr>
        <w:t>4.60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p w14:paraId="4262D198" w14:textId="1B0C3D7E"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图：申万</w:t>
      </w:r>
      <w:proofErr w:type="gramStart"/>
      <w:r w:rsidRPr="00006470">
        <w:rPr>
          <w:rFonts w:ascii="Times New Roman" w:eastAsia="楷体" w:hAnsi="Times New Roman" w:cs="Times New Roman"/>
          <w:b/>
        </w:rPr>
        <w:t>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7C5056">
        <w:rPr>
          <w:rFonts w:ascii="Times New Roman" w:eastAsia="楷体" w:hAnsi="Times New Roman" w:cs="Times New Roman" w:hint="eastAsia"/>
          <w:b/>
        </w:rPr>
        <w:t>休闲服务</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69B20A76" w:rsidR="00C13CA5" w:rsidRPr="00006470" w:rsidRDefault="007C5056"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0D8C78E7" wp14:editId="740E71BA">
            <wp:extent cx="6434685" cy="1538458"/>
            <wp:effectExtent l="0" t="0" r="4445"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71704" cy="1547309"/>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25292F73"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4A0AD3">
        <w:rPr>
          <w:rFonts w:ascii="Times New Roman" w:eastAsia="楷体" w:hAnsi="Times New Roman" w:cs="Times New Roman" w:hint="eastAsia"/>
          <w:color w:val="000000" w:themeColor="text1"/>
        </w:rPr>
        <w:t>流入</w:t>
      </w:r>
      <w:r w:rsidR="00F00E1F">
        <w:rPr>
          <w:rFonts w:ascii="Times New Roman" w:eastAsia="楷体" w:hAnsi="Times New Roman" w:cs="Times New Roman" w:hint="eastAsia"/>
          <w:color w:val="000000" w:themeColor="text1"/>
        </w:rPr>
        <w:t>468.14</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F00E1F">
        <w:rPr>
          <w:rFonts w:ascii="Times New Roman" w:eastAsia="楷体" w:hAnsi="Times New Roman" w:cs="Times New Roman" w:hint="eastAsia"/>
          <w:color w:val="000000" w:themeColor="text1"/>
        </w:rPr>
        <w:t>325.80</w:t>
      </w:r>
      <w:r w:rsidRPr="00B41C69">
        <w:rPr>
          <w:rFonts w:ascii="Times New Roman" w:eastAsia="楷体" w:hAnsi="Times New Roman" w:cs="Times New Roman" w:hint="eastAsia"/>
          <w:color w:val="000000" w:themeColor="text1"/>
        </w:rPr>
        <w:t>亿份较前一周</w:t>
      </w:r>
      <w:r w:rsidR="004A0AD3">
        <w:rPr>
          <w:rFonts w:ascii="Times New Roman" w:eastAsia="楷体" w:hAnsi="Times New Roman" w:cs="Times New Roman" w:hint="eastAsia"/>
          <w:color w:val="000000" w:themeColor="text1"/>
        </w:rPr>
        <w:t>大</w:t>
      </w:r>
      <w:r w:rsidR="00205DBE">
        <w:rPr>
          <w:rFonts w:ascii="Times New Roman" w:eastAsia="楷体" w:hAnsi="Times New Roman" w:cs="Times New Roman" w:hint="eastAsia"/>
          <w:color w:val="000000" w:themeColor="text1"/>
        </w:rPr>
        <w:t>幅</w:t>
      </w:r>
      <w:r w:rsidR="00F00E1F">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AC7652">
        <w:rPr>
          <w:rFonts w:ascii="Times New Roman" w:eastAsia="楷体" w:hAnsi="Times New Roman" w:cs="Times New Roman" w:hint="eastAsia"/>
          <w:color w:val="000000" w:themeColor="text1"/>
        </w:rPr>
        <w:t>5</w:t>
      </w:r>
      <w:r w:rsidRPr="00B41C69">
        <w:rPr>
          <w:rFonts w:ascii="Times New Roman" w:eastAsia="楷体" w:hAnsi="Times New Roman" w:cs="Times New Roman" w:hint="eastAsia"/>
          <w:color w:val="000000" w:themeColor="text1"/>
        </w:rPr>
        <w:t>月最新募资合计</w:t>
      </w:r>
      <w:r w:rsidR="00F00E1F">
        <w:rPr>
          <w:rFonts w:ascii="Times New Roman" w:eastAsia="楷体" w:hAnsi="Times New Roman" w:cs="Times New Roman" w:hint="eastAsia"/>
          <w:color w:val="000000" w:themeColor="text1"/>
        </w:rPr>
        <w:t>962.76</w:t>
      </w:r>
      <w:r w:rsidRPr="00B41C69">
        <w:rPr>
          <w:rFonts w:ascii="Times New Roman" w:eastAsia="楷体" w:hAnsi="Times New Roman" w:cs="Times New Roman" w:hint="eastAsia"/>
          <w:color w:val="000000" w:themeColor="text1"/>
        </w:rPr>
        <w:t>亿元；本周限售解禁市值约</w:t>
      </w:r>
      <w:r w:rsidR="00F00E1F">
        <w:rPr>
          <w:rFonts w:ascii="Times New Roman" w:eastAsia="楷体" w:hAnsi="Times New Roman" w:cs="Times New Roman" w:hint="eastAsia"/>
          <w:color w:val="000000" w:themeColor="text1"/>
        </w:rPr>
        <w:t>490.65</w:t>
      </w:r>
      <w:r w:rsidRPr="00B41C69">
        <w:rPr>
          <w:rFonts w:ascii="Times New Roman" w:eastAsia="楷体" w:hAnsi="Times New Roman" w:cs="Times New Roman" w:hint="eastAsia"/>
          <w:color w:val="000000" w:themeColor="text1"/>
        </w:rPr>
        <w:t>亿元，与上周相比</w:t>
      </w:r>
      <w:r w:rsidR="00376AC8">
        <w:rPr>
          <w:rFonts w:ascii="Times New Roman" w:eastAsia="楷体" w:hAnsi="Times New Roman" w:cs="Times New Roman" w:hint="eastAsia"/>
          <w:color w:val="000000" w:themeColor="text1"/>
        </w:rPr>
        <w:t>大</w:t>
      </w:r>
      <w:r w:rsidR="001234B0">
        <w:rPr>
          <w:rFonts w:ascii="Times New Roman" w:eastAsia="楷体" w:hAnsi="Times New Roman" w:cs="Times New Roman" w:hint="eastAsia"/>
          <w:color w:val="000000" w:themeColor="text1"/>
        </w:rPr>
        <w:t>幅</w:t>
      </w:r>
      <w:r w:rsidR="00F00E1F">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3F58A49F" w:rsidR="0052683C" w:rsidRPr="00006470" w:rsidRDefault="007301B0"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Pr="007301B0">
        <w:rPr>
          <w:rFonts w:ascii="Times New Roman" w:eastAsia="楷体" w:hAnsi="Times New Roman" w:cs="Times New Roman" w:hint="eastAsia"/>
          <w:color w:val="000000"/>
          <w:shd w:val="clear" w:color="auto" w:fill="FFFFFF"/>
        </w:rPr>
        <w:t>周市场继续上涨，上证指数站上</w:t>
      </w:r>
      <w:r w:rsidRPr="007301B0">
        <w:rPr>
          <w:rFonts w:ascii="Times New Roman" w:eastAsia="楷体" w:hAnsi="Times New Roman" w:cs="Times New Roman" w:hint="eastAsia"/>
          <w:color w:val="000000"/>
          <w:shd w:val="clear" w:color="auto" w:fill="FFFFFF"/>
        </w:rPr>
        <w:t>3600</w:t>
      </w:r>
      <w:r>
        <w:rPr>
          <w:rFonts w:ascii="Times New Roman" w:eastAsia="楷体" w:hAnsi="Times New Roman" w:cs="Times New Roman" w:hint="eastAsia"/>
          <w:color w:val="000000"/>
          <w:shd w:val="clear" w:color="auto" w:fill="FFFFFF"/>
        </w:rPr>
        <w:t>点。上</w:t>
      </w:r>
      <w:r w:rsidRPr="007301B0">
        <w:rPr>
          <w:rFonts w:ascii="Times New Roman" w:eastAsia="楷体" w:hAnsi="Times New Roman" w:cs="Times New Roman" w:hint="eastAsia"/>
          <w:color w:val="000000"/>
          <w:shd w:val="clear" w:color="auto" w:fill="FFFFFF"/>
        </w:rPr>
        <w:t>周核心变量为人民币升值带来的海外增量资金的流入，其中北上资金在</w:t>
      </w:r>
      <w:r w:rsidR="000C5501">
        <w:rPr>
          <w:rFonts w:ascii="Times New Roman" w:eastAsia="楷体" w:hAnsi="Times New Roman" w:cs="Times New Roman" w:hint="eastAsia"/>
          <w:color w:val="000000"/>
          <w:shd w:val="clear" w:color="auto" w:fill="FFFFFF"/>
        </w:rPr>
        <w:t>5</w:t>
      </w:r>
      <w:r w:rsidR="000C5501">
        <w:rPr>
          <w:rFonts w:ascii="Times New Roman" w:eastAsia="楷体" w:hAnsi="Times New Roman" w:cs="Times New Roman" w:hint="eastAsia"/>
          <w:color w:val="000000"/>
          <w:shd w:val="clear" w:color="auto" w:fill="FFFFFF"/>
        </w:rPr>
        <w:t>月</w:t>
      </w:r>
      <w:r w:rsidR="000C5501">
        <w:rPr>
          <w:rFonts w:ascii="Times New Roman" w:eastAsia="楷体" w:hAnsi="Times New Roman" w:cs="Times New Roman" w:hint="eastAsia"/>
          <w:color w:val="000000"/>
          <w:shd w:val="clear" w:color="auto" w:fill="FFFFFF"/>
        </w:rPr>
        <w:t>25</w:t>
      </w:r>
      <w:r w:rsidR="000C5501">
        <w:rPr>
          <w:rFonts w:ascii="Times New Roman" w:eastAsia="楷体" w:hAnsi="Times New Roman" w:cs="Times New Roman" w:hint="eastAsia"/>
          <w:color w:val="000000"/>
          <w:shd w:val="clear" w:color="auto" w:fill="FFFFFF"/>
        </w:rPr>
        <w:t>日</w:t>
      </w:r>
      <w:r w:rsidRPr="007301B0">
        <w:rPr>
          <w:rFonts w:ascii="Times New Roman" w:eastAsia="楷体" w:hAnsi="Times New Roman" w:cs="Times New Roman" w:hint="eastAsia"/>
          <w:color w:val="000000"/>
          <w:shd w:val="clear" w:color="auto" w:fill="FFFFFF"/>
        </w:rPr>
        <w:t>净流入创出新高。海外货币持续宽松以及国内经济基本面相对强劲是人民币升值的核心原因，其中</w:t>
      </w:r>
      <w:r w:rsidRPr="007301B0">
        <w:rPr>
          <w:rFonts w:ascii="Times New Roman" w:eastAsia="楷体" w:hAnsi="Times New Roman" w:cs="Times New Roman" w:hint="eastAsia"/>
          <w:color w:val="000000"/>
          <w:shd w:val="clear" w:color="auto" w:fill="FFFFFF"/>
        </w:rPr>
        <w:t>5</w:t>
      </w:r>
      <w:r w:rsidRPr="007301B0">
        <w:rPr>
          <w:rFonts w:ascii="Times New Roman" w:eastAsia="楷体" w:hAnsi="Times New Roman" w:cs="Times New Roman" w:hint="eastAsia"/>
          <w:color w:val="000000"/>
          <w:shd w:val="clear" w:color="auto" w:fill="FFFFFF"/>
        </w:rPr>
        <w:t>月</w:t>
      </w:r>
      <w:r w:rsidRPr="007301B0">
        <w:rPr>
          <w:rFonts w:ascii="Times New Roman" w:eastAsia="楷体" w:hAnsi="Times New Roman" w:cs="Times New Roman" w:hint="eastAsia"/>
          <w:color w:val="000000"/>
          <w:shd w:val="clear" w:color="auto" w:fill="FFFFFF"/>
        </w:rPr>
        <w:t>27</w:t>
      </w:r>
      <w:r w:rsidRPr="007301B0">
        <w:rPr>
          <w:rFonts w:ascii="Times New Roman" w:eastAsia="楷体" w:hAnsi="Times New Roman" w:cs="Times New Roman" w:hint="eastAsia"/>
          <w:color w:val="000000"/>
          <w:shd w:val="clear" w:color="auto" w:fill="FFFFFF"/>
        </w:rPr>
        <w:t>日美联储通过隔夜“逆回购”超预期投放</w:t>
      </w:r>
      <w:r w:rsidRPr="007301B0">
        <w:rPr>
          <w:rFonts w:ascii="Times New Roman" w:eastAsia="楷体" w:hAnsi="Times New Roman" w:cs="Times New Roman" w:hint="eastAsia"/>
          <w:color w:val="000000"/>
          <w:shd w:val="clear" w:color="auto" w:fill="FFFFFF"/>
        </w:rPr>
        <w:t>4850</w:t>
      </w:r>
      <w:r w:rsidRPr="007301B0">
        <w:rPr>
          <w:rFonts w:ascii="Times New Roman" w:eastAsia="楷体" w:hAnsi="Times New Roman" w:cs="Times New Roman" w:hint="eastAsia"/>
          <w:color w:val="000000"/>
          <w:shd w:val="clear" w:color="auto" w:fill="FFFFFF"/>
        </w:rPr>
        <w:t>亿美元</w:t>
      </w:r>
      <w:r w:rsidR="000C5501">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流动性突破</w:t>
      </w:r>
      <w:r w:rsidRPr="007301B0">
        <w:rPr>
          <w:rFonts w:ascii="Times New Roman" w:eastAsia="楷体" w:hAnsi="Times New Roman" w:cs="Times New Roman" w:hint="eastAsia"/>
          <w:color w:val="000000"/>
          <w:shd w:val="clear" w:color="auto" w:fill="FFFFFF"/>
        </w:rPr>
        <w:t>2015</w:t>
      </w:r>
      <w:r w:rsidR="000C5501">
        <w:rPr>
          <w:rFonts w:ascii="Times New Roman" w:eastAsia="楷体" w:hAnsi="Times New Roman" w:cs="Times New Roman" w:hint="eastAsia"/>
          <w:color w:val="000000"/>
          <w:shd w:val="clear" w:color="auto" w:fill="FFFFFF"/>
        </w:rPr>
        <w:t>年底历史记录。短期在美国</w:t>
      </w:r>
      <w:r w:rsidRPr="007301B0">
        <w:rPr>
          <w:rFonts w:ascii="Times New Roman" w:eastAsia="楷体" w:hAnsi="Times New Roman" w:cs="Times New Roman" w:hint="eastAsia"/>
          <w:color w:val="000000"/>
          <w:shd w:val="clear" w:color="auto" w:fill="FFFFFF"/>
        </w:rPr>
        <w:t>经济修复快于市场预期或流动性阶段放缓前</w:t>
      </w:r>
      <w:r w:rsidR="000C5501">
        <w:rPr>
          <w:rFonts w:ascii="Times New Roman" w:eastAsia="楷体" w:hAnsi="Times New Roman" w:cs="Times New Roman" w:hint="eastAsia"/>
          <w:color w:val="000000"/>
          <w:shd w:val="clear" w:color="auto" w:fill="FFFFFF"/>
        </w:rPr>
        <w:t>，</w:t>
      </w:r>
      <w:r>
        <w:rPr>
          <w:rFonts w:ascii="Times New Roman" w:eastAsia="楷体" w:hAnsi="Times New Roman" w:cs="Times New Roman" w:hint="eastAsia"/>
          <w:color w:val="000000"/>
          <w:shd w:val="clear" w:color="auto" w:fill="FFFFFF"/>
        </w:rPr>
        <w:t>预计</w:t>
      </w:r>
      <w:r w:rsidRPr="007301B0">
        <w:rPr>
          <w:rFonts w:ascii="Times New Roman" w:eastAsia="楷体" w:hAnsi="Times New Roman" w:cs="Times New Roman" w:hint="eastAsia"/>
          <w:color w:val="000000"/>
          <w:shd w:val="clear" w:color="auto" w:fill="FFFFFF"/>
        </w:rPr>
        <w:t>人民币仍将维持相对强势地位。国内而言</w:t>
      </w:r>
      <w:r w:rsidR="000C5501">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短期由于经济复苏动能的边际减弱以及大宗商品价格的下跌</w:t>
      </w:r>
      <w:r w:rsidR="000C5501">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流动性持续收紧预期有所改善</w:t>
      </w:r>
      <w:r w:rsidR="00734C66">
        <w:rPr>
          <w:rFonts w:ascii="Times New Roman" w:eastAsia="楷体" w:hAnsi="Times New Roman" w:cs="Times New Roman" w:hint="eastAsia"/>
          <w:color w:val="000000"/>
          <w:shd w:val="clear" w:color="auto" w:fill="FFFFFF"/>
        </w:rPr>
        <w:t>。后续可</w:t>
      </w:r>
      <w:r w:rsidRPr="007301B0">
        <w:rPr>
          <w:rFonts w:ascii="Times New Roman" w:eastAsia="楷体" w:hAnsi="Times New Roman" w:cs="Times New Roman" w:hint="eastAsia"/>
          <w:color w:val="000000"/>
          <w:shd w:val="clear" w:color="auto" w:fill="FFFFFF"/>
        </w:rPr>
        <w:t>观察</w:t>
      </w:r>
      <w:r w:rsidRPr="007301B0">
        <w:rPr>
          <w:rFonts w:ascii="Times New Roman" w:eastAsia="楷体" w:hAnsi="Times New Roman" w:cs="Times New Roman" w:hint="eastAsia"/>
          <w:color w:val="000000"/>
          <w:shd w:val="clear" w:color="auto" w:fill="FFFFFF"/>
        </w:rPr>
        <w:t>5</w:t>
      </w:r>
      <w:r w:rsidRPr="007301B0">
        <w:rPr>
          <w:rFonts w:ascii="Times New Roman" w:eastAsia="楷体" w:hAnsi="Times New Roman" w:cs="Times New Roman" w:hint="eastAsia"/>
          <w:color w:val="000000"/>
          <w:shd w:val="clear" w:color="auto" w:fill="FFFFFF"/>
        </w:rPr>
        <w:t>月</w:t>
      </w:r>
      <w:r w:rsidRPr="007301B0">
        <w:rPr>
          <w:rFonts w:ascii="Times New Roman" w:eastAsia="楷体" w:hAnsi="Times New Roman" w:cs="Times New Roman" w:hint="eastAsia"/>
          <w:color w:val="000000"/>
          <w:shd w:val="clear" w:color="auto" w:fill="FFFFFF"/>
        </w:rPr>
        <w:t>PMI</w:t>
      </w:r>
      <w:r w:rsidRPr="007301B0">
        <w:rPr>
          <w:rFonts w:ascii="Times New Roman" w:eastAsia="楷体" w:hAnsi="Times New Roman" w:cs="Times New Roman" w:hint="eastAsia"/>
          <w:color w:val="000000"/>
          <w:shd w:val="clear" w:color="auto" w:fill="FFFFFF"/>
        </w:rPr>
        <w:t>数据</w:t>
      </w:r>
      <w:r w:rsidR="00734C66">
        <w:rPr>
          <w:rFonts w:ascii="Times New Roman" w:eastAsia="楷体" w:hAnsi="Times New Roman" w:cs="Times New Roman" w:hint="eastAsia"/>
          <w:color w:val="000000"/>
          <w:shd w:val="clear" w:color="auto" w:fill="FFFFFF"/>
        </w:rPr>
        <w:t>，</w:t>
      </w:r>
      <w:proofErr w:type="gramStart"/>
      <w:r w:rsidRPr="007301B0">
        <w:rPr>
          <w:rFonts w:ascii="Times New Roman" w:eastAsia="楷体" w:hAnsi="Times New Roman" w:cs="Times New Roman" w:hint="eastAsia"/>
          <w:color w:val="000000"/>
          <w:shd w:val="clear" w:color="auto" w:fill="FFFFFF"/>
        </w:rPr>
        <w:t>若数据</w:t>
      </w:r>
      <w:proofErr w:type="gramEnd"/>
      <w:r w:rsidRPr="007301B0">
        <w:rPr>
          <w:rFonts w:ascii="Times New Roman" w:eastAsia="楷体" w:hAnsi="Times New Roman" w:cs="Times New Roman" w:hint="eastAsia"/>
          <w:color w:val="000000"/>
          <w:shd w:val="clear" w:color="auto" w:fill="FFFFFF"/>
        </w:rPr>
        <w:t>持续回落则流动性收紧预期将继续缓解。短期而言</w:t>
      </w:r>
      <w:r w:rsidR="00734C66">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由于流动性层面的超预期</w:t>
      </w:r>
      <w:r w:rsidR="00734C66">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我们认为市场此前对流动性的悲观情绪有望阶段释放</w:t>
      </w:r>
      <w:r w:rsidR="00734C66">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从中期趋势来看</w:t>
      </w:r>
      <w:r w:rsidR="00734C66">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流动性边际收紧上市公司业绩边际上升的宏观背景不变</w:t>
      </w:r>
      <w:r w:rsidR="00734C66">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短期需注意投资节奏（</w:t>
      </w:r>
      <w:proofErr w:type="gramStart"/>
      <w:r w:rsidRPr="007301B0">
        <w:rPr>
          <w:rFonts w:ascii="Times New Roman" w:eastAsia="楷体" w:hAnsi="Times New Roman" w:cs="Times New Roman" w:hint="eastAsia"/>
          <w:color w:val="000000"/>
          <w:shd w:val="clear" w:color="auto" w:fill="FFFFFF"/>
        </w:rPr>
        <w:t>较多板块</w:t>
      </w:r>
      <w:proofErr w:type="gramEnd"/>
      <w:r w:rsidRPr="007301B0">
        <w:rPr>
          <w:rFonts w:ascii="Times New Roman" w:eastAsia="楷体" w:hAnsi="Times New Roman" w:cs="Times New Roman" w:hint="eastAsia"/>
          <w:color w:val="000000"/>
          <w:shd w:val="clear" w:color="auto" w:fill="FFFFFF"/>
        </w:rPr>
        <w:t>处于阶段高点位置）</w:t>
      </w:r>
      <w:r w:rsidR="00734C66">
        <w:rPr>
          <w:rFonts w:ascii="Times New Roman" w:eastAsia="楷体" w:hAnsi="Times New Roman" w:cs="Times New Roman" w:hint="eastAsia"/>
          <w:color w:val="000000"/>
          <w:shd w:val="clear" w:color="auto" w:fill="FFFFFF"/>
        </w:rPr>
        <w:t>，</w:t>
      </w:r>
      <w:r w:rsidRPr="007301B0">
        <w:rPr>
          <w:rFonts w:ascii="Times New Roman" w:eastAsia="楷体" w:hAnsi="Times New Roman" w:cs="Times New Roman" w:hint="eastAsia"/>
          <w:color w:val="000000"/>
          <w:shd w:val="clear" w:color="auto" w:fill="FFFFFF"/>
        </w:rPr>
        <w:t>短期看好受益流动性阶段宽松的成长板</w:t>
      </w:r>
      <w:r>
        <w:rPr>
          <w:rFonts w:ascii="Times New Roman" w:eastAsia="楷体" w:hAnsi="Times New Roman" w:cs="Times New Roman" w:hint="eastAsia"/>
          <w:color w:val="000000"/>
          <w:shd w:val="clear" w:color="auto" w:fill="FFFFFF"/>
        </w:rPr>
        <w:t>块：高景气周期的电新、电子，中游制造如家电、机械，低估值银行等</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lastRenderedPageBreak/>
        <w:t>3.2.</w:t>
      </w:r>
      <w:r w:rsidRPr="00006470">
        <w:rPr>
          <w:rFonts w:ascii="Times New Roman" w:eastAsia="楷体" w:hAnsi="Times New Roman" w:cs="Times New Roman"/>
          <w:sz w:val="24"/>
        </w:rPr>
        <w:t>行业建议</w:t>
      </w:r>
    </w:p>
    <w:p w14:paraId="00255767" w14:textId="68C01B3C"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7301B0">
        <w:rPr>
          <w:rFonts w:ascii="Times New Roman" w:eastAsia="楷体" w:hAnsi="Times New Roman" w:cs="Times New Roman" w:hint="eastAsia"/>
          <w:color w:val="000000" w:themeColor="text1"/>
        </w:rPr>
        <w:t>电新、</w:t>
      </w:r>
      <w:r w:rsidR="007301B0">
        <w:rPr>
          <w:rFonts w:ascii="Times New Roman" w:eastAsia="楷体" w:hAnsi="Times New Roman" w:cs="Times New Roman"/>
          <w:color w:val="000000" w:themeColor="text1"/>
        </w:rPr>
        <w:t>电子</w:t>
      </w:r>
      <w:r w:rsidRPr="00006470">
        <w:rPr>
          <w:rFonts w:ascii="Times New Roman" w:eastAsia="楷体" w:hAnsi="Times New Roman" w:cs="Times New Roman"/>
          <w:color w:val="000000" w:themeColor="text1"/>
        </w:rPr>
        <w:t>；</w:t>
      </w:r>
    </w:p>
    <w:p w14:paraId="1F660E1A" w14:textId="3DAFF560"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007301B0">
        <w:rPr>
          <w:rFonts w:ascii="Times New Roman" w:eastAsia="楷体" w:hAnsi="Times New Roman" w:cs="Times New Roman"/>
          <w:color w:val="000000" w:themeColor="text1"/>
        </w:rPr>
        <w:t>、</w:t>
      </w:r>
      <w:r w:rsidR="007301B0">
        <w:rPr>
          <w:rFonts w:ascii="Times New Roman" w:eastAsia="楷体" w:hAnsi="Times New Roman" w:cs="Times New Roman" w:hint="eastAsia"/>
          <w:color w:val="000000" w:themeColor="text1"/>
        </w:rPr>
        <w:t>家电、机械、低估值银行</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4DFA4199"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F00E1F">
        <w:rPr>
          <w:rFonts w:ascii="Times New Roman" w:eastAsia="楷体" w:hAnsi="Times New Roman" w:cs="Times New Roman" w:hint="eastAsia"/>
          <w:b/>
        </w:rPr>
        <w:t>LME</w:t>
      </w:r>
      <w:proofErr w:type="gramStart"/>
      <w:r w:rsidR="00F00E1F">
        <w:rPr>
          <w:rFonts w:ascii="Times New Roman" w:eastAsia="楷体" w:hAnsi="Times New Roman" w:cs="Times New Roman" w:hint="eastAsia"/>
          <w:b/>
        </w:rPr>
        <w:t>铝</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766688">
        <w:rPr>
          <w:rFonts w:ascii="Times New Roman" w:eastAsia="楷体" w:hAnsi="Times New Roman" w:cs="Times New Roman" w:hint="eastAsia"/>
          <w:b/>
        </w:rPr>
        <w:t>，</w:t>
      </w:r>
      <w:r w:rsidR="00F00E1F">
        <w:rPr>
          <w:rFonts w:ascii="Times New Roman" w:eastAsia="楷体" w:hAnsi="Times New Roman" w:cs="Times New Roman" w:hint="eastAsia"/>
          <w:b/>
        </w:rPr>
        <w:t>螺纹指数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F00E1F"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3F97EE9"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LME铝</w:t>
            </w:r>
          </w:p>
        </w:tc>
        <w:tc>
          <w:tcPr>
            <w:tcW w:w="1875" w:type="dxa"/>
            <w:tcBorders>
              <w:top w:val="single" w:sz="8" w:space="0" w:color="F79646" w:themeColor="accent6"/>
              <w:bottom w:val="single" w:sz="8" w:space="0" w:color="F79646" w:themeColor="accent6"/>
            </w:tcBorders>
            <w:noWrap/>
          </w:tcPr>
          <w:p w14:paraId="26436517" w14:textId="7FD2C9E5"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5.74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3F6FEB00"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26.60</w:t>
            </w:r>
          </w:p>
        </w:tc>
      </w:tr>
      <w:tr w:rsidR="00F00E1F"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3F4E9E6"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NYMEX原油</w:t>
            </w:r>
          </w:p>
        </w:tc>
        <w:tc>
          <w:tcPr>
            <w:tcW w:w="1875" w:type="dxa"/>
            <w:noWrap/>
          </w:tcPr>
          <w:p w14:paraId="6CBF5955" w14:textId="39D7EAD9"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4.80</w:t>
            </w:r>
          </w:p>
        </w:tc>
        <w:tc>
          <w:tcPr>
            <w:tcW w:w="2293" w:type="dxa"/>
            <w:noWrap/>
          </w:tcPr>
          <w:p w14:paraId="03D306C5" w14:textId="2D432B03"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37.32</w:t>
            </w:r>
          </w:p>
        </w:tc>
      </w:tr>
      <w:tr w:rsidR="00F00E1F"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1C7A33B5"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0B8AF65" w14:textId="01B7C3C6"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3.98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0D9F3976"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32.30</w:t>
            </w:r>
          </w:p>
        </w:tc>
      </w:tr>
      <w:tr w:rsidR="00F00E1F"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45EB192B"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万得全A</w:t>
            </w:r>
          </w:p>
        </w:tc>
        <w:tc>
          <w:tcPr>
            <w:tcW w:w="1875" w:type="dxa"/>
            <w:noWrap/>
          </w:tcPr>
          <w:p w14:paraId="6E1624BD" w14:textId="6E81992F"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3.30</w:t>
            </w:r>
          </w:p>
        </w:tc>
        <w:tc>
          <w:tcPr>
            <w:tcW w:w="2293" w:type="dxa"/>
            <w:noWrap/>
          </w:tcPr>
          <w:p w14:paraId="628C5028" w14:textId="72FB8D84"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3.06</w:t>
            </w:r>
          </w:p>
        </w:tc>
      </w:tr>
      <w:tr w:rsidR="00F00E1F"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04DBCDC"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301BF87B" w14:textId="25ECE11C"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2.94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1919EE72"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6.21</w:t>
            </w:r>
          </w:p>
        </w:tc>
      </w:tr>
      <w:tr w:rsidR="00F00E1F"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F1215EA"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恒生指数</w:t>
            </w:r>
          </w:p>
        </w:tc>
        <w:tc>
          <w:tcPr>
            <w:tcW w:w="1875" w:type="dxa"/>
            <w:noWrap/>
          </w:tcPr>
          <w:p w14:paraId="3F2524D6" w14:textId="68430DAC"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2.34</w:t>
            </w:r>
          </w:p>
        </w:tc>
        <w:tc>
          <w:tcPr>
            <w:tcW w:w="2293" w:type="dxa"/>
            <w:noWrap/>
          </w:tcPr>
          <w:p w14:paraId="0F02F0AC" w14:textId="3ACAE729"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6.95</w:t>
            </w:r>
          </w:p>
        </w:tc>
      </w:tr>
      <w:tr w:rsidR="00F00E1F"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46AEF956"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0C654950" w14:textId="3C8E0032"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2.06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6AFCE359"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6.68</w:t>
            </w:r>
          </w:p>
        </w:tc>
      </w:tr>
      <w:tr w:rsidR="00F00E1F"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50DD1EB"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COMEX黄金</w:t>
            </w:r>
          </w:p>
        </w:tc>
        <w:tc>
          <w:tcPr>
            <w:tcW w:w="1875" w:type="dxa"/>
            <w:noWrap/>
          </w:tcPr>
          <w:p w14:paraId="5DA062AB" w14:textId="08FAA680"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1.44</w:t>
            </w:r>
          </w:p>
        </w:tc>
        <w:tc>
          <w:tcPr>
            <w:tcW w:w="2293" w:type="dxa"/>
            <w:noWrap/>
          </w:tcPr>
          <w:p w14:paraId="6CF61D40" w14:textId="6C33262D"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0.56</w:t>
            </w:r>
          </w:p>
        </w:tc>
      </w:tr>
      <w:tr w:rsidR="00F00E1F"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22B5B072"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道琼斯工业指数</w:t>
            </w:r>
          </w:p>
        </w:tc>
        <w:tc>
          <w:tcPr>
            <w:tcW w:w="1875" w:type="dxa"/>
            <w:tcBorders>
              <w:top w:val="single" w:sz="8" w:space="0" w:color="F79646" w:themeColor="accent6"/>
              <w:bottom w:val="single" w:sz="8" w:space="0" w:color="F79646" w:themeColor="accent6"/>
            </w:tcBorders>
            <w:noWrap/>
          </w:tcPr>
          <w:p w14:paraId="4B52684A" w14:textId="1686BAA3"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0.94</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2F5EA9BE"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12.82</w:t>
            </w:r>
          </w:p>
        </w:tc>
      </w:tr>
      <w:tr w:rsidR="00F00E1F"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6A63A09B"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英国富时100</w:t>
            </w:r>
          </w:p>
        </w:tc>
        <w:tc>
          <w:tcPr>
            <w:tcW w:w="1875" w:type="dxa"/>
            <w:noWrap/>
          </w:tcPr>
          <w:p w14:paraId="07AD02DE" w14:textId="4910D55F"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0.06</w:t>
            </w:r>
          </w:p>
        </w:tc>
        <w:tc>
          <w:tcPr>
            <w:tcW w:w="2293" w:type="dxa"/>
            <w:noWrap/>
          </w:tcPr>
          <w:p w14:paraId="1353B161" w14:textId="38998ADC"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8.70</w:t>
            </w:r>
          </w:p>
        </w:tc>
      </w:tr>
      <w:tr w:rsidR="00F00E1F"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2F62CCBB"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495D9432" w14:textId="6209BB16"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0.01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37B6DBC1"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0.11</w:t>
            </w:r>
          </w:p>
        </w:tc>
      </w:tr>
      <w:tr w:rsidR="00F00E1F"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035D7F81" w:rsidR="00F00E1F" w:rsidRPr="00D60997" w:rsidRDefault="00F00E1F" w:rsidP="00F00E1F">
            <w:pPr>
              <w:jc w:val="center"/>
              <w:rPr>
                <w:rFonts w:ascii="楷体" w:eastAsia="楷体" w:hAnsi="楷体" w:cs="Times New Roman"/>
                <w:color w:val="000000"/>
              </w:rPr>
            </w:pPr>
            <w:proofErr w:type="gramStart"/>
            <w:r w:rsidRPr="00F00E1F">
              <w:rPr>
                <w:rFonts w:ascii="楷体" w:eastAsia="楷体" w:hAnsi="楷体" w:cs="Times New Roman" w:hint="eastAsia"/>
                <w:color w:val="000000"/>
              </w:rPr>
              <w:t>中债总指数</w:t>
            </w:r>
            <w:proofErr w:type="gramEnd"/>
          </w:p>
        </w:tc>
        <w:tc>
          <w:tcPr>
            <w:tcW w:w="1875" w:type="dxa"/>
            <w:noWrap/>
          </w:tcPr>
          <w:p w14:paraId="0528E8CE" w14:textId="215DCE32"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0.00</w:t>
            </w:r>
          </w:p>
        </w:tc>
        <w:tc>
          <w:tcPr>
            <w:tcW w:w="2293" w:type="dxa"/>
            <w:noWrap/>
          </w:tcPr>
          <w:p w14:paraId="0D77D093" w14:textId="1317555D"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1.93</w:t>
            </w:r>
          </w:p>
        </w:tc>
      </w:tr>
      <w:tr w:rsidR="00F00E1F"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98BCD13" w:rsidR="00F00E1F" w:rsidRPr="00D60997" w:rsidRDefault="00F00E1F" w:rsidP="00F00E1F">
            <w:pPr>
              <w:jc w:val="center"/>
              <w:rPr>
                <w:rFonts w:ascii="楷体" w:eastAsia="楷体" w:hAnsi="楷体" w:cs="Times New Roman"/>
                <w:color w:val="000000"/>
              </w:rPr>
            </w:pPr>
            <w:r w:rsidRPr="00F00E1F">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F4244CE" w14:textId="7B12B8F4" w:rsidR="00F00E1F" w:rsidRPr="00D60997"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F00E1F">
              <w:rPr>
                <w:rFonts w:ascii="楷体" w:eastAsia="楷体" w:hAnsi="楷体" w:cs="Times New Roman" w:hint="eastAsia"/>
                <w:color w:val="000000"/>
              </w:rPr>
              <w:t>-3.53</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0659E107" w:rsidR="00F00E1F" w:rsidRPr="00075E3A" w:rsidRDefault="00F00E1F" w:rsidP="00F00E1F">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12.64</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7380C23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F00E1F">
        <w:rPr>
          <w:rFonts w:ascii="Times New Roman" w:eastAsia="楷体" w:hAnsi="Times New Roman" w:cs="Times New Roman" w:hint="eastAsia"/>
          <w:b/>
        </w:rPr>
        <w:t>台湾加权</w:t>
      </w:r>
      <w:r w:rsidR="00234CE8">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2CC28D9A" w:rsidR="007E1695" w:rsidRPr="00006470" w:rsidRDefault="00F00E1F">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CD64062" wp14:editId="74639E73">
            <wp:extent cx="5688330" cy="2700655"/>
            <wp:effectExtent l="0" t="0" r="7620" b="44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03A64BB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073E53">
        <w:rPr>
          <w:rFonts w:ascii="Times New Roman" w:eastAsia="楷体" w:hAnsi="Times New Roman" w:cs="Times New Roman" w:hint="eastAsia"/>
          <w:b/>
        </w:rPr>
        <w:t>大幅</w:t>
      </w:r>
      <w:r w:rsidR="001A4846">
        <w:rPr>
          <w:rFonts w:ascii="Times New Roman" w:eastAsia="楷体" w:hAnsi="Times New Roman" w:cs="Times New Roman" w:hint="eastAsia"/>
          <w:b/>
        </w:rPr>
        <w:t>上升</w:t>
      </w:r>
    </w:p>
    <w:p w14:paraId="3AD41BC7" w14:textId="3F738995" w:rsidR="007E1695" w:rsidRPr="00006470" w:rsidRDefault="00F00E1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2C47622D" wp14:editId="3209DD17">
            <wp:extent cx="6279515" cy="2755900"/>
            <wp:effectExtent l="0" t="0" r="6985" b="635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951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56328CE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C20329">
        <w:rPr>
          <w:rFonts w:ascii="Times New Roman" w:eastAsia="楷体" w:hAnsi="Times New Roman" w:cs="Times New Roman" w:hint="eastAsia"/>
          <w:b/>
        </w:rPr>
        <w:t>流入</w:t>
      </w:r>
      <w:r w:rsidR="00F00E1F">
        <w:rPr>
          <w:rFonts w:ascii="Times New Roman" w:eastAsia="楷体" w:hAnsi="Times New Roman" w:cs="Times New Roman" w:hint="eastAsia"/>
          <w:b/>
        </w:rPr>
        <w:t>468.14</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6B4F5D90" w:rsidR="007E1695" w:rsidRPr="00006470" w:rsidRDefault="00F00E1F">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0FFA626" wp14:editId="36A17697">
            <wp:extent cx="5913755" cy="2987040"/>
            <wp:effectExtent l="0" t="0" r="0" b="381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2D4AFD37"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A57AC7">
        <w:rPr>
          <w:rFonts w:ascii="Times New Roman" w:eastAsia="楷体" w:hAnsi="Times New Roman" w:cs="Times New Roman" w:hint="eastAsia"/>
          <w:b/>
          <w:color w:val="000000" w:themeColor="text1"/>
        </w:rPr>
        <w:t>17150.29</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B161DC">
        <w:rPr>
          <w:rFonts w:ascii="Times New Roman" w:eastAsia="楷体" w:hAnsi="Times New Roman" w:cs="Times New Roman" w:hint="eastAsia"/>
          <w:b/>
        </w:rPr>
        <w:t>小</w:t>
      </w:r>
      <w:r w:rsidR="0034089A">
        <w:rPr>
          <w:rFonts w:ascii="Times New Roman" w:eastAsia="楷体" w:hAnsi="Times New Roman" w:cs="Times New Roman" w:hint="eastAsia"/>
          <w:b/>
        </w:rPr>
        <w:t>幅</w:t>
      </w:r>
      <w:r w:rsidR="00CF3D92">
        <w:rPr>
          <w:rFonts w:ascii="Times New Roman" w:eastAsia="楷体" w:hAnsi="Times New Roman" w:cs="Times New Roman" w:hint="eastAsia"/>
          <w:b/>
        </w:rPr>
        <w:t>增加</w:t>
      </w:r>
    </w:p>
    <w:p w14:paraId="3ABC9C3D" w14:textId="2552B4FB" w:rsidR="007E1695" w:rsidRPr="00006470" w:rsidRDefault="00A57AC7"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027258AA" wp14:editId="4AAB3666">
            <wp:extent cx="5895340" cy="2932430"/>
            <wp:effectExtent l="0" t="0" r="0" b="127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29316D43"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F00E1F">
        <w:rPr>
          <w:rFonts w:ascii="Times New Roman" w:eastAsia="楷体" w:hAnsi="Times New Roman" w:cs="Times New Roman" w:hint="eastAsia"/>
          <w:b/>
        </w:rPr>
        <w:t>490.65</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1A2F85">
        <w:rPr>
          <w:rFonts w:ascii="Times New Roman" w:eastAsia="楷体" w:hAnsi="Times New Roman" w:cs="Times New Roman" w:hint="eastAsia"/>
          <w:b/>
        </w:rPr>
        <w:t>大幅</w:t>
      </w:r>
      <w:r w:rsidR="00F00E1F">
        <w:rPr>
          <w:rFonts w:ascii="Times New Roman" w:eastAsia="楷体" w:hAnsi="Times New Roman" w:cs="Times New Roman" w:hint="eastAsia"/>
          <w:b/>
        </w:rPr>
        <w:t>减少</w:t>
      </w:r>
    </w:p>
    <w:p w14:paraId="45E40DB6" w14:textId="30A8343A" w:rsidR="007E1695" w:rsidRPr="00006470" w:rsidRDefault="00F00E1F"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2576210B" wp14:editId="0E92CBFC">
            <wp:extent cx="6303645" cy="2682240"/>
            <wp:effectExtent l="0" t="0" r="1905" b="381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364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3E9A69BA"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162898">
        <w:rPr>
          <w:rFonts w:ascii="Times New Roman" w:eastAsia="楷体" w:hAnsi="Times New Roman" w:cs="Times New Roman" w:hint="eastAsia"/>
          <w:b/>
        </w:rPr>
        <w:t>5</w:t>
      </w:r>
      <w:r w:rsidRPr="00006470">
        <w:rPr>
          <w:rFonts w:ascii="Times New Roman" w:eastAsia="楷体" w:hAnsi="Times New Roman" w:cs="Times New Roman"/>
          <w:b/>
        </w:rPr>
        <w:t>月最新募资合计</w:t>
      </w:r>
      <w:r w:rsidR="00F00E1F">
        <w:rPr>
          <w:rFonts w:ascii="Times New Roman" w:eastAsia="楷体" w:hAnsi="Times New Roman" w:cs="Times New Roman" w:hint="eastAsia"/>
          <w:b/>
        </w:rPr>
        <w:t>962.76</w:t>
      </w:r>
      <w:r w:rsidRPr="00006470">
        <w:rPr>
          <w:rFonts w:ascii="Times New Roman" w:eastAsia="楷体" w:hAnsi="Times New Roman" w:cs="Times New Roman"/>
          <w:b/>
        </w:rPr>
        <w:t>亿元</w:t>
      </w:r>
    </w:p>
    <w:p w14:paraId="09F800D5" w14:textId="12EE78F9" w:rsidR="007E1695" w:rsidRPr="00006470" w:rsidRDefault="00F00E1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64A1B281" wp14:editId="12A65A9A">
            <wp:extent cx="6383020" cy="3347085"/>
            <wp:effectExtent l="0" t="0" r="0" b="5715"/>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32ACFC83"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990F7F">
        <w:rPr>
          <w:rFonts w:ascii="Times New Roman" w:eastAsia="楷体" w:hAnsi="Times New Roman" w:cs="Times New Roman" w:hint="eastAsia"/>
          <w:b/>
        </w:rPr>
        <w:t>325.80</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C20329">
        <w:rPr>
          <w:rFonts w:ascii="Times New Roman" w:eastAsia="楷体" w:hAnsi="Times New Roman" w:cs="Times New Roman" w:hint="eastAsia"/>
          <w:b/>
        </w:rPr>
        <w:t>大</w:t>
      </w:r>
      <w:r w:rsidR="002B2D19">
        <w:rPr>
          <w:rFonts w:ascii="Times New Roman" w:eastAsia="楷体" w:hAnsi="Times New Roman" w:cs="Times New Roman" w:hint="eastAsia"/>
          <w:b/>
        </w:rPr>
        <w:t>幅</w:t>
      </w:r>
      <w:r w:rsidR="00990F7F">
        <w:rPr>
          <w:rFonts w:ascii="Times New Roman" w:eastAsia="楷体" w:hAnsi="Times New Roman" w:cs="Times New Roman" w:hint="eastAsia"/>
          <w:b/>
        </w:rPr>
        <w:t>增加</w:t>
      </w:r>
    </w:p>
    <w:p w14:paraId="110691E2" w14:textId="4A93FB47" w:rsidR="00051381" w:rsidRPr="00006470" w:rsidRDefault="00990F7F"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62275D84" wp14:editId="223446FC">
            <wp:extent cx="5993130" cy="3347085"/>
            <wp:effectExtent l="0" t="0" r="762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78ED6E7"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B66C7C">
        <w:rPr>
          <w:rFonts w:ascii="Times New Roman" w:eastAsia="楷体" w:hAnsi="Times New Roman" w:cs="Times New Roman" w:hint="eastAsia"/>
          <w:b/>
        </w:rPr>
        <w:t>0.90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712DC3F5" w:rsidR="007E1695" w:rsidRPr="00006470" w:rsidRDefault="00B66C7C">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77010904" wp14:editId="36B24C81">
            <wp:extent cx="5791835" cy="2554605"/>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AA20A2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B66C7C">
        <w:rPr>
          <w:rFonts w:ascii="Times New Roman" w:eastAsia="楷体" w:hAnsi="Times New Roman" w:cs="Times New Roman" w:hint="eastAsia"/>
          <w:b/>
        </w:rPr>
        <w:t>6.80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6A43A0">
        <w:rPr>
          <w:rFonts w:ascii="Times New Roman" w:eastAsia="楷体" w:hAnsi="Times New Roman" w:cs="Times New Roman" w:hint="eastAsia"/>
          <w:b/>
        </w:rPr>
        <w:t>持续恢复</w:t>
      </w:r>
    </w:p>
    <w:p w14:paraId="17A64A91" w14:textId="41FD2F55" w:rsidR="007E1695" w:rsidRPr="00006470" w:rsidRDefault="00B66C7C">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3A791360" wp14:editId="31E1E439">
            <wp:extent cx="5791835" cy="2554605"/>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91835" cy="255460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A08529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4B15FF">
        <w:rPr>
          <w:rFonts w:ascii="Times New Roman" w:eastAsia="楷体" w:hAnsi="Times New Roman" w:cs="Times New Roman" w:hint="eastAsia"/>
          <w:b/>
        </w:rPr>
        <w:t>5</w:t>
      </w:r>
      <w:r w:rsidR="00E772C9">
        <w:rPr>
          <w:rFonts w:ascii="Times New Roman" w:eastAsia="楷体" w:hAnsi="Times New Roman" w:cs="Times New Roman" w:hint="eastAsia"/>
          <w:b/>
        </w:rPr>
        <w:t>1.</w:t>
      </w:r>
      <w:r w:rsidR="00B66C7C">
        <w:rPr>
          <w:rFonts w:ascii="Times New Roman" w:eastAsia="楷体" w:hAnsi="Times New Roman" w:cs="Times New Roman" w:hint="eastAsia"/>
          <w:b/>
        </w:rPr>
        <w:t>1</w:t>
      </w:r>
      <w:r w:rsidR="00E772C9">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F9AB6D7" w:rsidR="007E1695" w:rsidRPr="00006470" w:rsidRDefault="00E772C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19DEE5B4" wp14:editId="6002343B">
            <wp:extent cx="5864860" cy="2548255"/>
            <wp:effectExtent l="0" t="0" r="2540" b="4445"/>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7BA3B16E"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Pr="00006470">
        <w:rPr>
          <w:rFonts w:ascii="Times New Roman" w:eastAsia="楷体" w:hAnsi="Times New Roman" w:cs="Times New Roman"/>
          <w:b/>
        </w:rPr>
        <w:t>月社会融资规模</w:t>
      </w:r>
      <w:r w:rsidR="00B66C7C">
        <w:rPr>
          <w:rFonts w:ascii="Times New Roman" w:eastAsia="楷体" w:hAnsi="Times New Roman" w:cs="Times New Roman" w:hint="eastAsia"/>
          <w:b/>
        </w:rPr>
        <w:t>1.85</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026688">
        <w:rPr>
          <w:rFonts w:ascii="Times New Roman" w:eastAsia="楷体" w:hAnsi="Times New Roman" w:cs="Times New Roman" w:hint="eastAsia"/>
          <w:b/>
        </w:rPr>
        <w:t>同比</w:t>
      </w:r>
      <w:r w:rsidR="00317B95">
        <w:rPr>
          <w:rFonts w:ascii="Times New Roman" w:eastAsia="楷体" w:hAnsi="Times New Roman" w:cs="Times New Roman" w:hint="eastAsia"/>
          <w:b/>
        </w:rPr>
        <w:t>下降</w:t>
      </w:r>
      <w:r w:rsidR="00026688" w:rsidRPr="00006470">
        <w:rPr>
          <w:rFonts w:ascii="Times New Roman" w:eastAsia="楷体" w:hAnsi="Times New Roman" w:cs="Times New Roman"/>
          <w:b/>
        </w:rPr>
        <w:t xml:space="preserve"> </w:t>
      </w:r>
    </w:p>
    <w:p w14:paraId="6F8BF5F3" w14:textId="1CC3AF91" w:rsidR="007E1695" w:rsidRPr="00006470" w:rsidRDefault="00B66C7C">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11CF9F9F" wp14:editId="2690D18C">
            <wp:extent cx="5791835" cy="2548255"/>
            <wp:effectExtent l="0" t="0" r="0" b="444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91835" cy="25482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F33A719"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66C7C">
        <w:rPr>
          <w:rFonts w:ascii="Times New Roman" w:eastAsia="楷体" w:hAnsi="Times New Roman" w:cs="Times New Roman" w:hint="eastAsia"/>
          <w:b/>
        </w:rPr>
        <w:t>4</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B66C7C">
        <w:rPr>
          <w:rFonts w:ascii="Times New Roman" w:eastAsia="楷体" w:hAnsi="Times New Roman" w:cs="Times New Roman" w:hint="eastAsia"/>
          <w:b/>
        </w:rPr>
        <w:t>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04C6B101" w:rsidR="007E1695" w:rsidRPr="00006470" w:rsidRDefault="00B66C7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3DBACF9" wp14:editId="4A0D8C28">
            <wp:extent cx="5864860" cy="2560320"/>
            <wp:effectExtent l="0" t="0" r="254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64860" cy="25603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1A86E4F5"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4414B">
        <w:rPr>
          <w:rFonts w:ascii="Times New Roman" w:eastAsia="楷体" w:hAnsi="Times New Roman" w:cs="Times New Roman" w:hint="eastAsia"/>
          <w:b/>
        </w:rPr>
        <w:t>4</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64414B">
        <w:rPr>
          <w:rFonts w:ascii="Times New Roman" w:eastAsia="楷体" w:hAnsi="Times New Roman" w:cs="Times New Roman" w:hint="eastAsia"/>
          <w:b/>
        </w:rPr>
        <w:t>19.90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6BE8F724" w:rsidR="00971387" w:rsidRPr="00006470" w:rsidRDefault="0064414B"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F3A2AD4" wp14:editId="6B31ADE4">
            <wp:extent cx="5876925" cy="26765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7728CEAE"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64414B">
        <w:rPr>
          <w:rFonts w:ascii="Times New Roman" w:eastAsia="楷体" w:hAnsi="Times New Roman" w:cs="Times New Roman" w:hint="eastAsia"/>
          <w:b/>
        </w:rPr>
        <w:t>4</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64414B">
        <w:rPr>
          <w:rFonts w:ascii="Times New Roman" w:eastAsia="楷体" w:hAnsi="Times New Roman" w:cs="Times New Roman" w:hint="eastAsia"/>
          <w:b/>
        </w:rPr>
        <w:t>17.70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106B4F56" w:rsidR="00AD4FF0" w:rsidRPr="00006470" w:rsidRDefault="0064414B"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36F6037E" wp14:editId="15CA6402">
            <wp:extent cx="5876925" cy="2682240"/>
            <wp:effectExtent l="0" t="0" r="9525" b="38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7135ACE7" w14:textId="77777777" w:rsidR="00E35B3D" w:rsidRPr="000E03B7" w:rsidRDefault="00E35B3D" w:rsidP="00E35B3D">
      <w:pPr>
        <w:jc w:val="left"/>
        <w:rPr>
          <w:sz w:val="15"/>
          <w:szCs w:val="15"/>
        </w:rPr>
      </w:pPr>
      <w:r w:rsidRPr="000E03B7">
        <w:rPr>
          <w:rFonts w:ascii="微软雅黑" w:eastAsia="微软雅黑" w:hAnsi="微软雅黑" w:hint="eastAsia"/>
          <w:color w:val="474747"/>
          <w:sz w:val="15"/>
          <w:szCs w:val="15"/>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E03B7">
        <w:rPr>
          <w:rFonts w:ascii="微软雅黑" w:eastAsia="微软雅黑" w:hAnsi="微软雅黑" w:hint="eastAsia"/>
          <w:color w:val="474747"/>
          <w:sz w:val="15"/>
          <w:szCs w:val="15"/>
          <w:shd w:val="clear" w:color="auto" w:fill="FFFFFF"/>
        </w:rPr>
        <w:t>作出</w:t>
      </w:r>
      <w:proofErr w:type="gramEnd"/>
      <w:r w:rsidRPr="000E03B7">
        <w:rPr>
          <w:rFonts w:ascii="微软雅黑" w:eastAsia="微软雅黑" w:hAnsi="微软雅黑" w:hint="eastAsia"/>
          <w:color w:val="474747"/>
          <w:sz w:val="15"/>
          <w:szCs w:val="15"/>
          <w:shd w:val="clear" w:color="auto" w:fill="FFFFFF"/>
        </w:rPr>
        <w:t>调整。2、本报告中的资料、观点和预测等仅供参考，在任何时候均不构成对任何人的个人推荐。市场有风险，投资需谨慎。</w:t>
      </w:r>
    </w:p>
    <w:p w14:paraId="1A193836" w14:textId="4EBAD978" w:rsidR="007E1695" w:rsidRPr="00006470" w:rsidRDefault="007E1695">
      <w:pPr>
        <w:pStyle w:val="af"/>
        <w:ind w:firstLine="440"/>
        <w:rPr>
          <w:rFonts w:ascii="Times New Roman" w:hAnsi="Times New Roman" w:cs="Times New Roman"/>
          <w:sz w:val="22"/>
        </w:rPr>
      </w:pP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83E7F5" w14:textId="77777777" w:rsidR="00F87DAB" w:rsidRDefault="00F87DAB">
      <w:pPr>
        <w:spacing w:line="240" w:lineRule="auto"/>
      </w:pPr>
      <w:r>
        <w:separator/>
      </w:r>
    </w:p>
  </w:endnote>
  <w:endnote w:type="continuationSeparator" w:id="0">
    <w:p w14:paraId="505F7986" w14:textId="77777777" w:rsidR="00F87DAB" w:rsidRDefault="00F87DA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69562F">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9562F">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D594CD" w14:textId="77777777" w:rsidR="00F87DAB" w:rsidRDefault="00F87DAB">
      <w:pPr>
        <w:spacing w:line="240" w:lineRule="auto"/>
      </w:pPr>
      <w:r>
        <w:separator/>
      </w:r>
    </w:p>
  </w:footnote>
  <w:footnote w:type="continuationSeparator" w:id="0">
    <w:p w14:paraId="15263A5F" w14:textId="77777777" w:rsidR="00F87DAB" w:rsidRDefault="00F87DA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8EF"/>
    <w:rsid w:val="000252D4"/>
    <w:rsid w:val="0002595F"/>
    <w:rsid w:val="000259B2"/>
    <w:rsid w:val="0002609F"/>
    <w:rsid w:val="00026688"/>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1CDF"/>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501"/>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5A5B"/>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053"/>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1EBA"/>
    <w:rsid w:val="004A2C59"/>
    <w:rsid w:val="004A3372"/>
    <w:rsid w:val="004A3A79"/>
    <w:rsid w:val="004A3AF8"/>
    <w:rsid w:val="004A47A5"/>
    <w:rsid w:val="004A4AAB"/>
    <w:rsid w:val="004A5764"/>
    <w:rsid w:val="004A5E7E"/>
    <w:rsid w:val="004A627E"/>
    <w:rsid w:val="004A6671"/>
    <w:rsid w:val="004A6C01"/>
    <w:rsid w:val="004A783C"/>
    <w:rsid w:val="004B0C81"/>
    <w:rsid w:val="004B0D60"/>
    <w:rsid w:val="004B1461"/>
    <w:rsid w:val="004B1556"/>
    <w:rsid w:val="004B15FF"/>
    <w:rsid w:val="004B23AD"/>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0D8"/>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62F"/>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AE"/>
    <w:rsid w:val="006E2FC2"/>
    <w:rsid w:val="006E387D"/>
    <w:rsid w:val="006E3A86"/>
    <w:rsid w:val="006E3C75"/>
    <w:rsid w:val="006E3CCB"/>
    <w:rsid w:val="006E3D44"/>
    <w:rsid w:val="006E49AA"/>
    <w:rsid w:val="006E49AF"/>
    <w:rsid w:val="006E4D97"/>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20FE"/>
    <w:rsid w:val="00712157"/>
    <w:rsid w:val="007123EB"/>
    <w:rsid w:val="00712756"/>
    <w:rsid w:val="007127B1"/>
    <w:rsid w:val="00712902"/>
    <w:rsid w:val="00712F5B"/>
    <w:rsid w:val="00713498"/>
    <w:rsid w:val="00713FC9"/>
    <w:rsid w:val="00714812"/>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680"/>
    <w:rsid w:val="00727942"/>
    <w:rsid w:val="00727F1F"/>
    <w:rsid w:val="007301B0"/>
    <w:rsid w:val="00730B63"/>
    <w:rsid w:val="00731546"/>
    <w:rsid w:val="007316A6"/>
    <w:rsid w:val="007316C0"/>
    <w:rsid w:val="00731A47"/>
    <w:rsid w:val="00732246"/>
    <w:rsid w:val="007333B8"/>
    <w:rsid w:val="00733DAF"/>
    <w:rsid w:val="00734053"/>
    <w:rsid w:val="00734BC6"/>
    <w:rsid w:val="00734C6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6A6"/>
    <w:rsid w:val="0082786E"/>
    <w:rsid w:val="00827C33"/>
    <w:rsid w:val="00827FC8"/>
    <w:rsid w:val="00830087"/>
    <w:rsid w:val="00830675"/>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641"/>
    <w:rsid w:val="00A206B9"/>
    <w:rsid w:val="00A2091C"/>
    <w:rsid w:val="00A214F7"/>
    <w:rsid w:val="00A21811"/>
    <w:rsid w:val="00A218E7"/>
    <w:rsid w:val="00A22D6D"/>
    <w:rsid w:val="00A23B8F"/>
    <w:rsid w:val="00A265F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1DC"/>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336"/>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161"/>
    <w:rsid w:val="00C311CC"/>
    <w:rsid w:val="00C316AA"/>
    <w:rsid w:val="00C323DC"/>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A4C"/>
    <w:rsid w:val="00C86B10"/>
    <w:rsid w:val="00C86E70"/>
    <w:rsid w:val="00C87A76"/>
    <w:rsid w:val="00C87E2E"/>
    <w:rsid w:val="00C87FED"/>
    <w:rsid w:val="00C9009A"/>
    <w:rsid w:val="00C90208"/>
    <w:rsid w:val="00C908CB"/>
    <w:rsid w:val="00C908E5"/>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B3D"/>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510"/>
    <w:rsid w:val="00F865FD"/>
    <w:rsid w:val="00F866C2"/>
    <w:rsid w:val="00F869EF"/>
    <w:rsid w:val="00F86BB3"/>
    <w:rsid w:val="00F86D54"/>
    <w:rsid w:val="00F871AB"/>
    <w:rsid w:val="00F871DB"/>
    <w:rsid w:val="00F8762B"/>
    <w:rsid w:val="00F87DA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B879A59-07F4-4459-9D79-7A89F9FE879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557</Words>
  <Characters>3180</Characters>
  <Application>Microsoft Office Word</Application>
  <DocSecurity>0</DocSecurity>
  <Lines>26</Lines>
  <Paragraphs>7</Paragraphs>
  <ScaleCrop>false</ScaleCrop>
  <Company>china</Company>
  <LinksUpToDate>false</LinksUpToDate>
  <CharactersWithSpaces>3730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2021-05-31T02:57:00Z</cp:lastPrinted>
  <dcterms:created xsi:type="dcterms:W3CDTF">2021-05-31T03:16:00Z</dcterms:created>
  <dcterms:modified xsi:type="dcterms:W3CDTF">2021-05-31T03:27:00Z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