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B73E9" w:rsidRDefault="005801FF">
      <w:pPr>
        <w:jc w:val="center"/>
        <w:rPr>
          <w:b/>
        </w:rPr>
      </w:pPr>
      <w:bookmarkStart w:id="0" w:name="_GoBack"/>
      <w:r>
        <w:rPr>
          <w:rFonts w:hint="eastAsia"/>
          <w:b/>
        </w:rPr>
        <w:t>富荣量化</w:t>
      </w:r>
      <w:r w:rsidR="000E03B7">
        <w:rPr>
          <w:rFonts w:hint="eastAsia"/>
          <w:b/>
        </w:rPr>
        <w:t>：</w:t>
      </w:r>
      <w:r>
        <w:rPr>
          <w:rFonts w:hint="eastAsia"/>
          <w:b/>
          <w:lang w:eastAsia="zh-Hans"/>
        </w:rPr>
        <w:t>市场震荡上升</w:t>
      </w:r>
      <w:bookmarkEnd w:id="0"/>
    </w:p>
    <w:p w:rsidR="00EB73E9" w:rsidRDefault="00EB73E9">
      <w:pPr>
        <w:ind w:firstLineChars="200" w:firstLine="480"/>
      </w:pPr>
    </w:p>
    <w:p w:rsidR="00EB73E9" w:rsidRDefault="000E03B7">
      <w:pPr>
        <w:ind w:firstLineChars="200" w:firstLine="480"/>
        <w:rPr>
          <w:rFonts w:hint="eastAsia"/>
        </w:rPr>
      </w:pPr>
      <w:r>
        <w:rPr>
          <w:rFonts w:hint="eastAsia"/>
        </w:rPr>
        <w:t>上</w:t>
      </w:r>
      <w:r w:rsidR="005801FF">
        <w:rPr>
          <w:rFonts w:hint="eastAsia"/>
          <w:lang w:eastAsia="zh-Hans"/>
        </w:rPr>
        <w:t>周A股市场在各种事件推动下获得不错涨幅</w:t>
      </w:r>
      <w:r w:rsidR="005801FF">
        <w:rPr>
          <w:lang w:eastAsia="zh-Hans"/>
        </w:rPr>
        <w:t>，</w:t>
      </w:r>
      <w:r w:rsidR="005801FF">
        <w:rPr>
          <w:rFonts w:hint="eastAsia"/>
          <w:lang w:eastAsia="zh-Hans"/>
        </w:rPr>
        <w:t>从市场最终表现来看</w:t>
      </w:r>
      <w:r w:rsidR="005801FF">
        <w:rPr>
          <w:lang w:eastAsia="zh-Hans"/>
        </w:rPr>
        <w:t>，</w:t>
      </w:r>
      <w:r w:rsidR="005801FF">
        <w:rPr>
          <w:rFonts w:hint="eastAsia"/>
          <w:lang w:eastAsia="zh-Hans"/>
        </w:rPr>
        <w:t>市场情绪修复明显</w:t>
      </w:r>
      <w:r w:rsidR="005801FF">
        <w:rPr>
          <w:lang w:eastAsia="zh-Hans"/>
        </w:rPr>
        <w:t>，</w:t>
      </w:r>
      <w:r w:rsidR="005801FF">
        <w:rPr>
          <w:rFonts w:hint="eastAsia"/>
          <w:lang w:eastAsia="zh-Hans"/>
        </w:rPr>
        <w:t>成交量明显放大</w:t>
      </w:r>
      <w:r w:rsidR="005801FF">
        <w:rPr>
          <w:lang w:eastAsia="zh-Hans"/>
        </w:rPr>
        <w:t>。</w:t>
      </w:r>
      <w:r w:rsidR="005801FF">
        <w:rPr>
          <w:rFonts w:hint="eastAsia"/>
          <w:lang w:eastAsia="zh-Hans"/>
        </w:rPr>
        <w:t>根据我们观察</w:t>
      </w:r>
      <w:r w:rsidR="005801FF">
        <w:rPr>
          <w:lang w:eastAsia="zh-Hans"/>
        </w:rPr>
        <w:t>，</w:t>
      </w:r>
      <w:r w:rsidR="005801FF">
        <w:rPr>
          <w:rFonts w:hint="eastAsia"/>
          <w:lang w:eastAsia="zh-Hans"/>
        </w:rPr>
        <w:t>我们认为造成当前市场状态的原因可能是市场年后大幅度回撤后震荡时间足够</w:t>
      </w:r>
      <w:r w:rsidR="005801FF">
        <w:rPr>
          <w:lang w:eastAsia="zh-Hans"/>
        </w:rPr>
        <w:t>，</w:t>
      </w:r>
      <w:r w:rsidR="005801FF">
        <w:rPr>
          <w:rFonts w:hint="eastAsia"/>
          <w:lang w:eastAsia="zh-Hans"/>
        </w:rPr>
        <w:t>情绪得到极大修复</w:t>
      </w:r>
      <w:r w:rsidR="005801FF">
        <w:rPr>
          <w:lang w:eastAsia="zh-Hans"/>
        </w:rPr>
        <w:t>，</w:t>
      </w:r>
      <w:r w:rsidR="005801FF">
        <w:rPr>
          <w:rFonts w:hint="eastAsia"/>
          <w:lang w:eastAsia="zh-Hans"/>
        </w:rPr>
        <w:t>市场流动性较预期宽松</w:t>
      </w:r>
      <w:r w:rsidR="005801FF">
        <w:rPr>
          <w:lang w:eastAsia="zh-Hans"/>
        </w:rPr>
        <w:t>，</w:t>
      </w:r>
      <w:r w:rsidR="005801FF">
        <w:rPr>
          <w:rFonts w:hint="eastAsia"/>
          <w:lang w:eastAsia="zh-Hans"/>
        </w:rPr>
        <w:t>人民币升值以及MSCI在</w:t>
      </w:r>
      <w:r>
        <w:rPr>
          <w:rFonts w:hint="eastAsia"/>
        </w:rPr>
        <w:t>5月</w:t>
      </w:r>
      <w:r w:rsidR="005801FF">
        <w:rPr>
          <w:lang w:eastAsia="zh-Hans"/>
        </w:rPr>
        <w:t>27</w:t>
      </w:r>
      <w:r w:rsidR="005801FF">
        <w:rPr>
          <w:rFonts w:hint="eastAsia"/>
          <w:lang w:eastAsia="zh-Hans"/>
        </w:rPr>
        <w:t>日调整等多重因素</w:t>
      </w:r>
      <w:r w:rsidR="005801FF">
        <w:rPr>
          <w:lang w:eastAsia="zh-Hans"/>
        </w:rPr>
        <w:t>。</w:t>
      </w:r>
      <w:r w:rsidR="005801FF">
        <w:rPr>
          <w:rFonts w:hint="eastAsia"/>
          <w:lang w:eastAsia="zh-Hans"/>
        </w:rPr>
        <w:t>从结果来看</w:t>
      </w:r>
      <w:r w:rsidR="005801FF">
        <w:rPr>
          <w:lang w:eastAsia="zh-Hans"/>
        </w:rPr>
        <w:t>，</w:t>
      </w:r>
      <w:r>
        <w:rPr>
          <w:rFonts w:hint="eastAsia"/>
        </w:rPr>
        <w:t>上</w:t>
      </w:r>
      <w:r w:rsidR="005801FF">
        <w:rPr>
          <w:rFonts w:hint="eastAsia"/>
          <w:lang w:eastAsia="zh-Hans"/>
        </w:rPr>
        <w:t>周各宽基指数表现如下</w:t>
      </w:r>
      <w:r w:rsidR="005801FF">
        <w:rPr>
          <w:lang w:eastAsia="zh-Hans"/>
        </w:rPr>
        <w:t>：</w:t>
      </w:r>
      <w:r w:rsidR="005801FF">
        <w:rPr>
          <w:rFonts w:hint="eastAsia"/>
          <w:lang w:eastAsia="zh-Hans"/>
        </w:rPr>
        <w:t>上证指数上涨</w:t>
      </w:r>
      <w:r w:rsidR="005801FF">
        <w:rPr>
          <w:lang w:eastAsia="zh-Hans"/>
        </w:rPr>
        <w:t>3</w:t>
      </w:r>
      <w:r w:rsidR="005801FF">
        <w:rPr>
          <w:rFonts w:hint="eastAsia"/>
          <w:lang w:eastAsia="zh-Hans"/>
        </w:rPr>
        <w:t>.</w:t>
      </w:r>
      <w:r w:rsidR="005801FF">
        <w:rPr>
          <w:lang w:eastAsia="zh-Hans"/>
        </w:rPr>
        <w:t>28%，</w:t>
      </w:r>
      <w:r w:rsidR="005801FF">
        <w:rPr>
          <w:rFonts w:hint="eastAsia"/>
          <w:lang w:eastAsia="zh-Hans"/>
        </w:rPr>
        <w:t>深证成指上涨</w:t>
      </w:r>
      <w:r w:rsidR="005801FF">
        <w:rPr>
          <w:lang w:eastAsia="zh-Hans"/>
        </w:rPr>
        <w:t>3</w:t>
      </w:r>
      <w:r w:rsidR="005801FF">
        <w:rPr>
          <w:rFonts w:hint="eastAsia"/>
          <w:lang w:eastAsia="zh-Hans"/>
        </w:rPr>
        <w:t>.</w:t>
      </w:r>
      <w:r w:rsidR="005801FF">
        <w:rPr>
          <w:lang w:eastAsia="zh-Hans"/>
        </w:rPr>
        <w:t>02%，</w:t>
      </w:r>
      <w:r w:rsidR="005801FF">
        <w:rPr>
          <w:rFonts w:hint="eastAsia"/>
          <w:lang w:eastAsia="zh-Hans"/>
        </w:rPr>
        <w:t>沪深</w:t>
      </w:r>
      <w:r w:rsidR="005801FF">
        <w:rPr>
          <w:lang w:eastAsia="zh-Hans"/>
        </w:rPr>
        <w:t>300</w:t>
      </w:r>
      <w:r w:rsidR="005801FF">
        <w:rPr>
          <w:rFonts w:hint="eastAsia"/>
          <w:lang w:eastAsia="zh-Hans"/>
        </w:rPr>
        <w:t>指数上涨</w:t>
      </w:r>
      <w:r w:rsidR="005801FF">
        <w:rPr>
          <w:lang w:eastAsia="zh-Hans"/>
        </w:rPr>
        <w:t>3</w:t>
      </w:r>
      <w:r w:rsidR="005801FF">
        <w:rPr>
          <w:rFonts w:hint="eastAsia"/>
          <w:lang w:eastAsia="zh-Hans"/>
        </w:rPr>
        <w:t>.</w:t>
      </w:r>
      <w:r w:rsidR="005801FF">
        <w:rPr>
          <w:lang w:eastAsia="zh-Hans"/>
        </w:rPr>
        <w:t>64%，</w:t>
      </w:r>
      <w:r w:rsidR="005801FF">
        <w:rPr>
          <w:rFonts w:hint="eastAsia"/>
          <w:lang w:eastAsia="zh-Hans"/>
        </w:rPr>
        <w:t>中证</w:t>
      </w:r>
      <w:r w:rsidR="005801FF">
        <w:rPr>
          <w:lang w:eastAsia="zh-Hans"/>
        </w:rPr>
        <w:t>500</w:t>
      </w:r>
      <w:r w:rsidR="005801FF">
        <w:rPr>
          <w:rFonts w:hint="eastAsia"/>
          <w:lang w:eastAsia="zh-Hans"/>
        </w:rPr>
        <w:t>指数上涨</w:t>
      </w:r>
      <w:r w:rsidR="005801FF">
        <w:rPr>
          <w:lang w:eastAsia="zh-Hans"/>
        </w:rPr>
        <w:t>2</w:t>
      </w:r>
      <w:r w:rsidR="005801FF">
        <w:rPr>
          <w:rFonts w:hint="eastAsia"/>
          <w:lang w:eastAsia="zh-Hans"/>
        </w:rPr>
        <w:t>.</w:t>
      </w:r>
      <w:r w:rsidR="005801FF">
        <w:rPr>
          <w:lang w:eastAsia="zh-Hans"/>
        </w:rPr>
        <w:t>15%，</w:t>
      </w:r>
      <w:r w:rsidR="005801FF">
        <w:rPr>
          <w:rFonts w:hint="eastAsia"/>
          <w:lang w:eastAsia="zh-Hans"/>
        </w:rPr>
        <w:t>创业板指上涨</w:t>
      </w:r>
      <w:r w:rsidR="005801FF">
        <w:rPr>
          <w:lang w:eastAsia="zh-Hans"/>
        </w:rPr>
        <w:t>3</w:t>
      </w:r>
      <w:r w:rsidR="005801FF">
        <w:rPr>
          <w:rFonts w:hint="eastAsia"/>
          <w:lang w:eastAsia="zh-Hans"/>
        </w:rPr>
        <w:t>.</w:t>
      </w:r>
      <w:r w:rsidR="005801FF">
        <w:rPr>
          <w:lang w:eastAsia="zh-Hans"/>
        </w:rPr>
        <w:t>82%，</w:t>
      </w:r>
      <w:r w:rsidR="005801FF">
        <w:rPr>
          <w:rFonts w:hint="eastAsia"/>
          <w:lang w:eastAsia="zh-Hans"/>
        </w:rPr>
        <w:t>各宽基指数都取得不错的涨幅</w:t>
      </w:r>
      <w:r w:rsidR="005801FF">
        <w:rPr>
          <w:lang w:eastAsia="zh-Hans"/>
        </w:rPr>
        <w:t>，</w:t>
      </w:r>
      <w:r w:rsidR="005801FF">
        <w:rPr>
          <w:rFonts w:hint="eastAsia"/>
          <w:lang w:eastAsia="zh-Hans"/>
        </w:rPr>
        <w:t>创业板依然强于其他指数</w:t>
      </w:r>
      <w:r w:rsidR="005801FF">
        <w:rPr>
          <w:lang w:eastAsia="zh-Hans"/>
        </w:rPr>
        <w:t>。</w:t>
      </w:r>
      <w:r w:rsidR="005801FF">
        <w:rPr>
          <w:rFonts w:hint="eastAsia"/>
          <w:lang w:eastAsia="zh-Hans"/>
        </w:rPr>
        <w:t>从行业来看</w:t>
      </w:r>
      <w:r w:rsidR="005801FF">
        <w:rPr>
          <w:lang w:eastAsia="zh-Hans"/>
        </w:rPr>
        <w:t>，</w:t>
      </w:r>
      <w:r w:rsidR="006B4CE5" w:rsidRPr="006B4CE5">
        <w:rPr>
          <w:rFonts w:hint="eastAsia"/>
          <w:lang w:eastAsia="zh-Hans"/>
        </w:rPr>
        <w:t>全周中信一级行业分类下</w:t>
      </w:r>
      <w:r w:rsidR="005801FF">
        <w:rPr>
          <w:rFonts w:hint="eastAsia"/>
          <w:lang w:eastAsia="zh-Hans"/>
        </w:rPr>
        <w:t>非银金融</w:t>
      </w:r>
      <w:r w:rsidR="005801FF">
        <w:rPr>
          <w:lang w:eastAsia="zh-Hans"/>
        </w:rPr>
        <w:t>、</w:t>
      </w:r>
      <w:r w:rsidR="005801FF">
        <w:rPr>
          <w:rFonts w:hint="eastAsia"/>
          <w:lang w:eastAsia="zh-Hans"/>
        </w:rPr>
        <w:t>食品饮料</w:t>
      </w:r>
      <w:r w:rsidR="005801FF">
        <w:rPr>
          <w:lang w:eastAsia="zh-Hans"/>
        </w:rPr>
        <w:t>、</w:t>
      </w:r>
      <w:r w:rsidR="005801FF">
        <w:rPr>
          <w:rFonts w:hint="eastAsia"/>
          <w:lang w:eastAsia="zh-Hans"/>
        </w:rPr>
        <w:t>消费者服务</w:t>
      </w:r>
      <w:r w:rsidR="005801FF">
        <w:rPr>
          <w:lang w:eastAsia="zh-Hans"/>
        </w:rPr>
        <w:t>、</w:t>
      </w:r>
      <w:r w:rsidR="005801FF">
        <w:rPr>
          <w:rFonts w:hint="eastAsia"/>
          <w:lang w:eastAsia="zh-Hans"/>
        </w:rPr>
        <w:t>基础化工以及计算机等行业涨幅居前</w:t>
      </w:r>
      <w:r w:rsidR="005801FF">
        <w:rPr>
          <w:lang w:eastAsia="zh-Hans"/>
        </w:rPr>
        <w:t>，</w:t>
      </w:r>
      <w:r w:rsidR="005801FF">
        <w:rPr>
          <w:rFonts w:hint="eastAsia"/>
          <w:lang w:eastAsia="zh-Hans"/>
        </w:rPr>
        <w:t>尤其是</w:t>
      </w:r>
      <w:r>
        <w:rPr>
          <w:rFonts w:hint="eastAsia"/>
        </w:rPr>
        <w:t>上</w:t>
      </w:r>
      <w:r w:rsidR="005801FF">
        <w:rPr>
          <w:rFonts w:hint="eastAsia"/>
          <w:lang w:eastAsia="zh-Hans"/>
        </w:rPr>
        <w:t>周二券商指数大幅拉升了</w:t>
      </w:r>
      <w:r w:rsidR="005801FF">
        <w:rPr>
          <w:lang w:eastAsia="zh-Hans"/>
        </w:rPr>
        <w:t>4</w:t>
      </w:r>
      <w:r w:rsidR="005801FF">
        <w:rPr>
          <w:rFonts w:hint="eastAsia"/>
          <w:lang w:eastAsia="zh-Hans"/>
        </w:rPr>
        <w:t>.</w:t>
      </w:r>
      <w:r w:rsidR="005801FF">
        <w:rPr>
          <w:lang w:eastAsia="zh-Hans"/>
        </w:rPr>
        <w:t>40%，</w:t>
      </w:r>
      <w:r w:rsidR="005801FF">
        <w:rPr>
          <w:rFonts w:hint="eastAsia"/>
          <w:lang w:eastAsia="zh-Hans"/>
        </w:rPr>
        <w:t>是继</w:t>
      </w:r>
      <w:r w:rsidR="005801FF">
        <w:rPr>
          <w:lang w:eastAsia="zh-Hans"/>
        </w:rPr>
        <w:t>5</w:t>
      </w:r>
      <w:r w:rsidR="005801FF">
        <w:rPr>
          <w:rFonts w:hint="eastAsia"/>
          <w:lang w:eastAsia="zh-Hans"/>
        </w:rPr>
        <w:t>月</w:t>
      </w:r>
      <w:r w:rsidR="005801FF">
        <w:rPr>
          <w:lang w:eastAsia="zh-Hans"/>
        </w:rPr>
        <w:t>14</w:t>
      </w:r>
      <w:r w:rsidR="005801FF">
        <w:rPr>
          <w:rFonts w:hint="eastAsia"/>
          <w:lang w:eastAsia="zh-Hans"/>
        </w:rPr>
        <w:t>日后的第二大涨幅</w:t>
      </w:r>
      <w:r w:rsidR="005801FF">
        <w:rPr>
          <w:lang w:eastAsia="zh-Hans"/>
        </w:rPr>
        <w:t>。</w:t>
      </w:r>
      <w:r w:rsidR="005801FF">
        <w:rPr>
          <w:rFonts w:hint="eastAsia"/>
          <w:lang w:eastAsia="zh-Hans"/>
        </w:rPr>
        <w:t>农林牧渔</w:t>
      </w:r>
      <w:r w:rsidR="005801FF">
        <w:rPr>
          <w:lang w:eastAsia="zh-Hans"/>
        </w:rPr>
        <w:t>、</w:t>
      </w:r>
      <w:r w:rsidR="005801FF">
        <w:rPr>
          <w:rFonts w:hint="eastAsia"/>
          <w:lang w:eastAsia="zh-Hans"/>
        </w:rPr>
        <w:t>电力及公用事业</w:t>
      </w:r>
      <w:r w:rsidR="005801FF">
        <w:rPr>
          <w:lang w:eastAsia="zh-Hans"/>
        </w:rPr>
        <w:t>、</w:t>
      </w:r>
      <w:r w:rsidR="005801FF">
        <w:rPr>
          <w:rFonts w:hint="eastAsia"/>
          <w:lang w:eastAsia="zh-Hans"/>
        </w:rPr>
        <w:t>钢铁</w:t>
      </w:r>
      <w:r w:rsidR="005801FF">
        <w:rPr>
          <w:lang w:eastAsia="zh-Hans"/>
        </w:rPr>
        <w:t>、</w:t>
      </w:r>
      <w:r w:rsidR="005801FF">
        <w:rPr>
          <w:rFonts w:hint="eastAsia"/>
          <w:lang w:eastAsia="zh-Hans"/>
        </w:rPr>
        <w:t>建筑以及家电表现较差</w:t>
      </w:r>
      <w:r w:rsidR="005801FF">
        <w:rPr>
          <w:lang w:eastAsia="zh-Hans"/>
        </w:rPr>
        <w:t xml:space="preserve">。 </w:t>
      </w:r>
    </w:p>
    <w:p w:rsidR="000E03B7" w:rsidRDefault="000E03B7">
      <w:pPr>
        <w:ind w:firstLineChars="200" w:firstLine="480"/>
        <w:rPr>
          <w:rFonts w:hint="eastAsia"/>
        </w:rPr>
      </w:pPr>
    </w:p>
    <w:p w:rsidR="000E03B7" w:rsidRDefault="000E03B7" w:rsidP="000E03B7">
      <w:pPr>
        <w:jc w:val="center"/>
        <w:rPr>
          <w:lang w:eastAsia="zh-Hans"/>
        </w:rPr>
      </w:pPr>
      <w:r>
        <w:rPr>
          <w:rFonts w:hint="eastAsia"/>
          <w:lang w:eastAsia="zh-Hans"/>
        </w:rPr>
        <w:t>图</w:t>
      </w:r>
      <w:r>
        <w:rPr>
          <w:lang w:eastAsia="zh-Hans"/>
        </w:rPr>
        <w:t xml:space="preserve">1 </w:t>
      </w:r>
      <w:r>
        <w:rPr>
          <w:rFonts w:hint="eastAsia"/>
        </w:rPr>
        <w:t>：</w:t>
      </w:r>
      <w:r>
        <w:rPr>
          <w:rFonts w:hint="eastAsia"/>
          <w:lang w:eastAsia="zh-Hans"/>
        </w:rPr>
        <w:t>各宽基指数以及行业表现</w:t>
      </w:r>
    </w:p>
    <w:p w:rsidR="00EB73E9" w:rsidRDefault="00DB5833" w:rsidP="005801FF">
      <w:r>
        <w:rPr>
          <w:noProof/>
        </w:rPr>
        <w:drawing>
          <wp:inline distT="0" distB="0" distL="0" distR="0" wp14:anchorId="63936F59" wp14:editId="2A2395FB">
            <wp:extent cx="5274310" cy="3955733"/>
            <wp:effectExtent l="0" t="0" r="2540" b="6985"/>
            <wp:docPr id="3" name="图片 3" descr="C:\Users\qiuzh\AppData\Roaming\Foxmail7\Temp-11948-20210521144648\fox(05-31-09-21-4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qiuzh\AppData\Roaming\Foxmail7\Temp-11948-20210521144648\fox(05-31-09-21-42).pn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274310" cy="3955733"/>
                    </a:xfrm>
                    <a:prstGeom prst="rect">
                      <a:avLst/>
                    </a:prstGeom>
                    <a:noFill/>
                    <a:ln>
                      <a:noFill/>
                    </a:ln>
                  </pic:spPr>
                </pic:pic>
              </a:graphicData>
            </a:graphic>
          </wp:inline>
        </w:drawing>
      </w:r>
    </w:p>
    <w:p w:rsidR="00F4730F" w:rsidRDefault="00F4730F" w:rsidP="005801FF">
      <w:r>
        <w:rPr>
          <w:rFonts w:hint="eastAsia"/>
        </w:rPr>
        <w:t>数据来源：wind</w:t>
      </w:r>
    </w:p>
    <w:p w:rsidR="00EB73E9" w:rsidRDefault="00EB73E9">
      <w:pPr>
        <w:ind w:firstLineChars="200" w:firstLine="480"/>
        <w:rPr>
          <w:lang w:eastAsia="zh-Hans"/>
        </w:rPr>
      </w:pPr>
    </w:p>
    <w:p w:rsidR="00EB73E9" w:rsidRDefault="005801FF">
      <w:pPr>
        <w:ind w:firstLineChars="200" w:firstLine="480"/>
        <w:rPr>
          <w:rFonts w:hint="eastAsia"/>
        </w:rPr>
      </w:pPr>
      <w:r>
        <w:rPr>
          <w:rFonts w:hint="eastAsia"/>
        </w:rPr>
        <w:t>从资金流动来看（图2），</w:t>
      </w:r>
      <w:r w:rsidR="000E03B7">
        <w:rPr>
          <w:rFonts w:hint="eastAsia"/>
        </w:rPr>
        <w:t>上</w:t>
      </w:r>
      <w:r>
        <w:rPr>
          <w:rFonts w:hint="eastAsia"/>
        </w:rPr>
        <w:t>周</w:t>
      </w:r>
      <w:r>
        <w:rPr>
          <w:rFonts w:hint="eastAsia"/>
          <w:lang w:eastAsia="zh-Hans"/>
        </w:rPr>
        <w:t>北向资金流入创出历史新高</w:t>
      </w:r>
      <w:r>
        <w:rPr>
          <w:lang w:eastAsia="zh-Hans"/>
        </w:rPr>
        <w:t>，</w:t>
      </w:r>
      <w:r>
        <w:rPr>
          <w:rFonts w:hint="eastAsia"/>
          <w:lang w:eastAsia="zh-Hans"/>
        </w:rPr>
        <w:t>全周合计流入</w:t>
      </w:r>
      <w:r>
        <w:rPr>
          <w:lang w:eastAsia="zh-Hans"/>
        </w:rPr>
        <w:t>486</w:t>
      </w:r>
      <w:r>
        <w:rPr>
          <w:rFonts w:hint="eastAsia"/>
          <w:lang w:eastAsia="zh-Hans"/>
        </w:rPr>
        <w:t>.</w:t>
      </w:r>
      <w:r>
        <w:rPr>
          <w:lang w:eastAsia="zh-Hans"/>
        </w:rPr>
        <w:t>14</w:t>
      </w:r>
      <w:r>
        <w:rPr>
          <w:rFonts w:hint="eastAsia"/>
          <w:lang w:eastAsia="zh-Hans"/>
        </w:rPr>
        <w:t>亿</w:t>
      </w:r>
      <w:r>
        <w:rPr>
          <w:lang w:eastAsia="zh-Hans"/>
        </w:rPr>
        <w:t>，</w:t>
      </w:r>
      <w:r>
        <w:rPr>
          <w:rFonts w:hint="eastAsia"/>
          <w:lang w:eastAsia="zh-Hans"/>
        </w:rPr>
        <w:t>其中沪股通流入</w:t>
      </w:r>
      <w:r>
        <w:rPr>
          <w:lang w:eastAsia="zh-Hans"/>
        </w:rPr>
        <w:t>300</w:t>
      </w:r>
      <w:r>
        <w:rPr>
          <w:rFonts w:hint="eastAsia"/>
          <w:lang w:eastAsia="zh-Hans"/>
        </w:rPr>
        <w:t>.</w:t>
      </w:r>
      <w:r>
        <w:rPr>
          <w:lang w:eastAsia="zh-Hans"/>
        </w:rPr>
        <w:t>90</w:t>
      </w:r>
      <w:r>
        <w:rPr>
          <w:rFonts w:hint="eastAsia"/>
          <w:lang w:eastAsia="zh-Hans"/>
        </w:rPr>
        <w:t>亿</w:t>
      </w:r>
      <w:r>
        <w:rPr>
          <w:lang w:eastAsia="zh-Hans"/>
        </w:rPr>
        <w:t>，</w:t>
      </w:r>
      <w:r>
        <w:rPr>
          <w:rFonts w:hint="eastAsia"/>
          <w:lang w:eastAsia="zh-Hans"/>
        </w:rPr>
        <w:t>深股通流入</w:t>
      </w:r>
      <w:r>
        <w:rPr>
          <w:lang w:eastAsia="zh-Hans"/>
        </w:rPr>
        <w:t>167</w:t>
      </w:r>
      <w:r>
        <w:rPr>
          <w:rFonts w:hint="eastAsia"/>
          <w:lang w:eastAsia="zh-Hans"/>
        </w:rPr>
        <w:t>.</w:t>
      </w:r>
      <w:r>
        <w:rPr>
          <w:lang w:eastAsia="zh-Hans"/>
        </w:rPr>
        <w:t>24</w:t>
      </w:r>
      <w:r>
        <w:rPr>
          <w:rFonts w:hint="eastAsia"/>
          <w:lang w:eastAsia="zh-Hans"/>
        </w:rPr>
        <w:t>亿</w:t>
      </w:r>
      <w:r>
        <w:rPr>
          <w:lang w:eastAsia="zh-Hans"/>
        </w:rPr>
        <w:t>。</w:t>
      </w:r>
      <w:r>
        <w:rPr>
          <w:rFonts w:hint="eastAsia"/>
          <w:lang w:eastAsia="zh-Hans"/>
        </w:rPr>
        <w:t>从两融资金表现来看</w:t>
      </w:r>
      <w:r>
        <w:rPr>
          <w:lang w:eastAsia="zh-Hans"/>
        </w:rPr>
        <w:t>，</w:t>
      </w:r>
      <w:r w:rsidR="000E03B7">
        <w:rPr>
          <w:rFonts w:hint="eastAsia"/>
        </w:rPr>
        <w:t>上</w:t>
      </w:r>
      <w:r>
        <w:rPr>
          <w:rFonts w:hint="eastAsia"/>
          <w:lang w:eastAsia="zh-Hans"/>
        </w:rPr>
        <w:t>周</w:t>
      </w:r>
      <w:r w:rsidR="00DB5833">
        <w:rPr>
          <w:rFonts w:hint="eastAsia"/>
        </w:rPr>
        <w:t>杠杆资金依然维持相对谨慎的态度，并没有大举进入。</w:t>
      </w:r>
    </w:p>
    <w:p w:rsidR="000E03B7" w:rsidRDefault="000E03B7">
      <w:pPr>
        <w:ind w:firstLineChars="200" w:firstLine="480"/>
        <w:rPr>
          <w:rFonts w:hint="eastAsia"/>
        </w:rPr>
      </w:pPr>
    </w:p>
    <w:p w:rsidR="000E03B7" w:rsidRPr="000E03B7" w:rsidRDefault="000E03B7" w:rsidP="000E03B7">
      <w:pPr>
        <w:jc w:val="center"/>
        <w:rPr>
          <w:rFonts w:hint="eastAsia"/>
        </w:rPr>
      </w:pPr>
      <w:r>
        <w:rPr>
          <w:rFonts w:hint="eastAsia"/>
        </w:rPr>
        <w:t>图 2 ：北向资金与新增融资余额</w:t>
      </w:r>
    </w:p>
    <w:p w:rsidR="00EB73E9" w:rsidRDefault="00DB5833" w:rsidP="005801FF">
      <w:r>
        <w:rPr>
          <w:noProof/>
        </w:rPr>
        <w:drawing>
          <wp:inline distT="0" distB="0" distL="0" distR="0" wp14:anchorId="2AFF02C9" wp14:editId="141A9C88">
            <wp:extent cx="5280455" cy="1639329"/>
            <wp:effectExtent l="0" t="0" r="0" b="0"/>
            <wp:docPr id="2" name="图片 2" descr="C:\Users\qiuzh\AppData\Roaming\Foxmail7\Temp-11948-20210521144648\fox(05-28-08-43-23)(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qiuzh\AppData\Roaming\Foxmail7\Temp-11948-20210521144648\fox(05-28-08-43-23)(3).pn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274310" cy="1637421"/>
                    </a:xfrm>
                    <a:prstGeom prst="rect">
                      <a:avLst/>
                    </a:prstGeom>
                    <a:noFill/>
                    <a:ln>
                      <a:noFill/>
                    </a:ln>
                  </pic:spPr>
                </pic:pic>
              </a:graphicData>
            </a:graphic>
          </wp:inline>
        </w:drawing>
      </w:r>
    </w:p>
    <w:p w:rsidR="00F4730F" w:rsidRDefault="00F4730F" w:rsidP="005801FF">
      <w:r>
        <w:rPr>
          <w:rFonts w:hint="eastAsia"/>
        </w:rPr>
        <w:t>数据来源：Wind</w:t>
      </w:r>
    </w:p>
    <w:p w:rsidR="00EB73E9" w:rsidRDefault="005801FF">
      <w:pPr>
        <w:ind w:firstLineChars="200" w:firstLine="480"/>
        <w:rPr>
          <w:rFonts w:hint="eastAsia"/>
        </w:rPr>
      </w:pPr>
      <w:r>
        <w:rPr>
          <w:rFonts w:hint="eastAsia"/>
        </w:rPr>
        <w:t>从市场波动率来看，</w:t>
      </w:r>
      <w:r w:rsidR="000E03B7">
        <w:rPr>
          <w:rFonts w:hint="eastAsia"/>
        </w:rPr>
        <w:t>上</w:t>
      </w:r>
      <w:r>
        <w:rPr>
          <w:rFonts w:hint="eastAsia"/>
        </w:rPr>
        <w:t>周市场</w:t>
      </w:r>
      <w:r>
        <w:rPr>
          <w:rFonts w:hint="eastAsia"/>
          <w:lang w:eastAsia="zh-Hans"/>
        </w:rPr>
        <w:t>波动率与标的价格同步上涨</w:t>
      </w:r>
      <w:r>
        <w:rPr>
          <w:lang w:eastAsia="zh-Hans"/>
        </w:rPr>
        <w:t>，</w:t>
      </w:r>
      <w:r>
        <w:rPr>
          <w:rFonts w:hint="eastAsia"/>
          <w:lang w:eastAsia="zh-Hans"/>
        </w:rPr>
        <w:t>标的价格与隐含波动率呈现正相关关系</w:t>
      </w:r>
      <w:r>
        <w:rPr>
          <w:lang w:eastAsia="zh-Hans"/>
        </w:rPr>
        <w:t>，</w:t>
      </w:r>
      <w:r>
        <w:rPr>
          <w:rFonts w:hint="eastAsia"/>
          <w:lang w:eastAsia="zh-Hans"/>
        </w:rPr>
        <w:t>周四周五市场在冲高回落时波动率也随之下降</w:t>
      </w:r>
      <w:r>
        <w:rPr>
          <w:lang w:eastAsia="zh-Hans"/>
        </w:rPr>
        <w:t>。</w:t>
      </w:r>
      <w:r>
        <w:rPr>
          <w:rFonts w:hint="eastAsia"/>
          <w:lang w:eastAsia="zh-Hans"/>
        </w:rPr>
        <w:t>市场情绪在修复的过程中</w:t>
      </w:r>
      <w:r>
        <w:rPr>
          <w:lang w:eastAsia="zh-Hans"/>
        </w:rPr>
        <w:t>，</w:t>
      </w:r>
      <w:r>
        <w:rPr>
          <w:rFonts w:hint="eastAsia"/>
          <w:lang w:eastAsia="zh-Hans"/>
        </w:rPr>
        <w:t>波动率与标的价格经常出现正相关的情况</w:t>
      </w:r>
      <w:r w:rsidR="006B4CE5">
        <w:rPr>
          <w:rFonts w:hint="eastAsia"/>
        </w:rPr>
        <w:t>。</w:t>
      </w:r>
      <w:r>
        <w:rPr>
          <w:rFonts w:hint="eastAsia"/>
          <w:lang w:eastAsia="zh-Hans"/>
        </w:rPr>
        <w:t>估计新的一周如果标的价格继续快速上行</w:t>
      </w:r>
      <w:r>
        <w:rPr>
          <w:lang w:eastAsia="zh-Hans"/>
        </w:rPr>
        <w:t>，</w:t>
      </w:r>
      <w:r>
        <w:rPr>
          <w:rFonts w:hint="eastAsia"/>
          <w:lang w:eastAsia="zh-Hans"/>
        </w:rPr>
        <w:t>波动率还有上行的可能性</w:t>
      </w:r>
      <w:r>
        <w:rPr>
          <w:lang w:eastAsia="zh-Hans"/>
        </w:rPr>
        <w:t>，</w:t>
      </w:r>
      <w:r>
        <w:rPr>
          <w:rFonts w:hint="eastAsia"/>
          <w:lang w:eastAsia="zh-Hans"/>
        </w:rPr>
        <w:t>如果标的价格进入震荡</w:t>
      </w:r>
      <w:r w:rsidR="006B4CE5">
        <w:rPr>
          <w:rFonts w:hint="eastAsia"/>
        </w:rPr>
        <w:t>、</w:t>
      </w:r>
      <w:r>
        <w:rPr>
          <w:rFonts w:hint="eastAsia"/>
          <w:lang w:eastAsia="zh-Hans"/>
        </w:rPr>
        <w:t>回落或小幅震荡上行</w:t>
      </w:r>
      <w:r>
        <w:rPr>
          <w:lang w:eastAsia="zh-Hans"/>
        </w:rPr>
        <w:t>，</w:t>
      </w:r>
      <w:r>
        <w:rPr>
          <w:rFonts w:hint="eastAsia"/>
          <w:lang w:eastAsia="zh-Hans"/>
        </w:rPr>
        <w:t>波动率将会快速下行</w:t>
      </w:r>
      <w:r>
        <w:rPr>
          <w:lang w:eastAsia="zh-Hans"/>
        </w:rPr>
        <w:t>。</w:t>
      </w:r>
      <w:r>
        <w:rPr>
          <w:rFonts w:hint="eastAsia"/>
        </w:rPr>
        <w:t>（图3）。</w:t>
      </w:r>
    </w:p>
    <w:p w:rsidR="000E03B7" w:rsidRDefault="000E03B7">
      <w:pPr>
        <w:ind w:firstLineChars="200" w:firstLine="480"/>
        <w:rPr>
          <w:rFonts w:hint="eastAsia"/>
        </w:rPr>
      </w:pPr>
    </w:p>
    <w:p w:rsidR="000E03B7" w:rsidRDefault="000E03B7" w:rsidP="000E03B7">
      <w:pPr>
        <w:ind w:firstLineChars="200" w:firstLine="480"/>
        <w:jc w:val="center"/>
      </w:pPr>
      <w:r>
        <w:rPr>
          <w:rFonts w:hint="eastAsia"/>
        </w:rPr>
        <w:t>图 3</w:t>
      </w:r>
      <w:r>
        <w:rPr>
          <w:rFonts w:hint="eastAsia"/>
        </w:rPr>
        <w:t>：</w:t>
      </w:r>
      <w:r>
        <w:rPr>
          <w:rFonts w:hint="eastAsia"/>
        </w:rPr>
        <w:t xml:space="preserve"> 期权市场隐含波动率</w:t>
      </w:r>
    </w:p>
    <w:p w:rsidR="00EB73E9" w:rsidRDefault="00F4730F">
      <w:r>
        <w:rPr>
          <w:noProof/>
        </w:rPr>
        <w:lastRenderedPageBreak/>
        <w:drawing>
          <wp:inline distT="0" distB="0" distL="0" distR="0" wp14:anchorId="6B71E51E" wp14:editId="0B6FA28B">
            <wp:extent cx="5274310" cy="3440511"/>
            <wp:effectExtent l="0" t="0" r="2540" b="762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tretch>
                      <a:fillRect/>
                    </a:stretch>
                  </pic:blipFill>
                  <pic:spPr>
                    <a:xfrm>
                      <a:off x="0" y="0"/>
                      <a:ext cx="5274310" cy="3440511"/>
                    </a:xfrm>
                    <a:prstGeom prst="rect">
                      <a:avLst/>
                    </a:prstGeom>
                  </pic:spPr>
                </pic:pic>
              </a:graphicData>
            </a:graphic>
          </wp:inline>
        </w:drawing>
      </w:r>
    </w:p>
    <w:p w:rsidR="00F4730F" w:rsidRDefault="00F4730F">
      <w:r>
        <w:rPr>
          <w:rFonts w:hint="eastAsia"/>
        </w:rPr>
        <w:t>数据来源：富</w:t>
      </w:r>
      <w:proofErr w:type="gramStart"/>
      <w:r>
        <w:rPr>
          <w:rFonts w:hint="eastAsia"/>
        </w:rPr>
        <w:t>荣基金</w:t>
      </w:r>
      <w:proofErr w:type="gramEnd"/>
      <w:r>
        <w:rPr>
          <w:rFonts w:hint="eastAsia"/>
        </w:rPr>
        <w:t>量化组</w:t>
      </w:r>
    </w:p>
    <w:p w:rsidR="00F4730F" w:rsidRDefault="00F4730F" w:rsidP="005801FF">
      <w:pPr>
        <w:jc w:val="center"/>
      </w:pPr>
    </w:p>
    <w:p w:rsidR="00EB73E9" w:rsidRDefault="00EB73E9"/>
    <w:p w:rsidR="00EB73E9" w:rsidRDefault="00EB73E9">
      <w:pPr>
        <w:jc w:val="center"/>
        <w:rPr>
          <w:rFonts w:hint="eastAsia"/>
        </w:rPr>
      </w:pPr>
    </w:p>
    <w:p w:rsidR="000E03B7" w:rsidRPr="000E03B7" w:rsidRDefault="000E03B7" w:rsidP="000E03B7">
      <w:pPr>
        <w:jc w:val="left"/>
        <w:rPr>
          <w:sz w:val="15"/>
          <w:szCs w:val="15"/>
        </w:rPr>
      </w:pPr>
      <w:r w:rsidRPr="000E03B7">
        <w:rPr>
          <w:rFonts w:ascii="微软雅黑" w:eastAsia="微软雅黑" w:hAnsi="微软雅黑" w:hint="eastAsia"/>
          <w:color w:val="474747"/>
          <w:sz w:val="15"/>
          <w:szCs w:val="15"/>
          <w:shd w:val="clear" w:color="auto" w:fill="FFFFFF"/>
        </w:rPr>
        <w:t>风险提示：1、本报告中的信息均来源于我们认为可靠的已公开资料和合作客户的研究成果，但本公司及研究人员对这些信息的准确性和完整性不作任何保证，也不保证本报告所包含的信息或建议在本报告发出后不会发生任何变更，且本报告仅反映发布时的资料、观点和预测，可能在随后会</w:t>
      </w:r>
      <w:proofErr w:type="gramStart"/>
      <w:r w:rsidRPr="000E03B7">
        <w:rPr>
          <w:rFonts w:ascii="微软雅黑" w:eastAsia="微软雅黑" w:hAnsi="微软雅黑" w:hint="eastAsia"/>
          <w:color w:val="474747"/>
          <w:sz w:val="15"/>
          <w:szCs w:val="15"/>
          <w:shd w:val="clear" w:color="auto" w:fill="FFFFFF"/>
        </w:rPr>
        <w:t>作出</w:t>
      </w:r>
      <w:proofErr w:type="gramEnd"/>
      <w:r w:rsidRPr="000E03B7">
        <w:rPr>
          <w:rFonts w:ascii="微软雅黑" w:eastAsia="微软雅黑" w:hAnsi="微软雅黑" w:hint="eastAsia"/>
          <w:color w:val="474747"/>
          <w:sz w:val="15"/>
          <w:szCs w:val="15"/>
          <w:shd w:val="clear" w:color="auto" w:fill="FFFFFF"/>
        </w:rPr>
        <w:t>调整。2、本报告中的资料、观点和预测等仅供参考，在任何时候均不构成对任何人的个人推荐。市场有风险，投资需谨慎。</w:t>
      </w:r>
    </w:p>
    <w:sectPr w:rsidR="000E03B7" w:rsidRPr="000E03B7">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楷体">
    <w:altName w:val="汉仪楷体KW"/>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邱紫华">
    <w15:presenceInfo w15:providerId="WPS Office" w15:userId="72663803"/>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6"/>
  <w:bordersDoNotSurroundHeader/>
  <w:bordersDoNotSurroundFooter/>
  <w:proofState w:spelling="clean" w:grammar="clean"/>
  <w:revisionView w:markup="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86C8A"/>
    <w:rsid w:val="FFC34C89"/>
    <w:rsid w:val="0000012D"/>
    <w:rsid w:val="00023027"/>
    <w:rsid w:val="00035595"/>
    <w:rsid w:val="00070AA2"/>
    <w:rsid w:val="00074AEA"/>
    <w:rsid w:val="000E03B7"/>
    <w:rsid w:val="00161CBB"/>
    <w:rsid w:val="0018534E"/>
    <w:rsid w:val="001867FC"/>
    <w:rsid w:val="001D19B6"/>
    <w:rsid w:val="001D6061"/>
    <w:rsid w:val="0020342A"/>
    <w:rsid w:val="002062DE"/>
    <w:rsid w:val="002129BA"/>
    <w:rsid w:val="002416ED"/>
    <w:rsid w:val="002563D9"/>
    <w:rsid w:val="002A093A"/>
    <w:rsid w:val="002B15CF"/>
    <w:rsid w:val="002C4C07"/>
    <w:rsid w:val="002C7EF7"/>
    <w:rsid w:val="002E17CD"/>
    <w:rsid w:val="00374124"/>
    <w:rsid w:val="00386DFB"/>
    <w:rsid w:val="003B1CAC"/>
    <w:rsid w:val="003D637F"/>
    <w:rsid w:val="003F6050"/>
    <w:rsid w:val="004157F5"/>
    <w:rsid w:val="00444648"/>
    <w:rsid w:val="00454A3A"/>
    <w:rsid w:val="004A5394"/>
    <w:rsid w:val="004E3614"/>
    <w:rsid w:val="004E52FE"/>
    <w:rsid w:val="00525A53"/>
    <w:rsid w:val="00531B02"/>
    <w:rsid w:val="005801FF"/>
    <w:rsid w:val="005A2D48"/>
    <w:rsid w:val="005C4905"/>
    <w:rsid w:val="005C760F"/>
    <w:rsid w:val="006965D2"/>
    <w:rsid w:val="006B1D85"/>
    <w:rsid w:val="006B4CE5"/>
    <w:rsid w:val="006C7CF6"/>
    <w:rsid w:val="006E639C"/>
    <w:rsid w:val="0073379B"/>
    <w:rsid w:val="00747B9D"/>
    <w:rsid w:val="007528BE"/>
    <w:rsid w:val="00756EC7"/>
    <w:rsid w:val="007D5907"/>
    <w:rsid w:val="007D7875"/>
    <w:rsid w:val="007F6A29"/>
    <w:rsid w:val="00810078"/>
    <w:rsid w:val="00830122"/>
    <w:rsid w:val="00830C71"/>
    <w:rsid w:val="008540B7"/>
    <w:rsid w:val="008916E0"/>
    <w:rsid w:val="00893C6A"/>
    <w:rsid w:val="00896001"/>
    <w:rsid w:val="008A74C1"/>
    <w:rsid w:val="008B1754"/>
    <w:rsid w:val="008B27E8"/>
    <w:rsid w:val="008B4D1A"/>
    <w:rsid w:val="008D03D4"/>
    <w:rsid w:val="008F60FD"/>
    <w:rsid w:val="00907C93"/>
    <w:rsid w:val="00981BC3"/>
    <w:rsid w:val="00987C63"/>
    <w:rsid w:val="009953B9"/>
    <w:rsid w:val="009A6EBC"/>
    <w:rsid w:val="009D02A8"/>
    <w:rsid w:val="00A07990"/>
    <w:rsid w:val="00A47AFD"/>
    <w:rsid w:val="00A51293"/>
    <w:rsid w:val="00A61347"/>
    <w:rsid w:val="00A842A3"/>
    <w:rsid w:val="00A90927"/>
    <w:rsid w:val="00AD037A"/>
    <w:rsid w:val="00B14C31"/>
    <w:rsid w:val="00B5310C"/>
    <w:rsid w:val="00B82632"/>
    <w:rsid w:val="00B87681"/>
    <w:rsid w:val="00B91093"/>
    <w:rsid w:val="00BA3587"/>
    <w:rsid w:val="00BA72C2"/>
    <w:rsid w:val="00BC61FC"/>
    <w:rsid w:val="00BD6BA1"/>
    <w:rsid w:val="00C24E54"/>
    <w:rsid w:val="00C53CF8"/>
    <w:rsid w:val="00CA38CF"/>
    <w:rsid w:val="00CD5494"/>
    <w:rsid w:val="00CD673E"/>
    <w:rsid w:val="00D055BF"/>
    <w:rsid w:val="00D058C0"/>
    <w:rsid w:val="00D46833"/>
    <w:rsid w:val="00DB5833"/>
    <w:rsid w:val="00DD21CB"/>
    <w:rsid w:val="00DD26E5"/>
    <w:rsid w:val="00DD2E6A"/>
    <w:rsid w:val="00DD6213"/>
    <w:rsid w:val="00DF6F9A"/>
    <w:rsid w:val="00E23413"/>
    <w:rsid w:val="00E619FD"/>
    <w:rsid w:val="00E86C8A"/>
    <w:rsid w:val="00E87750"/>
    <w:rsid w:val="00E94CFB"/>
    <w:rsid w:val="00EA7100"/>
    <w:rsid w:val="00EB73E9"/>
    <w:rsid w:val="00EB7D3C"/>
    <w:rsid w:val="00EF2A7A"/>
    <w:rsid w:val="00EF75F8"/>
    <w:rsid w:val="00F1138A"/>
    <w:rsid w:val="00F13186"/>
    <w:rsid w:val="00F4730F"/>
    <w:rsid w:val="00F64709"/>
    <w:rsid w:val="00FA2748"/>
    <w:rsid w:val="00FB18F7"/>
    <w:rsid w:val="00FC0454"/>
    <w:rsid w:val="00FC5D34"/>
    <w:rsid w:val="00FD6898"/>
    <w:rsid w:val="00FF648F"/>
    <w:rsid w:val="5D69B48E"/>
    <w:rsid w:val="5FFDA054"/>
    <w:rsid w:val="672F274D"/>
    <w:rsid w:val="749F4A0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semiHidden="0"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qFormat="1"/>
    <w:lsdException w:name="Balloon Text" w:semiHidden="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spacing w:line="360" w:lineRule="auto"/>
      <w:jc w:val="both"/>
    </w:pPr>
    <w:rPr>
      <w:rFonts w:ascii="楷体" w:eastAsia="楷体" w:hAnsi="楷体"/>
      <w:kern w:val="2"/>
      <w:sz w:val="24"/>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unhideWhenUsed/>
    <w:qFormat/>
    <w:pPr>
      <w:spacing w:line="240" w:lineRule="auto"/>
    </w:pPr>
    <w:rPr>
      <w:sz w:val="18"/>
      <w:szCs w:val="18"/>
    </w:rPr>
  </w:style>
  <w:style w:type="paragraph" w:styleId="a4">
    <w:name w:val="footer"/>
    <w:basedOn w:val="a"/>
    <w:link w:val="Char0"/>
    <w:uiPriority w:val="99"/>
    <w:unhideWhenUsed/>
    <w:qFormat/>
    <w:pPr>
      <w:tabs>
        <w:tab w:val="center" w:pos="4153"/>
        <w:tab w:val="right" w:pos="8306"/>
      </w:tabs>
      <w:snapToGrid w:val="0"/>
      <w:spacing w:line="240" w:lineRule="auto"/>
      <w:jc w:val="left"/>
    </w:pPr>
    <w:rPr>
      <w:rFonts w:asciiTheme="minorHAnsi" w:eastAsiaTheme="minorEastAsia" w:hAnsiTheme="minorHAnsi"/>
      <w:sz w:val="18"/>
      <w:szCs w:val="18"/>
    </w:rPr>
  </w:style>
  <w:style w:type="paragraph" w:styleId="a5">
    <w:name w:val="header"/>
    <w:basedOn w:val="a"/>
    <w:link w:val="Char1"/>
    <w:uiPriority w:val="99"/>
    <w:unhideWhenUsed/>
    <w:qFormat/>
    <w:pPr>
      <w:pBdr>
        <w:bottom w:val="single" w:sz="6" w:space="1" w:color="auto"/>
      </w:pBdr>
      <w:tabs>
        <w:tab w:val="center" w:pos="4153"/>
        <w:tab w:val="right" w:pos="8306"/>
      </w:tabs>
      <w:snapToGrid w:val="0"/>
      <w:spacing w:line="240" w:lineRule="auto"/>
      <w:jc w:val="center"/>
    </w:pPr>
    <w:rPr>
      <w:rFonts w:asciiTheme="minorHAnsi" w:eastAsiaTheme="minorEastAsia" w:hAnsiTheme="minorHAnsi"/>
      <w:sz w:val="18"/>
      <w:szCs w:val="18"/>
    </w:rPr>
  </w:style>
  <w:style w:type="character" w:customStyle="1" w:styleId="Char1">
    <w:name w:val="页眉 Char"/>
    <w:basedOn w:val="a0"/>
    <w:link w:val="a5"/>
    <w:uiPriority w:val="99"/>
    <w:qFormat/>
    <w:rPr>
      <w:sz w:val="18"/>
      <w:szCs w:val="18"/>
    </w:rPr>
  </w:style>
  <w:style w:type="character" w:customStyle="1" w:styleId="Char0">
    <w:name w:val="页脚 Char"/>
    <w:basedOn w:val="a0"/>
    <w:link w:val="a4"/>
    <w:uiPriority w:val="99"/>
    <w:qFormat/>
    <w:rPr>
      <w:sz w:val="18"/>
      <w:szCs w:val="18"/>
    </w:rPr>
  </w:style>
  <w:style w:type="character" w:customStyle="1" w:styleId="Char">
    <w:name w:val="批注框文本 Char"/>
    <w:basedOn w:val="a0"/>
    <w:link w:val="a3"/>
    <w:uiPriority w:val="99"/>
    <w:semiHidden/>
    <w:qFormat/>
    <w:rPr>
      <w:rFonts w:ascii="楷体" w:eastAsia="楷体" w:hAnsi="楷体"/>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semiHidden="0"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qFormat="1"/>
    <w:lsdException w:name="Balloon Text" w:semiHidden="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spacing w:line="360" w:lineRule="auto"/>
      <w:jc w:val="both"/>
    </w:pPr>
    <w:rPr>
      <w:rFonts w:ascii="楷体" w:eastAsia="楷体" w:hAnsi="楷体"/>
      <w:kern w:val="2"/>
      <w:sz w:val="24"/>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unhideWhenUsed/>
    <w:qFormat/>
    <w:pPr>
      <w:spacing w:line="240" w:lineRule="auto"/>
    </w:pPr>
    <w:rPr>
      <w:sz w:val="18"/>
      <w:szCs w:val="18"/>
    </w:rPr>
  </w:style>
  <w:style w:type="paragraph" w:styleId="a4">
    <w:name w:val="footer"/>
    <w:basedOn w:val="a"/>
    <w:link w:val="Char0"/>
    <w:uiPriority w:val="99"/>
    <w:unhideWhenUsed/>
    <w:qFormat/>
    <w:pPr>
      <w:tabs>
        <w:tab w:val="center" w:pos="4153"/>
        <w:tab w:val="right" w:pos="8306"/>
      </w:tabs>
      <w:snapToGrid w:val="0"/>
      <w:spacing w:line="240" w:lineRule="auto"/>
      <w:jc w:val="left"/>
    </w:pPr>
    <w:rPr>
      <w:rFonts w:asciiTheme="minorHAnsi" w:eastAsiaTheme="minorEastAsia" w:hAnsiTheme="minorHAnsi"/>
      <w:sz w:val="18"/>
      <w:szCs w:val="18"/>
    </w:rPr>
  </w:style>
  <w:style w:type="paragraph" w:styleId="a5">
    <w:name w:val="header"/>
    <w:basedOn w:val="a"/>
    <w:link w:val="Char1"/>
    <w:uiPriority w:val="99"/>
    <w:unhideWhenUsed/>
    <w:qFormat/>
    <w:pPr>
      <w:pBdr>
        <w:bottom w:val="single" w:sz="6" w:space="1" w:color="auto"/>
      </w:pBdr>
      <w:tabs>
        <w:tab w:val="center" w:pos="4153"/>
        <w:tab w:val="right" w:pos="8306"/>
      </w:tabs>
      <w:snapToGrid w:val="0"/>
      <w:spacing w:line="240" w:lineRule="auto"/>
      <w:jc w:val="center"/>
    </w:pPr>
    <w:rPr>
      <w:rFonts w:asciiTheme="minorHAnsi" w:eastAsiaTheme="minorEastAsia" w:hAnsiTheme="minorHAnsi"/>
      <w:sz w:val="18"/>
      <w:szCs w:val="18"/>
    </w:rPr>
  </w:style>
  <w:style w:type="character" w:customStyle="1" w:styleId="Char1">
    <w:name w:val="页眉 Char"/>
    <w:basedOn w:val="a0"/>
    <w:link w:val="a5"/>
    <w:uiPriority w:val="99"/>
    <w:qFormat/>
    <w:rPr>
      <w:sz w:val="18"/>
      <w:szCs w:val="18"/>
    </w:rPr>
  </w:style>
  <w:style w:type="character" w:customStyle="1" w:styleId="Char0">
    <w:name w:val="页脚 Char"/>
    <w:basedOn w:val="a0"/>
    <w:link w:val="a4"/>
    <w:uiPriority w:val="99"/>
    <w:qFormat/>
    <w:rPr>
      <w:sz w:val="18"/>
      <w:szCs w:val="18"/>
    </w:rPr>
  </w:style>
  <w:style w:type="character" w:customStyle="1" w:styleId="Char">
    <w:name w:val="批注框文本 Char"/>
    <w:basedOn w:val="a0"/>
    <w:link w:val="a3"/>
    <w:uiPriority w:val="99"/>
    <w:semiHidden/>
    <w:qFormat/>
    <w:rPr>
      <w:rFonts w:ascii="楷体" w:eastAsia="楷体" w:hAnsi="楷体"/>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microsoft.com/office/2007/relationships/stylesWithEffects" Target="stylesWithEffects.xml"/><Relationship Id="rId7" Type="http://schemas.openxmlformats.org/officeDocument/2006/relationships/image" Target="media/image2.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1.png"/><Relationship Id="rId11" Type="http://schemas.microsoft.com/office/2011/relationships/people" Target="people.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137</Words>
  <Characters>786</Characters>
  <Application>Microsoft Office Word</Application>
  <DocSecurity>0</DocSecurity>
  <Lines>6</Lines>
  <Paragraphs>1</Paragraphs>
  <ScaleCrop>false</ScaleCrop>
  <Company>微软中国</Company>
  <LinksUpToDate>false</LinksUpToDate>
  <CharactersWithSpaces>922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邱紫华</dc:creator>
  <cp:lastModifiedBy>Administrator</cp:lastModifiedBy>
  <cp:revision>2</cp:revision>
  <dcterms:created xsi:type="dcterms:W3CDTF">2021-05-31T01:51:00Z</dcterms:created>
  <dcterms:modified xsi:type="dcterms:W3CDTF">2021-05-31T01:51:00Z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2052-3.6.1.5768</vt:lpwstr>
  </property>
</Properties>
</file>